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7222C"/>
          <w:sz w:val="44"/>
          <w:szCs w:val="44"/>
        </w:rPr>
        <w:t xml:space="preserve">Agent Factory MVP Scope</w:t>
      </w:r>
    </w:p>
    <w:p>
      <w:pPr>
        <w:spacing w:after="220"/>
      </w:pPr>
      <w:r>
        <w:rPr>
          <w:rFonts w:ascii="Georgia" w:cs="Georgia" w:eastAsia="Georgia" w:hAnsi="Georgia"/>
          <w:i/>
          <w:iCs/>
          <w:color w:val="4C5A63"/>
          <w:sz w:val="22"/>
          <w:szCs w:val="22"/>
        </w:rPr>
        <w:t xml:space="preserve">One agent type, the whole pipeline working for real, and a clear line for when it's actually done.</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2340"/>
        <w:gridCol w:w="2340"/>
        <w:gridCol w:w="2340"/>
        <w:gridCol w:w="2340"/>
      </w:tblGrid>
      <w:tr>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STATUS</w:t>
            </w:r>
          </w:p>
          <w:p>
            <w:r>
              <w:rPr>
                <w:rFonts w:ascii="Georgia" w:cs="Georgia" w:eastAsia="Georgia" w:hAnsi="Georgia"/>
                <w:b/>
                <w:bCs/>
                <w:color w:val="963618"/>
                <w:sz w:val="18"/>
                <w:szCs w:val="18"/>
              </w:rPr>
              <w:t xml:space="preserve">Draft</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TYPE</w:t>
            </w:r>
          </w:p>
          <w:p>
            <w:r>
              <w:rPr>
                <w:rFonts w:ascii="Georgia" w:cs="Georgia" w:eastAsia="Georgia" w:hAnsi="Georgia"/>
                <w:b/>
                <w:bCs/>
                <w:color w:val="963618"/>
                <w:sz w:val="18"/>
                <w:szCs w:val="18"/>
              </w:rPr>
              <w:t xml:space="preserve">Chat agent</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DATE</w:t>
            </w:r>
          </w:p>
          <w:p>
            <w:r>
              <w:rPr>
                <w:rFonts w:ascii="Georgia" w:cs="Georgia" w:eastAsia="Georgia" w:hAnsi="Georgia"/>
                <w:b/>
                <w:bCs/>
                <w:color w:val="963618"/>
                <w:sz w:val="18"/>
                <w:szCs w:val="18"/>
              </w:rPr>
              <w:t xml:space="preserve">26 Aug 2026</w:t>
            </w:r>
          </w:p>
        </w:tc>
        <w:tc>
          <w:tcPr>
            <w:tcW w:type="dxa" w:w="2340"/>
            <w:shd w:fill="EAECE4" w:color="auto" w:val="clear"/>
            <w:tcMar>
              <w:top w:type="dxa" w:w="100"/>
              <w:left w:type="dxa" w:w="120"/>
              <w:bottom w:type="dxa" w:w="100"/>
              <w:right w:type="dxa" w:w="120"/>
            </w:tcMar>
          </w:tcPr>
          <w:p>
            <w:r>
              <w:rPr>
                <w:rFonts w:ascii="Georgia" w:cs="Georgia" w:eastAsia="Georgia" w:hAnsi="Georgia"/>
                <w:b/>
                <w:bCs/>
                <w:color w:val="4C5A63"/>
                <w:sz w:val="14"/>
                <w:szCs w:val="14"/>
              </w:rPr>
              <w:t xml:space="preserve">REV</w:t>
            </w:r>
          </w:p>
          <w:p>
            <w:r>
              <w:rPr>
                <w:rFonts w:ascii="Georgia" w:cs="Georgia" w:eastAsia="Georgia" w:hAnsi="Georgia"/>
                <w:b/>
                <w:bCs/>
                <w:color w:val="963618"/>
                <w:sz w:val="18"/>
                <w:szCs w:val="18"/>
              </w:rPr>
              <w:t xml:space="preserve">0.1</w:t>
            </w:r>
          </w:p>
        </w:tc>
      </w:tr>
    </w:tbl>
    <w:p>
      <w:pPr>
        <w:spacing w:after="300"/>
      </w:pPr>
    </w:p>
    <w:p>
      <w:pPr>
        <w:pBdr>
          <w:top w:val="dashed" w:color="9FA89D" w:sz="4"/>
          <w:bottom w:val="dashed" w:color="9FA89D" w:sz="4"/>
          <w:left w:val="dashed" w:color="9FA89D" w:sz="4"/>
          <w:right w:val="dashed" w:color="9FA89D" w:sz="4"/>
        </w:pBdr>
        <w:shd w:fill="F3F4EF" w:color="auto" w:val="clear"/>
        <w:spacing w:after="300"/>
      </w:pPr>
      <w:r>
        <w:rPr>
          <w:rFonts w:ascii="Georgia" w:cs="Georgia" w:eastAsia="Georgia" w:hAnsi="Georgia"/>
          <w:color w:val="4C5A63"/>
          <w:sz w:val="18"/>
          <w:szCs w:val="18"/>
        </w:rPr>
        <w:t xml:space="preserve">1 of 4 linked docs. This one (MVP) is the short version — what actually ships first. Full requirements live in the PRD, business case in the BRD, build order and schema in the Blueprint — this doc doesn't repeat their detail, it points to it.</w:t>
      </w:r>
    </w:p>
    <w:p>
      <w:pPr>
        <w:pStyle w:val="Heading1"/>
        <w:pBdr>
          <w:bottom w:val="single" w:color="9FA89D" w:sz="6"/>
        </w:pBdr>
        <w:spacing w:after="160" w:before="360"/>
      </w:pPr>
      <w:r>
        <w:rPr>
          <w:rFonts w:ascii="Georgia" w:cs="Georgia" w:eastAsia="Georgia" w:hAnsi="Georgia"/>
          <w:b/>
          <w:bCs/>
          <w:color w:val="963618"/>
          <w:sz w:val="24"/>
          <w:szCs w:val="24"/>
        </w:rPr>
        <w:t xml:space="preserve">00  </w:t>
      </w:r>
      <w:r>
        <w:rPr>
          <w:rFonts w:ascii="Georgia" w:cs="Georgia" w:eastAsia="Georgia" w:hAnsi="Georgia"/>
          <w:b/>
          <w:bCs/>
          <w:color w:val="17222C"/>
          <w:sz w:val="24"/>
          <w:szCs w:val="24"/>
        </w:rPr>
        <w:t xml:space="preserve">Goal</w:t>
      </w:r>
    </w:p>
    <w:p>
      <w:pPr>
        <w:spacing w:after="180"/>
      </w:pPr>
      <w:r>
        <w:rPr>
          <w:rFonts w:ascii="Georgia" w:cs="Georgia" w:eastAsia="Georgia" w:hAnsi="Georgia"/>
          <w:i w:val="false"/>
          <w:iCs w:val="false"/>
          <w:color w:val="17222C"/>
          <w:sz w:val="21"/>
          <w:szCs w:val="21"/>
        </w:rPr>
        <w:t xml:space="preserve">Prove the full pipeline — intake, build, assemble, test, deploy — works end to end for one real agent type, before a second type or anything else is added.</w:t>
      </w:r>
    </w:p>
    <w:p>
      <w:pPr>
        <w:pStyle w:val="Heading1"/>
        <w:pBdr>
          <w:bottom w:val="single" w:color="9FA89D" w:sz="6"/>
        </w:pBdr>
        <w:spacing w:after="160" w:before="360"/>
      </w:pPr>
      <w:r>
        <w:rPr>
          <w:rFonts w:ascii="Georgia" w:cs="Georgia" w:eastAsia="Georgia" w:hAnsi="Georgia"/>
          <w:b/>
          <w:bCs/>
          <w:color w:val="963618"/>
          <w:sz w:val="24"/>
          <w:szCs w:val="24"/>
        </w:rPr>
        <w:t xml:space="preserve">01  </w:t>
      </w:r>
      <w:r>
        <w:rPr>
          <w:rFonts w:ascii="Georgia" w:cs="Georgia" w:eastAsia="Georgia" w:hAnsi="Georgia"/>
          <w:b/>
          <w:bCs/>
          <w:color w:val="17222C"/>
          <w:sz w:val="24"/>
          <w:szCs w:val="24"/>
        </w:rPr>
        <w:t xml:space="preserve">In scope</w:t>
      </w:r>
    </w:p>
    <w:p>
      <w:pPr>
        <w:pStyle w:val="ListParagraph"/>
        <w:numPr>
          <w:ilvl w:val="0"/>
          <w:numId w:val="2"/>
        </w:numPr>
        <w:spacing w:after="100"/>
      </w:pPr>
      <w:r>
        <w:rPr>
          <w:rFonts w:ascii="Georgia" w:cs="Georgia" w:eastAsia="Georgia" w:hAnsi="Georgia"/>
          <w:color w:val="17222C"/>
          <w:sz w:val="21"/>
          <w:szCs w:val="21"/>
        </w:rPr>
        <w:t xml:space="preserve">Chat agent type only — no voice, email, or automation yet.</w:t>
      </w:r>
    </w:p>
    <w:p>
      <w:pPr>
        <w:pStyle w:val="ListParagraph"/>
        <w:numPr>
          <w:ilvl w:val="0"/>
          <w:numId w:val="2"/>
        </w:numPr>
        <w:spacing w:after="100"/>
      </w:pPr>
      <w:r>
        <w:rPr>
          <w:rFonts w:ascii="Georgia" w:cs="Georgia" w:eastAsia="Georgia" w:hAnsi="Georgia"/>
          <w:color w:val="17222C"/>
          <w:sz w:val="21"/>
          <w:szCs w:val="21"/>
        </w:rPr>
        <w:t xml:space="preserve">A small fixed set of business use cases: answering FAQs from a knowledge source, one tool-driven action (e.g. booking), escalation to a human.</w:t>
      </w:r>
    </w:p>
    <w:p>
      <w:pPr>
        <w:pStyle w:val="ListParagraph"/>
        <w:numPr>
          <w:ilvl w:val="0"/>
          <w:numId w:val="2"/>
        </w:numPr>
        <w:spacing w:after="100"/>
      </w:pPr>
      <w:r>
        <w:rPr>
          <w:rFonts w:ascii="Georgia" w:cs="Georgia" w:eastAsia="Georgia" w:hAnsi="Georgia"/>
          <w:color w:val="17222C"/>
          <w:sz w:val="21"/>
          <w:szCs w:val="21"/>
        </w:rPr>
        <w:t xml:space="preserve">The full pipeline running for real, not stubbed — including enough persistence for a deployed agent to actually stay live and answer.</w:t>
      </w:r>
    </w:p>
    <w:p>
      <w:pPr>
        <w:pStyle w:val="ListParagraph"/>
        <w:numPr>
          <w:ilvl w:val="0"/>
          <w:numId w:val="2"/>
        </w:numPr>
        <w:spacing w:after="100"/>
      </w:pPr>
      <w:r>
        <w:rPr>
          <w:rFonts w:ascii="Georgia" w:cs="Georgia" w:eastAsia="Georgia" w:hAnsi="Georgia"/>
          <w:color w:val="17222C"/>
          <w:sz w:val="21"/>
          <w:szCs w:val="21"/>
        </w:rPr>
        <w:t xml:space="preserve">Pass/fail test results per success criterion, with a readable transcript.</w:t>
      </w:r>
    </w:p>
    <w:p>
      <w:pPr>
        <w:pStyle w:val="Heading1"/>
        <w:pBdr>
          <w:bottom w:val="single" w:color="9FA89D" w:sz="6"/>
        </w:pBdr>
        <w:spacing w:after="160" w:before="360"/>
      </w:pPr>
      <w:r>
        <w:rPr>
          <w:rFonts w:ascii="Georgia" w:cs="Georgia" w:eastAsia="Georgia" w:hAnsi="Georgia"/>
          <w:b/>
          <w:bCs/>
          <w:color w:val="963618"/>
          <w:sz w:val="24"/>
          <w:szCs w:val="24"/>
        </w:rPr>
        <w:t xml:space="preserve">02  </w:t>
      </w:r>
      <w:r>
        <w:rPr>
          <w:rFonts w:ascii="Georgia" w:cs="Georgia" w:eastAsia="Georgia" w:hAnsi="Georgia"/>
          <w:b/>
          <w:bCs/>
          <w:color w:val="17222C"/>
          <w:sz w:val="24"/>
          <w:szCs w:val="24"/>
        </w:rPr>
        <w:t xml:space="preserve">Out of scope</w:t>
      </w:r>
    </w:p>
    <w:p>
      <w:pPr>
        <w:spacing w:after="180"/>
      </w:pPr>
      <w:r>
        <w:rPr>
          <w:rFonts w:ascii="Georgia" w:cs="Georgia" w:eastAsia="Georgia" w:hAnsi="Georgia"/>
          <w:i/>
          <w:iCs/>
          <w:color w:val="4C5A63"/>
          <w:sz w:val="19"/>
          <w:szCs w:val="19"/>
        </w:rPr>
        <w:t xml:space="preserve">Everything in the PRD's §05 out-of-scope table (voice / email / automation types, cross-channel agents, marketplace connectors, team accounts, billing, analytics) — plus, specific to this first release: no UI beyond what's needed to submit a request and view results; no multi-turn clarification beyond a single round of questions.</w:t>
      </w:r>
    </w:p>
    <w:p>
      <w:pPr>
        <w:pStyle w:val="Heading1"/>
        <w:pBdr>
          <w:bottom w:val="single" w:color="9FA89D" w:sz="6"/>
        </w:pBdr>
        <w:spacing w:after="160" w:before="360"/>
      </w:pPr>
      <w:r>
        <w:rPr>
          <w:rFonts w:ascii="Georgia" w:cs="Georgia" w:eastAsia="Georgia" w:hAnsi="Georgia"/>
          <w:b/>
          <w:bCs/>
          <w:color w:val="963618"/>
          <w:sz w:val="24"/>
          <w:szCs w:val="24"/>
        </w:rPr>
        <w:t xml:space="preserve">03  </w:t>
      </w:r>
      <w:r>
        <w:rPr>
          <w:rFonts w:ascii="Georgia" w:cs="Georgia" w:eastAsia="Georgia" w:hAnsi="Georgia"/>
          <w:b/>
          <w:bCs/>
          <w:color w:val="17222C"/>
          <w:sz w:val="24"/>
          <w:szCs w:val="24"/>
        </w:rPr>
        <w:t xml:space="preserve">Definition of done</w:t>
      </w:r>
    </w:p>
    <w:tbl>
      <w:tblPr>
        <w:tblW w:type="dxa" w:w="9360"/>
        <w:tblBorders>
          <w:top w:val="single" w:color="9FA89D" w:sz="4"/>
          <w:left w:val="single" w:color="9FA89D" w:sz="4"/>
          <w:bottom w:val="single" w:color="9FA89D" w:sz="4"/>
          <w:right w:val="single" w:color="9FA89D" w:sz="4"/>
          <w:insideH w:val="single" w:color="C7CEC6" w:sz="4"/>
          <w:insideV w:val="single" w:color="C7CEC6" w:sz="4"/>
        </w:tblBorders>
      </w:tblPr>
      <w:tblGrid>
        <w:gridCol w:w="748"/>
        <w:gridCol w:w="8611"/>
      </w:tblGrid>
      <w:tr>
        <w:trPr>
          <w:tblHeader/>
        </w:trPr>
        <w:tc>
          <w:tcPr>
            <w:tcW w:type="dxa" w:w="748"/>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w:t>
            </w:r>
          </w:p>
        </w:tc>
        <w:tc>
          <w:tcPr>
            <w:tcW w:type="dxa" w:w="8611"/>
            <w:shd w:fill="EAECE4" w:color="auto" w:val="clear"/>
            <w:tcMar>
              <w:top w:type="dxa" w:w="90"/>
              <w:left w:type="dxa" w:w="120"/>
              <w:bottom w:type="dxa" w:w="90"/>
              <w:right w:type="dxa" w:w="120"/>
            </w:tcMar>
            <w:vAlign w:val="center"/>
          </w:tcPr>
          <w:p>
            <w:r>
              <w:rPr>
                <w:rFonts w:ascii="Georgia" w:cs="Georgia" w:eastAsia="Georgia" w:hAnsi="Georgia"/>
                <w:b/>
                <w:bCs/>
                <w:color w:val="4C5A63"/>
                <w:sz w:val="17"/>
                <w:szCs w:val="17"/>
              </w:rPr>
              <w:t xml:space="preserve">MVP is done when</w:t>
            </w:r>
          </w:p>
        </w:tc>
      </w:tr>
      <w:tr>
        <w:tc>
          <w:tcPr>
            <w:tcW w:type="dxa" w:w="74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1</w:t>
            </w:r>
          </w:p>
        </w:tc>
        <w:tc>
          <w:tcPr>
            <w:tcW w:type="dxa" w:w="861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a business can submit a plain-language request and get a working chat agent back</w:t>
            </w:r>
          </w:p>
        </w:tc>
      </w:tr>
      <w:tr>
        <w:tc>
          <w:tcPr>
            <w:tcW w:type="dxa" w:w="74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2</w:t>
            </w:r>
          </w:p>
        </w:tc>
        <w:tc>
          <w:tcPr>
            <w:tcW w:type="dxa" w:w="861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the build lands within the target time window, end to end</w:t>
            </w:r>
          </w:p>
        </w:tc>
      </w:tr>
      <w:tr>
        <w:tc>
          <w:tcPr>
            <w:tcW w:type="dxa" w:w="74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3</w:t>
            </w:r>
          </w:p>
        </w:tc>
        <w:tc>
          <w:tcPr>
            <w:tcW w:type="dxa" w:w="861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they can see pass/fail per requirement with a real transcript, not a score</w:t>
            </w:r>
          </w:p>
        </w:tc>
      </w:tr>
      <w:tr>
        <w:tc>
          <w:tcPr>
            <w:tcW w:type="dxa" w:w="74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4</w:t>
            </w:r>
          </w:p>
        </w:tc>
        <w:tc>
          <w:tcPr>
            <w:tcW w:type="dxa" w:w="861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they can talk to the live agent themselves before anyone else does</w:t>
            </w:r>
          </w:p>
        </w:tc>
      </w:tr>
      <w:tr>
        <w:tc>
          <w:tcPr>
            <w:tcW w:type="dxa" w:w="748"/>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5</w:t>
            </w:r>
          </w:p>
        </w:tc>
        <w:tc>
          <w:tcPr>
            <w:tcW w:type="dxa" w:w="8611"/>
            <w:tcMar>
              <w:top w:type="dxa" w:w="90"/>
              <w:left w:type="dxa" w:w="120"/>
              <w:bottom w:type="dxa" w:w="90"/>
              <w:right w:type="dxa" w:w="120"/>
            </w:tcMar>
            <w:vAlign w:val="top"/>
          </w:tcPr>
          <w:p>
            <w:r>
              <w:rPr>
                <w:rFonts w:ascii="Georgia" w:cs="Georgia" w:eastAsia="Georgia" w:hAnsi="Georgia"/>
                <w:i w:val="false"/>
                <w:iCs w:val="false"/>
                <w:color w:val="17222C"/>
                <w:sz w:val="19"/>
                <w:szCs w:val="19"/>
              </w:rPr>
              <w:t xml:space="preserve">none of Intake / Build / Assemble / Test / Deploy hardcode “chat” anywhere — every type-specific piece is read through the registry, so Phase 1 only adds an adapter</w:t>
            </w:r>
          </w:p>
        </w:tc>
      </w:tr>
    </w:tbl>
    <w:p>
      <w:pPr>
        <w:pStyle w:val="Heading1"/>
        <w:pBdr>
          <w:bottom w:val="single" w:color="9FA89D" w:sz="6"/>
        </w:pBdr>
        <w:spacing w:after="160" w:before="360"/>
      </w:pPr>
      <w:r>
        <w:rPr>
          <w:rFonts w:ascii="Georgia" w:cs="Georgia" w:eastAsia="Georgia" w:hAnsi="Georgia"/>
          <w:b/>
          <w:bCs/>
          <w:color w:val="963618"/>
          <w:sz w:val="24"/>
          <w:szCs w:val="24"/>
        </w:rPr>
        <w:t xml:space="preserve">04  </w:t>
      </w:r>
      <w:r>
        <w:rPr>
          <w:rFonts w:ascii="Georgia" w:cs="Georgia" w:eastAsia="Georgia" w:hAnsi="Georgia"/>
          <w:b/>
          <w:bCs/>
          <w:color w:val="17222C"/>
          <w:sz w:val="24"/>
          <w:szCs w:val="24"/>
        </w:rPr>
        <w:t xml:space="preserve">Build order</w:t>
      </w:r>
    </w:p>
    <w:p>
      <w:pPr>
        <w:spacing w:after="180"/>
      </w:pPr>
      <w:r>
        <w:rPr>
          <w:rFonts w:ascii="Georgia" w:cs="Georgia" w:eastAsia="Georgia" w:hAnsi="Georgia"/>
          <w:i w:val="false"/>
          <w:iCs w:val="false"/>
          <w:color w:val="17222C"/>
          <w:sz w:val="21"/>
          <w:szCs w:val="21"/>
        </w:rPr>
        <w:t xml:space="preserve">Milestone 1 (spec schema + intake, fully working in isolation) ships first — see the Blueprint's §07 for its exact scope and definition of done. MVP is complete once Build, Assemble, Test, and Deploy are layered on top of that and §03 above is fully met.</w:t>
      </w:r>
    </w:p>
    <w:p>
      <w:pPr>
        <w:pStyle w:val="Heading1"/>
        <w:pBdr>
          <w:bottom w:val="single" w:color="9FA89D" w:sz="6"/>
        </w:pBdr>
        <w:spacing w:after="160" w:before="360"/>
      </w:pPr>
      <w:r>
        <w:rPr>
          <w:rFonts w:ascii="Georgia" w:cs="Georgia" w:eastAsia="Georgia" w:hAnsi="Georgia"/>
          <w:b/>
          <w:bCs/>
          <w:color w:val="963618"/>
          <w:sz w:val="24"/>
          <w:szCs w:val="24"/>
        </w:rPr>
        <w:t xml:space="preserve">05  </w:t>
      </w:r>
      <w:r>
        <w:rPr>
          <w:rFonts w:ascii="Georgia" w:cs="Georgia" w:eastAsia="Georgia" w:hAnsi="Georgia"/>
          <w:b/>
          <w:bCs/>
          <w:color w:val="17222C"/>
          <w:sz w:val="24"/>
          <w:szCs w:val="24"/>
        </w:rPr>
        <w:t xml:space="preserve">Signal to move to Phase 1</w:t>
      </w:r>
    </w:p>
    <w:p>
      <w:pPr>
        <w:spacing w:after="180"/>
      </w:pPr>
      <w:r>
        <w:rPr>
          <w:rFonts w:ascii="Georgia" w:cs="Georgia" w:eastAsia="Georgia" w:hAnsi="Georgia"/>
          <w:i w:val="false"/>
          <w:iCs w:val="false"/>
          <w:color w:val="17222C"/>
          <w:sz w:val="21"/>
          <w:szCs w:val="21"/>
        </w:rPr>
        <w:t xml:space="preserve">§03 fully met on real requests, not just test fixtures. That's the point where the registry pattern is proven rather than theoretical, and adding a second channel type (voice) becomes “write one adapter,” not a redesign.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2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2026-08-26T16:19:49.124Z</dcterms:created>
  <dcterms:modified xsi:type="dcterms:W3CDTF">2026-08-26T16:19:49.124Z</dcterms:modified>
</cp:coreProperties>
</file>

<file path=docProps/custom.xml><?xml version="1.0" encoding="utf-8"?>
<Properties xmlns="http://schemas.openxmlformats.org/officeDocument/2006/custom-properties" xmlns:vt="http://schemas.openxmlformats.org/officeDocument/2006/docPropsVTypes"/>
</file>