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7222C"/>
          <w:sz w:val="44"/>
          <w:szCs w:val="44"/>
        </w:rPr>
        <w:t xml:space="preserve">Agent Factory Business Case</w:t>
      </w:r>
    </w:p>
    <w:p>
      <w:pPr>
        <w:spacing w:after="220"/>
      </w:pPr>
      <w:r>
        <w:rPr>
          <w:rFonts w:ascii="Georgia" w:cs="Georgia" w:eastAsia="Georgia" w:hAnsi="Georgia"/>
          <w:i/>
          <w:iCs/>
          <w:color w:val="4C5A63"/>
          <w:sz w:val="22"/>
          <w:szCs w:val="22"/>
        </w:rPr>
        <w:t xml:space="preserve">Why a platform that builds custom business agents from a plain-language request is worth building, who it's for, and what could sink it.</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2340"/>
        <w:gridCol w:w="2340"/>
        <w:gridCol w:w="2340"/>
        <w:gridCol w:w="2340"/>
      </w:tblGrid>
      <w:tr>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STATUS</w:t>
            </w:r>
          </w:p>
          <w:p>
            <w:r>
              <w:rPr>
                <w:rFonts w:ascii="Georgia" w:cs="Georgia" w:eastAsia="Georgia" w:hAnsi="Georgia"/>
                <w:b/>
                <w:bCs/>
                <w:color w:val="963618"/>
                <w:sz w:val="18"/>
                <w:szCs w:val="18"/>
              </w:rPr>
              <w:t xml:space="preserve">Draft</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OWNER</w:t>
            </w:r>
          </w:p>
          <w:p>
            <w:r>
              <w:rPr>
                <w:rFonts w:ascii="Georgia" w:cs="Georgia" w:eastAsia="Georgia" w:hAnsi="Georgia"/>
                <w:b/>
                <w:bCs/>
                <w:color w:val="963618"/>
                <w:sz w:val="18"/>
                <w:szCs w:val="18"/>
              </w:rPr>
              <w:t xml:space="preserve">Yogi Kodali</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DATE</w:t>
            </w:r>
          </w:p>
          <w:p>
            <w:r>
              <w:rPr>
                <w:rFonts w:ascii="Georgia" w:cs="Georgia" w:eastAsia="Georgia" w:hAnsi="Georgia"/>
                <w:b/>
                <w:bCs/>
                <w:color w:val="963618"/>
                <w:sz w:val="18"/>
                <w:szCs w:val="18"/>
              </w:rPr>
              <w:t xml:space="preserve">26 Aug 2026</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REV</w:t>
            </w:r>
          </w:p>
          <w:p>
            <w:r>
              <w:rPr>
                <w:rFonts w:ascii="Georgia" w:cs="Georgia" w:eastAsia="Georgia" w:hAnsi="Georgia"/>
                <w:b/>
                <w:bCs/>
                <w:color w:val="963618"/>
                <w:sz w:val="18"/>
                <w:szCs w:val="18"/>
              </w:rPr>
              <w:t xml:space="preserve">0.1</w:t>
            </w:r>
          </w:p>
        </w:tc>
      </w:tr>
    </w:tbl>
    <w:p>
      <w:pPr>
        <w:spacing w:after="300"/>
      </w:pPr>
    </w:p>
    <w:p>
      <w:pPr>
        <w:pBdr>
          <w:top w:val="dashed" w:color="9FA89D" w:sz="4"/>
          <w:bottom w:val="dashed" w:color="9FA89D" w:sz="4"/>
          <w:left w:val="dashed" w:color="9FA89D" w:sz="4"/>
          <w:right w:val="dashed" w:color="9FA89D" w:sz="4"/>
        </w:pBdr>
        <w:shd w:fill="F3F4EF" w:color="auto" w:val="clear"/>
        <w:spacing w:after="300"/>
      </w:pPr>
      <w:r>
        <w:rPr>
          <w:rFonts w:ascii="Georgia" w:cs="Georgia" w:eastAsia="Georgia" w:hAnsi="Georgia"/>
          <w:color w:val="4C5A63"/>
          <w:sz w:val="18"/>
          <w:szCs w:val="18"/>
        </w:rPr>
        <w:t xml:space="preserve">1 of 4 linked docs. This one (BRD) is the business case. The PRD covers what the product does. The MVP doc scopes what ships first. The Blueprint covers how it's architected.</w:t>
      </w:r>
    </w:p>
    <w:p>
      <w:pPr>
        <w:pStyle w:val="Heading1"/>
        <w:pBdr>
          <w:bottom w:val="single" w:color="9FA89D" w:sz="6"/>
        </w:pBdr>
        <w:spacing w:after="160" w:before="360"/>
      </w:pPr>
      <w:r>
        <w:rPr>
          <w:rFonts w:ascii="Georgia" w:cs="Georgia" w:eastAsia="Georgia" w:hAnsi="Georgia"/>
          <w:b/>
          <w:bCs/>
          <w:color w:val="963618"/>
          <w:sz w:val="24"/>
          <w:szCs w:val="24"/>
        </w:rPr>
        <w:t xml:space="preserve">00  </w:t>
      </w:r>
      <w:r>
        <w:rPr>
          <w:rFonts w:ascii="Georgia" w:cs="Georgia" w:eastAsia="Georgia" w:hAnsi="Georgia"/>
          <w:b/>
          <w:bCs/>
          <w:color w:val="17222C"/>
          <w:sz w:val="24"/>
          <w:szCs w:val="24"/>
        </w:rPr>
        <w:t xml:space="preserve">Problem</w:t>
      </w:r>
    </w:p>
    <w:p>
      <w:pPr>
        <w:spacing w:after="180"/>
      </w:pPr>
      <w:r>
        <w:rPr>
          <w:rFonts w:ascii="Georgia" w:cs="Georgia" w:eastAsia="Georgia" w:hAnsi="Georgia"/>
          <w:i w:val="false"/>
          <w:iCs w:val="false"/>
          <w:color w:val="17222C"/>
          <w:sz w:val="21"/>
          <w:szCs w:val="21"/>
        </w:rPr>
        <w:t xml:space="preserve">A business that wants a customer-facing AI agent — answering calls, handling FAQs, booking appointments — has two bad options today: a rigid template chatbot that can't really do anything, or custom development that takes weeks and requires engineers most small businesses don't have. There's no middle path that's both capable and fast.</w:t>
      </w:r>
    </w:p>
    <w:p>
      <w:pPr>
        <w:pStyle w:val="Heading1"/>
        <w:pBdr>
          <w:bottom w:val="single" w:color="9FA89D" w:sz="6"/>
        </w:pBdr>
        <w:spacing w:after="160" w:before="360"/>
      </w:pPr>
      <w:r>
        <w:rPr>
          <w:rFonts w:ascii="Georgia" w:cs="Georgia" w:eastAsia="Georgia" w:hAnsi="Georgia"/>
          <w:b/>
          <w:bCs/>
          <w:color w:val="963618"/>
          <w:sz w:val="24"/>
          <w:szCs w:val="24"/>
        </w:rPr>
        <w:t xml:space="preserve">01  </w:t>
      </w:r>
      <w:r>
        <w:rPr>
          <w:rFonts w:ascii="Georgia" w:cs="Georgia" w:eastAsia="Georgia" w:hAnsi="Georgia"/>
          <w:b/>
          <w:bCs/>
          <w:color w:val="17222C"/>
          <w:sz w:val="24"/>
          <w:szCs w:val="24"/>
        </w:rPr>
        <w:t xml:space="preserve">Objective</w:t>
      </w:r>
    </w:p>
    <w:p>
      <w:pPr>
        <w:spacing w:after="180"/>
      </w:pPr>
      <w:r>
        <w:rPr>
          <w:rFonts w:ascii="Georgia" w:cs="Georgia" w:eastAsia="Georgia" w:hAnsi="Georgia"/>
          <w:i w:val="false"/>
          <w:iCs w:val="false"/>
          <w:color w:val="17222C"/>
          <w:sz w:val="21"/>
          <w:szCs w:val="21"/>
        </w:rPr>
        <w:t xml:space="preserve">Let a business describe what they want in plain language and hand them back a working, already-tested agent within minutes — no engineer in the loop, on either side.</w:t>
      </w:r>
    </w:p>
    <w:p>
      <w:pPr>
        <w:pStyle w:val="Heading1"/>
        <w:pBdr>
          <w:bottom w:val="single" w:color="9FA89D" w:sz="6"/>
        </w:pBdr>
        <w:spacing w:after="160" w:before="360"/>
      </w:pPr>
      <w:r>
        <w:rPr>
          <w:rFonts w:ascii="Georgia" w:cs="Georgia" w:eastAsia="Georgia" w:hAnsi="Georgia"/>
          <w:b/>
          <w:bCs/>
          <w:color w:val="963618"/>
          <w:sz w:val="24"/>
          <w:szCs w:val="24"/>
        </w:rPr>
        <w:t xml:space="preserve">02  </w:t>
      </w:r>
      <w:r>
        <w:rPr>
          <w:rFonts w:ascii="Georgia" w:cs="Georgia" w:eastAsia="Georgia" w:hAnsi="Georgia"/>
          <w:b/>
          <w:bCs/>
          <w:color w:val="17222C"/>
          <w:sz w:val="24"/>
          <w:szCs w:val="24"/>
        </w:rPr>
        <w:t xml:space="preserve">Target users</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3182"/>
        <w:gridCol w:w="4680"/>
        <w:gridCol w:w="1497"/>
      </w:tblGrid>
      <w:tr>
        <w:trPr>
          <w:tblHeader/>
        </w:trPr>
        <w:tc>
          <w:tcPr>
            <w:tcW w:type="dxa" w:w="3182"/>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Segment</w:t>
            </w:r>
          </w:p>
        </w:tc>
        <w:tc>
          <w:tcPr>
            <w:tcW w:type="dxa" w:w="4680"/>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Profile</w:t>
            </w:r>
          </w:p>
        </w:tc>
        <w:tc>
          <w:tcPr>
            <w:tcW w:type="dxa" w:w="1497"/>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Priority</w:t>
            </w:r>
          </w:p>
        </w:tc>
      </w:tr>
      <w:tr>
        <w:tc>
          <w:tcPr>
            <w:tcW w:type="dxa" w:w="3182"/>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Small / mid-size business owners</w:t>
            </w:r>
          </w:p>
        </w:tc>
        <w:tc>
          <w:tcPr>
            <w:tcW w:type="dxa" w:w="4680"/>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service businesses, clinics, local retail — want automated customer contact, no dev team</w:t>
            </w:r>
          </w:p>
        </w:tc>
        <w:tc>
          <w:tcPr>
            <w:tcW w:type="dxa" w:w="1497"/>
            <w:tcMar>
              <w:top w:type="dxa" w:w="90"/>
              <w:left w:type="dxa" w:w="120"/>
              <w:bottom w:type="dxa" w:w="90"/>
              <w:right w:type="dxa" w:w="120"/>
            </w:tcMar>
            <w:vAlign w:val="top"/>
          </w:tcPr>
          <w:p>
            <w:r>
              <w:rPr>
                <w:rFonts w:ascii="Georgia" w:cs="Georgia" w:eastAsia="Georgia" w:hAnsi="Georgia"/>
                <w:i w:val="now"/>
                <w:iCs w:val="now"/>
                <w:color w:val="963618"/>
                <w:sz w:val="19"/>
                <w:szCs w:val="19"/>
              </w:rPr>
              <w:t xml:space="preserve">now</w:t>
            </w:r>
          </w:p>
        </w:tc>
      </w:tr>
      <w:tr>
        <w:tc>
          <w:tcPr>
            <w:tcW w:type="dxa" w:w="3182"/>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Agencies &amp; consultants</w:t>
            </w:r>
          </w:p>
        </w:tc>
        <w:tc>
          <w:tcPr>
            <w:tcW w:type="dxa" w:w="4680"/>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build and manage agents on behalf of multiple client businesses</w:t>
            </w:r>
          </w:p>
        </w:tc>
        <w:tc>
          <w:tcPr>
            <w:tcW w:type="dxa" w:w="1497"/>
            <w:tcMar>
              <w:top w:type="dxa" w:w="90"/>
              <w:left w:type="dxa" w:w="120"/>
              <w:bottom w:type="dxa" w:w="90"/>
              <w:right w:type="dxa" w:w="120"/>
            </w:tcMar>
            <w:vAlign w:val="top"/>
          </w:tcPr>
          <w:p>
            <w:r>
              <w:rPr>
                <w:rFonts w:ascii="Georgia" w:cs="Georgia" w:eastAsia="Georgia" w:hAnsi="Georgia"/>
                <w:i w:val="later"/>
                <w:iCs w:val="later"/>
                <w:color w:val="4C5A63"/>
                <w:sz w:val="19"/>
                <w:szCs w:val="19"/>
              </w:rPr>
              <w:t xml:space="preserve">later</w:t>
            </w:r>
          </w:p>
        </w:tc>
      </w:tr>
    </w:tbl>
    <w:p>
      <w:pPr>
        <w:pStyle w:val="Heading1"/>
        <w:pBdr>
          <w:bottom w:val="single" w:color="9FA89D" w:sz="6"/>
        </w:pBdr>
        <w:spacing w:after="160" w:before="360"/>
      </w:pPr>
      <w:r>
        <w:rPr>
          <w:rFonts w:ascii="Georgia" w:cs="Georgia" w:eastAsia="Georgia" w:hAnsi="Georgia"/>
          <w:b/>
          <w:bCs/>
          <w:color w:val="963618"/>
          <w:sz w:val="24"/>
          <w:szCs w:val="24"/>
        </w:rPr>
        <w:t xml:space="preserve">03  </w:t>
      </w:r>
      <w:r>
        <w:rPr>
          <w:rFonts w:ascii="Georgia" w:cs="Georgia" w:eastAsia="Georgia" w:hAnsi="Georgia"/>
          <w:b/>
          <w:bCs/>
          <w:color w:val="17222C"/>
          <w:sz w:val="24"/>
          <w:szCs w:val="24"/>
        </w:rPr>
        <w:t xml:space="preserve">Business goals</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3931"/>
        <w:gridCol w:w="5428"/>
      </w:tblGrid>
      <w:tr>
        <w:trPr>
          <w:tblHeader/>
        </w:trPr>
        <w:tc>
          <w:tcPr>
            <w:tcW w:type="dxa" w:w="3931"/>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Goal</w:t>
            </w:r>
          </w:p>
        </w:tc>
        <w:tc>
          <w:tcPr>
            <w:tcW w:type="dxa" w:w="5428"/>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Why it matters</w:t>
            </w:r>
          </w:p>
        </w:tc>
      </w:tr>
      <w:tr>
        <w:tc>
          <w:tcPr>
            <w:tcW w:type="dxa" w:w="393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Collapse time-to-agent from weeks to minutes</w:t>
            </w:r>
          </w:p>
        </w:tc>
        <w:tc>
          <w:tcPr>
            <w:tcW w:type="dxa" w:w="542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removes the actual adoption barrier — cost and delay, not capability</w:t>
            </w:r>
          </w:p>
        </w:tc>
      </w:tr>
      <w:tr>
        <w:tc>
          <w:tcPr>
            <w:tcW w:type="dxa" w:w="393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Make agent quality trustworthy without a human reviewing it</w:t>
            </w:r>
          </w:p>
        </w:tc>
        <w:tc>
          <w:tcPr>
            <w:tcW w:type="dxa" w:w="542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the whole pitch fails if a business can't trust what shows up unreviewed</w:t>
            </w:r>
          </w:p>
        </w:tc>
      </w:tr>
      <w:tr>
        <w:tc>
          <w:tcPr>
            <w:tcW w:type="dxa" w:w="393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Support new agent types without rearchitecting</w:t>
            </w:r>
          </w:p>
        </w:tc>
        <w:tc>
          <w:tcPr>
            <w:tcW w:type="dxa" w:w="542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one channel today shouldn't cap what the platform can become</w:t>
            </w:r>
          </w:p>
        </w:tc>
      </w:tr>
    </w:tbl>
    <w:p>
      <w:pPr>
        <w:pStyle w:val="Heading1"/>
        <w:pBdr>
          <w:bottom w:val="single" w:color="9FA89D" w:sz="6"/>
        </w:pBdr>
        <w:spacing w:after="160" w:before="360"/>
      </w:pPr>
      <w:r>
        <w:rPr>
          <w:rFonts w:ascii="Georgia" w:cs="Georgia" w:eastAsia="Georgia" w:hAnsi="Georgia"/>
          <w:b/>
          <w:bCs/>
          <w:color w:val="963618"/>
          <w:sz w:val="24"/>
          <w:szCs w:val="24"/>
        </w:rPr>
        <w:t xml:space="preserve">04  </w:t>
      </w:r>
      <w:r>
        <w:rPr>
          <w:rFonts w:ascii="Georgia" w:cs="Georgia" w:eastAsia="Georgia" w:hAnsi="Georgia"/>
          <w:b/>
          <w:bCs/>
          <w:color w:val="17222C"/>
          <w:sz w:val="24"/>
          <w:szCs w:val="24"/>
        </w:rPr>
        <w:t xml:space="preserve">Success metrics  (proposed — validate against real usage)</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5616"/>
        <w:gridCol w:w="3744"/>
      </w:tblGrid>
      <w:tr>
        <w:trPr>
          <w:tblHeader/>
        </w:trPr>
        <w:tc>
          <w:tcPr>
            <w:tcW w:type="dxa" w:w="5616"/>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Metric</w:t>
            </w:r>
          </w:p>
        </w:tc>
        <w:tc>
          <w:tcPr>
            <w:tcW w:type="dxa" w:w="3744"/>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Target</w:t>
            </w:r>
          </w:p>
        </w:tc>
      </w:tr>
      <w:tr>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Time from submitted request to usable agent</w:t>
            </w:r>
          </w:p>
        </w:tc>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~20–35 seconds, Intake through a tryable agent — measured across multiple real runs (local and production), MVP validation (Milestone 7)</w:t>
            </w:r>
          </w:p>
        </w:tc>
      </w:tr>
      <w:tr>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Builds passing all success criteria without a retry</w:t>
            </w:r>
          </w:p>
        </w:tc>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Not yet a stable percentage -- small sample so far. Well-specified requests with a clear knowledge source typically converge in 1-2 attempts; requests needing something outside the MVP connector library (e.g. a live data lookup) sometimes need all 3 before landing in needs_review. Real distribution TBD once real businesses are submitting requests, not test cases.</w:t>
            </w:r>
          </w:p>
        </w:tc>
      </w:tr>
      <w:tr>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Businesses still actively using their agent at week 2</w:t>
            </w:r>
          </w:p>
        </w:tc>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TBD</w:t>
            </w:r>
          </w:p>
        </w:tc>
      </w:tr>
    </w:tbl>
    <w:p>
      <w:pPr>
        <w:spacing w:after="180"/>
      </w:pPr>
      <w:r>
        <w:rPr>
          <w:rFonts w:ascii="Georgia" w:cs="Georgia" w:eastAsia="Georgia" w:hAnsi="Georgia"/>
          <w:i/>
          <w:iCs/>
          <w:color w:val="4C5A63"/>
          <w:sz w:val="19"/>
          <w:szCs w:val="19"/>
        </w:rPr>
        <w:t xml:space="preserve">The first two rows are now real measurements from MVP validation (Milestone 7), not placeholders. Retention stays a placeholder on purpose -- that needs actual businesses using actual agents over actual weeks, which doesn't exist yet.</w:t>
      </w:r>
    </w:p>
    <w:p>
      <w:pPr>
        <w:pStyle w:val="Heading1"/>
        <w:pBdr>
          <w:bottom w:val="single" w:color="9FA89D" w:sz="6"/>
        </w:pBdr>
        <w:spacing w:after="160" w:before="360"/>
      </w:pPr>
      <w:r>
        <w:rPr>
          <w:rFonts w:ascii="Georgia" w:cs="Georgia" w:eastAsia="Georgia" w:hAnsi="Georgia"/>
          <w:b/>
          <w:bCs/>
          <w:color w:val="963618"/>
          <w:sz w:val="24"/>
          <w:szCs w:val="24"/>
        </w:rPr>
        <w:t xml:space="preserve">05  </w:t>
      </w:r>
      <w:r>
        <w:rPr>
          <w:rFonts w:ascii="Georgia" w:cs="Georgia" w:eastAsia="Georgia" w:hAnsi="Georgia"/>
          <w:b/>
          <w:bCs/>
          <w:color w:val="17222C"/>
          <w:sz w:val="24"/>
          <w:szCs w:val="24"/>
        </w:rPr>
        <w:t xml:space="preserve">Constraints &amp; assumptions</w:t>
      </w:r>
    </w:p>
    <w:p>
      <w:pPr>
        <w:spacing w:after="180"/>
      </w:pPr>
      <w:r>
        <w:rPr>
          <w:rFonts w:ascii="Georgia" w:cs="Georgia" w:eastAsia="Georgia" w:hAnsi="Georgia"/>
          <w:i w:val="false"/>
          <w:iCs w:val="false"/>
          <w:color w:val="17222C"/>
          <w:sz w:val="21"/>
          <w:szCs w:val="21"/>
        </w:rPr>
        <w:t xml:space="preserve">The platform depends on third-party LLM, and eventually voice/telephony, providers — their cost and reliability become this product's cost and reliability. Agents act on a business's behalf in public; a guardrail failure is a reputational incident for the business, not just a bug report. The build is deliberately narrow at first — one agent type, one small set of use cases — by design, not by resource limitation alone.</w:t>
      </w:r>
    </w:p>
    <w:p>
      <w:pPr>
        <w:pStyle w:val="Heading1"/>
        <w:pBdr>
          <w:bottom w:val="single" w:color="9FA89D" w:sz="6"/>
        </w:pBdr>
        <w:spacing w:after="160" w:before="360"/>
      </w:pPr>
      <w:r>
        <w:rPr>
          <w:rFonts w:ascii="Georgia" w:cs="Georgia" w:eastAsia="Georgia" w:hAnsi="Georgia"/>
          <w:b/>
          <w:bCs/>
          <w:color w:val="963618"/>
          <w:sz w:val="24"/>
          <w:szCs w:val="24"/>
        </w:rPr>
        <w:t xml:space="preserve">06  </w:t>
      </w:r>
      <w:r>
        <w:rPr>
          <w:rFonts w:ascii="Georgia" w:cs="Georgia" w:eastAsia="Georgia" w:hAnsi="Georgia"/>
          <w:b/>
          <w:bCs/>
          <w:color w:val="17222C"/>
          <w:sz w:val="24"/>
          <w:szCs w:val="24"/>
        </w:rPr>
        <w:t xml:space="preserve">Competitive landscape</w:t>
      </w:r>
    </w:p>
    <w:p>
      <w:pPr>
        <w:spacing w:after="180"/>
      </w:pPr>
      <w:r>
        <w:rPr>
          <w:rFonts w:ascii="Georgia" w:cs="Georgia" w:eastAsia="Georgia" w:hAnsi="Georgia"/>
          <w:i w:val="false"/>
          <w:iCs w:val="false"/>
          <w:color w:val="17222C"/>
          <w:sz w:val="21"/>
          <w:szCs w:val="21"/>
        </w:rPr>
        <w:t xml:space="preserve">Other companies already sell pieces of this — automated builders for voice agents specifically are an active category. This document doesn't attempt a real competitive analysis; that needs current research before it's used to shape positioning or pricing, not an assumption baked into a business case written from memory.</w:t>
      </w:r>
    </w:p>
    <w:p>
      <w:pPr>
        <w:spacing w:after="180"/>
      </w:pPr>
      <w:r>
        <w:rPr>
          <w:rFonts w:ascii="Georgia" w:cs="Georgia" w:eastAsia="Georgia" w:hAnsi="Georgia"/>
          <w:i/>
          <w:iCs/>
          <w:color w:val="4C5A63"/>
          <w:sz w:val="19"/>
          <w:szCs w:val="19"/>
        </w:rPr>
        <w:t xml:space="preserve">Flagged as open work, not answered here.</w:t>
      </w:r>
    </w:p>
    <w:p>
      <w:pPr>
        <w:pStyle w:val="Heading1"/>
        <w:pBdr>
          <w:bottom w:val="single" w:color="9FA89D" w:sz="6"/>
        </w:pBdr>
        <w:spacing w:after="160" w:before="360"/>
      </w:pPr>
      <w:r>
        <w:rPr>
          <w:rFonts w:ascii="Georgia" w:cs="Georgia" w:eastAsia="Georgia" w:hAnsi="Georgia"/>
          <w:b/>
          <w:bCs/>
          <w:color w:val="963618"/>
          <w:sz w:val="24"/>
          <w:szCs w:val="24"/>
        </w:rPr>
        <w:t xml:space="preserve">07  </w:t>
      </w:r>
      <w:r>
        <w:rPr>
          <w:rFonts w:ascii="Georgia" w:cs="Georgia" w:eastAsia="Georgia" w:hAnsi="Georgia"/>
          <w:b/>
          <w:bCs/>
          <w:color w:val="17222C"/>
          <w:sz w:val="24"/>
          <w:szCs w:val="24"/>
        </w:rPr>
        <w:t xml:space="preserve">Risks</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3744"/>
        <w:gridCol w:w="5616"/>
      </w:tblGrid>
      <w:tr>
        <w:trPr>
          <w:tblHeader/>
        </w:trPr>
        <w:tc>
          <w:tcPr>
            <w:tcW w:type="dxa" w:w="3744"/>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Risk</w:t>
            </w:r>
          </w:p>
        </w:tc>
        <w:tc>
          <w:tcPr>
            <w:tcW w:type="dxa" w:w="5616"/>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Mitigation angle</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LLM output is unreliable or inconsistent</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validated schema at every handoff + the test layer catching failures before an agent ever ships</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Per-agent build cost (API calls) at scale</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track cost-per-successful-build as a real metric before scaling acquisition</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Public trust breaks if an agent misbehaves</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baseline adversarial tests + visible transcripts, not just spec-derived checks</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Funded incumbents already in this space</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speed of “minutes not weeks” as the wedge — needs real validation, not assumed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2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2026-08-26T16:19:49.073Z</dcterms:created>
  <dcterms:modified xsi:type="dcterms:W3CDTF">2026-08-26T16:19:49.089Z</dcterms:modified>
</cp:coreProperties>
</file>

<file path=docProps/custom.xml><?xml version="1.0" encoding="utf-8"?>
<Properties xmlns="http://schemas.openxmlformats.org/officeDocument/2006/custom-properties" xmlns:vt="http://schemas.openxmlformats.org/officeDocument/2006/docPropsVTypes"/>
</file>