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rsidP="00E941F9">
      <w:pPr>
        <w:pStyle w:val="Title"/>
        <w:jc w:val="both"/>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2F4337BF" w14:textId="77777777" w:rsidR="007D72C2" w:rsidRPr="00A537D1" w:rsidRDefault="00A537D1" w:rsidP="00E941F9">
      <w:pPr>
        <w:pStyle w:val="Heading1"/>
        <w:jc w:val="both"/>
        <w:rPr>
          <w:rFonts w:ascii="Arial" w:hAnsi="Arial" w:cs="Arial"/>
          <w:color w:val="000000" w:themeColor="text1"/>
        </w:rPr>
      </w:pPr>
      <w:r w:rsidRPr="00A537D1">
        <w:rPr>
          <w:rFonts w:ascii="Arial" w:hAnsi="Arial" w:cs="Arial"/>
          <w:color w:val="000000" w:themeColor="text1"/>
        </w:rPr>
        <w:t>1. Summary of Predictive Insights</w:t>
      </w:r>
    </w:p>
    <w:p w14:paraId="09BF8FA7" w14:textId="77777777" w:rsidR="00E941F9" w:rsidRDefault="00E941F9" w:rsidP="00E941F9">
      <w:pPr>
        <w:jc w:val="both"/>
        <w:rPr>
          <w:rFonts w:ascii="Arial" w:hAnsi="Arial" w:cs="Arial"/>
          <w:color w:val="000000" w:themeColor="text1"/>
          <w:lang w:val="en-IN"/>
        </w:rPr>
      </w:pPr>
      <w:r w:rsidRPr="00E941F9">
        <w:rPr>
          <w:rFonts w:ascii="Arial" w:hAnsi="Arial" w:cs="Arial"/>
          <w:color w:val="000000" w:themeColor="text1"/>
          <w:lang w:val="en-IN"/>
        </w:rPr>
        <w:t xml:space="preserve">The predictive model identified that </w:t>
      </w:r>
      <w:r w:rsidRPr="00E941F9">
        <w:rPr>
          <w:rFonts w:ascii="Arial" w:hAnsi="Arial" w:cs="Arial"/>
          <w:b/>
          <w:bCs/>
          <w:color w:val="000000" w:themeColor="text1"/>
          <w:lang w:val="en-IN"/>
        </w:rPr>
        <w:t xml:space="preserve">customer payment </w:t>
      </w:r>
      <w:proofErr w:type="spellStart"/>
      <w:r w:rsidRPr="00E941F9">
        <w:rPr>
          <w:rFonts w:ascii="Arial" w:hAnsi="Arial" w:cs="Arial"/>
          <w:b/>
          <w:bCs/>
          <w:color w:val="000000" w:themeColor="text1"/>
          <w:lang w:val="en-IN"/>
        </w:rPr>
        <w:t>behavior</w:t>
      </w:r>
      <w:proofErr w:type="spellEnd"/>
      <w:r w:rsidRPr="00E941F9">
        <w:rPr>
          <w:rFonts w:ascii="Arial" w:hAnsi="Arial" w:cs="Arial"/>
          <w:b/>
          <w:bCs/>
          <w:color w:val="000000" w:themeColor="text1"/>
          <w:lang w:val="en-IN"/>
        </w:rPr>
        <w:t xml:space="preserve"> is the strongest indicator of future delinquency</w:t>
      </w:r>
      <w:r w:rsidRPr="00E941F9">
        <w:rPr>
          <w:rFonts w:ascii="Arial" w:hAnsi="Arial" w:cs="Arial"/>
          <w:color w:val="000000" w:themeColor="text1"/>
          <w:lang w:val="en-IN"/>
        </w:rPr>
        <w:t xml:space="preserve">. </w:t>
      </w:r>
    </w:p>
    <w:p w14:paraId="6AC1D7D2" w14:textId="6BF0A38F" w:rsidR="00E941F9" w:rsidRPr="00E941F9" w:rsidRDefault="00E941F9" w:rsidP="00E941F9">
      <w:pPr>
        <w:jc w:val="both"/>
        <w:rPr>
          <w:rFonts w:ascii="Arial" w:hAnsi="Arial" w:cs="Arial"/>
          <w:color w:val="000000" w:themeColor="text1"/>
          <w:lang w:val="en-IN"/>
        </w:rPr>
      </w:pPr>
      <w:r w:rsidRPr="00E941F9">
        <w:rPr>
          <w:rFonts w:ascii="Arial" w:hAnsi="Arial" w:cs="Arial"/>
          <w:color w:val="000000" w:themeColor="text1"/>
          <w:lang w:val="en-IN"/>
        </w:rPr>
        <w:t xml:space="preserve">Customers with multiple </w:t>
      </w:r>
      <w:r w:rsidRPr="00E941F9">
        <w:rPr>
          <w:rFonts w:ascii="Arial" w:hAnsi="Arial" w:cs="Arial"/>
          <w:b/>
          <w:bCs/>
          <w:color w:val="000000" w:themeColor="text1"/>
          <w:lang w:val="en-IN"/>
        </w:rPr>
        <w:t>Late</w:t>
      </w:r>
      <w:r w:rsidRPr="00E941F9">
        <w:rPr>
          <w:rFonts w:ascii="Arial" w:hAnsi="Arial" w:cs="Arial"/>
          <w:color w:val="000000" w:themeColor="text1"/>
          <w:lang w:val="en-IN"/>
        </w:rPr>
        <w:t xml:space="preserve"> or </w:t>
      </w:r>
      <w:r w:rsidRPr="00E941F9">
        <w:rPr>
          <w:rFonts w:ascii="Arial" w:hAnsi="Arial" w:cs="Arial"/>
          <w:b/>
          <w:bCs/>
          <w:color w:val="000000" w:themeColor="text1"/>
          <w:lang w:val="en-IN"/>
        </w:rPr>
        <w:t>Missed</w:t>
      </w:r>
      <w:r w:rsidRPr="00E941F9">
        <w:rPr>
          <w:rFonts w:ascii="Arial" w:hAnsi="Arial" w:cs="Arial"/>
          <w:color w:val="000000" w:themeColor="text1"/>
          <w:lang w:val="en-IN"/>
        </w:rPr>
        <w:t xml:space="preserve"> payments across the six-month payment history have a significantly higher probability of becoming delinquent. Additionally, customers with </w:t>
      </w:r>
      <w:r w:rsidRPr="00E941F9">
        <w:rPr>
          <w:rFonts w:ascii="Arial" w:hAnsi="Arial" w:cs="Arial"/>
          <w:b/>
          <w:bCs/>
          <w:color w:val="000000" w:themeColor="text1"/>
          <w:lang w:val="en-IN"/>
        </w:rPr>
        <w:t>low credit scores</w:t>
      </w:r>
      <w:r w:rsidRPr="00E941F9">
        <w:rPr>
          <w:rFonts w:ascii="Arial" w:hAnsi="Arial" w:cs="Arial"/>
          <w:color w:val="000000" w:themeColor="text1"/>
          <w:lang w:val="en-IN"/>
        </w:rPr>
        <w:t xml:space="preserve">, </w:t>
      </w:r>
      <w:r w:rsidRPr="00E941F9">
        <w:rPr>
          <w:rFonts w:ascii="Arial" w:hAnsi="Arial" w:cs="Arial"/>
          <w:b/>
          <w:bCs/>
          <w:color w:val="000000" w:themeColor="text1"/>
          <w:lang w:val="en-IN"/>
        </w:rPr>
        <w:t>high credit utilization</w:t>
      </w:r>
      <w:r w:rsidRPr="00E941F9">
        <w:rPr>
          <w:rFonts w:ascii="Arial" w:hAnsi="Arial" w:cs="Arial"/>
          <w:color w:val="000000" w:themeColor="text1"/>
          <w:lang w:val="en-IN"/>
        </w:rPr>
        <w:t xml:space="preserve">, and </w:t>
      </w:r>
      <w:r w:rsidRPr="00E941F9">
        <w:rPr>
          <w:rFonts w:ascii="Arial" w:hAnsi="Arial" w:cs="Arial"/>
          <w:b/>
          <w:bCs/>
          <w:color w:val="000000" w:themeColor="text1"/>
          <w:lang w:val="en-IN"/>
        </w:rPr>
        <w:t>multiple missed payments</w:t>
      </w:r>
      <w:r w:rsidRPr="00E941F9">
        <w:rPr>
          <w:rFonts w:ascii="Arial" w:hAnsi="Arial" w:cs="Arial"/>
          <w:color w:val="000000" w:themeColor="text1"/>
          <w:lang w:val="en-IN"/>
        </w:rPr>
        <w:t xml:space="preserve"> were consistently classified as higher-risk individuals.</w:t>
      </w:r>
    </w:p>
    <w:p w14:paraId="60F471FE" w14:textId="54634CE0" w:rsidR="007D72C2" w:rsidRPr="00E941F9" w:rsidRDefault="00E941F9" w:rsidP="00E941F9">
      <w:pPr>
        <w:jc w:val="both"/>
        <w:rPr>
          <w:rFonts w:ascii="Arial" w:hAnsi="Arial" w:cs="Arial"/>
          <w:color w:val="000000" w:themeColor="text1"/>
          <w:lang w:val="en-IN"/>
        </w:rPr>
      </w:pPr>
      <w:r w:rsidRPr="00E941F9">
        <w:rPr>
          <w:rFonts w:ascii="Arial" w:hAnsi="Arial" w:cs="Arial"/>
          <w:color w:val="000000" w:themeColor="text1"/>
          <w:lang w:val="en-IN"/>
        </w:rPr>
        <w:t xml:space="preserve">The dataset also revealed an imbalance in delinquency cases (approximately </w:t>
      </w:r>
      <w:r w:rsidRPr="00E941F9">
        <w:rPr>
          <w:rFonts w:ascii="Arial" w:hAnsi="Arial" w:cs="Arial"/>
          <w:b/>
          <w:bCs/>
          <w:color w:val="000000" w:themeColor="text1"/>
          <w:lang w:val="en-IN"/>
        </w:rPr>
        <w:t>16% delinquent</w:t>
      </w:r>
      <w:r w:rsidRPr="00E941F9">
        <w:rPr>
          <w:rFonts w:ascii="Arial" w:hAnsi="Arial" w:cs="Arial"/>
          <w:color w:val="000000" w:themeColor="text1"/>
          <w:lang w:val="en-IN"/>
        </w:rPr>
        <w:t xml:space="preserve"> versus </w:t>
      </w:r>
      <w:r w:rsidRPr="00E941F9">
        <w:rPr>
          <w:rFonts w:ascii="Arial" w:hAnsi="Arial" w:cs="Arial"/>
          <w:b/>
          <w:bCs/>
          <w:color w:val="000000" w:themeColor="text1"/>
          <w:lang w:val="en-IN"/>
        </w:rPr>
        <w:t>84% non-delinquent</w:t>
      </w:r>
      <w:r w:rsidRPr="00E941F9">
        <w:rPr>
          <w:rFonts w:ascii="Arial" w:hAnsi="Arial" w:cs="Arial"/>
          <w:color w:val="000000" w:themeColor="text1"/>
          <w:lang w:val="en-IN"/>
        </w:rPr>
        <w:t xml:space="preserve">), indicating that while most customers maintain healthy repayment </w:t>
      </w:r>
      <w:proofErr w:type="spellStart"/>
      <w:r w:rsidRPr="00E941F9">
        <w:rPr>
          <w:rFonts w:ascii="Arial" w:hAnsi="Arial" w:cs="Arial"/>
          <w:color w:val="000000" w:themeColor="text1"/>
          <w:lang w:val="en-IN"/>
        </w:rPr>
        <w:t>behavior</w:t>
      </w:r>
      <w:proofErr w:type="spellEnd"/>
      <w:r w:rsidRPr="00E941F9">
        <w:rPr>
          <w:rFonts w:ascii="Arial" w:hAnsi="Arial" w:cs="Arial"/>
          <w:color w:val="000000" w:themeColor="text1"/>
          <w:lang w:val="en-IN"/>
        </w:rPr>
        <w:t>, a relatively small group accounts for the majority of credit risk. Early identification of these customers allows the Collections team to intervene before accounts become severely overdue.</w:t>
      </w:r>
    </w:p>
    <w:tbl>
      <w:tblPr>
        <w:tblW w:w="531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769"/>
        <w:gridCol w:w="2653"/>
        <w:gridCol w:w="2162"/>
        <w:gridCol w:w="2661"/>
      </w:tblGrid>
      <w:tr w:rsidR="00A537D1" w:rsidRPr="00A537D1" w14:paraId="36311A05" w14:textId="77777777" w:rsidTr="00E941F9">
        <w:trPr>
          <w:trHeight w:val="332"/>
        </w:trPr>
        <w:tc>
          <w:tcPr>
            <w:tcW w:w="956" w:type="pct"/>
          </w:tcPr>
          <w:p w14:paraId="0CD6A7EA" w14:textId="77777777" w:rsidR="00A537D1" w:rsidRPr="00E941F9" w:rsidRDefault="00A537D1" w:rsidP="00E941F9">
            <w:pPr>
              <w:jc w:val="both"/>
              <w:rPr>
                <w:rFonts w:ascii="Arial" w:hAnsi="Arial" w:cs="Arial"/>
                <w:b/>
                <w:bCs/>
                <w:color w:val="000000" w:themeColor="text1"/>
                <w:sz w:val="20"/>
                <w:szCs w:val="20"/>
                <w:lang w:val="en-GB"/>
              </w:rPr>
            </w:pPr>
            <w:r w:rsidRPr="00E941F9">
              <w:rPr>
                <w:rFonts w:ascii="Arial" w:hAnsi="Arial" w:cs="Arial"/>
                <w:b/>
                <w:bCs/>
                <w:color w:val="000000" w:themeColor="text1"/>
                <w:sz w:val="20"/>
                <w:szCs w:val="20"/>
                <w:lang w:val="en-GB"/>
              </w:rPr>
              <w:t>Key Insight</w:t>
            </w:r>
          </w:p>
        </w:tc>
        <w:tc>
          <w:tcPr>
            <w:tcW w:w="1435" w:type="pct"/>
          </w:tcPr>
          <w:p w14:paraId="21F469F1" w14:textId="77777777" w:rsidR="00A537D1" w:rsidRPr="00E941F9" w:rsidRDefault="00A537D1" w:rsidP="00E941F9">
            <w:pPr>
              <w:jc w:val="both"/>
              <w:rPr>
                <w:rFonts w:ascii="Arial" w:hAnsi="Arial" w:cs="Arial"/>
                <w:b/>
                <w:bCs/>
                <w:color w:val="000000" w:themeColor="text1"/>
                <w:sz w:val="20"/>
                <w:szCs w:val="20"/>
                <w:lang w:val="en-GB"/>
              </w:rPr>
            </w:pPr>
            <w:r w:rsidRPr="00E941F9">
              <w:rPr>
                <w:rFonts w:ascii="Arial" w:hAnsi="Arial" w:cs="Arial"/>
                <w:b/>
                <w:bCs/>
                <w:color w:val="000000" w:themeColor="text1"/>
                <w:sz w:val="20"/>
                <w:szCs w:val="20"/>
                <w:lang w:val="en-GB"/>
              </w:rPr>
              <w:t>Customer Segment</w:t>
            </w:r>
          </w:p>
        </w:tc>
        <w:tc>
          <w:tcPr>
            <w:tcW w:w="1169" w:type="pct"/>
          </w:tcPr>
          <w:p w14:paraId="3891034A" w14:textId="77777777" w:rsidR="00A537D1" w:rsidRPr="00E941F9" w:rsidRDefault="00A537D1" w:rsidP="00E941F9">
            <w:pPr>
              <w:jc w:val="both"/>
              <w:rPr>
                <w:rFonts w:ascii="Arial" w:hAnsi="Arial" w:cs="Arial"/>
                <w:b/>
                <w:bCs/>
                <w:color w:val="000000" w:themeColor="text1"/>
                <w:sz w:val="20"/>
                <w:szCs w:val="20"/>
                <w:lang w:val="en-GB"/>
              </w:rPr>
            </w:pPr>
            <w:r w:rsidRPr="00E941F9">
              <w:rPr>
                <w:rFonts w:ascii="Arial" w:hAnsi="Arial" w:cs="Arial"/>
                <w:b/>
                <w:bCs/>
                <w:color w:val="000000" w:themeColor="text1"/>
                <w:sz w:val="20"/>
                <w:szCs w:val="20"/>
                <w:lang w:val="en-GB"/>
              </w:rPr>
              <w:t>Influencing Variables</w:t>
            </w:r>
          </w:p>
        </w:tc>
        <w:tc>
          <w:tcPr>
            <w:tcW w:w="1439" w:type="pct"/>
          </w:tcPr>
          <w:p w14:paraId="2E380553" w14:textId="77777777" w:rsidR="00A537D1" w:rsidRPr="00E941F9" w:rsidRDefault="00A537D1" w:rsidP="00E941F9">
            <w:pPr>
              <w:jc w:val="both"/>
              <w:rPr>
                <w:rFonts w:ascii="Arial" w:hAnsi="Arial" w:cs="Arial"/>
                <w:b/>
                <w:bCs/>
                <w:color w:val="000000" w:themeColor="text1"/>
                <w:sz w:val="20"/>
                <w:szCs w:val="20"/>
                <w:lang w:val="en-GB"/>
              </w:rPr>
            </w:pPr>
            <w:r w:rsidRPr="00E941F9">
              <w:rPr>
                <w:rFonts w:ascii="Arial" w:hAnsi="Arial" w:cs="Arial"/>
                <w:b/>
                <w:bCs/>
                <w:color w:val="000000" w:themeColor="text1"/>
                <w:sz w:val="20"/>
                <w:szCs w:val="20"/>
                <w:lang w:val="en-GB"/>
              </w:rPr>
              <w:t>Potential Impact</w:t>
            </w:r>
          </w:p>
        </w:tc>
      </w:tr>
      <w:tr w:rsidR="00A537D1" w:rsidRPr="00A537D1" w14:paraId="4217145F" w14:textId="77777777" w:rsidTr="00E941F9">
        <w:trPr>
          <w:trHeight w:val="782"/>
        </w:trPr>
        <w:tc>
          <w:tcPr>
            <w:tcW w:w="956" w:type="pct"/>
          </w:tcPr>
          <w:p w14:paraId="14BFF5A1" w14:textId="734DFA70" w:rsidR="00A537D1"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Customers with repeated late or missed payments are most likely to become delinquent.</w:t>
            </w:r>
          </w:p>
        </w:tc>
        <w:tc>
          <w:tcPr>
            <w:tcW w:w="1435" w:type="pct"/>
          </w:tcPr>
          <w:p w14:paraId="233EE3BA" w14:textId="525D1B06" w:rsidR="00A537D1"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Customers showing multiple late or missed payments within the previous six months.</w:t>
            </w:r>
          </w:p>
        </w:tc>
        <w:tc>
          <w:tcPr>
            <w:tcW w:w="1169" w:type="pct"/>
          </w:tcPr>
          <w:p w14:paraId="3EB31FED" w14:textId="362C206B" w:rsidR="00A537D1"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 xml:space="preserve">Month_1–Month_6 Payment History, </w:t>
            </w:r>
            <w:proofErr w:type="spellStart"/>
            <w:r w:rsidRPr="00E941F9">
              <w:rPr>
                <w:rFonts w:ascii="Arial" w:hAnsi="Arial" w:cs="Arial"/>
                <w:color w:val="000000" w:themeColor="text1"/>
                <w:sz w:val="20"/>
                <w:szCs w:val="20"/>
              </w:rPr>
              <w:t>Missed_Payments</w:t>
            </w:r>
            <w:proofErr w:type="spellEnd"/>
          </w:p>
        </w:tc>
        <w:tc>
          <w:tcPr>
            <w:tcW w:w="1439" w:type="pct"/>
          </w:tcPr>
          <w:p w14:paraId="78DC9A44" w14:textId="3D208F8F" w:rsidR="00A537D1"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Enables early intervention and reduces future delinquent accounts.</w:t>
            </w:r>
          </w:p>
        </w:tc>
      </w:tr>
      <w:tr w:rsidR="00E941F9" w:rsidRPr="00A537D1" w14:paraId="5E6C29C4" w14:textId="77777777" w:rsidTr="00E941F9">
        <w:trPr>
          <w:trHeight w:val="782"/>
        </w:trPr>
        <w:tc>
          <w:tcPr>
            <w:tcW w:w="956" w:type="pct"/>
          </w:tcPr>
          <w:p w14:paraId="55FB4390" w14:textId="270C1D77" w:rsidR="00E941F9"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Lower credit scores increase delinquency risk.</w:t>
            </w:r>
          </w:p>
        </w:tc>
        <w:tc>
          <w:tcPr>
            <w:tcW w:w="1435" w:type="pct"/>
          </w:tcPr>
          <w:p w14:paraId="235BD590" w14:textId="0A197655" w:rsidR="00E941F9"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Customers with poor credit histories.</w:t>
            </w:r>
          </w:p>
        </w:tc>
        <w:tc>
          <w:tcPr>
            <w:tcW w:w="1169" w:type="pct"/>
          </w:tcPr>
          <w:p w14:paraId="151CBE85" w14:textId="0D7A2264" w:rsidR="00E941F9" w:rsidRPr="00A537D1" w:rsidRDefault="00E941F9" w:rsidP="00E941F9">
            <w:pPr>
              <w:jc w:val="both"/>
              <w:rPr>
                <w:rFonts w:ascii="Arial" w:hAnsi="Arial" w:cs="Arial"/>
                <w:color w:val="000000" w:themeColor="text1"/>
                <w:sz w:val="20"/>
                <w:szCs w:val="20"/>
                <w:lang w:val="en-GB"/>
              </w:rPr>
            </w:pPr>
            <w:proofErr w:type="spellStart"/>
            <w:r w:rsidRPr="00E941F9">
              <w:rPr>
                <w:rFonts w:ascii="Arial" w:hAnsi="Arial" w:cs="Arial"/>
                <w:color w:val="000000" w:themeColor="text1"/>
                <w:sz w:val="20"/>
                <w:szCs w:val="20"/>
              </w:rPr>
              <w:t>Credit_Score</w:t>
            </w:r>
            <w:proofErr w:type="spellEnd"/>
          </w:p>
        </w:tc>
        <w:tc>
          <w:tcPr>
            <w:tcW w:w="1439" w:type="pct"/>
          </w:tcPr>
          <w:p w14:paraId="0AC5B98E" w14:textId="2F5A46D2" w:rsidR="00E941F9"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Supports risk-based customer monitoring and credit management.</w:t>
            </w:r>
          </w:p>
        </w:tc>
      </w:tr>
      <w:tr w:rsidR="00E941F9" w:rsidRPr="00A537D1" w14:paraId="2268A992" w14:textId="77777777" w:rsidTr="00E941F9">
        <w:trPr>
          <w:trHeight w:val="1020"/>
        </w:trPr>
        <w:tc>
          <w:tcPr>
            <w:tcW w:w="956" w:type="pct"/>
          </w:tcPr>
          <w:p w14:paraId="768B3258" w14:textId="3A2BFC02" w:rsidR="00E941F9"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High credit utilization combined with missed payments increases financial risk.</w:t>
            </w:r>
          </w:p>
        </w:tc>
        <w:tc>
          <w:tcPr>
            <w:tcW w:w="1435" w:type="pct"/>
          </w:tcPr>
          <w:p w14:paraId="55175A9F" w14:textId="3837D4DC" w:rsidR="00E941F9"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Customers using a high percentage of available credit.</w:t>
            </w:r>
          </w:p>
        </w:tc>
        <w:tc>
          <w:tcPr>
            <w:tcW w:w="1169" w:type="pct"/>
          </w:tcPr>
          <w:p w14:paraId="7BFC5AF4" w14:textId="0BA58211" w:rsidR="00E941F9" w:rsidRPr="00A537D1" w:rsidRDefault="00E941F9" w:rsidP="00E941F9">
            <w:pPr>
              <w:jc w:val="both"/>
              <w:rPr>
                <w:rFonts w:ascii="Arial" w:hAnsi="Arial" w:cs="Arial"/>
                <w:color w:val="000000" w:themeColor="text1"/>
                <w:sz w:val="20"/>
                <w:szCs w:val="20"/>
                <w:lang w:val="en-GB"/>
              </w:rPr>
            </w:pPr>
            <w:proofErr w:type="spellStart"/>
            <w:r w:rsidRPr="00E941F9">
              <w:rPr>
                <w:rFonts w:ascii="Arial" w:hAnsi="Arial" w:cs="Arial"/>
                <w:color w:val="000000" w:themeColor="text1"/>
                <w:sz w:val="20"/>
                <w:szCs w:val="20"/>
              </w:rPr>
              <w:t>Credit_Utilization</w:t>
            </w:r>
            <w:proofErr w:type="spellEnd"/>
            <w:r w:rsidRPr="00E941F9">
              <w:rPr>
                <w:rFonts w:ascii="Arial" w:hAnsi="Arial" w:cs="Arial"/>
                <w:color w:val="000000" w:themeColor="text1"/>
                <w:sz w:val="20"/>
                <w:szCs w:val="20"/>
              </w:rPr>
              <w:t xml:space="preserve">, </w:t>
            </w:r>
            <w:proofErr w:type="spellStart"/>
            <w:r w:rsidRPr="00E941F9">
              <w:rPr>
                <w:rFonts w:ascii="Arial" w:hAnsi="Arial" w:cs="Arial"/>
                <w:color w:val="000000" w:themeColor="text1"/>
                <w:sz w:val="20"/>
                <w:szCs w:val="20"/>
              </w:rPr>
              <w:t>Debt_to_Income_Ratio</w:t>
            </w:r>
            <w:proofErr w:type="spellEnd"/>
            <w:r w:rsidRPr="00E941F9">
              <w:rPr>
                <w:rFonts w:ascii="Arial" w:hAnsi="Arial" w:cs="Arial"/>
                <w:color w:val="000000" w:themeColor="text1"/>
                <w:sz w:val="20"/>
                <w:szCs w:val="20"/>
              </w:rPr>
              <w:t xml:space="preserve">, </w:t>
            </w:r>
            <w:proofErr w:type="spellStart"/>
            <w:r w:rsidRPr="00E941F9">
              <w:rPr>
                <w:rFonts w:ascii="Arial" w:hAnsi="Arial" w:cs="Arial"/>
                <w:color w:val="000000" w:themeColor="text1"/>
                <w:sz w:val="20"/>
                <w:szCs w:val="20"/>
              </w:rPr>
              <w:t>Loan_Balance</w:t>
            </w:r>
            <w:proofErr w:type="spellEnd"/>
          </w:p>
        </w:tc>
        <w:tc>
          <w:tcPr>
            <w:tcW w:w="1439" w:type="pct"/>
          </w:tcPr>
          <w:p w14:paraId="1B3A30A3" w14:textId="7337A079" w:rsidR="00E941F9" w:rsidRPr="00A537D1" w:rsidRDefault="00E941F9" w:rsidP="00E941F9">
            <w:pPr>
              <w:jc w:val="both"/>
              <w:rPr>
                <w:rFonts w:ascii="Arial" w:hAnsi="Arial" w:cs="Arial"/>
                <w:color w:val="000000" w:themeColor="text1"/>
                <w:sz w:val="20"/>
                <w:szCs w:val="20"/>
                <w:lang w:val="en-GB"/>
              </w:rPr>
            </w:pPr>
            <w:r w:rsidRPr="00E941F9">
              <w:rPr>
                <w:rFonts w:ascii="Arial" w:hAnsi="Arial" w:cs="Arial"/>
                <w:color w:val="000000" w:themeColor="text1"/>
                <w:sz w:val="20"/>
                <w:szCs w:val="20"/>
              </w:rPr>
              <w:t>Helps prioritize high-risk customers for proactive collections strategies.</w:t>
            </w:r>
          </w:p>
        </w:tc>
      </w:tr>
    </w:tbl>
    <w:p w14:paraId="50978634" w14:textId="77777777" w:rsidR="00A537D1" w:rsidRPr="00A537D1" w:rsidRDefault="00A537D1" w:rsidP="00E941F9">
      <w:pPr>
        <w:jc w:val="both"/>
        <w:rPr>
          <w:rFonts w:ascii="Arial" w:hAnsi="Arial" w:cs="Arial"/>
          <w:color w:val="000000" w:themeColor="text1"/>
        </w:rPr>
      </w:pPr>
    </w:p>
    <w:p w14:paraId="72833B3F" w14:textId="77777777" w:rsidR="007D72C2" w:rsidRDefault="00A537D1" w:rsidP="00E941F9">
      <w:pPr>
        <w:pStyle w:val="Heading1"/>
        <w:jc w:val="both"/>
        <w:rPr>
          <w:rFonts w:ascii="Arial" w:hAnsi="Arial" w:cs="Arial"/>
          <w:color w:val="000000" w:themeColor="text1"/>
        </w:rPr>
      </w:pPr>
      <w:r w:rsidRPr="00A537D1">
        <w:rPr>
          <w:rFonts w:ascii="Arial" w:hAnsi="Arial" w:cs="Arial"/>
          <w:color w:val="000000" w:themeColor="text1"/>
        </w:rPr>
        <w:lastRenderedPageBreak/>
        <w:t>2. Recommendation Framework</w:t>
      </w:r>
    </w:p>
    <w:p w14:paraId="1A559EBE" w14:textId="77777777" w:rsidR="00E941F9" w:rsidRPr="00E941F9" w:rsidRDefault="00E941F9" w:rsidP="00E941F9">
      <w:pPr>
        <w:jc w:val="both"/>
      </w:pPr>
    </w:p>
    <w:p w14:paraId="0C5D65B1" w14:textId="77777777" w:rsidR="00E941F9" w:rsidRPr="00E941F9" w:rsidRDefault="00E941F9" w:rsidP="00E941F9">
      <w:pPr>
        <w:pStyle w:val="Heading1"/>
        <w:spacing w:before="0"/>
        <w:jc w:val="both"/>
        <w:rPr>
          <w:rFonts w:ascii="Arial" w:hAnsi="Arial" w:cs="Arial"/>
          <w:color w:val="000000" w:themeColor="text1"/>
          <w:sz w:val="22"/>
          <w:szCs w:val="22"/>
          <w:lang w:val="en-IN"/>
        </w:rPr>
      </w:pPr>
      <w:r w:rsidRPr="00E941F9">
        <w:rPr>
          <w:rFonts w:ascii="Arial" w:hAnsi="Arial" w:cs="Arial"/>
          <w:color w:val="000000" w:themeColor="text1"/>
          <w:sz w:val="22"/>
          <w:szCs w:val="22"/>
          <w:lang w:val="en-IN"/>
        </w:rPr>
        <w:t>Restated Insight</w:t>
      </w:r>
    </w:p>
    <w:p w14:paraId="7612EA79" w14:textId="77777777" w:rsidR="00E941F9" w:rsidRPr="00E941F9" w:rsidRDefault="00E941F9" w:rsidP="00E941F9">
      <w:pPr>
        <w:pStyle w:val="Heading1"/>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Customers with repeated late or missed payments, lower credit scores, and higher credit utilization are at the greatest risk of becoming delinquent.</w:t>
      </w:r>
    </w:p>
    <w:p w14:paraId="4EBA267B" w14:textId="77777777" w:rsidR="00E941F9" w:rsidRPr="00E941F9" w:rsidRDefault="00E941F9" w:rsidP="00E941F9">
      <w:pPr>
        <w:pStyle w:val="Heading1"/>
        <w:spacing w:before="0"/>
        <w:jc w:val="both"/>
        <w:rPr>
          <w:rFonts w:ascii="Arial" w:hAnsi="Arial" w:cs="Arial"/>
          <w:color w:val="000000" w:themeColor="text1"/>
          <w:sz w:val="22"/>
          <w:szCs w:val="22"/>
          <w:lang w:val="en-IN"/>
        </w:rPr>
      </w:pPr>
      <w:r w:rsidRPr="00E941F9">
        <w:rPr>
          <w:rFonts w:ascii="Arial" w:hAnsi="Arial" w:cs="Arial"/>
          <w:color w:val="000000" w:themeColor="text1"/>
          <w:sz w:val="22"/>
          <w:szCs w:val="22"/>
          <w:lang w:val="en-IN"/>
        </w:rPr>
        <w:t>Proposed Recommendation</w:t>
      </w:r>
    </w:p>
    <w:p w14:paraId="566326B5" w14:textId="77777777" w:rsidR="00E941F9" w:rsidRPr="00E941F9" w:rsidRDefault="00E941F9" w:rsidP="00E941F9">
      <w:pPr>
        <w:pStyle w:val="Heading1"/>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Implement an Early Risk Monitoring and Customer Outreach Program that automatically identifies customers showing early warning signs of delinquency and provides proactive support before payments are missed.</w:t>
      </w:r>
    </w:p>
    <w:p w14:paraId="34D0C86B" w14:textId="77777777" w:rsidR="00E941F9" w:rsidRPr="00E941F9" w:rsidRDefault="00E941F9" w:rsidP="00E941F9">
      <w:pPr>
        <w:pStyle w:val="Heading1"/>
        <w:spacing w:before="0"/>
        <w:jc w:val="both"/>
        <w:rPr>
          <w:rFonts w:ascii="Arial" w:hAnsi="Arial" w:cs="Arial"/>
          <w:color w:val="000000" w:themeColor="text1"/>
          <w:sz w:val="22"/>
          <w:szCs w:val="22"/>
          <w:lang w:val="en-IN"/>
        </w:rPr>
      </w:pPr>
      <w:r w:rsidRPr="00E941F9">
        <w:rPr>
          <w:rFonts w:ascii="Arial" w:hAnsi="Arial" w:cs="Arial"/>
          <w:color w:val="000000" w:themeColor="text1"/>
          <w:sz w:val="22"/>
          <w:szCs w:val="22"/>
          <w:lang w:val="en-IN"/>
        </w:rPr>
        <w:t>Specific</w:t>
      </w:r>
    </w:p>
    <w:p w14:paraId="48A58278" w14:textId="77777777" w:rsidR="00E941F9" w:rsidRPr="00E941F9" w:rsidRDefault="00E941F9" w:rsidP="00E941F9">
      <w:pPr>
        <w:pStyle w:val="Heading1"/>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Develop an automated monitoring system that flags customers who record two or more late or missed payments within a six-month period or whose credit utilization exceeds a predefined threshold. Flagged customers should receive payment reminders, repayment assistance options, or financial counselling.</w:t>
      </w:r>
    </w:p>
    <w:p w14:paraId="108B0805" w14:textId="77777777" w:rsidR="00E941F9" w:rsidRPr="00E941F9" w:rsidRDefault="00E941F9" w:rsidP="00E941F9">
      <w:pPr>
        <w:pStyle w:val="Heading1"/>
        <w:spacing w:before="0"/>
        <w:jc w:val="both"/>
        <w:rPr>
          <w:rFonts w:ascii="Arial" w:hAnsi="Arial" w:cs="Arial"/>
          <w:color w:val="000000" w:themeColor="text1"/>
          <w:sz w:val="22"/>
          <w:szCs w:val="22"/>
          <w:lang w:val="en-IN"/>
        </w:rPr>
      </w:pPr>
      <w:r w:rsidRPr="00E941F9">
        <w:rPr>
          <w:rFonts w:ascii="Arial" w:hAnsi="Arial" w:cs="Arial"/>
          <w:color w:val="000000" w:themeColor="text1"/>
          <w:sz w:val="22"/>
          <w:szCs w:val="22"/>
          <w:lang w:val="en-IN"/>
        </w:rPr>
        <w:t>Measurable</w:t>
      </w:r>
    </w:p>
    <w:p w14:paraId="40BF53CD" w14:textId="77777777" w:rsidR="00E941F9" w:rsidRPr="00E941F9" w:rsidRDefault="00E941F9" w:rsidP="00E941F9">
      <w:pPr>
        <w:pStyle w:val="Heading1"/>
        <w:numPr>
          <w:ilvl w:val="0"/>
          <w:numId w:val="10"/>
        </w:numPr>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 xml:space="preserve">Reduce delinquent accounts by 10–15% within six months. </w:t>
      </w:r>
    </w:p>
    <w:p w14:paraId="06FEAADB" w14:textId="77777777" w:rsidR="00E941F9" w:rsidRPr="00E941F9" w:rsidRDefault="00E941F9" w:rsidP="00E941F9">
      <w:pPr>
        <w:pStyle w:val="Heading1"/>
        <w:numPr>
          <w:ilvl w:val="0"/>
          <w:numId w:val="10"/>
        </w:numPr>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 xml:space="preserve">Increase on-time payment rates by 15%. </w:t>
      </w:r>
    </w:p>
    <w:p w14:paraId="72ED3CB1" w14:textId="77777777" w:rsidR="00E941F9" w:rsidRPr="00E941F9" w:rsidRDefault="00E941F9" w:rsidP="00E941F9">
      <w:pPr>
        <w:pStyle w:val="Heading1"/>
        <w:numPr>
          <w:ilvl w:val="0"/>
          <w:numId w:val="10"/>
        </w:numPr>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 xml:space="preserve">Reduce the number of </w:t>
      </w:r>
      <w:proofErr w:type="gramStart"/>
      <w:r w:rsidRPr="00E941F9">
        <w:rPr>
          <w:rFonts w:ascii="Arial" w:hAnsi="Arial" w:cs="Arial"/>
          <w:b w:val="0"/>
          <w:bCs w:val="0"/>
          <w:color w:val="000000" w:themeColor="text1"/>
          <w:sz w:val="22"/>
          <w:szCs w:val="22"/>
          <w:lang w:val="en-IN"/>
        </w:rPr>
        <w:t>repeat</w:t>
      </w:r>
      <w:proofErr w:type="gramEnd"/>
      <w:r w:rsidRPr="00E941F9">
        <w:rPr>
          <w:rFonts w:ascii="Arial" w:hAnsi="Arial" w:cs="Arial"/>
          <w:b w:val="0"/>
          <w:bCs w:val="0"/>
          <w:color w:val="000000" w:themeColor="text1"/>
          <w:sz w:val="22"/>
          <w:szCs w:val="22"/>
          <w:lang w:val="en-IN"/>
        </w:rPr>
        <w:t xml:space="preserve"> missed payments among flagged customers. </w:t>
      </w:r>
    </w:p>
    <w:p w14:paraId="123E47CB" w14:textId="77777777" w:rsidR="00E941F9" w:rsidRPr="00E941F9" w:rsidRDefault="00E941F9" w:rsidP="00E941F9">
      <w:pPr>
        <w:pStyle w:val="Heading1"/>
        <w:spacing w:before="0"/>
        <w:jc w:val="both"/>
        <w:rPr>
          <w:rFonts w:ascii="Arial" w:hAnsi="Arial" w:cs="Arial"/>
          <w:color w:val="000000" w:themeColor="text1"/>
          <w:sz w:val="22"/>
          <w:szCs w:val="22"/>
          <w:lang w:val="en-IN"/>
        </w:rPr>
      </w:pPr>
      <w:r w:rsidRPr="00E941F9">
        <w:rPr>
          <w:rFonts w:ascii="Arial" w:hAnsi="Arial" w:cs="Arial"/>
          <w:color w:val="000000" w:themeColor="text1"/>
          <w:sz w:val="22"/>
          <w:szCs w:val="22"/>
          <w:lang w:val="en-IN"/>
        </w:rPr>
        <w:t>Actionable</w:t>
      </w:r>
    </w:p>
    <w:p w14:paraId="7A54E307" w14:textId="77777777" w:rsidR="00E941F9" w:rsidRPr="00E941F9" w:rsidRDefault="00E941F9" w:rsidP="00E941F9">
      <w:pPr>
        <w:pStyle w:val="Heading1"/>
        <w:numPr>
          <w:ilvl w:val="0"/>
          <w:numId w:val="11"/>
        </w:numPr>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 xml:space="preserve">Deploy the Random Forest predictive model within the </w:t>
      </w:r>
      <w:proofErr w:type="gramStart"/>
      <w:r w:rsidRPr="00E941F9">
        <w:rPr>
          <w:rFonts w:ascii="Arial" w:hAnsi="Arial" w:cs="Arial"/>
          <w:b w:val="0"/>
          <w:bCs w:val="0"/>
          <w:color w:val="000000" w:themeColor="text1"/>
          <w:sz w:val="22"/>
          <w:szCs w:val="22"/>
          <w:lang w:val="en-IN"/>
        </w:rPr>
        <w:t>collections</w:t>
      </w:r>
      <w:proofErr w:type="gramEnd"/>
      <w:r w:rsidRPr="00E941F9">
        <w:rPr>
          <w:rFonts w:ascii="Arial" w:hAnsi="Arial" w:cs="Arial"/>
          <w:b w:val="0"/>
          <w:bCs w:val="0"/>
          <w:color w:val="000000" w:themeColor="text1"/>
          <w:sz w:val="22"/>
          <w:szCs w:val="22"/>
          <w:lang w:val="en-IN"/>
        </w:rPr>
        <w:t xml:space="preserve"> workflow. </w:t>
      </w:r>
    </w:p>
    <w:p w14:paraId="25966ACC" w14:textId="77777777" w:rsidR="00E941F9" w:rsidRPr="00E941F9" w:rsidRDefault="00E941F9" w:rsidP="00E941F9">
      <w:pPr>
        <w:pStyle w:val="Heading1"/>
        <w:numPr>
          <w:ilvl w:val="0"/>
          <w:numId w:val="11"/>
        </w:numPr>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 xml:space="preserve">Generate weekly lists of high-risk customers. </w:t>
      </w:r>
    </w:p>
    <w:p w14:paraId="168BD347" w14:textId="77777777" w:rsidR="00E941F9" w:rsidRPr="00E941F9" w:rsidRDefault="00E941F9" w:rsidP="00E941F9">
      <w:pPr>
        <w:pStyle w:val="Heading1"/>
        <w:numPr>
          <w:ilvl w:val="0"/>
          <w:numId w:val="11"/>
        </w:numPr>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 xml:space="preserve">Send automated reminders via SMS, email, or phone calls. </w:t>
      </w:r>
    </w:p>
    <w:p w14:paraId="0D3502FE" w14:textId="77777777" w:rsidR="00E941F9" w:rsidRPr="00E941F9" w:rsidRDefault="00E941F9" w:rsidP="00E941F9">
      <w:pPr>
        <w:pStyle w:val="Heading1"/>
        <w:numPr>
          <w:ilvl w:val="0"/>
          <w:numId w:val="11"/>
        </w:numPr>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 xml:space="preserve">Offer flexible repayment plans for eligible customers. </w:t>
      </w:r>
    </w:p>
    <w:p w14:paraId="45C08697" w14:textId="77777777" w:rsidR="00E941F9" w:rsidRPr="00E941F9" w:rsidRDefault="00E941F9" w:rsidP="00E941F9">
      <w:pPr>
        <w:pStyle w:val="Heading1"/>
        <w:spacing w:before="0"/>
        <w:jc w:val="both"/>
        <w:rPr>
          <w:rFonts w:ascii="Arial" w:hAnsi="Arial" w:cs="Arial"/>
          <w:color w:val="000000" w:themeColor="text1"/>
          <w:sz w:val="22"/>
          <w:szCs w:val="22"/>
          <w:lang w:val="en-IN"/>
        </w:rPr>
      </w:pPr>
      <w:r w:rsidRPr="00E941F9">
        <w:rPr>
          <w:rFonts w:ascii="Arial" w:hAnsi="Arial" w:cs="Arial"/>
          <w:color w:val="000000" w:themeColor="text1"/>
          <w:sz w:val="22"/>
          <w:szCs w:val="22"/>
          <w:lang w:val="en-IN"/>
        </w:rPr>
        <w:t>Relevant</w:t>
      </w:r>
    </w:p>
    <w:p w14:paraId="05F8312A" w14:textId="77777777" w:rsidR="00E941F9" w:rsidRPr="00E941F9" w:rsidRDefault="00E941F9" w:rsidP="00E941F9">
      <w:pPr>
        <w:pStyle w:val="Heading1"/>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 xml:space="preserve">This recommendation aligns with </w:t>
      </w:r>
      <w:proofErr w:type="spellStart"/>
      <w:r w:rsidRPr="00E941F9">
        <w:rPr>
          <w:rFonts w:ascii="Arial" w:hAnsi="Arial" w:cs="Arial"/>
          <w:b w:val="0"/>
          <w:bCs w:val="0"/>
          <w:color w:val="000000" w:themeColor="text1"/>
          <w:sz w:val="22"/>
          <w:szCs w:val="22"/>
          <w:lang w:val="en-IN"/>
        </w:rPr>
        <w:t>Geldium's</w:t>
      </w:r>
      <w:proofErr w:type="spellEnd"/>
      <w:r w:rsidRPr="00E941F9">
        <w:rPr>
          <w:rFonts w:ascii="Arial" w:hAnsi="Arial" w:cs="Arial"/>
          <w:b w:val="0"/>
          <w:bCs w:val="0"/>
          <w:color w:val="000000" w:themeColor="text1"/>
          <w:sz w:val="22"/>
          <w:szCs w:val="22"/>
          <w:lang w:val="en-IN"/>
        </w:rPr>
        <w:t xml:space="preserve"> objective of reducing credit losses, improving customer repayment </w:t>
      </w:r>
      <w:proofErr w:type="spellStart"/>
      <w:r w:rsidRPr="00E941F9">
        <w:rPr>
          <w:rFonts w:ascii="Arial" w:hAnsi="Arial" w:cs="Arial"/>
          <w:b w:val="0"/>
          <w:bCs w:val="0"/>
          <w:color w:val="000000" w:themeColor="text1"/>
          <w:sz w:val="22"/>
          <w:szCs w:val="22"/>
          <w:lang w:val="en-IN"/>
        </w:rPr>
        <w:t>behavior</w:t>
      </w:r>
      <w:proofErr w:type="spellEnd"/>
      <w:r w:rsidRPr="00E941F9">
        <w:rPr>
          <w:rFonts w:ascii="Arial" w:hAnsi="Arial" w:cs="Arial"/>
          <w:b w:val="0"/>
          <w:bCs w:val="0"/>
          <w:color w:val="000000" w:themeColor="text1"/>
          <w:sz w:val="22"/>
          <w:szCs w:val="22"/>
          <w:lang w:val="en-IN"/>
        </w:rPr>
        <w:t>, and allocating collection resources more efficiently.</w:t>
      </w:r>
    </w:p>
    <w:p w14:paraId="1D82D7B9" w14:textId="77777777" w:rsidR="00E941F9" w:rsidRPr="00E941F9" w:rsidRDefault="00E941F9" w:rsidP="00E941F9">
      <w:pPr>
        <w:pStyle w:val="Heading1"/>
        <w:spacing w:before="0"/>
        <w:jc w:val="both"/>
        <w:rPr>
          <w:rFonts w:ascii="Arial" w:hAnsi="Arial" w:cs="Arial"/>
          <w:color w:val="000000" w:themeColor="text1"/>
          <w:sz w:val="22"/>
          <w:szCs w:val="22"/>
          <w:lang w:val="en-IN"/>
        </w:rPr>
      </w:pPr>
      <w:r w:rsidRPr="00E941F9">
        <w:rPr>
          <w:rFonts w:ascii="Arial" w:hAnsi="Arial" w:cs="Arial"/>
          <w:color w:val="000000" w:themeColor="text1"/>
          <w:sz w:val="22"/>
          <w:szCs w:val="22"/>
          <w:lang w:val="en-IN"/>
        </w:rPr>
        <w:t>Time-bound</w:t>
      </w:r>
    </w:p>
    <w:p w14:paraId="3F9AA847" w14:textId="77777777" w:rsidR="00E941F9" w:rsidRPr="00E941F9" w:rsidRDefault="00E941F9" w:rsidP="00E941F9">
      <w:pPr>
        <w:pStyle w:val="Heading1"/>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Pilot the predictive monitoring system over three months, evaluate performance after six months, and expand organization-wide if predefined performance targets are achieved.</w:t>
      </w:r>
    </w:p>
    <w:p w14:paraId="2B367DFE" w14:textId="77777777" w:rsidR="00E941F9" w:rsidRPr="00E941F9" w:rsidRDefault="00E941F9" w:rsidP="00E941F9">
      <w:pPr>
        <w:pStyle w:val="Heading1"/>
        <w:spacing w:before="0"/>
        <w:jc w:val="both"/>
        <w:rPr>
          <w:rFonts w:ascii="Arial" w:hAnsi="Arial" w:cs="Arial"/>
          <w:color w:val="000000" w:themeColor="text1"/>
          <w:sz w:val="22"/>
          <w:szCs w:val="22"/>
          <w:lang w:val="en-IN"/>
        </w:rPr>
      </w:pPr>
      <w:r w:rsidRPr="00E941F9">
        <w:rPr>
          <w:rFonts w:ascii="Arial" w:hAnsi="Arial" w:cs="Arial"/>
          <w:color w:val="000000" w:themeColor="text1"/>
          <w:sz w:val="22"/>
          <w:szCs w:val="22"/>
          <w:lang w:val="en-IN"/>
        </w:rPr>
        <w:t>Justification and Business Rationale</w:t>
      </w:r>
    </w:p>
    <w:p w14:paraId="648C36B6" w14:textId="77777777" w:rsidR="00E941F9" w:rsidRPr="00E941F9" w:rsidRDefault="00E941F9" w:rsidP="00E941F9">
      <w:pPr>
        <w:pStyle w:val="Heading1"/>
        <w:spacing w:before="0"/>
        <w:jc w:val="both"/>
        <w:rPr>
          <w:rFonts w:ascii="Arial" w:hAnsi="Arial" w:cs="Arial"/>
          <w:b w:val="0"/>
          <w:bCs w:val="0"/>
          <w:color w:val="000000" w:themeColor="text1"/>
          <w:sz w:val="22"/>
          <w:szCs w:val="22"/>
          <w:lang w:val="en-IN"/>
        </w:rPr>
      </w:pPr>
      <w:r w:rsidRPr="00E941F9">
        <w:rPr>
          <w:rFonts w:ascii="Arial" w:hAnsi="Arial" w:cs="Arial"/>
          <w:b w:val="0"/>
          <w:bCs w:val="0"/>
          <w:color w:val="000000" w:themeColor="text1"/>
          <w:sz w:val="22"/>
          <w:szCs w:val="22"/>
          <w:lang w:val="en-IN"/>
        </w:rPr>
        <w:t xml:space="preserve">Early intervention is significantly more cost-effective than managing severely delinquent accounts. By identifying high-risk customers before default occurs, </w:t>
      </w:r>
      <w:proofErr w:type="spellStart"/>
      <w:r w:rsidRPr="00E941F9">
        <w:rPr>
          <w:rFonts w:ascii="Arial" w:hAnsi="Arial" w:cs="Arial"/>
          <w:b w:val="0"/>
          <w:bCs w:val="0"/>
          <w:color w:val="000000" w:themeColor="text1"/>
          <w:sz w:val="22"/>
          <w:szCs w:val="22"/>
          <w:lang w:val="en-IN"/>
        </w:rPr>
        <w:t>Geldium</w:t>
      </w:r>
      <w:proofErr w:type="spellEnd"/>
      <w:r w:rsidRPr="00E941F9">
        <w:rPr>
          <w:rFonts w:ascii="Arial" w:hAnsi="Arial" w:cs="Arial"/>
          <w:b w:val="0"/>
          <w:bCs w:val="0"/>
          <w:color w:val="000000" w:themeColor="text1"/>
          <w:sz w:val="22"/>
          <w:szCs w:val="22"/>
          <w:lang w:val="en-IN"/>
        </w:rPr>
        <w:t xml:space="preserve"> can improve loan recovery rates, reduce operational costs, strengthen customer relationships, and make better use of collections resources. The recommendation also supports data-driven decision-making by focusing collection efforts on customers with the highest predicted risk.</w:t>
      </w:r>
    </w:p>
    <w:p w14:paraId="08E6A272" w14:textId="77777777" w:rsidR="007D72C2" w:rsidRPr="00A537D1" w:rsidRDefault="00A537D1" w:rsidP="00E941F9">
      <w:pPr>
        <w:pStyle w:val="Heading1"/>
        <w:jc w:val="both"/>
        <w:rPr>
          <w:rFonts w:ascii="Arial" w:hAnsi="Arial" w:cs="Arial"/>
          <w:color w:val="000000" w:themeColor="text1"/>
        </w:rPr>
      </w:pPr>
      <w:r w:rsidRPr="00A537D1">
        <w:rPr>
          <w:rFonts w:ascii="Arial" w:hAnsi="Arial" w:cs="Arial"/>
          <w:color w:val="000000" w:themeColor="text1"/>
        </w:rPr>
        <w:t>3. Ethical and Responsible AI Considerations</w:t>
      </w:r>
    </w:p>
    <w:p w14:paraId="429CD2AA" w14:textId="77777777" w:rsidR="00E941F9" w:rsidRPr="00E941F9" w:rsidRDefault="00E941F9" w:rsidP="00E941F9">
      <w:pPr>
        <w:jc w:val="both"/>
        <w:rPr>
          <w:rFonts w:ascii="Arial" w:hAnsi="Arial" w:cs="Arial"/>
          <w:color w:val="000000" w:themeColor="text1"/>
          <w:lang w:val="en-IN"/>
        </w:rPr>
      </w:pPr>
      <w:r w:rsidRPr="00E941F9">
        <w:rPr>
          <w:rFonts w:ascii="Arial" w:hAnsi="Arial" w:cs="Arial"/>
          <w:color w:val="000000" w:themeColor="text1"/>
          <w:lang w:val="en-IN"/>
        </w:rPr>
        <w:t xml:space="preserve">The predictive model should support collection decisions rather than replace human judgment. Since the dataset is imbalanced, there is a possibility that the model may incorrectly classify some customers, potentially leading to unfair treatment. To reduce </w:t>
      </w:r>
      <w:r w:rsidRPr="00E941F9">
        <w:rPr>
          <w:rFonts w:ascii="Arial" w:hAnsi="Arial" w:cs="Arial"/>
          <w:color w:val="000000" w:themeColor="text1"/>
          <w:lang w:val="en-IN"/>
        </w:rPr>
        <w:lastRenderedPageBreak/>
        <w:t>this risk, the model should be regularly monitored for bias, evaluated using fairness metrics, and periodically retrained with updated data.</w:t>
      </w:r>
    </w:p>
    <w:p w14:paraId="154A99C7" w14:textId="77777777" w:rsidR="00E941F9" w:rsidRPr="00E941F9" w:rsidRDefault="00E941F9" w:rsidP="00E941F9">
      <w:pPr>
        <w:jc w:val="both"/>
        <w:rPr>
          <w:rFonts w:ascii="Arial" w:hAnsi="Arial" w:cs="Arial"/>
          <w:color w:val="000000" w:themeColor="text1"/>
          <w:lang w:val="en-IN"/>
        </w:rPr>
      </w:pPr>
      <w:r w:rsidRPr="00E941F9">
        <w:rPr>
          <w:rFonts w:ascii="Arial" w:hAnsi="Arial" w:cs="Arial"/>
          <w:color w:val="000000" w:themeColor="text1"/>
          <w:lang w:val="en-IN"/>
        </w:rPr>
        <w:t>Transparency is another important consideration. The selected Random Forest model provides feature importance scores, making it easier to explain why a customer has been identified as high risk. Clear explanations improve trust among both employees and customers.</w:t>
      </w:r>
    </w:p>
    <w:p w14:paraId="69FA2ED9" w14:textId="77777777" w:rsidR="00E941F9" w:rsidRPr="00E941F9" w:rsidRDefault="00E941F9" w:rsidP="00E941F9">
      <w:pPr>
        <w:jc w:val="both"/>
        <w:rPr>
          <w:rFonts w:ascii="Arial" w:hAnsi="Arial" w:cs="Arial"/>
          <w:color w:val="000000" w:themeColor="text1"/>
          <w:lang w:val="en-IN"/>
        </w:rPr>
      </w:pPr>
      <w:r w:rsidRPr="00E941F9">
        <w:rPr>
          <w:rFonts w:ascii="Arial" w:hAnsi="Arial" w:cs="Arial"/>
          <w:color w:val="000000" w:themeColor="text1"/>
          <w:lang w:val="en-IN"/>
        </w:rPr>
        <w:t xml:space="preserve">The recommendation also supports responsible financial decision-making by focusing on </w:t>
      </w:r>
      <w:r w:rsidRPr="00E941F9">
        <w:rPr>
          <w:rFonts w:ascii="Arial" w:hAnsi="Arial" w:cs="Arial"/>
          <w:b/>
          <w:bCs/>
          <w:color w:val="000000" w:themeColor="text1"/>
          <w:lang w:val="en-IN"/>
        </w:rPr>
        <w:t>preventive assistance rather than punitive action</w:t>
      </w:r>
      <w:r w:rsidRPr="00E941F9">
        <w:rPr>
          <w:rFonts w:ascii="Arial" w:hAnsi="Arial" w:cs="Arial"/>
          <w:color w:val="000000" w:themeColor="text1"/>
          <w:lang w:val="en-IN"/>
        </w:rPr>
        <w:t>. Customers identified as high risk should first receive payment reminders, flexible repayment options, or financial guidance before stronger collection measures are considered.</w:t>
      </w:r>
    </w:p>
    <w:p w14:paraId="3DE42694" w14:textId="77777777" w:rsidR="00E941F9" w:rsidRPr="00E941F9" w:rsidRDefault="00E941F9" w:rsidP="00E941F9">
      <w:pPr>
        <w:jc w:val="both"/>
        <w:rPr>
          <w:rFonts w:ascii="Arial" w:hAnsi="Arial" w:cs="Arial"/>
          <w:color w:val="000000" w:themeColor="text1"/>
          <w:lang w:val="en-IN"/>
        </w:rPr>
      </w:pPr>
      <w:r w:rsidRPr="00E941F9">
        <w:rPr>
          <w:rFonts w:ascii="Arial" w:hAnsi="Arial" w:cs="Arial"/>
          <w:color w:val="000000" w:themeColor="text1"/>
          <w:lang w:val="en-IN"/>
        </w:rPr>
        <w:t>Finally, all customer data used by the model should be handled in accordance with data privacy regulations and organizational security policies. Personal financial information must remain confidential, and only authorized personnel should have access to predictive results.</w:t>
      </w:r>
    </w:p>
    <w:p w14:paraId="33EC1793" w14:textId="20A598BE" w:rsidR="007D72C2" w:rsidRPr="00A537D1" w:rsidRDefault="007D72C2" w:rsidP="00E941F9">
      <w:pPr>
        <w:jc w:val="both"/>
        <w:rPr>
          <w:rFonts w:ascii="Arial" w:hAnsi="Arial" w:cs="Arial"/>
          <w:color w:val="000000" w:themeColor="text1"/>
        </w:rPr>
      </w:pPr>
    </w:p>
    <w:sectPr w:rsidR="007D72C2" w:rsidRPr="00A537D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DE49C9"/>
    <w:multiLevelType w:val="multilevel"/>
    <w:tmpl w:val="E560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17CDF"/>
    <w:multiLevelType w:val="multilevel"/>
    <w:tmpl w:val="772E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522594712">
    <w:abstractNumId w:val="9"/>
  </w:num>
  <w:num w:numId="11" w16cid:durableId="583421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6FDD"/>
    <w:rsid w:val="007D72C2"/>
    <w:rsid w:val="008237CA"/>
    <w:rsid w:val="00A537D1"/>
    <w:rsid w:val="00AA1D8D"/>
    <w:rsid w:val="00B47730"/>
    <w:rsid w:val="00CB0664"/>
    <w:rsid w:val="00E941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745</Words>
  <Characters>4249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Yogita Dhote</cp:lastModifiedBy>
  <cp:revision>3</cp:revision>
  <dcterms:created xsi:type="dcterms:W3CDTF">2013-12-23T23:15:00Z</dcterms:created>
  <dcterms:modified xsi:type="dcterms:W3CDTF">2026-07-07T16:10:00Z</dcterms:modified>
  <cp:category/>
</cp:coreProperties>
</file>