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2854">
      <w:pPr>
        <w:pStyle w:val="2"/>
      </w:pPr>
      <w:r>
        <w:t xml:space="preserve">CampusEats – Assignment </w:t>
      </w:r>
      <w:r>
        <w:rPr>
          <w:spacing w:val="-10"/>
        </w:rPr>
        <w:t>3</w:t>
      </w:r>
    </w:p>
    <w:p w14:paraId="76E41B57">
      <w:pPr>
        <w:spacing w:before="49"/>
        <w:ind w:left="0" w:right="0" w:firstLine="0"/>
        <w:jc w:val="center"/>
        <w:rPr>
          <w:sz w:val="22"/>
        </w:rPr>
      </w:pPr>
      <w:r>
        <w:rPr>
          <w:color w:val="545454"/>
          <w:sz w:val="22"/>
        </w:rPr>
        <w:t xml:space="preserve">Integrate an External SOAP Partner: CampusPay Payment </w:t>
      </w:r>
      <w:r>
        <w:rPr>
          <w:color w:val="545454"/>
          <w:spacing w:val="-2"/>
          <w:sz w:val="22"/>
        </w:rPr>
        <w:t>Gateway</w:t>
      </w:r>
    </w:p>
    <w:p w14:paraId="48E9A101">
      <w:pPr>
        <w:pStyle w:val="7"/>
        <w:spacing w:before="18"/>
      </w:pPr>
    </w:p>
    <w:tbl>
      <w:tblPr>
        <w:tblStyle w:val="6"/>
        <w:tblW w:w="0" w:type="auto"/>
        <w:tblInd w:w="289" w:type="dxa"/>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Layout w:type="fixed"/>
        <w:tblCellMar>
          <w:top w:w="0" w:type="dxa"/>
          <w:left w:w="0" w:type="dxa"/>
          <w:bottom w:w="0" w:type="dxa"/>
          <w:right w:w="0" w:type="dxa"/>
        </w:tblCellMar>
      </w:tblPr>
      <w:tblGrid>
        <w:gridCol w:w="2268"/>
        <w:gridCol w:w="6803"/>
      </w:tblGrid>
      <w:tr w14:paraId="182DDBE7">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2268" w:type="dxa"/>
            <w:shd w:val="clear" w:color="auto" w:fill="EDF2F6"/>
          </w:tcPr>
          <w:p w14:paraId="34B51481">
            <w:pPr>
              <w:pStyle w:val="10"/>
              <w:rPr>
                <w:rFonts w:hint="default" w:ascii="Arial"/>
                <w:b/>
                <w:sz w:val="18"/>
                <w:lang w:val="en-US"/>
              </w:rPr>
            </w:pPr>
            <w:r>
              <w:rPr>
                <w:rFonts w:hint="default" w:ascii="Arial"/>
                <w:b/>
                <w:sz w:val="18"/>
                <w:lang w:val="en-US"/>
              </w:rPr>
              <w:t xml:space="preserve">Roll No. /Name </w:t>
            </w:r>
          </w:p>
        </w:tc>
        <w:tc>
          <w:tcPr>
            <w:tcW w:w="6803" w:type="dxa"/>
          </w:tcPr>
          <w:p w14:paraId="0FBEF99F">
            <w:pPr>
              <w:pStyle w:val="10"/>
              <w:rPr>
                <w:rFonts w:hint="default"/>
                <w:sz w:val="18"/>
                <w:lang w:val="en-US"/>
              </w:rPr>
            </w:pPr>
            <w:r>
              <w:rPr>
                <w:rFonts w:hint="default"/>
                <w:sz w:val="18"/>
                <w:lang w:val="en-US"/>
              </w:rPr>
              <w:t>20251651107 YOGITA</w:t>
            </w:r>
          </w:p>
        </w:tc>
      </w:tr>
      <w:tr w14:paraId="3988DDE2">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2268" w:type="dxa"/>
            <w:shd w:val="clear" w:color="auto" w:fill="EDF2F6"/>
          </w:tcPr>
          <w:p w14:paraId="790CCE14">
            <w:pPr>
              <w:pStyle w:val="10"/>
              <w:rPr>
                <w:rFonts w:ascii="Arial"/>
                <w:b/>
                <w:sz w:val="18"/>
              </w:rPr>
            </w:pPr>
            <w:r>
              <w:rPr>
                <w:rFonts w:ascii="Arial"/>
                <w:b/>
                <w:color w:val="444444"/>
                <w:sz w:val="18"/>
              </w:rPr>
              <w:t xml:space="preserve">Roll No. / </w:t>
            </w:r>
            <w:r>
              <w:rPr>
                <w:rFonts w:ascii="Arial"/>
                <w:b/>
                <w:color w:val="444444"/>
                <w:spacing w:val="-4"/>
                <w:sz w:val="18"/>
              </w:rPr>
              <w:t>Name</w:t>
            </w:r>
          </w:p>
        </w:tc>
        <w:tc>
          <w:tcPr>
            <w:tcW w:w="6803" w:type="dxa"/>
          </w:tcPr>
          <w:p w14:paraId="3AF53EDE">
            <w:pPr>
              <w:pStyle w:val="10"/>
              <w:rPr>
                <w:rFonts w:hint="default"/>
                <w:sz w:val="18"/>
                <w:lang w:val="en-US"/>
              </w:rPr>
            </w:pPr>
            <w:r>
              <w:rPr>
                <w:rFonts w:hint="default"/>
                <w:sz w:val="18"/>
                <w:lang w:val="en-US"/>
              </w:rPr>
              <w:t>2025165104</w:t>
            </w:r>
            <w:bookmarkStart w:id="0" w:name="_GoBack"/>
            <w:bookmarkEnd w:id="0"/>
            <w:r>
              <w:rPr>
                <w:rFonts w:hint="default"/>
                <w:sz w:val="18"/>
                <w:lang w:val="en-US"/>
              </w:rPr>
              <w:t>7 JANVI</w:t>
            </w:r>
          </w:p>
        </w:tc>
      </w:tr>
      <w:tr w14:paraId="3869A12B">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2268" w:type="dxa"/>
            <w:shd w:val="clear" w:color="auto" w:fill="EDF2F6"/>
          </w:tcPr>
          <w:p w14:paraId="4482BFA6">
            <w:pPr>
              <w:pStyle w:val="10"/>
              <w:rPr>
                <w:rFonts w:ascii="Arial"/>
                <w:b/>
                <w:sz w:val="18"/>
              </w:rPr>
            </w:pPr>
            <w:r>
              <w:rPr>
                <w:rFonts w:ascii="Arial"/>
                <w:b/>
                <w:color w:val="444444"/>
                <w:sz w:val="18"/>
              </w:rPr>
              <w:t xml:space="preserve">Roll No. / </w:t>
            </w:r>
            <w:r>
              <w:rPr>
                <w:rFonts w:ascii="Arial"/>
                <w:b/>
                <w:color w:val="444444"/>
                <w:spacing w:val="-4"/>
                <w:sz w:val="18"/>
              </w:rPr>
              <w:t>Name</w:t>
            </w:r>
          </w:p>
        </w:tc>
        <w:tc>
          <w:tcPr>
            <w:tcW w:w="6803" w:type="dxa"/>
          </w:tcPr>
          <w:p w14:paraId="22B5012F">
            <w:pPr>
              <w:pStyle w:val="10"/>
              <w:rPr>
                <w:rFonts w:hint="default"/>
                <w:sz w:val="18"/>
                <w:lang w:val="en-US"/>
              </w:rPr>
            </w:pPr>
            <w:r>
              <w:rPr>
                <w:rFonts w:hint="default"/>
                <w:sz w:val="18"/>
                <w:lang w:val="en-US"/>
              </w:rPr>
              <w:t>20251651086  SHREYA</w:t>
            </w:r>
          </w:p>
        </w:tc>
      </w:tr>
      <w:tr w14:paraId="5DF89ACE">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2268" w:type="dxa"/>
            <w:shd w:val="clear" w:color="auto" w:fill="EDF2F6"/>
          </w:tcPr>
          <w:p w14:paraId="23CA2F1B">
            <w:pPr>
              <w:pStyle w:val="10"/>
              <w:rPr>
                <w:rFonts w:ascii="Arial"/>
                <w:b/>
                <w:sz w:val="18"/>
              </w:rPr>
            </w:pPr>
            <w:r>
              <w:rPr>
                <w:rFonts w:ascii="Arial"/>
                <w:b/>
                <w:color w:val="444444"/>
                <w:sz w:val="18"/>
              </w:rPr>
              <w:t xml:space="preserve">Roll No. / </w:t>
            </w:r>
            <w:r>
              <w:rPr>
                <w:rFonts w:ascii="Arial"/>
                <w:b/>
                <w:color w:val="444444"/>
                <w:spacing w:val="-4"/>
                <w:sz w:val="18"/>
              </w:rPr>
              <w:t>Name</w:t>
            </w:r>
          </w:p>
        </w:tc>
        <w:tc>
          <w:tcPr>
            <w:tcW w:w="6803" w:type="dxa"/>
          </w:tcPr>
          <w:p w14:paraId="131DACE0">
            <w:pPr>
              <w:pStyle w:val="10"/>
              <w:ind w:left="159"/>
              <w:rPr>
                <w:rFonts w:hint="default"/>
                <w:sz w:val="18"/>
                <w:lang w:val="en-US"/>
              </w:rPr>
            </w:pPr>
            <w:r>
              <w:rPr>
                <w:rFonts w:hint="default"/>
                <w:sz w:val="18"/>
                <w:lang w:val="en-US"/>
              </w:rPr>
              <w:t>20251651088 SONALI</w:t>
            </w:r>
          </w:p>
        </w:tc>
      </w:tr>
      <w:tr w14:paraId="3EE327ED">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2268" w:type="dxa"/>
            <w:shd w:val="clear" w:color="auto" w:fill="EDF2F6"/>
          </w:tcPr>
          <w:p w14:paraId="006AB472">
            <w:pPr>
              <w:pStyle w:val="10"/>
              <w:rPr>
                <w:rFonts w:ascii="Arial"/>
                <w:b/>
                <w:sz w:val="18"/>
              </w:rPr>
            </w:pPr>
            <w:r>
              <w:rPr>
                <w:rFonts w:ascii="Arial"/>
                <w:b/>
                <w:color w:val="444444"/>
                <w:spacing w:val="-2"/>
                <w:sz w:val="18"/>
              </w:rPr>
              <w:t>Repository</w:t>
            </w:r>
          </w:p>
        </w:tc>
        <w:tc>
          <w:tcPr>
            <w:tcW w:w="6803" w:type="dxa"/>
          </w:tcPr>
          <w:p w14:paraId="1ECE2375">
            <w:pPr>
              <w:pStyle w:val="10"/>
              <w:ind w:left="159"/>
              <w:rPr>
                <w:sz w:val="18"/>
              </w:rPr>
            </w:pPr>
            <w:r>
              <w:fldChar w:fldCharType="begin"/>
            </w:r>
            <w:r>
              <w:instrText xml:space="preserve"> HYPERLINK "https://github.com/yogitagothi2411/CampusEat" \h </w:instrText>
            </w:r>
            <w:r>
              <w:fldChar w:fldCharType="separate"/>
            </w:r>
            <w:r>
              <w:rPr>
                <w:color w:val="444444"/>
                <w:spacing w:val="-2"/>
                <w:sz w:val="18"/>
              </w:rPr>
              <w:t>https://github.com/yogitagothi2411/CampusEat</w:t>
            </w:r>
            <w:r>
              <w:rPr>
                <w:color w:val="444444"/>
                <w:spacing w:val="-2"/>
                <w:sz w:val="18"/>
              </w:rPr>
              <w:fldChar w:fldCharType="end"/>
            </w:r>
          </w:p>
        </w:tc>
      </w:tr>
      <w:tr w14:paraId="229C9E32">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2268" w:type="dxa"/>
            <w:shd w:val="clear" w:color="auto" w:fill="EDF2F6"/>
          </w:tcPr>
          <w:p w14:paraId="188939A4">
            <w:pPr>
              <w:pStyle w:val="10"/>
              <w:rPr>
                <w:rFonts w:ascii="Arial"/>
                <w:b/>
                <w:sz w:val="18"/>
              </w:rPr>
            </w:pPr>
            <w:r>
              <w:rPr>
                <w:rFonts w:ascii="Arial"/>
                <w:b/>
                <w:color w:val="444444"/>
                <w:spacing w:val="-2"/>
                <w:sz w:val="18"/>
              </w:rPr>
              <w:t>Course</w:t>
            </w:r>
          </w:p>
        </w:tc>
        <w:tc>
          <w:tcPr>
            <w:tcW w:w="6803" w:type="dxa"/>
          </w:tcPr>
          <w:p w14:paraId="305B015F">
            <w:pPr>
              <w:pStyle w:val="10"/>
              <w:ind w:left="159"/>
              <w:rPr>
                <w:sz w:val="18"/>
              </w:rPr>
            </w:pPr>
            <w:r>
              <w:rPr>
                <w:color w:val="444444"/>
                <w:sz w:val="18"/>
              </w:rPr>
              <w:t xml:space="preserve">CS543 – Web </w:t>
            </w:r>
            <w:r>
              <w:rPr>
                <w:color w:val="444444"/>
                <w:spacing w:val="-2"/>
                <w:sz w:val="18"/>
              </w:rPr>
              <w:t>Services</w:t>
            </w:r>
          </w:p>
        </w:tc>
      </w:tr>
      <w:tr w14:paraId="157CA109">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2268" w:type="dxa"/>
            <w:shd w:val="clear" w:color="auto" w:fill="EDF2F6"/>
          </w:tcPr>
          <w:p w14:paraId="6398E881">
            <w:pPr>
              <w:pStyle w:val="10"/>
              <w:rPr>
                <w:rFonts w:ascii="Arial"/>
                <w:b/>
                <w:sz w:val="18"/>
              </w:rPr>
            </w:pPr>
            <w:r>
              <w:rPr>
                <w:rFonts w:ascii="Arial"/>
                <w:b/>
                <w:color w:val="444444"/>
                <w:spacing w:val="-4"/>
                <w:sz w:val="18"/>
              </w:rPr>
              <w:t>Date</w:t>
            </w:r>
          </w:p>
        </w:tc>
        <w:tc>
          <w:tcPr>
            <w:tcW w:w="6803" w:type="dxa"/>
          </w:tcPr>
          <w:p w14:paraId="7FB8AAC3">
            <w:pPr>
              <w:pStyle w:val="10"/>
              <w:ind w:left="159"/>
              <w:rPr>
                <w:sz w:val="18"/>
              </w:rPr>
            </w:pPr>
            <w:r>
              <w:rPr>
                <w:color w:val="444444"/>
                <w:sz w:val="18"/>
              </w:rPr>
              <w:t xml:space="preserve">23 August </w:t>
            </w:r>
            <w:r>
              <w:rPr>
                <w:color w:val="444444"/>
                <w:spacing w:val="-4"/>
                <w:sz w:val="18"/>
              </w:rPr>
              <w:t>2026</w:t>
            </w:r>
          </w:p>
        </w:tc>
      </w:tr>
    </w:tbl>
    <w:p w14:paraId="46BF00C5">
      <w:pPr>
        <w:pStyle w:val="7"/>
        <w:spacing w:before="0"/>
        <w:rPr>
          <w:rFonts w:ascii="Arial"/>
          <w:i/>
          <w:sz w:val="30"/>
        </w:rPr>
      </w:pPr>
    </w:p>
    <w:p w14:paraId="532585ED">
      <w:pPr>
        <w:pStyle w:val="7"/>
        <w:spacing w:before="10"/>
        <w:rPr>
          <w:rFonts w:ascii="Arial"/>
          <w:i/>
          <w:sz w:val="30"/>
        </w:rPr>
      </w:pPr>
    </w:p>
    <w:p w14:paraId="62B4283C">
      <w:pPr>
        <w:pStyle w:val="3"/>
        <w:numPr>
          <w:ilvl w:val="0"/>
          <w:numId w:val="1"/>
        </w:numPr>
        <w:tabs>
          <w:tab w:val="left" w:pos="340"/>
        </w:tabs>
        <w:spacing w:before="0" w:after="0" w:line="240" w:lineRule="auto"/>
        <w:ind w:left="340" w:right="0" w:hanging="333"/>
        <w:jc w:val="left"/>
      </w:pPr>
      <w:r>
        <w:rPr>
          <w:color w:val="1A3D5B"/>
          <w:spacing w:val="-2"/>
        </w:rPr>
        <w:t>Context</w:t>
      </w:r>
    </w:p>
    <w:p w14:paraId="69F18002">
      <w:pPr>
        <w:pStyle w:val="7"/>
        <w:spacing w:line="312" w:lineRule="auto"/>
        <w:ind w:left="7" w:right="216"/>
      </w:pPr>
      <w:r>
        <w:rPr>
          <w:rFonts w:ascii="Arial" w:hAnsi="Arial"/>
          <w:b/>
        </w:rPr>
        <w:t xml:space="preserve">Partner chosen: </w:t>
      </w:r>
      <w:r>
        <w:t>CampusPay Gateway — an external payment service provider that authorizes and captures card/UPI payments on behalf of CampusEats.</w:t>
      </w:r>
    </w:p>
    <w:p w14:paraId="1D4945FE">
      <w:pPr>
        <w:pStyle w:val="7"/>
        <w:spacing w:before="162" w:line="290" w:lineRule="auto"/>
        <w:ind w:left="7" w:right="216"/>
      </w:pPr>
      <w:r>
        <w:rPr>
          <w:rFonts w:ascii="Arial" w:hAnsi="Arial"/>
          <w:b/>
        </w:rPr>
        <w:t xml:space="preserve">Operation integrated: </w:t>
      </w:r>
      <w:r>
        <w:rPr>
          <w:rFonts w:ascii="Courier New" w:hAnsi="Courier New"/>
        </w:rPr>
        <w:t>chargePayment</w:t>
      </w:r>
      <w:r>
        <w:rPr>
          <w:rFonts w:ascii="Courier New" w:hAnsi="Courier New"/>
          <w:spacing w:val="-55"/>
        </w:rPr>
        <w:t xml:space="preserve"> </w:t>
      </w:r>
      <w:r>
        <w:t>— called by the Order Service at checkout to charge a student for a placed order.</w:t>
      </w:r>
    </w:p>
    <w:p w14:paraId="7E9B08A4">
      <w:pPr>
        <w:pStyle w:val="7"/>
        <w:spacing w:before="186" w:line="312" w:lineRule="auto"/>
        <w:ind w:left="7" w:right="116"/>
      </w:pPr>
      <w:r>
        <w:rPr>
          <w:rFonts w:ascii="Arial" w:hAnsi="Arial"/>
          <w:b/>
        </w:rPr>
        <w:t xml:space="preserve">Why this edge is SOAP while the rest of CampusEats is REST: </w:t>
      </w:r>
      <w:r>
        <w:t>The payment edge needs a strong, machine-checkable contract (a WSDL/XSD) so that money-moving fields such as amount, currency and merchant order ID cannot silently drift between CampusEats and the gateway, unlike the loose JSON contracts used internally between our own REST services. It also needs message-level security – the merchant credentials travel inside a signed/encrypted SOAP Header separate from the business payload, so the payload itself can still be logged or routed without exposing secrets, something REST's</w:t>
      </w:r>
    </w:p>
    <w:p w14:paraId="328864AE">
      <w:pPr>
        <w:pStyle w:val="7"/>
        <w:spacing w:before="6" w:line="312" w:lineRule="auto"/>
        <w:ind w:left="7" w:right="60"/>
      </w:pPr>
      <w:r>
        <w:t>transport-level TLS-only security does not give us. Finally, real payment gateways expose transactional, WS-* style operations (authorize/capture/reverse) with formal fault contracts, which fits SOAP/WSDL's operation-plus-fault model far better than a resource-oriented REST API. The rest of CampusEats (Catalogue, Order, Delivery, Notification) is internal, high-change-rate, and cache-friendly, so REST/JSON remains the right fit there.</w:t>
      </w:r>
    </w:p>
    <w:p w14:paraId="529939E8">
      <w:pPr>
        <w:pStyle w:val="7"/>
        <w:spacing w:before="137"/>
      </w:pPr>
    </w:p>
    <w:p w14:paraId="6C9E6785">
      <w:pPr>
        <w:pStyle w:val="3"/>
        <w:numPr>
          <w:ilvl w:val="0"/>
          <w:numId w:val="1"/>
        </w:numPr>
        <w:tabs>
          <w:tab w:val="left" w:pos="340"/>
        </w:tabs>
        <w:spacing w:before="1" w:after="0" w:line="240" w:lineRule="auto"/>
        <w:ind w:left="340" w:right="0" w:hanging="333"/>
        <w:jc w:val="left"/>
      </w:pPr>
      <w:r>
        <w:rPr>
          <w:color w:val="1A3D5B"/>
        </w:rPr>
        <w:t xml:space="preserve">Partner WSDL – </w:t>
      </w:r>
      <w:r>
        <w:rPr>
          <w:color w:val="1A3D5B"/>
          <w:spacing w:val="-2"/>
        </w:rPr>
        <w:t>partner.wsdl</w:t>
      </w:r>
    </w:p>
    <w:p w14:paraId="3C0D22C9">
      <w:pPr>
        <w:pStyle w:val="7"/>
        <w:spacing w:before="252"/>
        <w:ind w:left="7"/>
      </w:pPr>
      <w:r>
        <w:t>The</w:t>
      </w:r>
      <w:r>
        <w:rPr>
          <w:spacing w:val="11"/>
        </w:rPr>
        <w:t xml:space="preserve"> </w:t>
      </w:r>
      <w:r>
        <w:t>full</w:t>
      </w:r>
      <w:r>
        <w:rPr>
          <w:spacing w:val="11"/>
        </w:rPr>
        <w:t xml:space="preserve"> </w:t>
      </w:r>
      <w:r>
        <w:t>contract</w:t>
      </w:r>
      <w:r>
        <w:rPr>
          <w:spacing w:val="11"/>
        </w:rPr>
        <w:t xml:space="preserve"> </w:t>
      </w:r>
      <w:r>
        <w:t>is</w:t>
      </w:r>
      <w:r>
        <w:rPr>
          <w:spacing w:val="11"/>
        </w:rPr>
        <w:t xml:space="preserve"> </w:t>
      </w:r>
      <w:r>
        <w:t>committed</w:t>
      </w:r>
      <w:r>
        <w:rPr>
          <w:spacing w:val="11"/>
        </w:rPr>
        <w:t xml:space="preserve"> </w:t>
      </w:r>
      <w:r>
        <w:t>as</w:t>
      </w:r>
      <w:r>
        <w:rPr>
          <w:spacing w:val="12"/>
        </w:rPr>
        <w:t xml:space="preserve"> </w:t>
      </w:r>
      <w:r>
        <w:rPr>
          <w:rFonts w:ascii="Courier New"/>
        </w:rPr>
        <w:t>partner.wsdl</w:t>
      </w:r>
      <w:r>
        <w:t>.</w:t>
      </w:r>
      <w:r>
        <w:rPr>
          <w:spacing w:val="11"/>
        </w:rPr>
        <w:t xml:space="preserve"> </w:t>
      </w:r>
      <w:r>
        <w:t>It</w:t>
      </w:r>
      <w:r>
        <w:rPr>
          <w:spacing w:val="11"/>
        </w:rPr>
        <w:t xml:space="preserve"> </w:t>
      </w:r>
      <w:r>
        <w:t>defines</w:t>
      </w:r>
      <w:r>
        <w:rPr>
          <w:spacing w:val="11"/>
        </w:rPr>
        <w:t xml:space="preserve"> </w:t>
      </w:r>
      <w:r>
        <w:t>all</w:t>
      </w:r>
      <w:r>
        <w:rPr>
          <w:spacing w:val="11"/>
        </w:rPr>
        <w:t xml:space="preserve"> </w:t>
      </w:r>
      <w:r>
        <w:t>six</w:t>
      </w:r>
      <w:r>
        <w:rPr>
          <w:spacing w:val="12"/>
        </w:rPr>
        <w:t xml:space="preserve"> </w:t>
      </w:r>
      <w:r>
        <w:t>required</w:t>
      </w:r>
      <w:r>
        <w:rPr>
          <w:spacing w:val="11"/>
        </w:rPr>
        <w:t xml:space="preserve"> </w:t>
      </w:r>
      <w:r>
        <w:t>WSDL</w:t>
      </w:r>
      <w:r>
        <w:rPr>
          <w:spacing w:val="11"/>
        </w:rPr>
        <w:t xml:space="preserve"> </w:t>
      </w:r>
      <w:r>
        <w:t>elements</w:t>
      </w:r>
      <w:r>
        <w:rPr>
          <w:spacing w:val="11"/>
        </w:rPr>
        <w:t xml:space="preserve"> </w:t>
      </w:r>
      <w:r>
        <w:t>for</w:t>
      </w:r>
      <w:r>
        <w:rPr>
          <w:spacing w:val="11"/>
        </w:rPr>
        <w:t xml:space="preserve"> </w:t>
      </w:r>
      <w:r>
        <w:rPr>
          <w:spacing w:val="-5"/>
        </w:rPr>
        <w:t>the</w:t>
      </w:r>
    </w:p>
    <w:p w14:paraId="711801FF">
      <w:pPr>
        <w:pStyle w:val="7"/>
        <w:spacing w:before="53"/>
        <w:ind w:left="7"/>
      </w:pPr>
      <w:r>
        <w:rPr>
          <w:rFonts w:ascii="Courier New"/>
        </w:rPr>
        <w:t>chargePayment</w:t>
      </w:r>
      <w:r>
        <w:rPr>
          <w:rFonts w:ascii="Courier New"/>
          <w:spacing w:val="-33"/>
        </w:rPr>
        <w:t xml:space="preserve"> </w:t>
      </w:r>
      <w:r>
        <w:rPr>
          <w:spacing w:val="-2"/>
        </w:rPr>
        <w:t>operation:</w:t>
      </w:r>
    </w:p>
    <w:p w14:paraId="4B006F8D">
      <w:pPr>
        <w:pStyle w:val="9"/>
        <w:numPr>
          <w:ilvl w:val="1"/>
          <w:numId w:val="1"/>
        </w:numPr>
        <w:tabs>
          <w:tab w:val="left" w:pos="414"/>
        </w:tabs>
        <w:spacing w:before="212" w:after="0" w:line="312" w:lineRule="auto"/>
        <w:ind w:left="287" w:right="1647" w:firstLine="0"/>
        <w:jc w:val="left"/>
        <w:rPr>
          <w:sz w:val="20"/>
        </w:rPr>
      </w:pPr>
      <w:r>
        <w:rPr>
          <w:rFonts w:ascii="Arial" w:hAnsi="Arial"/>
          <w:b/>
          <w:sz w:val="20"/>
        </w:rPr>
        <w:t xml:space="preserve">types </w:t>
      </w:r>
      <w:r>
        <w:rPr>
          <w:sz w:val="20"/>
        </w:rPr>
        <w:t>– XSD schema defining ChargePaymentRequest, ChargePaymentResponse, PaymentFaultDetail and an AuthHeader element.</w:t>
      </w:r>
    </w:p>
    <w:p w14:paraId="522090C3">
      <w:pPr>
        <w:pStyle w:val="9"/>
        <w:numPr>
          <w:ilvl w:val="1"/>
          <w:numId w:val="1"/>
        </w:numPr>
        <w:tabs>
          <w:tab w:val="left" w:pos="414"/>
        </w:tabs>
        <w:spacing w:before="82" w:after="0" w:line="312" w:lineRule="auto"/>
        <w:ind w:left="287" w:right="167" w:firstLine="0"/>
        <w:jc w:val="left"/>
        <w:rPr>
          <w:sz w:val="20"/>
        </w:rPr>
      </w:pPr>
      <w:r>
        <w:rPr>
          <w:rFonts w:ascii="Arial" w:hAnsi="Arial"/>
          <w:b/>
          <w:sz w:val="20"/>
        </w:rPr>
        <w:t xml:space="preserve">message </w:t>
      </w:r>
      <w:r>
        <w:rPr>
          <w:sz w:val="20"/>
        </w:rPr>
        <w:t xml:space="preserve">– ChargePaymentRequestMessage (header + body), ChargePaymentResponseMessage, </w:t>
      </w:r>
      <w:r>
        <w:rPr>
          <w:spacing w:val="-2"/>
          <w:sz w:val="20"/>
        </w:rPr>
        <w:t>ChargePaymentFaultMessage.</w:t>
      </w:r>
    </w:p>
    <w:p w14:paraId="46E12F59">
      <w:pPr>
        <w:pStyle w:val="9"/>
        <w:numPr>
          <w:ilvl w:val="1"/>
          <w:numId w:val="1"/>
        </w:numPr>
        <w:tabs>
          <w:tab w:val="left" w:pos="414"/>
        </w:tabs>
        <w:spacing w:before="82" w:after="0" w:line="240" w:lineRule="auto"/>
        <w:ind w:left="414" w:right="0" w:hanging="127"/>
        <w:jc w:val="left"/>
        <w:rPr>
          <w:sz w:val="20"/>
        </w:rPr>
      </w:pPr>
      <w:r>
        <w:rPr>
          <w:rFonts w:ascii="Arial" w:hAnsi="Arial"/>
          <w:b/>
          <w:sz w:val="20"/>
        </w:rPr>
        <w:t>portType</w:t>
      </w:r>
      <w:r>
        <w:rPr>
          <w:rFonts w:ascii="Arial" w:hAnsi="Arial"/>
          <w:b/>
          <w:spacing w:val="14"/>
          <w:sz w:val="20"/>
        </w:rPr>
        <w:t xml:space="preserve"> </w:t>
      </w:r>
      <w:r>
        <w:rPr>
          <w:sz w:val="20"/>
        </w:rPr>
        <w:t>–</w:t>
      </w:r>
      <w:r>
        <w:rPr>
          <w:spacing w:val="15"/>
          <w:sz w:val="20"/>
        </w:rPr>
        <w:t xml:space="preserve"> </w:t>
      </w:r>
      <w:r>
        <w:rPr>
          <w:sz w:val="20"/>
        </w:rPr>
        <w:t>CampusPayGatewayPortType</w:t>
      </w:r>
      <w:r>
        <w:rPr>
          <w:spacing w:val="15"/>
          <w:sz w:val="20"/>
        </w:rPr>
        <w:t xml:space="preserve"> </w:t>
      </w:r>
      <w:r>
        <w:rPr>
          <w:sz w:val="20"/>
        </w:rPr>
        <w:t>with</w:t>
      </w:r>
      <w:r>
        <w:rPr>
          <w:spacing w:val="15"/>
          <w:sz w:val="20"/>
        </w:rPr>
        <w:t xml:space="preserve"> </w:t>
      </w:r>
      <w:r>
        <w:rPr>
          <w:sz w:val="20"/>
        </w:rPr>
        <w:t>the</w:t>
      </w:r>
      <w:r>
        <w:rPr>
          <w:spacing w:val="15"/>
          <w:sz w:val="20"/>
        </w:rPr>
        <w:t xml:space="preserve"> </w:t>
      </w:r>
      <w:r>
        <w:rPr>
          <w:sz w:val="20"/>
        </w:rPr>
        <w:t>chargePayment</w:t>
      </w:r>
      <w:r>
        <w:rPr>
          <w:spacing w:val="15"/>
          <w:sz w:val="20"/>
        </w:rPr>
        <w:t xml:space="preserve"> </w:t>
      </w:r>
      <w:r>
        <w:rPr>
          <w:sz w:val="20"/>
        </w:rPr>
        <w:t>operation</w:t>
      </w:r>
      <w:r>
        <w:rPr>
          <w:spacing w:val="15"/>
          <w:sz w:val="20"/>
        </w:rPr>
        <w:t xml:space="preserve"> </w:t>
      </w:r>
      <w:r>
        <w:rPr>
          <w:sz w:val="20"/>
        </w:rPr>
        <w:t>(input</w:t>
      </w:r>
      <w:r>
        <w:rPr>
          <w:spacing w:val="15"/>
          <w:sz w:val="20"/>
        </w:rPr>
        <w:t xml:space="preserve"> </w:t>
      </w:r>
      <w:r>
        <w:rPr>
          <w:sz w:val="20"/>
        </w:rPr>
        <w:t>/</w:t>
      </w:r>
      <w:r>
        <w:rPr>
          <w:spacing w:val="15"/>
          <w:sz w:val="20"/>
        </w:rPr>
        <w:t xml:space="preserve"> </w:t>
      </w:r>
      <w:r>
        <w:rPr>
          <w:sz w:val="20"/>
        </w:rPr>
        <w:t>output</w:t>
      </w:r>
      <w:r>
        <w:rPr>
          <w:spacing w:val="15"/>
          <w:sz w:val="20"/>
        </w:rPr>
        <w:t xml:space="preserve"> </w:t>
      </w:r>
      <w:r>
        <w:rPr>
          <w:sz w:val="20"/>
        </w:rPr>
        <w:t>/</w:t>
      </w:r>
      <w:r>
        <w:rPr>
          <w:spacing w:val="15"/>
          <w:sz w:val="20"/>
        </w:rPr>
        <w:t xml:space="preserve"> </w:t>
      </w:r>
      <w:r>
        <w:rPr>
          <w:spacing w:val="-2"/>
          <w:sz w:val="20"/>
        </w:rPr>
        <w:t>fault).</w:t>
      </w:r>
    </w:p>
    <w:p w14:paraId="5583C868">
      <w:pPr>
        <w:pStyle w:val="9"/>
        <w:spacing w:after="0" w:line="240" w:lineRule="auto"/>
        <w:jc w:val="left"/>
        <w:rPr>
          <w:sz w:val="20"/>
        </w:rPr>
        <w:sectPr>
          <w:type w:val="continuous"/>
          <w:pgSz w:w="11910" w:h="16840"/>
          <w:pgMar w:top="1080" w:right="1133" w:bottom="280" w:left="1133" w:header="720" w:footer="720" w:gutter="0"/>
          <w:cols w:space="720" w:num="1"/>
        </w:sectPr>
      </w:pPr>
    </w:p>
    <w:p w14:paraId="6407935C">
      <w:pPr>
        <w:pStyle w:val="9"/>
        <w:numPr>
          <w:ilvl w:val="1"/>
          <w:numId w:val="1"/>
        </w:numPr>
        <w:tabs>
          <w:tab w:val="left" w:pos="414"/>
        </w:tabs>
        <w:spacing w:before="79" w:after="0" w:line="312" w:lineRule="auto"/>
        <w:ind w:left="287" w:right="922" w:firstLine="0"/>
        <w:jc w:val="left"/>
        <w:rPr>
          <w:sz w:val="20"/>
        </w:rPr>
      </w:pPr>
      <w:r>
        <w:rPr>
          <w:rFonts w:ascii="Arial" w:hAnsi="Arial"/>
          <w:b/>
          <w:sz w:val="20"/>
        </w:rPr>
        <w:t xml:space="preserve">binding </w:t>
      </w:r>
      <w:r>
        <w:rPr>
          <w:sz w:val="20"/>
        </w:rPr>
        <w:t xml:space="preserve">– CampusPayGatewayBinding, SOAP 1.1 over HTTP, document/literal style, with a </w:t>
      </w:r>
      <w:r>
        <w:rPr>
          <w:spacing w:val="-2"/>
          <w:sz w:val="20"/>
        </w:rPr>
        <w:t>soapAction.</w:t>
      </w:r>
    </w:p>
    <w:p w14:paraId="4ED29681">
      <w:pPr>
        <w:pStyle w:val="9"/>
        <w:numPr>
          <w:ilvl w:val="1"/>
          <w:numId w:val="1"/>
        </w:numPr>
        <w:tabs>
          <w:tab w:val="left" w:pos="414"/>
        </w:tabs>
        <w:spacing w:before="82" w:after="0" w:line="240" w:lineRule="auto"/>
        <w:ind w:left="414" w:right="0" w:hanging="127"/>
        <w:jc w:val="left"/>
        <w:rPr>
          <w:sz w:val="20"/>
        </w:rPr>
      </w:pPr>
      <w:r>
        <w:rPr>
          <w:rFonts w:ascii="Arial" w:hAnsi="Arial"/>
          <w:b/>
          <w:sz w:val="20"/>
        </w:rPr>
        <w:t>service</w:t>
      </w:r>
      <w:r>
        <w:rPr>
          <w:rFonts w:ascii="Arial" w:hAnsi="Arial"/>
          <w:b/>
          <w:spacing w:val="18"/>
          <w:sz w:val="20"/>
        </w:rPr>
        <w:t xml:space="preserve"> </w:t>
      </w:r>
      <w:r>
        <w:rPr>
          <w:rFonts w:ascii="Arial" w:hAnsi="Arial"/>
          <w:b/>
          <w:sz w:val="20"/>
        </w:rPr>
        <w:t>/</w:t>
      </w:r>
      <w:r>
        <w:rPr>
          <w:rFonts w:ascii="Arial" w:hAnsi="Arial"/>
          <w:b/>
          <w:spacing w:val="18"/>
          <w:sz w:val="20"/>
        </w:rPr>
        <w:t xml:space="preserve"> </w:t>
      </w:r>
      <w:r>
        <w:rPr>
          <w:rFonts w:ascii="Arial" w:hAnsi="Arial"/>
          <w:b/>
          <w:sz w:val="20"/>
        </w:rPr>
        <w:t>port</w:t>
      </w:r>
      <w:r>
        <w:rPr>
          <w:rFonts w:ascii="Arial" w:hAnsi="Arial"/>
          <w:b/>
          <w:spacing w:val="19"/>
          <w:sz w:val="20"/>
        </w:rPr>
        <w:t xml:space="preserve"> </w:t>
      </w:r>
      <w:r>
        <w:rPr>
          <w:sz w:val="20"/>
        </w:rPr>
        <w:t>–</w:t>
      </w:r>
      <w:r>
        <w:rPr>
          <w:spacing w:val="18"/>
          <w:sz w:val="20"/>
        </w:rPr>
        <w:t xml:space="preserve"> </w:t>
      </w:r>
      <w:r>
        <w:rPr>
          <w:sz w:val="20"/>
        </w:rPr>
        <w:t>CampusPayGatewayService</w:t>
      </w:r>
      <w:r>
        <w:rPr>
          <w:spacing w:val="19"/>
          <w:sz w:val="20"/>
        </w:rPr>
        <w:t xml:space="preserve"> </w:t>
      </w:r>
      <w:r>
        <w:rPr>
          <w:sz w:val="20"/>
        </w:rPr>
        <w:t>/</w:t>
      </w:r>
      <w:r>
        <w:rPr>
          <w:spacing w:val="18"/>
          <w:sz w:val="20"/>
        </w:rPr>
        <w:t xml:space="preserve"> </w:t>
      </w:r>
      <w:r>
        <w:rPr>
          <w:sz w:val="20"/>
        </w:rPr>
        <w:t>CampusPayGatewayPort</w:t>
      </w:r>
      <w:r>
        <w:rPr>
          <w:spacing w:val="18"/>
          <w:sz w:val="20"/>
        </w:rPr>
        <w:t xml:space="preserve"> </w:t>
      </w:r>
      <w:r>
        <w:rPr>
          <w:spacing w:val="-5"/>
          <w:sz w:val="20"/>
        </w:rPr>
        <w:t>at</w:t>
      </w:r>
    </w:p>
    <w:p w14:paraId="62D8A008">
      <w:pPr>
        <w:pStyle w:val="7"/>
        <w:spacing w:before="70"/>
        <w:ind w:left="287"/>
      </w:pPr>
      <w:r>
        <w:fldChar w:fldCharType="begin"/>
      </w:r>
      <w:r>
        <w:instrText xml:space="preserve"> HYPERLINK "https://api.campuspay.example.com/gateway/v1/payments" \h </w:instrText>
      </w:r>
      <w:r>
        <w:fldChar w:fldCharType="separate"/>
      </w:r>
      <w:r>
        <w:rPr>
          <w:rFonts w:ascii="Courier New"/>
          <w:spacing w:val="-2"/>
        </w:rPr>
        <w:t>https://api.campuspay.example.com/gateway/v1/payments</w:t>
      </w:r>
      <w:r>
        <w:rPr>
          <w:rFonts w:ascii="Courier New"/>
          <w:spacing w:val="-2"/>
        </w:rPr>
        <w:fldChar w:fldCharType="end"/>
      </w:r>
      <w:r>
        <w:rPr>
          <w:spacing w:val="-2"/>
        </w:rPr>
        <w:t>.</w:t>
      </w:r>
    </w:p>
    <w:p w14:paraId="72626FA7">
      <w:pPr>
        <w:pStyle w:val="7"/>
        <w:spacing w:before="184"/>
      </w:pPr>
    </w:p>
    <w:p w14:paraId="05DD0BD6">
      <w:pPr>
        <w:pStyle w:val="3"/>
        <w:numPr>
          <w:ilvl w:val="0"/>
          <w:numId w:val="1"/>
        </w:numPr>
        <w:tabs>
          <w:tab w:val="left" w:pos="340"/>
        </w:tabs>
        <w:spacing w:before="0" w:after="0" w:line="240" w:lineRule="auto"/>
        <w:ind w:left="340" w:right="0" w:hanging="333"/>
        <w:jc w:val="left"/>
      </w:pPr>
      <w:r>
        <w:rPr>
          <w:color w:val="1A3D5B"/>
        </w:rPr>
        <w:t xml:space="preserve">SOAP </w:t>
      </w:r>
      <w:r>
        <w:rPr>
          <w:color w:val="1A3D5B"/>
          <w:spacing w:val="-2"/>
        </w:rPr>
        <w:t>Messages</w:t>
      </w:r>
    </w:p>
    <w:p w14:paraId="6787858A">
      <w:pPr>
        <w:pStyle w:val="7"/>
        <w:ind w:left="7"/>
      </w:pPr>
      <w:r>
        <w:t>Three</w:t>
      </w:r>
      <w:r>
        <w:rPr>
          <w:spacing w:val="17"/>
        </w:rPr>
        <w:t xml:space="preserve"> </w:t>
      </w:r>
      <w:r>
        <w:t>hand-written</w:t>
      </w:r>
      <w:r>
        <w:rPr>
          <w:spacing w:val="17"/>
        </w:rPr>
        <w:t xml:space="preserve"> </w:t>
      </w:r>
      <w:r>
        <w:t>envelopes</w:t>
      </w:r>
      <w:r>
        <w:rPr>
          <w:spacing w:val="17"/>
        </w:rPr>
        <w:t xml:space="preserve"> </w:t>
      </w:r>
      <w:r>
        <w:t>matching</w:t>
      </w:r>
      <w:r>
        <w:rPr>
          <w:spacing w:val="17"/>
        </w:rPr>
        <w:t xml:space="preserve"> </w:t>
      </w:r>
      <w:r>
        <w:t>the</w:t>
      </w:r>
      <w:r>
        <w:rPr>
          <w:spacing w:val="17"/>
        </w:rPr>
        <w:t xml:space="preserve"> </w:t>
      </w:r>
      <w:r>
        <w:t>WSDL</w:t>
      </w:r>
      <w:r>
        <w:rPr>
          <w:spacing w:val="17"/>
        </w:rPr>
        <w:t xml:space="preserve"> </w:t>
      </w:r>
      <w:r>
        <w:t>element-for-element</w:t>
      </w:r>
      <w:r>
        <w:rPr>
          <w:spacing w:val="17"/>
        </w:rPr>
        <w:t xml:space="preserve"> </w:t>
      </w:r>
      <w:r>
        <w:t>are</w:t>
      </w:r>
      <w:r>
        <w:rPr>
          <w:spacing w:val="17"/>
        </w:rPr>
        <w:t xml:space="preserve"> </w:t>
      </w:r>
      <w:r>
        <w:t>committed</w:t>
      </w:r>
      <w:r>
        <w:rPr>
          <w:spacing w:val="17"/>
        </w:rPr>
        <w:t xml:space="preserve"> </w:t>
      </w:r>
      <w:r>
        <w:rPr>
          <w:spacing w:val="-5"/>
        </w:rPr>
        <w:t>as</w:t>
      </w:r>
    </w:p>
    <w:p w14:paraId="37795B6C">
      <w:pPr>
        <w:pStyle w:val="7"/>
        <w:spacing w:before="70"/>
        <w:ind w:left="7"/>
      </w:pPr>
      <w:r>
        <w:rPr>
          <w:rFonts w:ascii="Courier New"/>
        </w:rPr>
        <w:t>soap-request.xml</w:t>
      </w:r>
      <w:r>
        <w:t>,</w:t>
      </w:r>
      <w:r>
        <w:rPr>
          <w:spacing w:val="24"/>
        </w:rPr>
        <w:t xml:space="preserve"> </w:t>
      </w:r>
      <w:r>
        <w:rPr>
          <w:rFonts w:ascii="Courier New"/>
        </w:rPr>
        <w:t>soap-response.xml</w:t>
      </w:r>
      <w:r>
        <w:rPr>
          <w:rFonts w:ascii="Courier New"/>
          <w:spacing w:val="-40"/>
        </w:rPr>
        <w:t xml:space="preserve"> </w:t>
      </w:r>
      <w:r>
        <w:t>and</w:t>
      </w:r>
      <w:r>
        <w:rPr>
          <w:spacing w:val="24"/>
        </w:rPr>
        <w:t xml:space="preserve"> </w:t>
      </w:r>
      <w:r>
        <w:rPr>
          <w:rFonts w:ascii="Courier New"/>
        </w:rPr>
        <w:t>soap-fault.xml</w:t>
      </w:r>
      <w:r>
        <w:t>.</w:t>
      </w:r>
      <w:r>
        <w:rPr>
          <w:spacing w:val="25"/>
        </w:rPr>
        <w:t xml:space="preserve"> </w:t>
      </w:r>
      <w:r>
        <w:t>Summary</w:t>
      </w:r>
      <w:r>
        <w:rPr>
          <w:spacing w:val="25"/>
        </w:rPr>
        <w:t xml:space="preserve"> </w:t>
      </w:r>
      <w:r>
        <w:t>of</w:t>
      </w:r>
      <w:r>
        <w:rPr>
          <w:spacing w:val="25"/>
        </w:rPr>
        <w:t xml:space="preserve"> </w:t>
      </w:r>
      <w:r>
        <w:rPr>
          <w:spacing w:val="-2"/>
        </w:rPr>
        <w:t>each:</w:t>
      </w:r>
    </w:p>
    <w:p w14:paraId="2F380096">
      <w:pPr>
        <w:pStyle w:val="7"/>
        <w:spacing w:before="213" w:line="312" w:lineRule="auto"/>
        <w:ind w:left="287" w:right="216"/>
      </w:pPr>
      <w:r>
        <w:rPr>
          <w:rFonts w:ascii="Arial" w:hAnsi="Arial"/>
          <w:b/>
        </w:rPr>
        <w:t xml:space="preserve">Request </w:t>
      </w:r>
      <w:r>
        <w:t>– AuthHeader (merchantId, apiKey) in the SOAP Header; ChargePaymentRequest (merchantOrderId, studentId, amount, currency, paymentMethod, cardToken) in the Body.</w:t>
      </w:r>
    </w:p>
    <w:p w14:paraId="16A7788D">
      <w:pPr>
        <w:pStyle w:val="7"/>
        <w:spacing w:before="82" w:line="312" w:lineRule="auto"/>
        <w:ind w:left="287" w:right="216"/>
      </w:pPr>
      <w:r>
        <w:rPr>
          <w:rFonts w:ascii="Arial" w:hAnsi="Arial"/>
          <w:b/>
        </w:rPr>
        <w:t xml:space="preserve">Response </w:t>
      </w:r>
      <w:r>
        <w:t>– ChargePaymentResponse (transactionId, merchantOrderId, status=CAPTURED, amountCharged, currency, authCode, timestamp) in the Body.</w:t>
      </w:r>
    </w:p>
    <w:p w14:paraId="062EE1F5">
      <w:pPr>
        <w:pStyle w:val="7"/>
        <w:spacing w:before="82" w:line="312" w:lineRule="auto"/>
        <w:ind w:left="287" w:right="1033"/>
      </w:pPr>
      <w:r>
        <w:rPr>
          <w:rFonts w:ascii="Arial" w:hAnsi="Arial"/>
          <w:b/>
        </w:rPr>
        <w:t xml:space="preserve">Fault </w:t>
      </w:r>
      <w:r>
        <w:t>– a standard soap:Fault with faultcode=Client, a human-readable faultstring, and a PaymentFaultDetail block carrying the partner's own faultCode (card_declined) for a realistic declined-transaction failure.</w:t>
      </w:r>
    </w:p>
    <w:p w14:paraId="60DB53DC">
      <w:pPr>
        <w:pStyle w:val="7"/>
        <w:spacing w:before="135"/>
      </w:pPr>
    </w:p>
    <w:p w14:paraId="420E2EE5">
      <w:pPr>
        <w:pStyle w:val="3"/>
        <w:numPr>
          <w:ilvl w:val="0"/>
          <w:numId w:val="1"/>
        </w:numPr>
        <w:tabs>
          <w:tab w:val="left" w:pos="340"/>
        </w:tabs>
        <w:spacing w:before="0" w:after="0" w:line="240" w:lineRule="auto"/>
        <w:ind w:left="340" w:right="0" w:hanging="333"/>
        <w:jc w:val="left"/>
      </w:pPr>
      <w:r>
        <w:rPr>
          <w:color w:val="1A3D5B"/>
        </w:rPr>
        <w:t xml:space="preserve">HTTP </w:t>
      </w:r>
      <w:r>
        <w:rPr>
          <w:color w:val="1A3D5B"/>
          <w:spacing w:val="-2"/>
        </w:rPr>
        <w:t>Binding</w:t>
      </w:r>
    </w:p>
    <w:p w14:paraId="760576DF">
      <w:pPr>
        <w:pStyle w:val="7"/>
        <w:spacing w:line="312" w:lineRule="auto"/>
        <w:ind w:left="7" w:right="216"/>
      </w:pPr>
      <w:r>
        <w:t>The chargePayment request is carried as the following HTTP POST, per the soap:binding / soap:address</w:t>
      </w:r>
      <w:r>
        <w:rPr>
          <w:spacing w:val="40"/>
        </w:rPr>
        <w:t xml:space="preserve"> </w:t>
      </w:r>
      <w:r>
        <w:t>in partner.wsdl:</w:t>
      </w:r>
    </w:p>
    <w:p w14:paraId="5663A6AC">
      <w:pPr>
        <w:spacing w:before="178" w:line="290" w:lineRule="auto"/>
        <w:ind w:left="727" w:right="5224" w:firstLine="0"/>
        <w:jc w:val="left"/>
        <w:rPr>
          <w:rFonts w:ascii="Courier New"/>
          <w:sz w:val="16"/>
        </w:rPr>
      </w:pPr>
      <w:r>
        <w:rPr>
          <w:rFonts w:ascii="Courier New"/>
          <w:w w:val="105"/>
          <w:sz w:val="16"/>
        </w:rPr>
        <w:t>POST /gateway/v1/payments HTTP/1.1 Host: api.campuspay.example.com Content-Type:</w:t>
      </w:r>
      <w:r>
        <w:rPr>
          <w:rFonts w:ascii="Courier New"/>
          <w:spacing w:val="-26"/>
          <w:w w:val="105"/>
          <w:sz w:val="16"/>
        </w:rPr>
        <w:t xml:space="preserve"> </w:t>
      </w:r>
      <w:r>
        <w:rPr>
          <w:rFonts w:ascii="Courier New"/>
          <w:w w:val="105"/>
          <w:sz w:val="16"/>
        </w:rPr>
        <w:t>text/xml;</w:t>
      </w:r>
      <w:r>
        <w:rPr>
          <w:rFonts w:ascii="Courier New"/>
          <w:spacing w:val="-25"/>
          <w:w w:val="105"/>
          <w:sz w:val="16"/>
        </w:rPr>
        <w:t xml:space="preserve"> </w:t>
      </w:r>
      <w:r>
        <w:rPr>
          <w:rFonts w:ascii="Courier New"/>
          <w:w w:val="105"/>
          <w:sz w:val="16"/>
        </w:rPr>
        <w:t>charset=utf-8 Content-Length: 612</w:t>
      </w:r>
    </w:p>
    <w:p w14:paraId="4AC98038">
      <w:pPr>
        <w:spacing w:before="3"/>
        <w:ind w:left="727" w:right="0" w:firstLine="0"/>
        <w:jc w:val="left"/>
        <w:rPr>
          <w:rFonts w:ascii="Courier New"/>
          <w:sz w:val="16"/>
        </w:rPr>
      </w:pPr>
      <w:r>
        <w:rPr>
          <w:rFonts w:ascii="Courier New"/>
          <w:w w:val="105"/>
          <w:sz w:val="16"/>
        </w:rPr>
        <w:t>SOAPAction:</w:t>
      </w:r>
      <w:r>
        <w:rPr>
          <w:rFonts w:ascii="Courier New"/>
          <w:spacing w:val="-23"/>
          <w:w w:val="105"/>
          <w:sz w:val="16"/>
        </w:rPr>
        <w:t xml:space="preserve"> </w:t>
      </w:r>
      <w:r>
        <w:rPr>
          <w:rFonts w:ascii="Courier New"/>
          <w:spacing w:val="-2"/>
          <w:w w:val="105"/>
          <w:sz w:val="16"/>
        </w:rPr>
        <w:t>"</w:t>
      </w:r>
      <w:r>
        <w:fldChar w:fldCharType="begin"/>
      </w:r>
      <w:r>
        <w:instrText xml:space="preserve"> HYPERLINK "http://campuspay.example.com/gateway/chargePayment" \h </w:instrText>
      </w:r>
      <w:r>
        <w:fldChar w:fldCharType="separate"/>
      </w:r>
      <w:r>
        <w:rPr>
          <w:rFonts w:ascii="Courier New"/>
          <w:spacing w:val="-2"/>
          <w:w w:val="105"/>
          <w:sz w:val="16"/>
        </w:rPr>
        <w:t>http://campuspay.example.com/gateway/chargePayment</w:t>
      </w:r>
      <w:r>
        <w:rPr>
          <w:rFonts w:ascii="Courier New"/>
          <w:spacing w:val="-2"/>
          <w:w w:val="105"/>
          <w:sz w:val="16"/>
        </w:rPr>
        <w:fldChar w:fldCharType="end"/>
      </w:r>
      <w:r>
        <w:rPr>
          <w:rFonts w:ascii="Courier New"/>
          <w:spacing w:val="-2"/>
          <w:w w:val="105"/>
          <w:sz w:val="16"/>
        </w:rPr>
        <w:t>"</w:t>
      </w:r>
    </w:p>
    <w:p w14:paraId="4070F769">
      <w:pPr>
        <w:pStyle w:val="7"/>
        <w:spacing w:before="74"/>
        <w:rPr>
          <w:rFonts w:ascii="Courier New"/>
          <w:sz w:val="16"/>
        </w:rPr>
      </w:pPr>
    </w:p>
    <w:p w14:paraId="57E4A8F0">
      <w:pPr>
        <w:spacing w:before="0" w:line="290" w:lineRule="auto"/>
        <w:ind w:left="2620" w:right="216" w:hanging="1893"/>
        <w:jc w:val="left"/>
        <w:rPr>
          <w:rFonts w:ascii="Courier New"/>
          <w:sz w:val="16"/>
        </w:rPr>
      </w:pPr>
      <w:r>
        <w:rPr>
          <w:rFonts w:ascii="Courier New"/>
          <w:sz w:val="16"/>
        </w:rPr>
        <w:t>&lt;soapenv:Envelope</w:t>
      </w:r>
      <w:r>
        <w:rPr>
          <w:rFonts w:ascii="Courier New"/>
          <w:spacing w:val="40"/>
          <w:sz w:val="16"/>
        </w:rPr>
        <w:t xml:space="preserve"> </w:t>
      </w:r>
      <w:r>
        <w:rPr>
          <w:rFonts w:ascii="Courier New"/>
          <w:sz w:val="16"/>
        </w:rPr>
        <w:t>xmlns:soapenv="</w:t>
      </w:r>
      <w:r>
        <w:fldChar w:fldCharType="begin"/>
      </w:r>
      <w:r>
        <w:instrText xml:space="preserve"> HYPERLINK "http://schemas.xmlsoap.org/soap/envelope/" \h </w:instrText>
      </w:r>
      <w:r>
        <w:fldChar w:fldCharType="separate"/>
      </w:r>
      <w:r>
        <w:rPr>
          <w:rFonts w:ascii="Courier New"/>
          <w:sz w:val="16"/>
        </w:rPr>
        <w:t>http://schemas.xmlsoap.org/soap/envelope/</w:t>
      </w:r>
      <w:r>
        <w:rPr>
          <w:rFonts w:ascii="Courier New"/>
          <w:sz w:val="16"/>
        </w:rPr>
        <w:fldChar w:fldCharType="end"/>
      </w:r>
      <w:r>
        <w:rPr>
          <w:rFonts w:ascii="Courier New"/>
          <w:sz w:val="16"/>
        </w:rPr>
        <w:t xml:space="preserve">" </w:t>
      </w:r>
      <w:r>
        <w:rPr>
          <w:rFonts w:ascii="Courier New"/>
          <w:spacing w:val="-2"/>
          <w:w w:val="105"/>
          <w:sz w:val="16"/>
        </w:rPr>
        <w:t>xmlns:cp="</w:t>
      </w:r>
      <w:r>
        <w:fldChar w:fldCharType="begin"/>
      </w:r>
      <w:r>
        <w:instrText xml:space="preserve"> HYPERLINK "http://campuspay.example.com/gateway/wsdl" \h </w:instrText>
      </w:r>
      <w:r>
        <w:fldChar w:fldCharType="separate"/>
      </w:r>
      <w:r>
        <w:rPr>
          <w:rFonts w:ascii="Courier New"/>
          <w:spacing w:val="-2"/>
          <w:w w:val="105"/>
          <w:sz w:val="16"/>
        </w:rPr>
        <w:t>http://campuspay.example.com/gateway/wsdl</w:t>
      </w:r>
      <w:r>
        <w:rPr>
          <w:rFonts w:ascii="Courier New"/>
          <w:spacing w:val="-2"/>
          <w:w w:val="105"/>
          <w:sz w:val="16"/>
        </w:rPr>
        <w:fldChar w:fldCharType="end"/>
      </w:r>
      <w:r>
        <w:rPr>
          <w:rFonts w:ascii="Courier New"/>
          <w:spacing w:val="-2"/>
          <w:w w:val="105"/>
          <w:sz w:val="16"/>
        </w:rPr>
        <w:t>"&gt;</w:t>
      </w:r>
    </w:p>
    <w:p w14:paraId="2B4B94A5">
      <w:pPr>
        <w:spacing w:before="5"/>
        <w:ind w:left="0" w:right="7116" w:firstLine="0"/>
        <w:jc w:val="right"/>
        <w:rPr>
          <w:rFonts w:ascii="Courier New"/>
          <w:sz w:val="16"/>
        </w:rPr>
      </w:pPr>
      <w:r>
        <w:rPr>
          <w:rFonts w:ascii="Courier New"/>
          <w:spacing w:val="-2"/>
          <w:w w:val="105"/>
          <w:sz w:val="16"/>
        </w:rPr>
        <w:t>&lt;soapenv:Header&gt;</w:t>
      </w:r>
    </w:p>
    <w:p w14:paraId="351CF691">
      <w:pPr>
        <w:spacing w:before="39"/>
        <w:ind w:left="0" w:right="7017" w:firstLine="0"/>
        <w:jc w:val="right"/>
        <w:rPr>
          <w:rFonts w:ascii="Courier New"/>
          <w:sz w:val="16"/>
        </w:rPr>
      </w:pPr>
      <w:r>
        <w:rPr>
          <w:rFonts w:ascii="Courier New"/>
          <w:spacing w:val="-2"/>
          <w:w w:val="105"/>
          <w:sz w:val="16"/>
        </w:rPr>
        <w:t>&lt;cp:AuthHeader&gt;</w:t>
      </w:r>
    </w:p>
    <w:p w14:paraId="4158DF9C">
      <w:pPr>
        <w:spacing w:before="38"/>
        <w:ind w:left="1325" w:right="0" w:firstLine="0"/>
        <w:jc w:val="left"/>
        <w:rPr>
          <w:rFonts w:ascii="Courier New"/>
          <w:sz w:val="16"/>
        </w:rPr>
      </w:pPr>
      <w:r>
        <w:rPr>
          <w:rFonts w:ascii="Courier New"/>
          <w:sz w:val="16"/>
        </w:rPr>
        <w:t>&lt;cp:merchantId&gt;CAMPUSEATS-MERCHANT-</w:t>
      </w:r>
      <w:r>
        <w:rPr>
          <w:rFonts w:ascii="Courier New"/>
          <w:spacing w:val="-2"/>
          <w:sz w:val="16"/>
        </w:rPr>
        <w:t>0042&lt;/cp:merchantId&gt;</w:t>
      </w:r>
    </w:p>
    <w:p w14:paraId="6CDA5F30">
      <w:pPr>
        <w:spacing w:before="39"/>
        <w:ind w:left="1325" w:right="0" w:firstLine="0"/>
        <w:jc w:val="left"/>
        <w:rPr>
          <w:rFonts w:ascii="Courier New"/>
          <w:sz w:val="16"/>
        </w:rPr>
      </w:pPr>
      <w:r>
        <w:rPr>
          <w:rFonts w:ascii="Courier New"/>
          <w:spacing w:val="-2"/>
          <w:w w:val="105"/>
          <w:sz w:val="16"/>
        </w:rPr>
        <w:t>&lt;cp:apiKey&gt;ck_live_9f8a2b7c1d4e6f00aa11bb22cc33dd44&lt;/cp:apiKey&gt;</w:t>
      </w:r>
    </w:p>
    <w:p w14:paraId="6C403BE6">
      <w:pPr>
        <w:spacing w:before="39"/>
        <w:ind w:left="0" w:right="6917" w:firstLine="0"/>
        <w:jc w:val="right"/>
        <w:rPr>
          <w:rFonts w:ascii="Courier New"/>
          <w:sz w:val="16"/>
        </w:rPr>
      </w:pPr>
      <w:r>
        <w:rPr>
          <w:rFonts w:ascii="Courier New"/>
          <w:spacing w:val="-2"/>
          <w:w w:val="105"/>
          <w:sz w:val="16"/>
        </w:rPr>
        <w:t>&lt;/cp:AuthHeader&gt;</w:t>
      </w:r>
    </w:p>
    <w:p w14:paraId="682C751F">
      <w:pPr>
        <w:spacing w:before="39"/>
        <w:ind w:left="0" w:right="7017" w:firstLine="0"/>
        <w:jc w:val="right"/>
        <w:rPr>
          <w:rFonts w:ascii="Courier New"/>
          <w:sz w:val="16"/>
        </w:rPr>
      </w:pPr>
      <w:r>
        <w:rPr>
          <w:rFonts w:ascii="Courier New"/>
          <w:spacing w:val="-2"/>
          <w:w w:val="105"/>
          <w:sz w:val="16"/>
        </w:rPr>
        <w:t>&lt;/soapenv:Header&gt;</w:t>
      </w:r>
    </w:p>
    <w:p w14:paraId="7E043EC2">
      <w:pPr>
        <w:spacing w:before="38"/>
        <w:ind w:left="926" w:right="0" w:firstLine="0"/>
        <w:jc w:val="left"/>
        <w:rPr>
          <w:rFonts w:ascii="Courier New"/>
          <w:sz w:val="16"/>
        </w:rPr>
      </w:pPr>
      <w:r>
        <w:rPr>
          <w:rFonts w:ascii="Courier New"/>
          <w:spacing w:val="-2"/>
          <w:w w:val="105"/>
          <w:sz w:val="16"/>
        </w:rPr>
        <w:t>&lt;soapenv:Body&gt;</w:t>
      </w:r>
    </w:p>
    <w:p w14:paraId="792EA516">
      <w:pPr>
        <w:spacing w:before="39"/>
        <w:ind w:left="1125" w:right="0" w:firstLine="0"/>
        <w:jc w:val="left"/>
        <w:rPr>
          <w:rFonts w:ascii="Courier New"/>
          <w:sz w:val="16"/>
        </w:rPr>
      </w:pPr>
      <w:r>
        <w:rPr>
          <w:rFonts w:ascii="Courier New"/>
          <w:spacing w:val="-2"/>
          <w:w w:val="105"/>
          <w:sz w:val="16"/>
        </w:rPr>
        <w:t>&lt;cp:ChargePaymentRequest&gt;</w:t>
      </w:r>
    </w:p>
    <w:p w14:paraId="23C95E09">
      <w:pPr>
        <w:spacing w:before="39"/>
        <w:ind w:left="1325" w:right="0" w:firstLine="0"/>
        <w:jc w:val="left"/>
        <w:rPr>
          <w:rFonts w:ascii="Courier New"/>
          <w:sz w:val="16"/>
        </w:rPr>
      </w:pPr>
      <w:r>
        <w:rPr>
          <w:rFonts w:ascii="Courier New"/>
          <w:sz w:val="16"/>
        </w:rPr>
        <w:t>&lt;cp:merchantOrderId&gt;ORD-</w:t>
      </w:r>
      <w:r>
        <w:rPr>
          <w:rFonts w:ascii="Courier New"/>
          <w:spacing w:val="-2"/>
          <w:sz w:val="16"/>
        </w:rPr>
        <w:t>100234&lt;/cp:merchantOrderId&gt;</w:t>
      </w:r>
    </w:p>
    <w:p w14:paraId="2EC67280">
      <w:pPr>
        <w:spacing w:before="39"/>
        <w:ind w:left="1325" w:right="0" w:firstLine="0"/>
        <w:jc w:val="left"/>
        <w:rPr>
          <w:rFonts w:ascii="Courier New"/>
          <w:sz w:val="16"/>
        </w:rPr>
      </w:pPr>
      <w:r>
        <w:rPr>
          <w:rFonts w:ascii="Courier New"/>
          <w:sz w:val="16"/>
        </w:rPr>
        <w:t>&lt;cp:studentId&gt;STU-</w:t>
      </w:r>
      <w:r>
        <w:rPr>
          <w:rFonts w:ascii="Courier New"/>
          <w:spacing w:val="-2"/>
          <w:sz w:val="16"/>
        </w:rPr>
        <w:t>778812&lt;/cp:studentId&gt;</w:t>
      </w:r>
    </w:p>
    <w:p w14:paraId="0F7AA622">
      <w:pPr>
        <w:spacing w:before="38"/>
        <w:ind w:left="1325" w:right="0" w:firstLine="0"/>
        <w:jc w:val="left"/>
        <w:rPr>
          <w:rFonts w:ascii="Courier New"/>
          <w:sz w:val="16"/>
        </w:rPr>
      </w:pPr>
      <w:r>
        <w:rPr>
          <w:rFonts w:ascii="Courier New"/>
          <w:spacing w:val="-2"/>
          <w:w w:val="105"/>
          <w:sz w:val="16"/>
        </w:rPr>
        <w:t>&lt;cp:amount&gt;248.50&lt;/cp:amount&gt;</w:t>
      </w:r>
    </w:p>
    <w:p w14:paraId="47DAC641">
      <w:pPr>
        <w:spacing w:before="39"/>
        <w:ind w:left="1325" w:right="0" w:firstLine="0"/>
        <w:jc w:val="left"/>
        <w:rPr>
          <w:rFonts w:ascii="Courier New"/>
          <w:sz w:val="16"/>
        </w:rPr>
      </w:pPr>
      <w:r>
        <w:rPr>
          <w:rFonts w:ascii="Courier New"/>
          <w:spacing w:val="-2"/>
          <w:w w:val="105"/>
          <w:sz w:val="16"/>
        </w:rPr>
        <w:t>&lt;cp:currency&gt;INR&lt;/cp:currency&gt;</w:t>
      </w:r>
    </w:p>
    <w:p w14:paraId="02BE6A35">
      <w:pPr>
        <w:spacing w:before="39"/>
        <w:ind w:left="1325" w:right="0" w:firstLine="0"/>
        <w:jc w:val="left"/>
        <w:rPr>
          <w:rFonts w:ascii="Courier New"/>
          <w:sz w:val="16"/>
        </w:rPr>
      </w:pPr>
      <w:r>
        <w:rPr>
          <w:rFonts w:ascii="Courier New"/>
          <w:spacing w:val="-2"/>
          <w:w w:val="105"/>
          <w:sz w:val="16"/>
        </w:rPr>
        <w:t>&lt;cp:paymentMethod&gt;CARD&lt;/cp:paymentMethod&gt;</w:t>
      </w:r>
    </w:p>
    <w:p w14:paraId="405B1C7B">
      <w:pPr>
        <w:spacing w:before="39"/>
        <w:ind w:left="1325" w:right="0" w:firstLine="0"/>
        <w:jc w:val="left"/>
        <w:rPr>
          <w:rFonts w:ascii="Courier New"/>
          <w:sz w:val="16"/>
        </w:rPr>
      </w:pPr>
      <w:r>
        <w:rPr>
          <w:rFonts w:ascii="Courier New"/>
          <w:spacing w:val="-2"/>
          <w:w w:val="105"/>
          <w:sz w:val="16"/>
        </w:rPr>
        <w:t>&lt;cp:cardToken&gt;tok_1a2b3c4d5e6f7g8h&lt;/cp:cardToken&gt;</w:t>
      </w:r>
    </w:p>
    <w:p w14:paraId="2B1BE83C">
      <w:pPr>
        <w:spacing w:before="38"/>
        <w:ind w:left="1125" w:right="0" w:firstLine="0"/>
        <w:jc w:val="left"/>
        <w:rPr>
          <w:rFonts w:ascii="Courier New"/>
          <w:sz w:val="16"/>
        </w:rPr>
      </w:pPr>
      <w:r>
        <w:rPr>
          <w:rFonts w:ascii="Courier New"/>
          <w:spacing w:val="-2"/>
          <w:w w:val="105"/>
          <w:sz w:val="16"/>
        </w:rPr>
        <w:t>&lt;/cp:ChargePaymentRequest&gt;</w:t>
      </w:r>
    </w:p>
    <w:p w14:paraId="44B6F305">
      <w:pPr>
        <w:spacing w:before="39"/>
        <w:ind w:left="0" w:right="6289" w:firstLine="0"/>
        <w:jc w:val="center"/>
        <w:rPr>
          <w:rFonts w:ascii="Courier New"/>
          <w:sz w:val="16"/>
        </w:rPr>
      </w:pPr>
      <w:r>
        <w:rPr>
          <w:rFonts w:ascii="Courier New"/>
          <w:spacing w:val="-2"/>
          <w:w w:val="105"/>
          <w:sz w:val="16"/>
        </w:rPr>
        <w:t>&lt;/soapenv:Body&gt;</w:t>
      </w:r>
    </w:p>
    <w:p w14:paraId="6D8A989D">
      <w:pPr>
        <w:spacing w:before="39"/>
        <w:ind w:left="0" w:right="6289" w:firstLine="0"/>
        <w:jc w:val="center"/>
        <w:rPr>
          <w:rFonts w:ascii="Courier New"/>
          <w:sz w:val="16"/>
        </w:rPr>
      </w:pPr>
      <w:r>
        <w:rPr>
          <w:rFonts w:ascii="Courier New"/>
          <w:spacing w:val="-2"/>
          <w:w w:val="105"/>
          <w:sz w:val="16"/>
        </w:rPr>
        <w:t>&lt;/soapenv:Envelope&gt;</w:t>
      </w:r>
    </w:p>
    <w:p w14:paraId="0FB240D6">
      <w:pPr>
        <w:spacing w:before="137"/>
        <w:ind w:left="7" w:right="0" w:firstLine="0"/>
        <w:jc w:val="left"/>
        <w:rPr>
          <w:sz w:val="18"/>
        </w:rPr>
      </w:pPr>
      <w:r>
        <w:rPr>
          <w:color w:val="444444"/>
          <w:sz w:val="18"/>
        </w:rPr>
        <w:t xml:space="preserve">Endpoint URL and SOAPAction are copied verbatim from the service/port and binding sections of </w:t>
      </w:r>
      <w:r>
        <w:rPr>
          <w:color w:val="444444"/>
          <w:spacing w:val="-2"/>
          <w:sz w:val="18"/>
        </w:rPr>
        <w:t>partner.wsdl.</w:t>
      </w:r>
    </w:p>
    <w:p w14:paraId="054C16CC">
      <w:pPr>
        <w:pStyle w:val="7"/>
        <w:spacing w:before="193"/>
        <w:rPr>
          <w:sz w:val="18"/>
        </w:rPr>
      </w:pPr>
    </w:p>
    <w:p w14:paraId="749047C2">
      <w:pPr>
        <w:pStyle w:val="3"/>
        <w:numPr>
          <w:ilvl w:val="0"/>
          <w:numId w:val="1"/>
        </w:numPr>
        <w:tabs>
          <w:tab w:val="left" w:pos="340"/>
        </w:tabs>
        <w:spacing w:before="0" w:after="0" w:line="240" w:lineRule="auto"/>
        <w:ind w:left="340" w:right="0" w:hanging="333"/>
        <w:jc w:val="left"/>
      </w:pPr>
      <w:r>
        <w:rPr>
          <w:color w:val="1A3D5B"/>
        </w:rPr>
        <w:t xml:space="preserve">Discovery (Modern </w:t>
      </w:r>
      <w:r>
        <w:rPr>
          <w:color w:val="1A3D5B"/>
          <w:spacing w:val="-2"/>
        </w:rPr>
        <w:t>Form)</w:t>
      </w:r>
    </w:p>
    <w:p w14:paraId="77E11349">
      <w:pPr>
        <w:pStyle w:val="7"/>
        <w:spacing w:line="312" w:lineRule="auto"/>
        <w:ind w:left="7" w:right="216"/>
      </w:pPr>
      <w:r>
        <w:t>CampusEats does not run or query a live UDDI registry. In practice, the CampusPay WSDL would be obtained in one of two modern ways:</w:t>
      </w:r>
    </w:p>
    <w:p w14:paraId="730F94AA">
      <w:pPr>
        <w:pStyle w:val="7"/>
        <w:spacing w:after="0" w:line="312" w:lineRule="auto"/>
        <w:sectPr>
          <w:pgSz w:w="11910" w:h="16840"/>
          <w:pgMar w:top="1060" w:right="1133" w:bottom="280" w:left="1133" w:header="720" w:footer="720" w:gutter="0"/>
          <w:cols w:space="720" w:num="1"/>
        </w:sectPr>
      </w:pPr>
    </w:p>
    <w:p w14:paraId="7F99FE1D">
      <w:pPr>
        <w:pStyle w:val="7"/>
        <w:spacing w:before="79" w:line="304" w:lineRule="auto"/>
        <w:ind w:left="287" w:right="108"/>
      </w:pPr>
      <w:r>
        <w:rPr>
          <w:rFonts w:ascii="Arial" w:hAnsi="Arial"/>
          <w:b/>
        </w:rPr>
        <w:t xml:space="preserve">Direct URL </w:t>
      </w:r>
      <w:r>
        <w:t xml:space="preserve">– CampusPay publishes its contract at a stable, versioned developer-portal URL (e.g. </w:t>
      </w:r>
      <w:r>
        <w:fldChar w:fldCharType="begin"/>
      </w:r>
      <w:r>
        <w:instrText xml:space="preserve"> HYPERLINK "https://developer.campuspay.example.com/wsdl/gateway-v1.wsdl" \h </w:instrText>
      </w:r>
      <w:r>
        <w:fldChar w:fldCharType="separate"/>
      </w:r>
      <w:r>
        <w:rPr>
          <w:rFonts w:ascii="Courier New" w:hAnsi="Courier New"/>
        </w:rPr>
        <w:t>https://developer.campuspay.example.com/wsdl/gateway-v1.wsdl</w:t>
      </w:r>
      <w:r>
        <w:rPr>
          <w:rFonts w:ascii="Courier New" w:hAnsi="Courier New"/>
        </w:rPr>
        <w:fldChar w:fldCharType="end"/>
      </w:r>
      <w:r>
        <w:t>), which the Order Service team downloads once and vendors into the CampusEats repository (as partner.wsdl) so builds are reproducible without a network call to the partner.</w:t>
      </w:r>
    </w:p>
    <w:p w14:paraId="48BD2200">
      <w:pPr>
        <w:pStyle w:val="7"/>
        <w:spacing w:before="94" w:line="312" w:lineRule="auto"/>
        <w:ind w:left="287" w:right="216"/>
      </w:pPr>
      <w:r>
        <w:rPr>
          <w:rFonts w:ascii="Arial" w:hAnsi="Arial"/>
          <w:b/>
        </w:rPr>
        <w:t xml:space="preserve">Catalogue / registry lookup </w:t>
      </w:r>
      <w:r>
        <w:t>– CampusEats keeps a lightweight internal service catalogue (a JSON/YAML file or an API-gateway service registry) that records every external partner CampusEats talks to, playing the role a UDDI businessEntity/tModel pair used to play. One record from that catalogue is shown below.</w:t>
      </w:r>
    </w:p>
    <w:p w14:paraId="2C294771">
      <w:pPr>
        <w:pStyle w:val="4"/>
      </w:pPr>
      <w:r>
        <w:rPr>
          <w:color w:val="1A3D5B"/>
        </w:rPr>
        <w:t xml:space="preserve">Registry entry (tModel-style </w:t>
      </w:r>
      <w:r>
        <w:rPr>
          <w:color w:val="1A3D5B"/>
          <w:spacing w:val="-2"/>
        </w:rPr>
        <w:t>pointer)</w:t>
      </w:r>
    </w:p>
    <w:p w14:paraId="19387460">
      <w:pPr>
        <w:pStyle w:val="7"/>
        <w:spacing w:before="0" w:after="1"/>
        <w:rPr>
          <w:rFonts w:ascii="Arial"/>
          <w:b/>
          <w:sz w:val="16"/>
        </w:rPr>
      </w:pPr>
    </w:p>
    <w:tbl>
      <w:tblPr>
        <w:tblStyle w:val="6"/>
        <w:tblW w:w="0" w:type="auto"/>
        <w:tblInd w:w="289" w:type="dxa"/>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Layout w:type="fixed"/>
        <w:tblCellMar>
          <w:top w:w="0" w:type="dxa"/>
          <w:left w:w="0" w:type="dxa"/>
          <w:bottom w:w="0" w:type="dxa"/>
          <w:right w:w="0" w:type="dxa"/>
        </w:tblCellMar>
      </w:tblPr>
      <w:tblGrid>
        <w:gridCol w:w="3118"/>
        <w:gridCol w:w="5953"/>
      </w:tblGrid>
      <w:tr w14:paraId="64F6BF7F">
        <w:tblPrEx>
          <w:tblCellMar>
            <w:top w:w="0" w:type="dxa"/>
            <w:left w:w="0" w:type="dxa"/>
            <w:bottom w:w="0" w:type="dxa"/>
            <w:right w:w="0" w:type="dxa"/>
          </w:tblCellMar>
        </w:tblPrEx>
        <w:trPr>
          <w:trHeight w:val="430" w:hRule="atLeast"/>
        </w:trPr>
        <w:tc>
          <w:tcPr>
            <w:tcW w:w="3118" w:type="dxa"/>
            <w:shd w:val="clear" w:color="auto" w:fill="1A3D5B"/>
          </w:tcPr>
          <w:p w14:paraId="7C591635">
            <w:pPr>
              <w:pStyle w:val="10"/>
              <w:rPr>
                <w:rFonts w:ascii="Arial"/>
                <w:b/>
                <w:sz w:val="18"/>
              </w:rPr>
            </w:pPr>
            <w:r>
              <w:rPr>
                <w:rFonts w:ascii="Arial"/>
                <w:b/>
                <w:color w:val="444444"/>
                <w:spacing w:val="-2"/>
                <w:sz w:val="18"/>
              </w:rPr>
              <w:t>Field</w:t>
            </w:r>
          </w:p>
        </w:tc>
        <w:tc>
          <w:tcPr>
            <w:tcW w:w="5953" w:type="dxa"/>
            <w:shd w:val="clear" w:color="auto" w:fill="1A3D5B"/>
          </w:tcPr>
          <w:p w14:paraId="66C255CD">
            <w:pPr>
              <w:pStyle w:val="10"/>
              <w:rPr>
                <w:sz w:val="18"/>
              </w:rPr>
            </w:pPr>
            <w:r>
              <w:rPr>
                <w:color w:val="444444"/>
                <w:spacing w:val="-2"/>
                <w:sz w:val="18"/>
              </w:rPr>
              <w:t>Value</w:t>
            </w:r>
          </w:p>
        </w:tc>
      </w:tr>
      <w:tr w14:paraId="3AAC1087">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3118" w:type="dxa"/>
            <w:shd w:val="clear" w:color="auto" w:fill="EDF2F6"/>
          </w:tcPr>
          <w:p w14:paraId="5F56E9EA">
            <w:pPr>
              <w:pStyle w:val="10"/>
              <w:rPr>
                <w:sz w:val="18"/>
              </w:rPr>
            </w:pPr>
            <w:r>
              <w:rPr>
                <w:color w:val="444444"/>
                <w:spacing w:val="-2"/>
                <w:sz w:val="18"/>
              </w:rPr>
              <w:t>Business</w:t>
            </w:r>
          </w:p>
        </w:tc>
        <w:tc>
          <w:tcPr>
            <w:tcW w:w="5953" w:type="dxa"/>
          </w:tcPr>
          <w:p w14:paraId="2353F1DE">
            <w:pPr>
              <w:pStyle w:val="10"/>
              <w:rPr>
                <w:sz w:val="18"/>
              </w:rPr>
            </w:pPr>
            <w:r>
              <w:rPr>
                <w:color w:val="444444"/>
                <w:sz w:val="18"/>
              </w:rPr>
              <w:t xml:space="preserve">CampusPay Technologies Pvt. </w:t>
            </w:r>
            <w:r>
              <w:rPr>
                <w:color w:val="444444"/>
                <w:spacing w:val="-4"/>
                <w:sz w:val="18"/>
              </w:rPr>
              <w:t>Ltd.</w:t>
            </w:r>
          </w:p>
        </w:tc>
      </w:tr>
      <w:tr w14:paraId="71ECF84F">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3118" w:type="dxa"/>
            <w:shd w:val="clear" w:color="auto" w:fill="EDF2F6"/>
          </w:tcPr>
          <w:p w14:paraId="468E3088">
            <w:pPr>
              <w:pStyle w:val="10"/>
              <w:rPr>
                <w:sz w:val="18"/>
              </w:rPr>
            </w:pPr>
            <w:r>
              <w:rPr>
                <w:color w:val="444444"/>
                <w:spacing w:val="-2"/>
                <w:sz w:val="18"/>
              </w:rPr>
              <w:t>Service</w:t>
            </w:r>
          </w:p>
        </w:tc>
        <w:tc>
          <w:tcPr>
            <w:tcW w:w="5953" w:type="dxa"/>
          </w:tcPr>
          <w:p w14:paraId="36B5BF52">
            <w:pPr>
              <w:pStyle w:val="10"/>
              <w:rPr>
                <w:sz w:val="18"/>
              </w:rPr>
            </w:pPr>
            <w:r>
              <w:rPr>
                <w:color w:val="444444"/>
                <w:sz w:val="18"/>
              </w:rPr>
              <w:t xml:space="preserve">CampusPay Gateway – Payments </w:t>
            </w:r>
            <w:r>
              <w:rPr>
                <w:color w:val="444444"/>
                <w:spacing w:val="-5"/>
                <w:sz w:val="18"/>
              </w:rPr>
              <w:t>API</w:t>
            </w:r>
          </w:p>
        </w:tc>
      </w:tr>
      <w:tr w14:paraId="54F615DC">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3118" w:type="dxa"/>
            <w:shd w:val="clear" w:color="auto" w:fill="EDF2F6"/>
          </w:tcPr>
          <w:p w14:paraId="0EC3B4A1">
            <w:pPr>
              <w:pStyle w:val="10"/>
              <w:rPr>
                <w:sz w:val="18"/>
              </w:rPr>
            </w:pPr>
            <w:r>
              <w:rPr>
                <w:color w:val="444444"/>
                <w:sz w:val="18"/>
              </w:rPr>
              <w:t xml:space="preserve">Endpoint </w:t>
            </w:r>
            <w:r>
              <w:rPr>
                <w:color w:val="444444"/>
                <w:spacing w:val="-2"/>
                <w:sz w:val="18"/>
              </w:rPr>
              <w:t>(service/port)</w:t>
            </w:r>
          </w:p>
        </w:tc>
        <w:tc>
          <w:tcPr>
            <w:tcW w:w="5953" w:type="dxa"/>
          </w:tcPr>
          <w:p w14:paraId="3EA128B2">
            <w:pPr>
              <w:pStyle w:val="10"/>
              <w:rPr>
                <w:sz w:val="18"/>
              </w:rPr>
            </w:pPr>
            <w:r>
              <w:fldChar w:fldCharType="begin"/>
            </w:r>
            <w:r>
              <w:instrText xml:space="preserve"> HYPERLINK "https://api.campuspay.example.com/gateway/v1/payments" \h </w:instrText>
            </w:r>
            <w:r>
              <w:fldChar w:fldCharType="separate"/>
            </w:r>
            <w:r>
              <w:rPr>
                <w:color w:val="444444"/>
                <w:spacing w:val="-2"/>
                <w:sz w:val="18"/>
              </w:rPr>
              <w:t>https://api.campuspay.example.com/gateway/v1/payments</w:t>
            </w:r>
            <w:r>
              <w:rPr>
                <w:color w:val="444444"/>
                <w:spacing w:val="-2"/>
                <w:sz w:val="18"/>
              </w:rPr>
              <w:fldChar w:fldCharType="end"/>
            </w:r>
          </w:p>
        </w:tc>
      </w:tr>
      <w:tr w14:paraId="60068263">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3118" w:type="dxa"/>
            <w:shd w:val="clear" w:color="auto" w:fill="EDF2F6"/>
          </w:tcPr>
          <w:p w14:paraId="527F98B7">
            <w:pPr>
              <w:pStyle w:val="10"/>
              <w:rPr>
                <w:sz w:val="18"/>
              </w:rPr>
            </w:pPr>
            <w:r>
              <w:rPr>
                <w:color w:val="444444"/>
                <w:sz w:val="18"/>
              </w:rPr>
              <w:t xml:space="preserve">WSDL it speaks (tModel </w:t>
            </w:r>
            <w:r>
              <w:rPr>
                <w:color w:val="444444"/>
                <w:spacing w:val="-2"/>
                <w:sz w:val="18"/>
              </w:rPr>
              <w:t>pointer)</w:t>
            </w:r>
          </w:p>
        </w:tc>
        <w:tc>
          <w:tcPr>
            <w:tcW w:w="5953" w:type="dxa"/>
          </w:tcPr>
          <w:p w14:paraId="20AAE549">
            <w:pPr>
              <w:pStyle w:val="10"/>
              <w:rPr>
                <w:sz w:val="18"/>
              </w:rPr>
            </w:pPr>
            <w:r>
              <w:fldChar w:fldCharType="begin"/>
            </w:r>
            <w:r>
              <w:instrText xml:space="preserve"> HYPERLINK "https://developer.campuspay.example.com/wsdl/gateway-v1.wsdl" \h </w:instrText>
            </w:r>
            <w:r>
              <w:fldChar w:fldCharType="separate"/>
            </w:r>
            <w:r>
              <w:rPr>
                <w:color w:val="444444"/>
                <w:sz w:val="18"/>
              </w:rPr>
              <w:t>https://developer.campuspay.example.com/wsdl/gateway-</w:t>
            </w:r>
            <w:r>
              <w:rPr>
                <w:color w:val="444444"/>
                <w:spacing w:val="-2"/>
                <w:sz w:val="18"/>
              </w:rPr>
              <w:t>v1.wsdl</w:t>
            </w:r>
            <w:r>
              <w:rPr>
                <w:color w:val="444444"/>
                <w:spacing w:val="-2"/>
                <w:sz w:val="18"/>
              </w:rPr>
              <w:fldChar w:fldCharType="end"/>
            </w:r>
          </w:p>
        </w:tc>
      </w:tr>
      <w:tr w14:paraId="0AA7EC72">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29" w:hRule="atLeast"/>
        </w:trPr>
        <w:tc>
          <w:tcPr>
            <w:tcW w:w="3118" w:type="dxa"/>
            <w:shd w:val="clear" w:color="auto" w:fill="EDF2F6"/>
          </w:tcPr>
          <w:p w14:paraId="2870E1C7">
            <w:pPr>
              <w:pStyle w:val="10"/>
              <w:rPr>
                <w:sz w:val="18"/>
              </w:rPr>
            </w:pPr>
            <w:r>
              <w:rPr>
                <w:color w:val="444444"/>
                <w:sz w:val="18"/>
              </w:rPr>
              <w:t xml:space="preserve">Binding / </w:t>
            </w:r>
            <w:r>
              <w:rPr>
                <w:color w:val="444444"/>
                <w:spacing w:val="-2"/>
                <w:sz w:val="18"/>
              </w:rPr>
              <w:t>transport</w:t>
            </w:r>
          </w:p>
        </w:tc>
        <w:tc>
          <w:tcPr>
            <w:tcW w:w="5953" w:type="dxa"/>
          </w:tcPr>
          <w:p w14:paraId="334428BA">
            <w:pPr>
              <w:pStyle w:val="10"/>
              <w:rPr>
                <w:sz w:val="18"/>
              </w:rPr>
            </w:pPr>
            <w:r>
              <w:rPr>
                <w:color w:val="444444"/>
                <w:sz w:val="18"/>
              </w:rPr>
              <w:t xml:space="preserve">SOAP 1.1 over HTTP, </w:t>
            </w:r>
            <w:r>
              <w:rPr>
                <w:color w:val="444444"/>
                <w:spacing w:val="-2"/>
                <w:sz w:val="18"/>
              </w:rPr>
              <w:t>document/literal</w:t>
            </w:r>
          </w:p>
        </w:tc>
      </w:tr>
      <w:tr w14:paraId="451A5F96">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3118" w:type="dxa"/>
            <w:shd w:val="clear" w:color="auto" w:fill="EDF2F6"/>
          </w:tcPr>
          <w:p w14:paraId="7B92FA02">
            <w:pPr>
              <w:pStyle w:val="10"/>
              <w:rPr>
                <w:sz w:val="18"/>
              </w:rPr>
            </w:pPr>
            <w:r>
              <w:rPr>
                <w:color w:val="444444"/>
                <w:sz w:val="18"/>
              </w:rPr>
              <w:t xml:space="preserve">Owning CampusEats </w:t>
            </w:r>
            <w:r>
              <w:rPr>
                <w:color w:val="444444"/>
                <w:spacing w:val="-2"/>
                <w:sz w:val="18"/>
              </w:rPr>
              <w:t>service</w:t>
            </w:r>
          </w:p>
        </w:tc>
        <w:tc>
          <w:tcPr>
            <w:tcW w:w="5953" w:type="dxa"/>
          </w:tcPr>
          <w:p w14:paraId="6520DE99">
            <w:pPr>
              <w:pStyle w:val="10"/>
              <w:rPr>
                <w:sz w:val="18"/>
              </w:rPr>
            </w:pPr>
            <w:r>
              <w:rPr>
                <w:color w:val="444444"/>
                <w:sz w:val="18"/>
              </w:rPr>
              <w:t xml:space="preserve">Payment Service (consumer: Order </w:t>
            </w:r>
            <w:r>
              <w:rPr>
                <w:color w:val="444444"/>
                <w:spacing w:val="-2"/>
                <w:sz w:val="18"/>
              </w:rPr>
              <w:t>Service)</w:t>
            </w:r>
          </w:p>
        </w:tc>
      </w:tr>
    </w:tbl>
    <w:p w14:paraId="0FF5349F">
      <w:pPr>
        <w:pStyle w:val="7"/>
        <w:spacing w:before="98"/>
        <w:rPr>
          <w:rFonts w:ascii="Arial"/>
          <w:b/>
          <w:sz w:val="24"/>
        </w:rPr>
      </w:pPr>
    </w:p>
    <w:p w14:paraId="755EF486">
      <w:pPr>
        <w:pStyle w:val="3"/>
        <w:numPr>
          <w:ilvl w:val="0"/>
          <w:numId w:val="1"/>
        </w:numPr>
        <w:tabs>
          <w:tab w:val="left" w:pos="340"/>
        </w:tabs>
        <w:spacing w:before="0" w:after="0" w:line="240" w:lineRule="auto"/>
        <w:ind w:left="340" w:right="0" w:hanging="333"/>
        <w:jc w:val="left"/>
      </w:pPr>
      <w:r>
        <w:rPr>
          <w:color w:val="1A3D5B"/>
        </w:rPr>
        <w:t xml:space="preserve">Fault </w:t>
      </w:r>
      <w:r>
        <w:rPr>
          <w:color w:val="1A3D5B"/>
          <w:spacing w:val="-2"/>
        </w:rPr>
        <w:t>Mapping</w:t>
      </w:r>
    </w:p>
    <w:p w14:paraId="0CCD24CD">
      <w:pPr>
        <w:pStyle w:val="7"/>
        <w:spacing w:line="312" w:lineRule="auto"/>
        <w:ind w:left="7" w:right="216"/>
      </w:pPr>
      <w:r>
        <w:t>The partner's SOAP fault must never leak its own vocabulary to CampusEats students. The Payment Service acts as an anti-corruption layer: it catches the soap:Fault from CampusPay, reads the PaymentFaultDetail/faultCode, and translates it into the error already promised by our Assignment 2 placeOrder contract.</w:t>
      </w:r>
    </w:p>
    <w:p w14:paraId="3F8B5E44">
      <w:pPr>
        <w:pStyle w:val="7"/>
        <w:spacing w:before="5"/>
        <w:rPr>
          <w:sz w:val="12"/>
        </w:rPr>
      </w:pPr>
    </w:p>
    <w:tbl>
      <w:tblPr>
        <w:tblStyle w:val="6"/>
        <w:tblW w:w="0" w:type="auto"/>
        <w:tblInd w:w="289" w:type="dxa"/>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Layout w:type="fixed"/>
        <w:tblCellMar>
          <w:top w:w="0" w:type="dxa"/>
          <w:left w:w="0" w:type="dxa"/>
          <w:bottom w:w="0" w:type="dxa"/>
          <w:right w:w="0" w:type="dxa"/>
        </w:tblCellMar>
      </w:tblPr>
      <w:tblGrid>
        <w:gridCol w:w="4535"/>
        <w:gridCol w:w="4535"/>
      </w:tblGrid>
      <w:tr w14:paraId="47EA4AEF">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4535" w:type="dxa"/>
            <w:shd w:val="clear" w:color="auto" w:fill="1A3D5B"/>
          </w:tcPr>
          <w:p w14:paraId="6C3021D7">
            <w:pPr>
              <w:pStyle w:val="10"/>
              <w:rPr>
                <w:rFonts w:ascii="Arial"/>
                <w:b/>
                <w:sz w:val="18"/>
              </w:rPr>
            </w:pPr>
            <w:r>
              <w:rPr>
                <w:rFonts w:ascii="Arial"/>
                <w:b/>
                <w:color w:val="444444"/>
                <w:sz w:val="18"/>
              </w:rPr>
              <w:t xml:space="preserve">Partner fault (CampusPay </w:t>
            </w:r>
            <w:r>
              <w:rPr>
                <w:rFonts w:ascii="Arial"/>
                <w:b/>
                <w:color w:val="444444"/>
                <w:spacing w:val="-2"/>
                <w:sz w:val="18"/>
              </w:rPr>
              <w:t>vocabulary)</w:t>
            </w:r>
          </w:p>
        </w:tc>
        <w:tc>
          <w:tcPr>
            <w:tcW w:w="4535" w:type="dxa"/>
            <w:shd w:val="clear" w:color="auto" w:fill="1A3D5B"/>
          </w:tcPr>
          <w:p w14:paraId="53B01B36">
            <w:pPr>
              <w:pStyle w:val="10"/>
              <w:rPr>
                <w:rFonts w:ascii="Arial"/>
                <w:b/>
                <w:sz w:val="18"/>
              </w:rPr>
            </w:pPr>
            <w:r>
              <w:rPr>
                <w:rFonts w:ascii="Arial"/>
                <w:b/>
                <w:color w:val="444444"/>
                <w:sz w:val="18"/>
              </w:rPr>
              <w:t xml:space="preserve">CampusEats contract error </w:t>
            </w:r>
            <w:r>
              <w:rPr>
                <w:rFonts w:ascii="Arial"/>
                <w:b/>
                <w:color w:val="444444"/>
                <w:spacing w:val="-2"/>
                <w:sz w:val="18"/>
              </w:rPr>
              <w:t>(placeOrder)</w:t>
            </w:r>
          </w:p>
        </w:tc>
      </w:tr>
      <w:tr w14:paraId="712EC2C2">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4535" w:type="dxa"/>
          </w:tcPr>
          <w:p w14:paraId="1BC67638">
            <w:pPr>
              <w:pStyle w:val="10"/>
              <w:rPr>
                <w:sz w:val="18"/>
              </w:rPr>
            </w:pPr>
            <w:r>
              <w:rPr>
                <w:color w:val="444444"/>
                <w:sz w:val="18"/>
              </w:rPr>
              <w:t xml:space="preserve">faultCode = </w:t>
            </w:r>
            <w:r>
              <w:rPr>
                <w:color w:val="444444"/>
                <w:spacing w:val="-2"/>
                <w:sz w:val="18"/>
              </w:rPr>
              <w:t>card_declined</w:t>
            </w:r>
          </w:p>
        </w:tc>
        <w:tc>
          <w:tcPr>
            <w:tcW w:w="4535" w:type="dxa"/>
          </w:tcPr>
          <w:p w14:paraId="6C768D4D">
            <w:pPr>
              <w:pStyle w:val="10"/>
              <w:rPr>
                <w:sz w:val="18"/>
              </w:rPr>
            </w:pPr>
            <w:r>
              <w:rPr>
                <w:color w:val="444444"/>
                <w:sz w:val="18"/>
              </w:rPr>
              <w:t xml:space="preserve">402 – "payment </w:t>
            </w:r>
            <w:r>
              <w:rPr>
                <w:color w:val="444444"/>
                <w:spacing w:val="-2"/>
                <w:sz w:val="18"/>
              </w:rPr>
              <w:t>declined"</w:t>
            </w:r>
          </w:p>
        </w:tc>
      </w:tr>
      <w:tr w14:paraId="18634C2E">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670" w:hRule="atLeast"/>
        </w:trPr>
        <w:tc>
          <w:tcPr>
            <w:tcW w:w="4535" w:type="dxa"/>
          </w:tcPr>
          <w:p w14:paraId="4D1ADF91">
            <w:pPr>
              <w:pStyle w:val="10"/>
              <w:spacing w:line="278" w:lineRule="auto"/>
              <w:ind w:right="143"/>
              <w:rPr>
                <w:sz w:val="18"/>
              </w:rPr>
            </w:pPr>
            <w:r>
              <w:rPr>
                <w:color w:val="444444"/>
                <w:sz w:val="18"/>
              </w:rPr>
              <w:t>faultCode</w:t>
            </w:r>
            <w:r>
              <w:rPr>
                <w:color w:val="444444"/>
                <w:spacing w:val="-7"/>
                <w:sz w:val="18"/>
              </w:rPr>
              <w:t xml:space="preserve"> </w:t>
            </w:r>
            <w:r>
              <w:rPr>
                <w:color w:val="444444"/>
                <w:sz w:val="18"/>
              </w:rPr>
              <w:t>=</w:t>
            </w:r>
            <w:r>
              <w:rPr>
                <w:color w:val="444444"/>
                <w:spacing w:val="-7"/>
                <w:sz w:val="18"/>
              </w:rPr>
              <w:t xml:space="preserve"> </w:t>
            </w:r>
            <w:r>
              <w:rPr>
                <w:color w:val="444444"/>
                <w:sz w:val="18"/>
              </w:rPr>
              <w:t>gateway_unavailable</w:t>
            </w:r>
            <w:r>
              <w:rPr>
                <w:color w:val="444444"/>
                <w:spacing w:val="-7"/>
                <w:sz w:val="18"/>
              </w:rPr>
              <w:t xml:space="preserve"> </w:t>
            </w:r>
            <w:r>
              <w:rPr>
                <w:color w:val="444444"/>
                <w:sz w:val="18"/>
              </w:rPr>
              <w:t>/</w:t>
            </w:r>
            <w:r>
              <w:rPr>
                <w:color w:val="444444"/>
                <w:spacing w:val="-7"/>
                <w:sz w:val="18"/>
              </w:rPr>
              <w:t xml:space="preserve"> </w:t>
            </w:r>
            <w:r>
              <w:rPr>
                <w:color w:val="444444"/>
                <w:sz w:val="18"/>
              </w:rPr>
              <w:t>HTTP</w:t>
            </w:r>
            <w:r>
              <w:rPr>
                <w:color w:val="444444"/>
                <w:spacing w:val="-7"/>
                <w:sz w:val="18"/>
              </w:rPr>
              <w:t xml:space="preserve"> </w:t>
            </w:r>
            <w:r>
              <w:rPr>
                <w:color w:val="444444"/>
                <w:sz w:val="18"/>
              </w:rPr>
              <w:t>5xx</w:t>
            </w:r>
            <w:r>
              <w:rPr>
                <w:color w:val="444444"/>
                <w:spacing w:val="-7"/>
                <w:sz w:val="18"/>
              </w:rPr>
              <w:t xml:space="preserve"> </w:t>
            </w:r>
            <w:r>
              <w:rPr>
                <w:color w:val="444444"/>
                <w:sz w:val="18"/>
              </w:rPr>
              <w:t xml:space="preserve">/ </w:t>
            </w:r>
            <w:r>
              <w:rPr>
                <w:color w:val="444444"/>
                <w:spacing w:val="-2"/>
                <w:sz w:val="18"/>
              </w:rPr>
              <w:t>timeout</w:t>
            </w:r>
          </w:p>
        </w:tc>
        <w:tc>
          <w:tcPr>
            <w:tcW w:w="4535" w:type="dxa"/>
          </w:tcPr>
          <w:p w14:paraId="28EC446D">
            <w:pPr>
              <w:pStyle w:val="10"/>
              <w:spacing w:before="19"/>
              <w:ind w:left="0"/>
              <w:rPr>
                <w:sz w:val="18"/>
              </w:rPr>
            </w:pPr>
          </w:p>
          <w:p w14:paraId="28ED99B6">
            <w:pPr>
              <w:pStyle w:val="10"/>
              <w:spacing w:before="0"/>
              <w:rPr>
                <w:sz w:val="18"/>
              </w:rPr>
            </w:pPr>
            <w:r>
              <w:rPr>
                <w:color w:val="444444"/>
                <w:sz w:val="18"/>
              </w:rPr>
              <w:t xml:space="preserve">503 – "payment service unavailable, </w:t>
            </w:r>
            <w:r>
              <w:rPr>
                <w:color w:val="444444"/>
                <w:spacing w:val="-2"/>
                <w:sz w:val="18"/>
              </w:rPr>
              <w:t>retry"</w:t>
            </w:r>
          </w:p>
        </w:tc>
      </w:tr>
      <w:tr w14:paraId="11A655EC">
        <w:tblPrEx>
          <w:tblBorders>
            <w:top w:val="single" w:color="C8D1DA" w:sz="4" w:space="0"/>
            <w:left w:val="single" w:color="C8D1DA" w:sz="4" w:space="0"/>
            <w:bottom w:val="single" w:color="C8D1DA" w:sz="4" w:space="0"/>
            <w:right w:val="single" w:color="C8D1DA" w:sz="4" w:space="0"/>
            <w:insideH w:val="single" w:color="C8D1DA" w:sz="4" w:space="0"/>
            <w:insideV w:val="single" w:color="C8D1DA" w:sz="4" w:space="0"/>
          </w:tblBorders>
          <w:tblCellMar>
            <w:top w:w="0" w:type="dxa"/>
            <w:left w:w="0" w:type="dxa"/>
            <w:bottom w:w="0" w:type="dxa"/>
            <w:right w:w="0" w:type="dxa"/>
          </w:tblCellMar>
        </w:tblPrEx>
        <w:trPr>
          <w:trHeight w:val="430" w:hRule="atLeast"/>
        </w:trPr>
        <w:tc>
          <w:tcPr>
            <w:tcW w:w="4535" w:type="dxa"/>
          </w:tcPr>
          <w:p w14:paraId="0F1CA150">
            <w:pPr>
              <w:pStyle w:val="10"/>
              <w:rPr>
                <w:sz w:val="18"/>
              </w:rPr>
            </w:pPr>
            <w:r>
              <w:rPr>
                <w:color w:val="444444"/>
                <w:sz w:val="18"/>
              </w:rPr>
              <w:t xml:space="preserve">faultCode = </w:t>
            </w:r>
            <w:r>
              <w:rPr>
                <w:color w:val="444444"/>
                <w:spacing w:val="-2"/>
                <w:sz w:val="18"/>
              </w:rPr>
              <w:t>invalid_card_token</w:t>
            </w:r>
          </w:p>
        </w:tc>
        <w:tc>
          <w:tcPr>
            <w:tcW w:w="4535" w:type="dxa"/>
          </w:tcPr>
          <w:p w14:paraId="41742EDC">
            <w:pPr>
              <w:pStyle w:val="10"/>
              <w:rPr>
                <w:sz w:val="18"/>
              </w:rPr>
            </w:pPr>
            <w:r>
              <w:rPr>
                <w:color w:val="444444"/>
                <w:sz w:val="18"/>
              </w:rPr>
              <w:t xml:space="preserve">400 – "payment method invalid, re-enter </w:t>
            </w:r>
            <w:r>
              <w:rPr>
                <w:color w:val="444444"/>
                <w:spacing w:val="-2"/>
                <w:sz w:val="18"/>
              </w:rPr>
              <w:t>details"</w:t>
            </w:r>
          </w:p>
        </w:tc>
      </w:tr>
    </w:tbl>
    <w:p w14:paraId="561F16B4">
      <w:pPr>
        <w:pStyle w:val="7"/>
        <w:spacing w:before="171" w:line="312" w:lineRule="auto"/>
        <w:ind w:left="7" w:right="216"/>
      </w:pPr>
      <w:r>
        <w:t>The student-facing order status only ever shows "payment declined" (or the equivalent CampusEats message) – never the raw partner faultCode, faultstring, or any CampusPay-specific terminology. This keeps the Order Service's public contract stable even if CampusEats later swaps CampusPay for a different payment partner.</w:t>
      </w:r>
    </w:p>
    <w:p w14:paraId="267C097E">
      <w:pPr>
        <w:pStyle w:val="7"/>
        <w:spacing w:before="0"/>
        <w:rPr>
          <w:sz w:val="18"/>
        </w:rPr>
      </w:pPr>
    </w:p>
    <w:p w14:paraId="5327F40B">
      <w:pPr>
        <w:spacing w:before="0"/>
        <w:ind w:left="7" w:right="0" w:firstLine="0"/>
        <w:jc w:val="left"/>
        <w:rPr>
          <w:sz w:val="18"/>
        </w:rPr>
      </w:pPr>
    </w:p>
    <w:sectPr>
      <w:pgSz w:w="11910" w:h="16840"/>
      <w:pgMar w:top="1060" w:right="1133"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41" w:hanging="334"/>
        <w:jc w:val="left"/>
      </w:pPr>
      <w:rPr>
        <w:rFonts w:hint="default" w:ascii="Arial" w:hAnsi="Arial" w:eastAsia="Arial" w:cs="Arial"/>
        <w:b/>
        <w:bCs/>
        <w:i w:val="0"/>
        <w:iCs w:val="0"/>
        <w:color w:val="1A3D5B"/>
        <w:spacing w:val="0"/>
        <w:w w:val="100"/>
        <w:sz w:val="30"/>
        <w:szCs w:val="30"/>
        <w:lang w:val="en-US" w:eastAsia="en-US" w:bidi="ar-SA"/>
      </w:rPr>
    </w:lvl>
    <w:lvl w:ilvl="1" w:tentative="0">
      <w:start w:val="0"/>
      <w:numFmt w:val="bullet"/>
      <w:lvlText w:val="•"/>
      <w:lvlJc w:val="left"/>
      <w:pPr>
        <w:ind w:left="287" w:hanging="129"/>
      </w:pPr>
      <w:rPr>
        <w:rFonts w:hint="default" w:ascii="Arial MT" w:hAnsi="Arial MT" w:eastAsia="Arial MT" w:cs="Arial MT"/>
        <w:b w:val="0"/>
        <w:bCs w:val="0"/>
        <w:i w:val="0"/>
        <w:iCs w:val="0"/>
        <w:spacing w:val="0"/>
        <w:w w:val="102"/>
        <w:sz w:val="20"/>
        <w:szCs w:val="20"/>
        <w:lang w:val="en-US" w:eastAsia="en-US" w:bidi="ar-SA"/>
      </w:rPr>
    </w:lvl>
    <w:lvl w:ilvl="2" w:tentative="0">
      <w:start w:val="0"/>
      <w:numFmt w:val="bullet"/>
      <w:lvlText w:val="•"/>
      <w:lvlJc w:val="left"/>
      <w:pPr>
        <w:ind w:left="1373" w:hanging="129"/>
      </w:pPr>
      <w:rPr>
        <w:rFonts w:hint="default"/>
        <w:lang w:val="en-US" w:eastAsia="en-US" w:bidi="ar-SA"/>
      </w:rPr>
    </w:lvl>
    <w:lvl w:ilvl="3" w:tentative="0">
      <w:start w:val="0"/>
      <w:numFmt w:val="bullet"/>
      <w:lvlText w:val="•"/>
      <w:lvlJc w:val="left"/>
      <w:pPr>
        <w:ind w:left="2406" w:hanging="129"/>
      </w:pPr>
      <w:rPr>
        <w:rFonts w:hint="default"/>
        <w:lang w:val="en-US" w:eastAsia="en-US" w:bidi="ar-SA"/>
      </w:rPr>
    </w:lvl>
    <w:lvl w:ilvl="4" w:tentative="0">
      <w:start w:val="0"/>
      <w:numFmt w:val="bullet"/>
      <w:lvlText w:val="•"/>
      <w:lvlJc w:val="left"/>
      <w:pPr>
        <w:ind w:left="3439" w:hanging="129"/>
      </w:pPr>
      <w:rPr>
        <w:rFonts w:hint="default"/>
        <w:lang w:val="en-US" w:eastAsia="en-US" w:bidi="ar-SA"/>
      </w:rPr>
    </w:lvl>
    <w:lvl w:ilvl="5" w:tentative="0">
      <w:start w:val="0"/>
      <w:numFmt w:val="bullet"/>
      <w:lvlText w:val="•"/>
      <w:lvlJc w:val="left"/>
      <w:pPr>
        <w:ind w:left="4473" w:hanging="129"/>
      </w:pPr>
      <w:rPr>
        <w:rFonts w:hint="default"/>
        <w:lang w:val="en-US" w:eastAsia="en-US" w:bidi="ar-SA"/>
      </w:rPr>
    </w:lvl>
    <w:lvl w:ilvl="6" w:tentative="0">
      <w:start w:val="0"/>
      <w:numFmt w:val="bullet"/>
      <w:lvlText w:val="•"/>
      <w:lvlJc w:val="left"/>
      <w:pPr>
        <w:ind w:left="5506" w:hanging="129"/>
      </w:pPr>
      <w:rPr>
        <w:rFonts w:hint="default"/>
        <w:lang w:val="en-US" w:eastAsia="en-US" w:bidi="ar-SA"/>
      </w:rPr>
    </w:lvl>
    <w:lvl w:ilvl="7" w:tentative="0">
      <w:start w:val="0"/>
      <w:numFmt w:val="bullet"/>
      <w:lvlText w:val="•"/>
      <w:lvlJc w:val="left"/>
      <w:pPr>
        <w:ind w:left="6539" w:hanging="129"/>
      </w:pPr>
      <w:rPr>
        <w:rFonts w:hint="default"/>
        <w:lang w:val="en-US" w:eastAsia="en-US" w:bidi="ar-SA"/>
      </w:rPr>
    </w:lvl>
    <w:lvl w:ilvl="8" w:tentative="0">
      <w:start w:val="0"/>
      <w:numFmt w:val="bullet"/>
      <w:lvlText w:val="•"/>
      <w:lvlJc w:val="left"/>
      <w:pPr>
        <w:ind w:left="7572" w:hanging="12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CEE78BF"/>
    <w:rsid w:val="5E485BD0"/>
    <w:rsid w:val="74980A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7"/>
      <w:jc w:val="center"/>
      <w:outlineLvl w:val="1"/>
    </w:pPr>
    <w:rPr>
      <w:rFonts w:ascii="Arial" w:hAnsi="Arial" w:eastAsia="Arial" w:cs="Arial"/>
      <w:b/>
      <w:bCs/>
      <w:sz w:val="40"/>
      <w:szCs w:val="40"/>
      <w:lang w:val="en-US" w:eastAsia="en-US" w:bidi="ar-SA"/>
    </w:rPr>
  </w:style>
  <w:style w:type="paragraph" w:styleId="3">
    <w:name w:val="heading 2"/>
    <w:basedOn w:val="1"/>
    <w:qFormat/>
    <w:uiPriority w:val="1"/>
    <w:pPr>
      <w:ind w:left="340" w:hanging="333"/>
      <w:outlineLvl w:val="2"/>
    </w:pPr>
    <w:rPr>
      <w:rFonts w:ascii="Arial" w:hAnsi="Arial" w:eastAsia="Arial" w:cs="Arial"/>
      <w:b/>
      <w:bCs/>
      <w:sz w:val="30"/>
      <w:szCs w:val="30"/>
      <w:lang w:val="en-US" w:eastAsia="en-US" w:bidi="ar-SA"/>
    </w:rPr>
  </w:style>
  <w:style w:type="paragraph" w:styleId="4">
    <w:name w:val="heading 3"/>
    <w:basedOn w:val="1"/>
    <w:qFormat/>
    <w:uiPriority w:val="1"/>
    <w:pPr>
      <w:spacing w:before="202"/>
      <w:ind w:left="7"/>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253"/>
    </w:pPr>
    <w:rPr>
      <w:rFonts w:ascii="Arial MT" w:hAnsi="Arial MT" w:eastAsia="Arial MT" w:cs="Arial MT"/>
      <w:sz w:val="20"/>
      <w:szCs w:val="20"/>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340" w:hanging="333"/>
    </w:pPr>
    <w:rPr>
      <w:rFonts w:ascii="Arial MT" w:hAnsi="Arial MT" w:eastAsia="Arial MT" w:cs="Arial MT"/>
      <w:lang w:val="en-US" w:eastAsia="en-US" w:bidi="ar-SA"/>
    </w:rPr>
  </w:style>
  <w:style w:type="paragraph" w:customStyle="1" w:styleId="10">
    <w:name w:val="Table Paragraph"/>
    <w:basedOn w:val="1"/>
    <w:qFormat/>
    <w:uiPriority w:val="1"/>
    <w:pPr>
      <w:spacing w:before="106"/>
      <w:ind w:left="16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730</Words>
  <Characters>5558</Characters>
  <TotalTime>10</TotalTime>
  <ScaleCrop>false</ScaleCrop>
  <LinksUpToDate>false</LinksUpToDate>
  <CharactersWithSpaces>6201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2026-08-23T12:27:00Z</dcterms:created>
  <dc:creator>(anonymous)</dc:creator>
  <cp:lastModifiedBy>WPS_1776435598</cp:lastModifiedBy>
  <dcterms:modified xsi:type="dcterms:W3CDTF">2026-08-23T13:13:32Z</dcterms:modified>
  <dc:subject>(unspecified)</dc:subject>
  <dc:title>CampusEats Assignment 3 - SOAP Partner Integration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Creator">
    <vt:lpwstr>(unspecified)</vt:lpwstr>
  </property>
  <property fmtid="{D5CDD505-2E9C-101B-9397-08002B2CF9AE}" pid="5" name="LastSaved">
    <vt:filetime>2026-08-23T00:00:00Z</vt:filetime>
  </property>
  <property fmtid="{D5CDD505-2E9C-101B-9397-08002B2CF9AE}" pid="6" name="Producer">
    <vt:lpwstr>ReportLab PDF Library - (opensource)</vt:lpwstr>
  </property>
  <property fmtid="{D5CDD505-2E9C-101B-9397-08002B2CF9AE}" pid="7" name="KSOTemplateDocerSaveRecord">
    <vt:lpwstr>eyJoZGlkIjoiYzUxNmUyN2M1NDExYWQ2NTIwYWUyZTMzYWRkNjUxZDMiLCJ1c2VySWQiOiI1NDk3NTgzMTgxNjYifQ==</vt:lpwstr>
  </property>
  <property fmtid="{D5CDD505-2E9C-101B-9397-08002B2CF9AE}" pid="8" name="KSOProductBuildVer">
    <vt:lpwstr>1033-12.1.0.28032</vt:lpwstr>
  </property>
  <property fmtid="{D5CDD505-2E9C-101B-9397-08002B2CF9AE}" pid="9" name="ICV">
    <vt:lpwstr>941663E5027A4874994D3DB0832B608D_13</vt:lpwstr>
  </property>
</Properties>
</file>