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qgg756w3f9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Purpose of @SpringBootApplication Annotation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@SpringBootApplication</w:t>
      </w:r>
      <w:r w:rsidDel="00000000" w:rsidR="00000000" w:rsidRPr="00000000">
        <w:rPr>
          <w:rtl w:val="0"/>
        </w:rPr>
        <w:t xml:space="preserve"> annotation is a core component in Spring Boot applications and is placed above the main class, such as in </w:t>
      </w:r>
      <w:r w:rsidDel="00000000" w:rsidR="00000000" w:rsidRPr="00000000">
        <w:rPr>
          <w:rtl w:val="0"/>
        </w:rPr>
        <w:t xml:space="preserve">SpringLearnApplication.java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annotation serves as a meta-annotation, combining three key annotations that are fundamental to configuring and launching a Spring Boot application. These include: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ufh2jq9dx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@Configuration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annotation indicates that the class provides Spring configuration. It acts as a replacement for traditional XML-based configuration files by allowing Java-based configuration through annotated classes.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p3nduzzx1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@EnableAutoConfiguration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enables Spring Boot’s auto-configuration mechanism, which attempts to automatically configure the application based on the dependencies present in the classpath. For example, if Spring Web is present, it auto-configures an embedded Tomcat server. This feature significantly reduces the amount of manual configuration needed.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98zkb4j2z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@ComponentScan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instructs Spring to scan the current package and its sub-packages for components annotated with </w:t>
      </w:r>
      <w:r w:rsidDel="00000000" w:rsidR="00000000" w:rsidRPr="00000000">
        <w:rPr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, etc. This enables automatic registration of beans into the Spring application context.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