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Every page needs a login. Citizens can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 The system was validated with 65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28</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28</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w:t>
            </w:r>
          </w:p>
        </w:tc>
      </w:tr>
    </w:tbl>
    <w:p>
      <w:pPr>
        <w:sectPr>
          <w:footerReference w:type="default" r:id="rId7"/>
          <w:pgSz w:w="11906" w:h="16838" w:orient="portrait"/>
          <w:pgMar w:top="1440" w:right="1440" w:bottom="1440" w:left="1440" w:header="708" w:footer="600"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11-05-2026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Team formation and project ideation; identified the welfare-scheme awareness gap in the AP Sachivalayam system as the focus area for the Community Service Project.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Understanding project objectives and teamwork.</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12-05-2026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Studied the AP Sachivalayam welfare-scheme ecosystem and the challenges citizens face in identifying schemes they qualify for.</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Awareness of real-world governance problems.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13-05-2026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 literature review on bilingual e-governance tools and web-based welfare-eligibility services.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Research and analytical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14-05-2026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Identified project requirements: bilingual (Telugu/English) interface, eligibility engine, online applications and a staff review panel.</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Project planning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Day-5</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15-05-2026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Studied React, Supabase (database, sign-in, file storage) and Web Speech API concepts.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Understanding technology fundamentals.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Day-6</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16-05-2026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Finalized project scope, objectives and the overall development roadmap for SachiSeva.</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Requirement analysis and documentation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Day-7</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18-05-2026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system architecture: React web application, Supabase backend (database, sign-in, storage, live updates) and Vercel server functions.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System architecture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Day-8</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19-05-2026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Modelled scheme data fields: eligibility rules, benefits, documents, steps, fees and time limits in Telugu and English.</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modelling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Day-9</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20-05-2026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Identified and catalogued welfare schemes and citizen services across multiple categories.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source analysis.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Day-10</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21-05-2026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eligibility-matching engine logic (profile comparison against scheme rules).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Rule-engine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22-05-2026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bilingual (Telugu/English) UI screens and navigation flow.</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UI/UX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23-05-2026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Planned data security: row-level security so that citizens see only their own applications, and a separate staff role.</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Database security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25-05-2026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Prepared a survey questionnaire for Dungalavanipalem, NAD Junction, Andhra Pradesh, covering scheme awareness, language preference and document issues.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Survey design and research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26-05-2026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Visited Dungalavanipalem, NAD Junction, Andhra Pradesh and conducted preliminary interactions with citizens and Sachivalayam visitors.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Community engagement and communication.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Day-15</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27-05-2026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Collected survey responses from citizens on welfare-scheme awareness and access.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collection and field research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Day-16</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28-05-2026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awareness sessions explaining the SachiSeva eligibility-checking tool to citizens.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Public awareness and presentation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Day-17</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29-05-2026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Demonstrated the SachiSeva application on mobile devices to citizens.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Technical demonstration and user education.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Day-18</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30-05-2026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Analyzed initial survey responses and identified key awareness gaps in the community.</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analysis and problem identification.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Day-19</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01-06-2026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Implemented and tested the eligibility engine against representative citizen profiles.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Testing and validation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Day-20</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02-06-2026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Verified scheme names, benefit amounts and document checklists against current government sources.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verification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03-06-2026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functional testing of online applications, document upload, the staff panel, voice read-out and the SachiBot assistant.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Quality assurance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04-06-2026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 follow-up awareness session and gathered citizen feedback on the application.</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Leadership and awareness creation.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05-06-2026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Deployed the application and demonstrated the final SachiSeva tool to the community.</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Technical presentation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06-06-2026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Compiled all survey findings and prepared the final community analysis report.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synthesis and reporting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 speaker button on every page reads it aloud)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Login first:</w:t>
      </w:r>
      <w:r>
        <w:t xml:space="preserve"> the welcome page is a log in / register screen for citizens and staff; every other page needs a login.</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an Upload button for every document staff request, attaching a photo or PDF at any time, a grievance option after seven days without an update, and tracking by application number.</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ask for several documents at once from a list, handle grievances, update centre crowd levels, edit scheme details and run a system check. When staff approve or reject an application, the applicant automatically gets a message asking them to visit their nearby Sachivalayam, where staff advise on the next steps.</w:t>
      </w:r>
    </w:p>
    <w:p>
      <w:pPr>
        <w:keepNext/>
        <w:spacing w:after="80" w:before="120"/>
        <w:jc w:val="center"/>
      </w:pPr>
      <w:r>
        <w:drawing>
          <wp:inline distT="0" distB="0" distL="0" distR="0">
            <wp:extent cx="4476750" cy="265747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476750" cy="265747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65 automated database checks confirmed that every operation works for the correct role with security switched on: a citizen sees only their own data, cannot approve their own application or post messages as staff, a wrong staff key is refused (and locked out after five wrong tries), tracking by number needs a login, and approving or rejecting an application sends the applicant the visit message.</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476750" cy="265747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476750" cy="265747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476750" cy="265747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ticks one or more missing documents to request, each of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1g4blk3dkyze1eeqi5mo6">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zj1gmgf7ubewi1wptorqa">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tdqjvtic7s-umlcpkj8vc">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od87tj-khle2a2emofez6">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iu-jjyoczrokbgfuavlhb">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_ek7dxcftb7lx9r17cgwv">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pb5fzzg7mvpg2anu0txcz">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rmsoxc3ihg6x0i-suclxq">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k_nht60efcz7-vsurubur">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mtbarvkhp_nwqdh9uw79a">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md7p2vrdttbqkndx2fnji">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3kh_j9rchlqri6wm5k_vc">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vr6hov9kfe4g3irlhf4d6">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8wp389bq39pvbxhihew2s">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tbl>
      <w:tblPr>
        <w:tblW w:type="dxa" w:w="9026"/>
        <w:tblBorders>
          <w:top w:val="none"/>
          <w:left w:val="none"/>
          <w:bottom w:val="none"/>
          <w:right w:val="none"/>
          <w:insideH w:val="none"/>
          <w:insideV w:val="none"/>
        </w:tblBorders>
      </w:tblPr>
      <w:tblGrid>
        <w:gridCol w:w="4513"/>
        <w:gridCol w:w="4513"/>
      </w:tblGrid>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A.1 The team discussing the project with a Sachivalayam official (15 June 2026)</w:t>
            </w:r>
          </w:p>
        </w:tc>
        <w:tc>
          <w:tcPr>
            <w:tcW w:type="dxa" w:w="4513"/>
            <w:tcMar>
              <w:top w:type="dxa" w:w="80"/>
              <w:left w:type="dxa" w:w="80"/>
              <w:bottom w:type="dxa" w:w="120"/>
              <w:right w:type="dxa" w:w="80"/>
            </w:tcMar>
          </w:tcPr>
          <w:p>
            <w:pPr>
              <w:jc w:val="center"/>
            </w:pPr>
            <w:r>
              <w:drawing>
                <wp:inline distT="0" distB="0" distL="0" distR="0">
                  <wp:extent cx="2714625" cy="15240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A.2 The team at the Sachivalayam, Dungalavanipalem, NAD Junction (15 June 2026)</w:t>
            </w:r>
          </w:p>
        </w:tc>
      </w:tr>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A.3 The team outside the Sachivalayam, Dungalavanipalem, NAD Junction (15 June 2026)</w:t>
            </w:r>
          </w:p>
        </w:tc>
        <w:tc>
          <w:tcPr>
            <w:tcW w:type="dxa" w:w="4513"/>
            <w:tcMar>
              <w:top w:type="dxa" w:w="80"/>
              <w:left w:type="dxa" w:w="80"/>
              <w:bottom w:type="dxa" w:w="120"/>
              <w:right w:type="dxa" w:w="80"/>
            </w:tcMar>
          </w:tcPr>
          <w:p>
            <w:pPr>
              <w:jc w:val="center"/>
            </w:pPr>
            <w:r>
              <w:drawing>
                <wp:inline distT="0" distB="0" distL="0" distR="0">
                  <wp:extent cx="1343025" cy="2390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343025" cy="2390775"/>
                          </a:xfrm>
                          <a:prstGeom prst="rect">
                            <a:avLst/>
                          </a:prstGeom>
                        </pic:spPr>
                      </pic:pic>
                    </a:graphicData>
                  </a:graphic>
                </wp:inline>
              </w:drawing>
            </w:r>
          </w:p>
          <w:p>
            <w:pPr>
              <w:spacing w:before="80"/>
              <w:jc w:val="center"/>
            </w:pPr>
            <w:r>
              <w:rPr>
                <w:b/>
                <w:bCs/>
              </w:rPr>
              <w:t xml:space="preserve">Photo A.4 Demonstrating SachiSeva to a citizen on a phone (15 June 2026)</w:t>
            </w:r>
          </w:p>
        </w:tc>
      </w:tr>
    </w:tbl>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g4blk3dkyze1eeqi5mo6" Type="http://schemas.openxmlformats.org/officeDocument/2006/relationships/hyperlink" Target="https://gramawardsachivalayam.ap.gov.in" TargetMode="External"/><Relationship Id="rIdzj1gmgf7ubewi1wptorqa" Type="http://schemas.openxmlformats.org/officeDocument/2006/relationships/hyperlink" Target="https://www.ap.gov.in" TargetMode="External"/><Relationship Id="rIdtdqjvtic7s-umlcpkj8vc" Type="http://schemas.openxmlformats.org/officeDocument/2006/relationships/hyperlink" Target="https://sspensions.ap.gov.in" TargetMode="External"/><Relationship Id="rIdod87tj-khle2a2emofez6" Type="http://schemas.openxmlformats.org/officeDocument/2006/relationships/hyperlink" Target="https://pmkisan.gov.in" TargetMode="External"/><Relationship Id="rIdiu-jjyoczrokbgfuavlhb" Type="http://schemas.openxmlformats.org/officeDocument/2006/relationships/hyperlink" Target="https://www.theweek.in/wire-updates/national/2025/06/11/mes8-ap-scheme-cm.html" TargetMode="External"/><Relationship Id="rId_ek7dxcftb7lx9r17cgwv" Type="http://schemas.openxmlformats.org/officeDocument/2006/relationships/hyperlink" Target="https://www.thehansindia.com/news/cities/amaravati/super-six-bill-mounts-as-ap-expands-free-travel-farm-education-support-1121009" TargetMode="External"/><Relationship Id="rIdpb5fzzg7mvpg2anu0txcz" Type="http://schemas.openxmlformats.org/officeDocument/2006/relationships/hyperlink" Target="https://www.adb.org/publications/public-service-delivery-role-information-and-communication-technology-improving-governance" TargetMode="External"/><Relationship Id="rIdrmsoxc3ihg6x0i-suclxq" Type="http://schemas.openxmlformats.org/officeDocument/2006/relationships/hyperlink" Target="https://doi.org/10.5220/0006353703440351" TargetMode="External"/><Relationship Id="rIdk_nht60efcz7-vsurubur" Type="http://schemas.openxmlformats.org/officeDocument/2006/relationships/hyperlink" Target="https://react.dev" TargetMode="External"/><Relationship Id="rIdmtbarvkhp_nwqdh9uw79a" Type="http://schemas.openxmlformats.org/officeDocument/2006/relationships/hyperlink" Target="https://supabase.com/docs/guides/database/postgres/row-level-security" TargetMode="External"/><Relationship Id="rIdmd7p2vrdttbqkndx2fnji" Type="http://schemas.openxmlformats.org/officeDocument/2006/relationships/hyperlink" Target="https://vercel.com/docs/functions" TargetMode="External"/><Relationship Id="rId3kh_j9rchlqri6wm5k_vc" Type="http://schemas.openxmlformats.org/officeDocument/2006/relationships/hyperlink" Target="https://developer.mozilla.org/en-US/docs/Web/API/Web_Speech_API" TargetMode="External"/><Relationship Id="rIdvr6hov9kfe4g3irlhf4d6" Type="http://schemas.openxmlformats.org/officeDocument/2006/relationships/hyperlink" Target="https://www.w3.org/TR/appmanifest/" TargetMode="External"/><Relationship Id="rId8wp389bq39pvbxhihew2s"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c44c9c8ae3da644741d9f5d00e95cd123644867b.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2026-10-17T17:41:21.983Z</dcterms:created>
  <dcterms:modified xsi:type="dcterms:W3CDTF">2026-10-17T17:41:21.983Z</dcterms:modified>
</cp:coreProperties>
</file>

<file path=docProps/custom.xml><?xml version="1.0" encoding="utf-8"?>
<Properties xmlns="http://schemas.openxmlformats.org/officeDocument/2006/custom-properties" xmlns:vt="http://schemas.openxmlformats.org/officeDocument/2006/docPropsVTypes"/>
</file>