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1800" w:line="360"/>
        <w:jc w:val="center"/>
      </w:pPr>
      <w:r>
        <w:rPr>
          <w:b/>
          <w:bCs/>
          <w:sz w:val="48"/>
          <w:szCs w:val="48"/>
        </w:rPr>
        <w:t xml:space="preserve">Community Service Project</w:t>
      </w:r>
    </w:p>
    <w:p>
      <w:pPr>
        <w:spacing w:after="120" w:line="360"/>
        <w:jc w:val="center"/>
      </w:pPr>
      <w:r>
        <w:rPr>
          <w:sz w:val="28"/>
          <w:szCs w:val="28"/>
        </w:rPr>
        <w:t xml:space="preserve">on</w:t>
      </w:r>
    </w:p>
    <w:p>
      <w:pPr>
        <w:spacing w:after="1500" w:line="360"/>
        <w:jc w:val="center"/>
      </w:pPr>
      <w:r>
        <w:rPr>
          <w:b/>
          <w:bCs/>
          <w:sz w:val="36"/>
          <w:szCs w:val="36"/>
        </w:rPr>
        <w:t xml:space="preserve">SachiSeva — Welfare Eligibility Platform</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cantSplit/>
          <w:tblHeader w:val="off"/>
        </w:trPr>
        <w:tc>
          <w:tcPr>
            <w:tcW w:type="dxa" w:w="3400"/>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b/>
                <w:bCs/>
                <w:sz w:val="24"/>
                <w:szCs w:val="24"/>
              </w:rPr>
              <w:t xml:space="preserve">Name of the Students</w:t>
            </w:r>
          </w:p>
        </w:tc>
        <w:tc>
          <w:tcPr>
            <w:tcW w:type="dxa" w:w="5626"/>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sz w:val="24"/>
                <w:szCs w:val="24"/>
              </w:rPr>
              <w:t xml:space="preserve">B. Maithreya, D. Abhilash, J. Mounika, K. Yogitha</w:t>
            </w:r>
          </w:p>
        </w:tc>
      </w:tr>
      <w:tr>
        <w:trPr>
          <w:cantSplit/>
          <w:tblHeader w:val="off"/>
        </w:trPr>
        <w:tc>
          <w:tcPr>
            <w:tcW w:type="dxa" w:w="3400"/>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b/>
                <w:bCs/>
                <w:sz w:val="24"/>
                <w:szCs w:val="24"/>
              </w:rPr>
              <w:t xml:space="preserve">Registration Numbers</w:t>
            </w:r>
          </w:p>
        </w:tc>
        <w:tc>
          <w:tcPr>
            <w:tcW w:type="dxa" w:w="5626"/>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sz w:val="24"/>
                <w:szCs w:val="24"/>
              </w:rPr>
              <w:t xml:space="preserve">24L31A4318, 24L31A4340, 24L31A4357, 24L31A4359</w:t>
            </w:r>
          </w:p>
        </w:tc>
      </w:tr>
      <w:tr>
        <w:trPr>
          <w:cantSplit/>
          <w:tblHeader w:val="off"/>
        </w:trPr>
        <w:tc>
          <w:tcPr>
            <w:tcW w:type="dxa" w:w="3400"/>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b/>
                <w:bCs/>
                <w:sz w:val="24"/>
                <w:szCs w:val="24"/>
              </w:rPr>
              <w:t xml:space="preserve">Name of the College</w:t>
            </w:r>
          </w:p>
        </w:tc>
        <w:tc>
          <w:tcPr>
            <w:tcW w:type="dxa" w:w="5626"/>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sz w:val="24"/>
                <w:szCs w:val="24"/>
              </w:rPr>
              <w:t xml:space="preserve">Vignan's Institute of Information Technology (A)</w:t>
            </w:r>
          </w:p>
        </w:tc>
      </w:tr>
      <w:tr>
        <w:trPr>
          <w:cantSplit/>
          <w:tblHeader w:val="off"/>
        </w:trPr>
        <w:tc>
          <w:tcPr>
            <w:tcW w:type="dxa" w:w="3400"/>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b/>
                <w:bCs/>
                <w:sz w:val="24"/>
                <w:szCs w:val="24"/>
              </w:rPr>
              <w:t xml:space="preserve">Year</w:t>
            </w:r>
          </w:p>
        </w:tc>
        <w:tc>
          <w:tcPr>
            <w:tcW w:type="dxa" w:w="5626"/>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sz w:val="24"/>
                <w:szCs w:val="24"/>
              </w:rPr>
              <w:t xml:space="preserve">II B. Tech</w:t>
            </w:r>
          </w:p>
        </w:tc>
      </w:tr>
      <w:tr>
        <w:trPr>
          <w:cantSplit/>
          <w:tblHeader w:val="off"/>
        </w:trPr>
        <w:tc>
          <w:tcPr>
            <w:tcW w:type="dxa" w:w="3400"/>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b/>
                <w:bCs/>
                <w:sz w:val="24"/>
                <w:szCs w:val="24"/>
              </w:rPr>
              <w:t xml:space="preserve">Period of the Project</w:t>
            </w:r>
          </w:p>
        </w:tc>
        <w:tc>
          <w:tcPr>
            <w:tcW w:type="dxa" w:w="5626"/>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sz w:val="24"/>
                <w:szCs w:val="24"/>
              </w:rPr>
              <w:t xml:space="preserve">11 May 2026 – 20 June 2026</w:t>
            </w:r>
          </w:p>
        </w:tc>
      </w:tr>
      <w:tr>
        <w:trPr>
          <w:cantSplit/>
          <w:tblHeader w:val="off"/>
        </w:trPr>
        <w:tc>
          <w:tcPr>
            <w:tcW w:type="dxa" w:w="3400"/>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b/>
                <w:bCs/>
                <w:sz w:val="24"/>
                <w:szCs w:val="24"/>
              </w:rPr>
              <w:t xml:space="preserve">Habitation (CSP)</w:t>
            </w:r>
          </w:p>
        </w:tc>
        <w:tc>
          <w:tcPr>
            <w:tcW w:type="dxa" w:w="5626"/>
            <w:tcBorders>
              <w:top w:val="none" w:color="FFFFFF" w:sz="0"/>
              <w:left w:val="none" w:color="FFFFFF" w:sz="0"/>
              <w:bottom w:val="none" w:color="FFFFFF" w:sz="0"/>
              <w:right w:val="none" w:color="FFFFFF" w:sz="0"/>
            </w:tcBorders>
            <w:tcMar>
              <w:top w:type="dxa" w:w="170"/>
              <w:left w:type="dxa" w:w="100"/>
              <w:bottom w:type="dxa" w:w="170"/>
              <w:right w:type="dxa" w:w="100"/>
            </w:tcMar>
            <w:vAlign w:val="center"/>
          </w:tcPr>
          <w:p>
            <w:pPr>
              <w:spacing w:after="0" w:line="360"/>
              <w:jc w:val="left"/>
            </w:pPr>
            <w:r>
              <w:rPr>
                <w:sz w:val="24"/>
                <w:szCs w:val="24"/>
              </w:rPr>
              <w:t xml:space="preserve">Dungalavanipalem, NAD Junction, Visakhapatnam, Andhra Pradesh</w:t>
            </w:r>
          </w:p>
        </w:tc>
      </w:tr>
    </w:tbl>
    <w:p>
      <w:r>
        <w:br w:type="page"/>
      </w:r>
    </w:p>
    <w:p>
      <w:pPr>
        <w:spacing w:after="160" w:before="400" w:line="360"/>
        <w:jc w:val="center"/>
      </w:pPr>
      <w:r>
        <w:rPr>
          <w:b/>
          <w:bCs/>
          <w:sz w:val="32"/>
          <w:szCs w:val="32"/>
        </w:rPr>
        <w:t xml:space="preserve">Community Service Project Report</w:t>
      </w:r>
    </w:p>
    <w:p>
      <w:pPr>
        <w:spacing w:after="120" w:line="360"/>
        <w:jc w:val="center"/>
      </w:pPr>
      <w:r>
        <w:rPr>
          <w:sz w:val="26"/>
          <w:szCs w:val="26"/>
        </w:rPr>
        <w:t xml:space="preserve">on</w:t>
      </w:r>
    </w:p>
    <w:p>
      <w:pPr>
        <w:spacing w:after="480" w:line="360"/>
        <w:jc w:val="center"/>
      </w:pPr>
      <w:r>
        <w:rPr>
          <w:b/>
          <w:bCs/>
          <w:sz w:val="36"/>
          <w:szCs w:val="36"/>
        </w:rPr>
        <w:t xml:space="preserve">SachiSeva — Welfare Eligibility Platform</w:t>
      </w:r>
    </w:p>
    <w:p>
      <w:pPr>
        <w:spacing w:after="240" w:line="360"/>
        <w:jc w:val="center"/>
      </w:pPr>
      <w:r>
        <w:rPr>
          <w:i/>
          <w:iCs/>
        </w:rPr>
        <w:t xml:space="preserve">Submitted in partial fulfilment of the requirements for the award of the Community Service Project of</w:t>
      </w:r>
    </w:p>
    <w:p>
      <w:pPr>
        <w:spacing w:after="100" w:line="360"/>
        <w:jc w:val="center"/>
      </w:pPr>
      <w:r>
        <w:rPr>
          <w:b/>
          <w:bCs/>
          <w:sz w:val="30"/>
          <w:szCs w:val="30"/>
        </w:rPr>
        <w:t xml:space="preserve">Bachelor of Technology</w:t>
      </w:r>
    </w:p>
    <w:p>
      <w:pPr>
        <w:spacing w:after="100" w:line="360"/>
        <w:jc w:val="center"/>
      </w:pPr>
      <w:r>
        <w:t xml:space="preserve">in</w:t>
      </w:r>
    </w:p>
    <w:p>
      <w:pPr>
        <w:spacing w:after="480" w:line="360"/>
        <w:jc w:val="center"/>
      </w:pPr>
      <w:r>
        <w:rPr>
          <w:b/>
          <w:bCs/>
          <w:sz w:val="26"/>
          <w:szCs w:val="26"/>
        </w:rPr>
        <w:t xml:space="preserve">Department of Computer Science Engineering – Artificial Intelligence</w:t>
      </w:r>
    </w:p>
    <w:p>
      <w:pPr>
        <w:spacing w:after="120" w:line="360"/>
        <w:jc w:val="center"/>
      </w:pPr>
      <w:r>
        <w:t xml:space="preserve">By</w:t>
      </w:r>
    </w:p>
    <w:p>
      <w:pPr>
        <w:spacing w:after="60" w:line="360"/>
        <w:jc w:val="center"/>
      </w:pPr>
      <w:r>
        <w:rPr>
          <w:sz w:val="26"/>
          <w:szCs w:val="26"/>
        </w:rPr>
        <w:t xml:space="preserve">24L31A4318</w:t>
      </w:r>
    </w:p>
    <w:p>
      <w:pPr>
        <w:spacing w:after="60" w:line="360"/>
        <w:jc w:val="center"/>
      </w:pPr>
      <w:r>
        <w:rPr>
          <w:sz w:val="26"/>
          <w:szCs w:val="26"/>
        </w:rPr>
        <w:t xml:space="preserve">24L31A4340</w:t>
      </w:r>
    </w:p>
    <w:p>
      <w:pPr>
        <w:spacing w:after="60" w:line="360"/>
        <w:jc w:val="center"/>
      </w:pPr>
      <w:r>
        <w:rPr>
          <w:sz w:val="26"/>
          <w:szCs w:val="26"/>
        </w:rPr>
        <w:t xml:space="preserve">24L31A4357</w:t>
      </w:r>
    </w:p>
    <w:p>
      <w:pPr>
        <w:spacing w:after="360" w:line="360"/>
        <w:jc w:val="center"/>
      </w:pPr>
      <w:r>
        <w:rPr>
          <w:sz w:val="26"/>
          <w:szCs w:val="26"/>
        </w:rPr>
        <w:t xml:space="preserve">24L31A4359</w:t>
      </w:r>
    </w:p>
    <w:p>
      <w:pPr>
        <w:spacing w:after="100" w:line="360"/>
        <w:jc w:val="center"/>
      </w:pPr>
      <w:r>
        <w:t xml:space="preserve">Under the Faculty Guidance of</w:t>
      </w:r>
    </w:p>
    <w:p>
      <w:pPr>
        <w:spacing w:after="0" w:line="360"/>
        <w:jc w:val="center"/>
      </w:pPr>
      <w:r>
        <w:rPr>
          <w:b/>
          <w:bCs/>
          <w:sz w:val="26"/>
          <w:szCs w:val="26"/>
        </w:rPr>
        <w:t xml:space="preserve">Mrs. K. Swathi</w:t>
      </w:r>
    </w:p>
    <w:p>
      <w:pPr>
        <w:spacing w:after="240" w:line="360"/>
        <w:jc w:val="center"/>
      </w:pPr>
      <w:r>
        <w:t xml:space="preserve">Assistant Professor</w:t>
      </w:r>
    </w:p>
    <w:p>
      <w:pPr>
        <w:keepNext w:val="false"/>
        <w:spacing w:after="80" w:before="120"/>
        <w:jc w:val="center"/>
      </w:pPr>
      <w:r>
        <w:drawing>
          <wp:inline distT="0" distB="0" distL="0" distR="0">
            <wp:extent cx="1524000" cy="151447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24000" cy="1514475"/>
                    </a:xfrm>
                    <a:prstGeom prst="rect">
                      <a:avLst/>
                    </a:prstGeom>
                  </pic:spPr>
                </pic:pic>
              </a:graphicData>
            </a:graphic>
          </wp:inline>
        </w:drawing>
      </w:r>
    </w:p>
    <w:p>
      <w:pPr>
        <w:spacing w:after="0" w:before="12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419225"/>
                    </a:xfrm>
                    <a:prstGeom prst="rect">
                      <a:avLst/>
                    </a:prstGeom>
                  </pic:spPr>
                </pic:pic>
              </a:graphicData>
            </a:graphic>
          </wp:inline>
        </w:drawing>
      </w:r>
    </w:p>
    <w:p>
      <w:pPr>
        <w:spacing w:after="360" w:before="240"/>
        <w:jc w:val="center"/>
      </w:pPr>
      <w:r>
        <w:rPr>
          <w:b/>
          <w:bCs/>
          <w:sz w:val="32"/>
          <w:szCs w:val="32"/>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Pr>
        <w:spacing w:after="200" w:before="700"/>
      </w:pPr>
      <w:r>
        <w:rPr>
          <w:b/>
          <w:bCs/>
        </w:rPr>
        <w:t xml:space="preserve">Signatures of the Students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26"/>
      </w:tblGrid>
      <w:tr>
        <w:trPr>
          <w:cantSplit/>
          <w:tblHeader/>
        </w:trPr>
        <w:tc>
          <w:tcPr>
            <w:tcW w:type="dxa" w:w="36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b/>
                <w:bCs/>
                <w:sz w:val="24"/>
                <w:szCs w:val="24"/>
              </w:rPr>
              <w:t xml:space="preserve">Name</w:t>
            </w:r>
          </w:p>
        </w:tc>
        <w:tc>
          <w:tcPr>
            <w:tcW w:type="dxa" w:w="24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b/>
                <w:bCs/>
                <w:sz w:val="24"/>
                <w:szCs w:val="24"/>
              </w:rPr>
              <w:t xml:space="preserve">Regd. No.</w:t>
            </w:r>
          </w:p>
        </w:tc>
        <w:tc>
          <w:tcPr>
            <w:tcW w:type="dxa" w:w="3026"/>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b/>
                <w:bCs/>
                <w:sz w:val="24"/>
                <w:szCs w:val="24"/>
              </w:rPr>
              <w:t xml:space="preserve">Signature</w:t>
            </w:r>
          </w:p>
        </w:tc>
      </w:tr>
      <w:tr>
        <w:trPr>
          <w:cantSplit/>
          <w:tblHeader w:val="off"/>
        </w:trPr>
        <w:tc>
          <w:tcPr>
            <w:tcW w:type="dxa" w:w="36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B. Maithreya</w:t>
            </w:r>
          </w:p>
        </w:tc>
        <w:tc>
          <w:tcPr>
            <w:tcW w:type="dxa" w:w="24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24L31A4318</w:t>
            </w:r>
          </w:p>
        </w:tc>
        <w:tc>
          <w:tcPr>
            <w:tcW w:type="dxa" w:w="3026"/>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p>
        </w:tc>
      </w:tr>
      <w:tr>
        <w:trPr>
          <w:cantSplit/>
          <w:tblHeader w:val="off"/>
        </w:trPr>
        <w:tc>
          <w:tcPr>
            <w:tcW w:type="dxa" w:w="36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D. Abhilash</w:t>
            </w:r>
          </w:p>
        </w:tc>
        <w:tc>
          <w:tcPr>
            <w:tcW w:type="dxa" w:w="24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24L31A4340</w:t>
            </w:r>
          </w:p>
        </w:tc>
        <w:tc>
          <w:tcPr>
            <w:tcW w:type="dxa" w:w="3026"/>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p>
        </w:tc>
      </w:tr>
      <w:tr>
        <w:trPr>
          <w:cantSplit/>
          <w:tblHeader w:val="off"/>
        </w:trPr>
        <w:tc>
          <w:tcPr>
            <w:tcW w:type="dxa" w:w="36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J. Mounika</w:t>
            </w:r>
          </w:p>
        </w:tc>
        <w:tc>
          <w:tcPr>
            <w:tcW w:type="dxa" w:w="24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24L31A4357</w:t>
            </w:r>
          </w:p>
        </w:tc>
        <w:tc>
          <w:tcPr>
            <w:tcW w:type="dxa" w:w="3026"/>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p>
        </w:tc>
      </w:tr>
      <w:tr>
        <w:trPr>
          <w:cantSplit/>
          <w:tblHeader w:val="off"/>
        </w:trPr>
        <w:tc>
          <w:tcPr>
            <w:tcW w:type="dxa" w:w="36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K. Yogitha</w:t>
            </w:r>
          </w:p>
        </w:tc>
        <w:tc>
          <w:tcPr>
            <w:tcW w:type="dxa" w:w="2400"/>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r>
              <w:rPr>
                <w:sz w:val="24"/>
                <w:szCs w:val="24"/>
              </w:rPr>
              <w:t xml:space="preserve">24L31A4359</w:t>
            </w:r>
          </w:p>
        </w:tc>
        <w:tc>
          <w:tcPr>
            <w:tcW w:type="dxa" w:w="3026"/>
            <w:tcBorders>
              <w:top w:val="none" w:color="FFFFFF" w:sz="0"/>
              <w:left w:val="none" w:color="FFFFFF" w:sz="0"/>
              <w:bottom w:val="none" w:color="FFFFFF" w:sz="0"/>
              <w:right w:val="none" w:color="FFFFFF" w:sz="0"/>
            </w:tcBorders>
            <w:tcMar>
              <w:top w:type="dxa" w:w="140"/>
              <w:left w:type="dxa" w:w="100"/>
              <w:bottom w:type="dxa" w:w="140"/>
              <w:right w:type="dxa" w:w="100"/>
            </w:tcMar>
            <w:vAlign w:val="center"/>
          </w:tcPr>
          <w:p>
            <w:pPr>
              <w:spacing w:after="0" w:line="360"/>
              <w:jc w:val="left"/>
            </w:pPr>
          </w:p>
        </w:tc>
      </w:tr>
    </w:tbl>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419225"/>
                    </a:xfrm>
                    <a:prstGeom prst="rect">
                      <a:avLst/>
                    </a:prstGeom>
                  </pic:spPr>
                </pic:pic>
              </a:graphicData>
            </a:graphic>
          </wp:inline>
        </w:drawing>
      </w:r>
    </w:p>
    <w:p>
      <w:pPr>
        <w:spacing w:after="360" w:before="24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Pr>
        <w:tabs>
          <w:tab w:val="right" w:pos="9026"/>
        </w:tabs>
        <w:spacing w:before="3400"/>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708"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Every page needs a login. Citizens can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 The system was validated with 65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Pr>
        <w:spacing w:after="0" w:before="180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Executive Summary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Community Service Part</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Outcomes Description</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References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28</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13.2</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13.3</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13.5</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Apply for All Screen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13.6</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Photo A.1 – A.4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Annexure B</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Table 2.1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w:t>
            </w:r>
          </w:p>
        </w:tc>
      </w:tr>
    </w:tbl>
    <w:p>
      <w:pPr>
        <w:sectPr>
          <w:footerReference w:type="default" r:id="rId7"/>
          <w:pgSz w:w="11906" w:h="16838" w:orient="portrait"/>
          <w:pgMar w:top="1440" w:right="1440" w:bottom="1440" w:left="1440" w:header="708" w:footer="708"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left"/>
            </w:pPr>
            <w:r>
              <w:rPr>
                <w:b/>
                <w:bCs/>
                <w:sz w:val="24"/>
                <w:szCs w:val="24"/>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bl>
    <w:p>
      <w:pPr>
        <w:spacing w:after="200" w:before="120" w:line="36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Team formation and project ideation; identified the welfare-scheme awareness gap in the AP Sachivalayam system as the focus area for the Community Service Project.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the AP Sachivalayam welfare-scheme ecosystem and the challenges citizens face in identifying schemes they qualify for.</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literature review on bilingual e-governance tools and web-based welfare-eligibility services.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14-05-2026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project requirements: bilingual (Telugu/English) interface, eligibility engine, online applications and a staff review panel.</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React, Supabase (database, sign-in, file storage) and Web Speech API concepts.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Finalized project scope, objectives and the overall development roadmap for SachiSeva.</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2"/>
        <w:keepNext/>
      </w:pPr>
      <w:r>
        <w:t xml:space="preserve">Key Activities Carried Out</w:t>
      </w:r>
    </w:p>
    <w:p>
      <w:pPr>
        <w:pStyle w:val="ListParagraph"/>
        <w:numPr>
          <w:ilvl w:val="0"/>
          <w:numId w:val="2"/>
        </w:numPr>
        <w:spacing w:after="40" w:line="360"/>
        <w:jc w:val="both"/>
      </w:pPr>
      <w:r>
        <w:t xml:space="preserve">Formed the project team, divided roles (research, design, development and field work) and agreed on a weekly working schedule.</w:t>
      </w:r>
    </w:p>
    <w:p>
      <w:pPr>
        <w:pStyle w:val="ListParagraph"/>
        <w:numPr>
          <w:ilvl w:val="0"/>
          <w:numId w:val="2"/>
        </w:numPr>
        <w:spacing w:after="4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40" w:line="360"/>
        <w:jc w:val="both"/>
      </w:pPr>
      <w:r>
        <w:t xml:space="preserve">Reviewed existing government portals and e-governance applications to understand what information they provide and where citizens get stuck.</w:t>
      </w:r>
    </w:p>
    <w:p>
      <w:pPr>
        <w:pStyle w:val="Heading2"/>
        <w:keepNext/>
      </w:pPr>
      <w:r>
        <w:t xml:space="preserve">Outcomes of the Week</w:t>
      </w:r>
    </w:p>
    <w:p>
      <w:pPr>
        <w:spacing w:after="10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40" w:line="360"/>
        <w:jc w:val="both"/>
      </w:pPr>
      <w:r>
        <w:t xml:space="preserve">Scheme rules are spread across many separate government notices. The team decided to keep all scheme data in a single structured catalogue so that it can be checked and updated easily.</w:t>
      </w:r>
    </w:p>
    <w:p>
      <w:pPr>
        <w:pStyle w:val="Heading2"/>
        <w:keepNext/>
      </w:pPr>
      <w:r>
        <w:t xml:space="preserve">Plan for the Next Week</w:t>
      </w:r>
    </w:p>
    <w:p>
      <w:pPr>
        <w:spacing w:after="100" w:line="360"/>
        <w:jc w:val="both"/>
      </w:pPr>
      <w:r>
        <w:t xml:space="preserve">Design the system architecture, the scheme data model, the eligibility-matching engine and the bilingual screens of the application.</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system architecture: React web application, Supabase backend (database, sign-in, storage, live updates) and Vercel server functions.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Modelled scheme data fields: eligibility rules, benefits, documents, steps, fees and time limits in Telugu and English.</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and catalogued welfare schemes and citizen services across multiple categories.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eligibility-matching engine logic (profile comparison against scheme rules).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bilingual (Telugu/English) UI screens and navigation flow.</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Planned data security: row-level security so that citizens see only their own applications, and a separate staff role.</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4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40" w:line="360"/>
        <w:jc w:val="both"/>
      </w:pPr>
      <w:r>
        <w:t xml:space="preserve">Designed the scheme record: name in Telugu and English, category, benefit, eligibility rules, required documents, application steps, fees and time limits.</w:t>
      </w:r>
    </w:p>
    <w:p>
      <w:pPr>
        <w:pStyle w:val="Heading2"/>
        <w:keepNext/>
      </w:pPr>
      <w:r>
        <w:t xml:space="preserve">Outcomes of the Week</w:t>
      </w:r>
    </w:p>
    <w:p>
      <w:pPr>
        <w:spacing w:after="10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4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Heading2"/>
        <w:keepNext/>
      </w:pPr>
      <w:r>
        <w:t xml:space="preserve">Plan for the Next Week</w:t>
      </w:r>
    </w:p>
    <w:p>
      <w:pPr>
        <w:spacing w:after="100" w:line="360"/>
        <w:jc w:val="both"/>
      </w:pPr>
      <w:r>
        <w:t xml:space="preserve">Prepare the survey questionnaire, visit Dungalavanipalem, NAD Junction, and introduce the SachiSeva idea to citizens.</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Prepared a survey questionnaire for Dungalavanipalem, NAD Junction, Andhra Pradesh, covering scheme awareness, language preference and document issues.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Visited Dungalavanipalem, NAD Junction, Andhra Pradesh and conducted preliminary interactions with citizens and Sachivalayam visitors.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27-05-2026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Collected survey responses from citizens on welfare-scheme awareness and access.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awareness sessions explaining the SachiSeva eligibility-checking tool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Demonstrated the SachiSeva application on mobile devices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30-05-2026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Analyzed initial survey responses and identified key awareness gaps in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2"/>
        <w:keepNext/>
      </w:pPr>
      <w:r>
        <w:t xml:space="preserve">Key Activities Carried Out</w:t>
      </w:r>
    </w:p>
    <w:p>
      <w:pPr>
        <w:pStyle w:val="ListParagraph"/>
        <w:numPr>
          <w:ilvl w:val="0"/>
          <w:numId w:val="2"/>
        </w:numPr>
        <w:spacing w:after="4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4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40" w:line="360"/>
        <w:jc w:val="both"/>
      </w:pPr>
      <w:r>
        <w:t xml:space="preserve">Recorded survey responses and noted common questions about pensions, rice cards, certificates and education support.</w:t>
      </w:r>
    </w:p>
    <w:p>
      <w:pPr>
        <w:pStyle w:val="Heading2"/>
        <w:keepNext/>
      </w:pPr>
      <w:r>
        <w:t xml:space="preserve">Outcomes of the Week</w:t>
      </w:r>
    </w:p>
    <w:p>
      <w:pPr>
        <w:spacing w:after="10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40" w:line="360"/>
        <w:jc w:val="both"/>
      </w:pPr>
      <w:r>
        <w:t xml:space="preserve">Some citizens were hesitant to share personal details. The team explained that the app asks only for the last four digits of Aadhaar and that family answers are used only for the eligibility check.</w:t>
      </w:r>
    </w:p>
    <w:p>
      <w:pPr>
        <w:pStyle w:val="Heading2"/>
        <w:keepNext/>
      </w:pPr>
      <w:r>
        <w:t xml:space="preserve">Plan for the Next Week</w:t>
      </w:r>
    </w:p>
    <w:p>
      <w:pPr>
        <w:spacing w:after="100" w:line="360"/>
        <w:jc w:val="both"/>
      </w:pPr>
      <w:r>
        <w:t xml:space="preserve">Test the complete application, verify scheme information against current government sources, gather feedback in a follow-up session and prepare the final community report.</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01-06-2026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Implemented and tested the eligibility engine against representative citizen profiles.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02-06-2026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Verified scheme names, benefit amounts and document checklists against current government sources.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03-06-2026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functional testing of online applications, document upload, the staff panel, voice read-out and the SachiBot assistant.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04-06-2026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follow-up awareness session and gathered citizen feedback on the application.</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05-06-2026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Deployed the application and demonstrated the final SachiSeva tool to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06-06-2026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Compiled all survey findings and prepared the final community analysis report.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40" w:line="360"/>
        <w:jc w:val="both"/>
      </w:pPr>
      <w:r>
        <w:t xml:space="preserve">Tested the eligibility engine with sample family profiles covering farmers, students, elderly citizens, widows and auto drivers.</w:t>
      </w:r>
    </w:p>
    <w:p>
      <w:pPr>
        <w:pStyle w:val="ListParagraph"/>
        <w:numPr>
          <w:ilvl w:val="0"/>
          <w:numId w:val="2"/>
        </w:numPr>
        <w:spacing w:after="4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40" w:line="360"/>
        <w:jc w:val="both"/>
      </w:pPr>
      <w:r>
        <w:t xml:space="preserve">Tested the full application flow: sign-up, the family questionnaire, applying online, uploading documents, tracking by application number and staff review.</w:t>
      </w:r>
    </w:p>
    <w:p>
      <w:pPr>
        <w:pStyle w:val="Heading2"/>
        <w:keepNext/>
      </w:pPr>
      <w:r>
        <w:t xml:space="preserve">Outcomes of the Week</w:t>
      </w:r>
    </w:p>
    <w:p>
      <w:pPr>
        <w:spacing w:after="10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40" w:line="360"/>
        <w:jc w:val="both"/>
      </w:pPr>
      <w:r>
        <w:t xml:space="preserve">Benefit amounts and scheme status change over time. Each scheme was marked as open, announced or not currently accepting applications, so that citizens are not misled.</w:t>
      </w:r>
    </w:p>
    <w:p>
      <w:pPr>
        <w:pStyle w:val="Heading2"/>
        <w:keepNext/>
      </w:pPr>
      <w:r>
        <w:t xml:space="preserve">Plan for the Next Week</w:t>
      </w:r>
    </w:p>
    <w:p>
      <w:pPr>
        <w:spacing w:after="100" w:line="360"/>
        <w:jc w:val="both"/>
      </w:pPr>
      <w:r>
        <w:t xml:space="preserve">Prepare the outcomes chapter, the mini-project report and the recommendations, and submit the final Community Service Project report.</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 speaker button on every page reads it aloud)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line="36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Login first:</w:t>
      </w:r>
      <w:r>
        <w:t xml:space="preserve"> the welcome page is a log in / register screen for citizens and staff; every other page needs a login.</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an Upload button for every document staff request, attaching a photo or PDF at any time, a grievance option after seven days without an update, and tracking by application number.</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ask for several documents at once from a list, handle grievances, update centre crowd levels, edit scheme details and run a system check. When staff approve or reject an application, the applicant automatically gets a message asking them to visit their nearby Sachivalayam, where staff advise on the next steps.</w:t>
      </w:r>
    </w:p>
    <w:p>
      <w:pPr>
        <w:keepNext/>
        <w:spacing w:after="80" w:before="120"/>
        <w:jc w:val="center"/>
      </w:pPr>
      <w:r>
        <w:drawing>
          <wp:inline distT="0" distB="0" distL="0" distR="0">
            <wp:extent cx="4191000" cy="248602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191000" cy="248602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65 automated database checks confirmed that every operation works for the correct role with security switched on: a citizen sees only their own data, cannot approve their own application or post messages as staff, a wrong staff key is refused (and locked out after five wrong tries), tracking by number needs a login, and approving or rejecting an application sends the applicant the visit message.</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191000" cy="248602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191000" cy="248602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191000" cy="248602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ticks one or more missing documents to request, each of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60" w:line="360"/>
        <w:jc w:val="left"/>
      </w:pPr>
      <w:r>
        <w:t xml:space="preserve">Government of Andhra Pradesh. (n.d.). </w:t>
      </w:r>
      <w:r>
        <w:rPr>
          <w:i/>
          <w:iCs/>
        </w:rPr>
        <w:t xml:space="preserve">Village and Ward Secretariats Department</w:t>
      </w:r>
      <w:r>
        <w:t xml:space="preserve">. </w:t>
      </w:r>
      <w:hyperlink w:history="1" r:id="rIduesohcamjtti8tknzjtvo">
        <w:r>
          <w:rPr>
            <w:rStyle w:val="Hyperlink"/>
          </w:rPr>
          <w:t xml:space="preserve">https://gramawardsachivalayam.ap.gov.in</w:t>
        </w:r>
      </w:hyperlink>
    </w:p>
    <w:p>
      <w:pPr>
        <w:pStyle w:val="ListParagraph"/>
        <w:numPr>
          <w:ilvl w:val="0"/>
          <w:numId w:val="9"/>
        </w:numPr>
        <w:spacing w:after="60" w:line="360"/>
        <w:jc w:val="left"/>
      </w:pPr>
      <w:r>
        <w:t xml:space="preserve">Government of Andhra Pradesh. (n.d.). </w:t>
      </w:r>
      <w:r>
        <w:rPr>
          <w:i/>
          <w:iCs/>
        </w:rPr>
        <w:t xml:space="preserve">Official portal of the Government of Andhra Pradesh</w:t>
      </w:r>
      <w:r>
        <w:t xml:space="preserve">. </w:t>
      </w:r>
      <w:hyperlink w:history="1" r:id="rIdxgwjdsu3pldc5zv7kgo2b">
        <w:r>
          <w:rPr>
            <w:rStyle w:val="Hyperlink"/>
          </w:rPr>
          <w:t xml:space="preserve">https://www.ap.gov.in</w:t>
        </w:r>
      </w:hyperlink>
    </w:p>
    <w:p>
      <w:pPr>
        <w:pStyle w:val="ListParagraph"/>
        <w:numPr>
          <w:ilvl w:val="0"/>
          <w:numId w:val="9"/>
        </w:numPr>
        <w:spacing w:after="60" w:line="360"/>
        <w:jc w:val="left"/>
      </w:pPr>
      <w:r>
        <w:t xml:space="preserve">Government of Andhra Pradesh. (n.d.). </w:t>
      </w:r>
      <w:r>
        <w:rPr>
          <w:i/>
          <w:iCs/>
        </w:rPr>
        <w:t xml:space="preserve">NTR Bharosa pensions (Social Security Pensions)</w:t>
      </w:r>
      <w:r>
        <w:t xml:space="preserve">. </w:t>
      </w:r>
      <w:hyperlink w:history="1" r:id="rIddxuroz0tkgy85rrwiatpn">
        <w:r>
          <w:rPr>
            <w:rStyle w:val="Hyperlink"/>
          </w:rPr>
          <w:t xml:space="preserve">https://sspensions.ap.gov.in</w:t>
        </w:r>
      </w:hyperlink>
    </w:p>
    <w:p>
      <w:pPr>
        <w:pStyle w:val="ListParagraph"/>
        <w:numPr>
          <w:ilvl w:val="0"/>
          <w:numId w:val="9"/>
        </w:numPr>
        <w:spacing w:after="60" w:line="360"/>
        <w:jc w:val="left"/>
      </w:pPr>
      <w:r>
        <w:t xml:space="preserve">Government of India. (n.d.). </w:t>
      </w:r>
      <w:r>
        <w:rPr>
          <w:i/>
          <w:iCs/>
        </w:rPr>
        <w:t xml:space="preserve">Pradhan Mantri Kisan Samman Nidhi (PM-KISAN)</w:t>
      </w:r>
      <w:r>
        <w:t xml:space="preserve">. </w:t>
      </w:r>
      <w:hyperlink w:history="1" r:id="rIdxzuhxficrbhzsky-n3d1y">
        <w:r>
          <w:rPr>
            <w:rStyle w:val="Hyperlink"/>
          </w:rPr>
          <w:t xml:space="preserve">https://pmkisan.gov.in</w:t>
        </w:r>
      </w:hyperlink>
    </w:p>
    <w:p>
      <w:pPr>
        <w:pStyle w:val="ListParagraph"/>
        <w:numPr>
          <w:ilvl w:val="0"/>
          <w:numId w:val="9"/>
        </w:numPr>
        <w:spacing w:after="60" w:line="360"/>
        <w:jc w:val="left"/>
      </w:pPr>
      <w:r>
        <w:t xml:space="preserve">The Week. (2025, June 11). </w:t>
      </w:r>
      <w:r>
        <w:rPr>
          <w:i/>
          <w:iCs/>
        </w:rPr>
        <w:t xml:space="preserve">Andhra govt to disburse Rs 8,745 cr under 'Talliki Vandanam' scheme on Jun 12</w:t>
      </w:r>
      <w:r>
        <w:t xml:space="preserve">. </w:t>
      </w:r>
      <w:hyperlink w:history="1" r:id="rIdagb7hvy6ndnovyhyzkjdr">
        <w:r>
          <w:rPr>
            <w:rStyle w:val="Hyperlink"/>
          </w:rPr>
          <w:t xml:space="preserve">https://www.theweek.in/wire-updates/national/2025/06/11/mes8-ap-scheme-cm.html</w:t>
        </w:r>
      </w:hyperlink>
    </w:p>
    <w:p>
      <w:pPr>
        <w:pStyle w:val="ListParagraph"/>
        <w:numPr>
          <w:ilvl w:val="0"/>
          <w:numId w:val="9"/>
        </w:numPr>
        <w:spacing w:after="60" w:line="360"/>
        <w:jc w:val="left"/>
      </w:pPr>
      <w:r>
        <w:t xml:space="preserve">The Hans India. (2026, September 12). </w:t>
      </w:r>
      <w:r>
        <w:rPr>
          <w:i/>
          <w:iCs/>
        </w:rPr>
        <w:t xml:space="preserve">'Super Six' bill mounts as AP expands free travel, farm, education support</w:t>
      </w:r>
      <w:r>
        <w:t xml:space="preserve">. </w:t>
      </w:r>
      <w:hyperlink w:history="1" r:id="rIdhkdzcdo41nnfwcwjy6dmf">
        <w:r>
          <w:rPr>
            <w:rStyle w:val="Hyperlink"/>
          </w:rPr>
          <w:t xml:space="preserve">https://www.thehansindia.com/news/cities/amaravati/super-six-bill-mounts-as-ap-expands-free-travel-farm-education-support-1121009</w:t>
        </w:r>
      </w:hyperlink>
    </w:p>
    <w:p>
      <w:pPr>
        <w:pStyle w:val="ListParagraph"/>
        <w:numPr>
          <w:ilvl w:val="0"/>
          <w:numId w:val="9"/>
        </w:numPr>
        <w:spacing w:after="60" w:line="36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fcf57yyqtiwzailxkquz">
        <w:r>
          <w:rPr>
            <w:rStyle w:val="Hyperlink"/>
          </w:rPr>
          <w:t xml:space="preserve">https://www.adb.org/publications/public-service-delivery-role-information-and-communication-technology-improving-governance</w:t>
        </w:r>
      </w:hyperlink>
    </w:p>
    <w:p>
      <w:pPr>
        <w:pStyle w:val="ListParagraph"/>
        <w:numPr>
          <w:ilvl w:val="0"/>
          <w:numId w:val="9"/>
        </w:numPr>
        <w:spacing w:after="60" w:line="36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ps9p5x55eooyeejqcilm9">
        <w:r>
          <w:rPr>
            <w:rStyle w:val="Hyperlink"/>
          </w:rPr>
          <w:t xml:space="preserve">https://doi.org/10.5220/0006353703440351</w:t>
        </w:r>
      </w:hyperlink>
    </w:p>
    <w:p>
      <w:pPr>
        <w:pStyle w:val="ListParagraph"/>
        <w:numPr>
          <w:ilvl w:val="0"/>
          <w:numId w:val="9"/>
        </w:numPr>
        <w:spacing w:after="60" w:line="360"/>
        <w:jc w:val="left"/>
      </w:pPr>
      <w:r>
        <w:t xml:space="preserve">Meta Open Source. (n.d.). </w:t>
      </w:r>
      <w:r>
        <w:rPr>
          <w:i/>
          <w:iCs/>
        </w:rPr>
        <w:t xml:space="preserve">React documentation</w:t>
      </w:r>
      <w:r>
        <w:t xml:space="preserve">. </w:t>
      </w:r>
      <w:hyperlink w:history="1" r:id="rIdtyos7vdar71i3ntqn4yzt">
        <w:r>
          <w:rPr>
            <w:rStyle w:val="Hyperlink"/>
          </w:rPr>
          <w:t xml:space="preserve">https://react.dev</w:t>
        </w:r>
      </w:hyperlink>
    </w:p>
    <w:p>
      <w:pPr>
        <w:pStyle w:val="ListParagraph"/>
        <w:numPr>
          <w:ilvl w:val="0"/>
          <w:numId w:val="9"/>
        </w:numPr>
        <w:spacing w:after="60" w:line="360"/>
        <w:jc w:val="left"/>
      </w:pPr>
      <w:r>
        <w:t xml:space="preserve">Supabase. (n.d.). </w:t>
      </w:r>
      <w:r>
        <w:rPr>
          <w:i/>
          <w:iCs/>
        </w:rPr>
        <w:t xml:space="preserve">Row level security</w:t>
      </w:r>
      <w:r>
        <w:t xml:space="preserve">. Supabase Docs. </w:t>
      </w:r>
      <w:hyperlink w:history="1" r:id="rIdkwf7plk9bzy0gmjvff0yk">
        <w:r>
          <w:rPr>
            <w:rStyle w:val="Hyperlink"/>
          </w:rPr>
          <w:t xml:space="preserve">https://supabase.com/docs/guides/database/postgres/row-level-security</w:t>
        </w:r>
      </w:hyperlink>
    </w:p>
    <w:p>
      <w:pPr>
        <w:pStyle w:val="ListParagraph"/>
        <w:numPr>
          <w:ilvl w:val="0"/>
          <w:numId w:val="9"/>
        </w:numPr>
        <w:spacing w:after="60" w:line="360"/>
        <w:jc w:val="left"/>
      </w:pPr>
      <w:r>
        <w:t xml:space="preserve">Vercel. (n.d.). </w:t>
      </w:r>
      <w:r>
        <w:rPr>
          <w:i/>
          <w:iCs/>
        </w:rPr>
        <w:t xml:space="preserve">Vercel Functions</w:t>
      </w:r>
      <w:r>
        <w:t xml:space="preserve">. Vercel Docs. </w:t>
      </w:r>
      <w:hyperlink w:history="1" r:id="rIdl6i5arw14bs7wwnz9lfcr">
        <w:r>
          <w:rPr>
            <w:rStyle w:val="Hyperlink"/>
          </w:rPr>
          <w:t xml:space="preserve">https://vercel.com/docs/functions</w:t>
        </w:r>
      </w:hyperlink>
    </w:p>
    <w:p>
      <w:pPr>
        <w:pStyle w:val="ListParagraph"/>
        <w:numPr>
          <w:ilvl w:val="0"/>
          <w:numId w:val="9"/>
        </w:numPr>
        <w:spacing w:after="60" w:line="360"/>
        <w:jc w:val="left"/>
      </w:pPr>
      <w:r>
        <w:t xml:space="preserve">MDN Web Docs. (n.d.). </w:t>
      </w:r>
      <w:r>
        <w:rPr>
          <w:i/>
          <w:iCs/>
        </w:rPr>
        <w:t xml:space="preserve">Web Speech API</w:t>
      </w:r>
      <w:r>
        <w:t xml:space="preserve">. Mozilla. </w:t>
      </w:r>
      <w:hyperlink w:history="1" r:id="rIdcjqgekspiywlfoconmdvp">
        <w:r>
          <w:rPr>
            <w:rStyle w:val="Hyperlink"/>
          </w:rPr>
          <w:t xml:space="preserve">https://developer.mozilla.org/en-US/docs/Web/API/Web_Speech_API</w:t>
        </w:r>
      </w:hyperlink>
    </w:p>
    <w:p>
      <w:pPr>
        <w:pStyle w:val="ListParagraph"/>
        <w:numPr>
          <w:ilvl w:val="0"/>
          <w:numId w:val="9"/>
        </w:numPr>
        <w:spacing w:after="60" w:line="360"/>
        <w:jc w:val="left"/>
      </w:pPr>
      <w:r>
        <w:t xml:space="preserve">W3C. (n.d.). </w:t>
      </w:r>
      <w:r>
        <w:rPr>
          <w:i/>
          <w:iCs/>
        </w:rPr>
        <w:t xml:space="preserve">Web application manifest</w:t>
      </w:r>
      <w:r>
        <w:t xml:space="preserve">. World Wide Web Consortium. </w:t>
      </w:r>
      <w:hyperlink w:history="1" r:id="rId2mpudluve112zcxsagpkm">
        <w:r>
          <w:rPr>
            <w:rStyle w:val="Hyperlink"/>
          </w:rPr>
          <w:t xml:space="preserve">https://www.w3.org/TR/appmanifest/</w:t>
        </w:r>
      </w:hyperlink>
    </w:p>
    <w:p>
      <w:pPr>
        <w:pStyle w:val="ListParagraph"/>
        <w:numPr>
          <w:ilvl w:val="0"/>
          <w:numId w:val="9"/>
        </w:numPr>
        <w:spacing w:after="60" w:line="360"/>
        <w:jc w:val="left"/>
      </w:pPr>
      <w:r>
        <w:t xml:space="preserve">WHATWG. (n.d.). </w:t>
      </w:r>
      <w:r>
        <w:rPr>
          <w:i/>
          <w:iCs/>
        </w:rPr>
        <w:t xml:space="preserve">HTML living standard</w:t>
      </w:r>
      <w:r>
        <w:t xml:space="preserve">. </w:t>
      </w:r>
      <w:hyperlink w:history="1" r:id="rIdvcugflo_icpfu1reep2lm">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5334000" cy="3000375"/>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A.1 The team discussing the project with a Sachivalayam official (15 June 2026)</w:t>
      </w:r>
    </w:p>
    <w:p>
      <w:pPr>
        <w:keepNext/>
        <w:spacing w:after="80" w:before="360"/>
        <w:jc w:val="center"/>
      </w:pPr>
      <w:r>
        <w:drawing>
          <wp:inline distT="0" distB="0" distL="0" distR="0">
            <wp:extent cx="5334000" cy="3000375"/>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A.2 The team at the Sachivalayam, Dungalavanipalem, NAD Junction (15 June 2026)</w:t>
      </w:r>
    </w:p>
    <w:p>
      <w:r>
        <w:br w:type="page"/>
      </w:r>
    </w:p>
    <w:p>
      <w:pPr>
        <w:keepNext/>
        <w:spacing w:after="80" w:before="120"/>
        <w:jc w:val="center"/>
      </w:pPr>
      <w:r>
        <w:drawing>
          <wp:inline distT="0" distB="0" distL="0" distR="0">
            <wp:extent cx="5334000" cy="3000375"/>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A.3 The team outside the Sachivalayam, Dungalavanipalem, NAD Junction (15 June 2026)</w:t>
      </w:r>
    </w:p>
    <w:p>
      <w:pPr>
        <w:keepNext/>
        <w:spacing w:after="80" w:before="360"/>
        <w:jc w:val="center"/>
      </w:pPr>
      <w:r>
        <w:drawing>
          <wp:inline distT="0" distB="0" distL="0" distR="0">
            <wp:extent cx="1771650" cy="3152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71650" cy="3152775"/>
                    </a:xfrm>
                    <a:prstGeom prst="rect">
                      <a:avLst/>
                    </a:prstGeom>
                  </pic:spPr>
                </pic:pic>
              </a:graphicData>
            </a:graphic>
          </wp:inline>
        </w:drawing>
      </w:r>
    </w:p>
    <w:p>
      <w:pPr>
        <w:spacing w:after="120" w:line="360"/>
        <w:jc w:val="center"/>
      </w:pPr>
      <w:r>
        <w:rPr>
          <w:b/>
          <w:bCs/>
        </w:rPr>
        <w:t xml:space="preserve">Photo A.4 Demonstrating SachiSeva to a citizen on a phone (15 June 2026)</w:t>
      </w:r>
    </w:p>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line="36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uesohcamjtti8tknzjtvo" Type="http://schemas.openxmlformats.org/officeDocument/2006/relationships/hyperlink" Target="https://gramawardsachivalayam.ap.gov.in" TargetMode="External"/><Relationship Id="rIdxgwjdsu3pldc5zv7kgo2b" Type="http://schemas.openxmlformats.org/officeDocument/2006/relationships/hyperlink" Target="https://www.ap.gov.in" TargetMode="External"/><Relationship Id="rIddxuroz0tkgy85rrwiatpn" Type="http://schemas.openxmlformats.org/officeDocument/2006/relationships/hyperlink" Target="https://sspensions.ap.gov.in" TargetMode="External"/><Relationship Id="rIdxzuhxficrbhzsky-n3d1y" Type="http://schemas.openxmlformats.org/officeDocument/2006/relationships/hyperlink" Target="https://pmkisan.gov.in" TargetMode="External"/><Relationship Id="rIdagb7hvy6ndnovyhyzkjdr" Type="http://schemas.openxmlformats.org/officeDocument/2006/relationships/hyperlink" Target="https://www.theweek.in/wire-updates/national/2025/06/11/mes8-ap-scheme-cm.html" TargetMode="External"/><Relationship Id="rIdhkdzcdo41nnfwcwjy6dmf" Type="http://schemas.openxmlformats.org/officeDocument/2006/relationships/hyperlink" Target="https://www.thehansindia.com/news/cities/amaravati/super-six-bill-mounts-as-ap-expands-free-travel-farm-education-support-1121009" TargetMode="External"/><Relationship Id="rId-fcf57yyqtiwzailxkquz" Type="http://schemas.openxmlformats.org/officeDocument/2006/relationships/hyperlink" Target="https://www.adb.org/publications/public-service-delivery-role-information-and-communication-technology-improving-governance" TargetMode="External"/><Relationship Id="rIdps9p5x55eooyeejqcilm9" Type="http://schemas.openxmlformats.org/officeDocument/2006/relationships/hyperlink" Target="https://doi.org/10.5220/0006353703440351" TargetMode="External"/><Relationship Id="rIdtyos7vdar71i3ntqn4yzt" Type="http://schemas.openxmlformats.org/officeDocument/2006/relationships/hyperlink" Target="https://react.dev" TargetMode="External"/><Relationship Id="rIdkwf7plk9bzy0gmjvff0yk" Type="http://schemas.openxmlformats.org/officeDocument/2006/relationships/hyperlink" Target="https://supabase.com/docs/guides/database/postgres/row-level-security" TargetMode="External"/><Relationship Id="rIdl6i5arw14bs7wwnz9lfcr" Type="http://schemas.openxmlformats.org/officeDocument/2006/relationships/hyperlink" Target="https://vercel.com/docs/functions" TargetMode="External"/><Relationship Id="rIdcjqgekspiywlfoconmdvp" Type="http://schemas.openxmlformats.org/officeDocument/2006/relationships/hyperlink" Target="https://developer.mozilla.org/en-US/docs/Web/API/Web_Speech_API" TargetMode="External"/><Relationship Id="rId2mpudluve112zcxsagpkm" Type="http://schemas.openxmlformats.org/officeDocument/2006/relationships/hyperlink" Target="https://www.w3.org/TR/appmanifest/" TargetMode="External"/><Relationship Id="rIdvcugflo_icpfu1reep2lm"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c44c9c8ae3da644741d9f5d00e95cd123644867b.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2026-10-21T04:35:21.207Z</dcterms:created>
  <dcterms:modified xsi:type="dcterms:W3CDTF">2026-10-21T04:35:21.207Z</dcterms:modified>
</cp:coreProperties>
</file>

<file path=docProps/custom.xml><?xml version="1.0" encoding="utf-8"?>
<Properties xmlns="http://schemas.openxmlformats.org/officeDocument/2006/custom-properties" xmlns:vt="http://schemas.openxmlformats.org/officeDocument/2006/docPropsVTypes"/>
</file>