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3B26"/>
          <w:sz w:val="52"/>
          <w:szCs w:val="52"/>
        </w:rPr>
        <w:t xml:space="preserve">Nouriva AI</w:t>
      </w:r>
    </w:p>
    <w:p>
      <w:pPr>
        <w:spacing w:after="80"/>
      </w:pPr>
      <w:r>
        <w:rPr>
          <w:rFonts w:ascii="Arial" w:cs="Arial" w:eastAsia="Arial" w:hAnsi="Arial"/>
          <w:color w:val="666666"/>
          <w:sz w:val="28"/>
          <w:szCs w:val="28"/>
        </w:rPr>
        <w:t xml:space="preserve">App Store Review Documentation</w:t>
      </w:r>
    </w:p>
    <w:p>
      <w:pPr>
        <w:spacing w:after="400"/>
      </w:pPr>
      <w:r>
        <w:rPr>
          <w:rFonts w:ascii="Arial" w:cs="Arial" w:eastAsia="Arial" w:hAnsi="Arial"/>
          <w:color w:val="666666"/>
          <w:sz w:val="20"/>
          <w:szCs w:val="20"/>
        </w:rPr>
        <w:t xml:space="preserve">Bundle ID: in.productverse.nourivaai  |  Version 1.0 (Build 13)  |  April 2025</w:t>
      </w:r>
    </w:p>
    <w:p>
      <w:pPr>
        <w:pStyle w:val="Heading1"/>
        <w:pBdr>
          <w:bottom w:val="single" w:color="0D3B26" w:sz="4" w:space="4"/>
        </w:pBdr>
        <w:spacing w:after="160" w:before="320"/>
      </w:pPr>
      <w:r>
        <w:rPr>
          <w:rFonts w:ascii="Arial" w:cs="Arial" w:eastAsia="Arial" w:hAnsi="Arial"/>
          <w:b/>
          <w:bCs/>
          <w:color w:val="0D3B26"/>
          <w:sz w:val="28"/>
          <w:szCs w:val="28"/>
        </w:rPr>
        <w:t xml:space="preserve">1. App Overview</w:t>
      </w:r>
    </w:p>
    <w:p>
      <w:pPr>
        <w:spacing w:after="100"/>
      </w:pPr>
      <w:r>
        <w:rPr>
          <w:rFonts w:ascii="Arial" w:cs="Arial" w:eastAsia="Arial" w:hAnsi="Arial"/>
          <w:sz w:val="22"/>
          <w:szCs w:val="22"/>
        </w:rPr>
        <w:t xml:space="preserve">Nouriva AI is an AI-powered nutrition and food intelligence app for iPhone. Users photograph a meal and receive a clinically structured analysis covering macronutrients, organ-level health impact, biochemical compounds, and personalised health alerts — all generated by Google Gemini AI.</w:t>
      </w:r>
    </w:p>
    <w:p>
      <w:r>
        <w:t xml:space="preserve"/>
      </w:r>
    </w:p>
    <w:p>
      <w:pPr>
        <w:spacing w:after="100"/>
      </w:pPr>
      <w:r>
        <w:rPr>
          <w:rFonts w:ascii="Arial" w:cs="Arial" w:eastAsia="Arial" w:hAnsi="Arial"/>
          <w:sz w:val="22"/>
          <w:szCs w:val="22"/>
        </w:rPr>
        <w:t xml:space="preserve">The app is designed for health-conscious individuals, people managing chronic conditions, and anyone seeking to understand the deeper nutritional impact of their diet beyond standard calorie counting.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Field</w:t>
            </w:r>
          </w:p>
        </w:tc>
        <w:tc>
          <w:tcPr>
            <w:tcW w:type="dxa" w:w="5560"/>
            <w:tcBorders>
              <w:top w:val="single" w:color="CCCCCC" w:sz="1"/>
              <w:left w:val="single" w:color="CCCCCC" w:sz="1"/>
              <w:bottom w:val="single" w:color="CCCCCC" w:sz="1"/>
              <w:right w:val="single" w:color="CCCCCC" w:sz="1"/>
            </w:tcBorders>
            <w:shd w:fill="1A5C3E" w:val="clear"/>
            <w:tcMar>
              <w:top w:type="dxa" w:w="80"/>
              <w:left w:type="dxa" w:w="160"/>
              <w:bottom w:type="dxa" w:w="80"/>
              <w:right w:type="dxa" w:w="160"/>
            </w:tcMar>
          </w:tcPr>
          <w:p>
            <w:r>
              <w:rPr>
                <w:rFonts w:ascii="Arial" w:cs="Arial" w:eastAsia="Arial" w:hAnsi="Arial"/>
                <w:color w:val="FFFFFF"/>
                <w:sz w:val="22"/>
                <w:szCs w:val="22"/>
              </w:rPr>
              <w:t xml:space="preserve">Value</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App 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Nouriva AI</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Bundle Identifier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in.productverse.nourivaai</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Version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1.0 (Build 13)</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Developer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Productverse</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Primary Category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Health &amp; Fitness</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Secondary Category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Food &amp; Drink</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Supported Devices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iPhone (iOS 14+), iPad</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Localisation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English</w:t>
            </w:r>
          </w:p>
        </w:tc>
      </w:tr>
    </w:tbl>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2. Core Features</w:t>
      </w:r>
    </w:p>
    <w:p>
      <w:pPr>
        <w:pStyle w:val="Heading2"/>
        <w:spacing w:after="100" w:before="200"/>
      </w:pPr>
      <w:r>
        <w:rPr>
          <w:rFonts w:ascii="Arial" w:cs="Arial" w:eastAsia="Arial" w:hAnsi="Arial"/>
          <w:b/>
          <w:bCs/>
          <w:color w:val="222222"/>
          <w:sz w:val="24"/>
          <w:szCs w:val="24"/>
        </w:rPr>
        <w:t xml:space="preserve">Free Tier (No Account Required for Scanning)</w:t>
      </w:r>
    </w:p>
    <w:p>
      <w:pPr>
        <w:pStyle w:val="ListParagraph"/>
        <w:numPr>
          <w:ilvl w:val="0"/>
          <w:numId w:val="2"/>
        </w:numPr>
      </w:pPr>
      <w:r>
        <w:rPr>
          <w:rFonts w:ascii="Arial" w:cs="Arial" w:eastAsia="Arial" w:hAnsi="Arial"/>
          <w:b w:val="false"/>
          <w:bCs w:val="false"/>
          <w:sz w:val="22"/>
          <w:szCs w:val="22"/>
        </w:rPr>
        <w:t xml:space="preserve">Food scan via camera or photo library using AI image recognition</w:t>
      </w:r>
    </w:p>
    <w:p>
      <w:pPr>
        <w:pStyle w:val="ListParagraph"/>
        <w:numPr>
          <w:ilvl w:val="0"/>
          <w:numId w:val="2"/>
        </w:numPr>
      </w:pPr>
      <w:r>
        <w:rPr>
          <w:rFonts w:ascii="Arial" w:cs="Arial" w:eastAsia="Arial" w:hAnsi="Arial"/>
          <w:b w:val="false"/>
          <w:bCs w:val="false"/>
          <w:sz w:val="22"/>
          <w:szCs w:val="22"/>
        </w:rPr>
        <w:t xml:space="preserve">Basic macronutrient breakdown (calories, protein, fat, carbs, fibre)</w:t>
      </w:r>
    </w:p>
    <w:p>
      <w:pPr>
        <w:pStyle w:val="ListParagraph"/>
        <w:numPr>
          <w:ilvl w:val="0"/>
          <w:numId w:val="2"/>
        </w:numPr>
      </w:pPr>
      <w:r>
        <w:rPr>
          <w:rFonts w:ascii="Arial" w:cs="Arial" w:eastAsia="Arial" w:hAnsi="Arial"/>
          <w:b w:val="false"/>
          <w:bCs w:val="false"/>
          <w:sz w:val="22"/>
          <w:szCs w:val="22"/>
        </w:rPr>
        <w:t xml:space="preserve">Vitality score for each scanned meal</w:t>
      </w:r>
    </w:p>
    <w:p>
      <w:pPr>
        <w:pStyle w:val="ListParagraph"/>
        <w:numPr>
          <w:ilvl w:val="0"/>
          <w:numId w:val="2"/>
        </w:numPr>
      </w:pPr>
      <w:r>
        <w:rPr>
          <w:rFonts w:ascii="Arial" w:cs="Arial" w:eastAsia="Arial" w:hAnsi="Arial"/>
          <w:b w:val="false"/>
          <w:bCs w:val="false"/>
          <w:sz w:val="22"/>
          <w:szCs w:val="22"/>
        </w:rPr>
        <w:t xml:space="preserve">Limited scan history</w:t>
      </w:r>
    </w:p>
    <w:p>
      <w:r>
        <w:t xml:space="preserve"/>
      </w:r>
    </w:p>
    <w:p>
      <w:pPr>
        <w:pStyle w:val="Heading2"/>
        <w:spacing w:after="100" w:before="200"/>
      </w:pPr>
      <w:r>
        <w:rPr>
          <w:rFonts w:ascii="Arial" w:cs="Arial" w:eastAsia="Arial" w:hAnsi="Arial"/>
          <w:b/>
          <w:bCs/>
          <w:color w:val="222222"/>
          <w:sz w:val="24"/>
          <w:szCs w:val="24"/>
        </w:rPr>
        <w:t xml:space="preserve">Nouriva AI Pro (Subscription Required)</w:t>
      </w:r>
    </w:p>
    <w:p>
      <w:pPr>
        <w:pStyle w:val="ListParagraph"/>
        <w:numPr>
          <w:ilvl w:val="0"/>
          <w:numId w:val="2"/>
        </w:numPr>
      </w:pPr>
      <w:r>
        <w:rPr>
          <w:rFonts w:ascii="Arial" w:cs="Arial" w:eastAsia="Arial" w:hAnsi="Arial"/>
          <w:b w:val="false"/>
          <w:bCs w:val="false"/>
          <w:sz w:val="22"/>
          <w:szCs w:val="22"/>
        </w:rPr>
        <w:t xml:space="preserve">Unlimited food scans with full clinical-grade analysis</w:t>
      </w:r>
    </w:p>
    <w:p>
      <w:pPr>
        <w:pStyle w:val="ListParagraph"/>
        <w:numPr>
          <w:ilvl w:val="0"/>
          <w:numId w:val="2"/>
        </w:numPr>
      </w:pPr>
      <w:r>
        <w:rPr>
          <w:rFonts w:ascii="Arial" w:cs="Arial" w:eastAsia="Arial" w:hAnsi="Arial"/>
          <w:b w:val="false"/>
          <w:bCs w:val="false"/>
          <w:sz w:val="22"/>
          <w:szCs w:val="22"/>
        </w:rPr>
        <w:t xml:space="preserve">Organ-level impact analysis — liver, heart, kidneys, digestive system, brain</w:t>
      </w:r>
    </w:p>
    <w:p>
      <w:pPr>
        <w:pStyle w:val="ListParagraph"/>
        <w:numPr>
          <w:ilvl w:val="0"/>
          <w:numId w:val="2"/>
        </w:numPr>
      </w:pPr>
      <w:r>
        <w:rPr>
          <w:rFonts w:ascii="Arial" w:cs="Arial" w:eastAsia="Arial" w:hAnsi="Arial"/>
          <w:b w:val="false"/>
          <w:bCs w:val="false"/>
          <w:sz w:val="22"/>
          <w:szCs w:val="22"/>
        </w:rPr>
        <w:t xml:space="preserve">Biochemical compound tracking — antioxidants, inflammatory markers, glucose impact</w:t>
      </w:r>
    </w:p>
    <w:p>
      <w:pPr>
        <w:pStyle w:val="ListParagraph"/>
        <w:numPr>
          <w:ilvl w:val="0"/>
          <w:numId w:val="2"/>
        </w:numPr>
      </w:pPr>
      <w:r>
        <w:rPr>
          <w:rFonts w:ascii="Arial" w:cs="Arial" w:eastAsia="Arial" w:hAnsi="Arial"/>
          <w:b w:val="false"/>
          <w:bCs w:val="false"/>
          <w:sz w:val="22"/>
          <w:szCs w:val="22"/>
        </w:rPr>
        <w:t xml:space="preserve">Personalised health alerts based on user-entered medical conditions</w:t>
      </w:r>
    </w:p>
    <w:p>
      <w:pPr>
        <w:pStyle w:val="ListParagraph"/>
        <w:numPr>
          <w:ilvl w:val="0"/>
          <w:numId w:val="2"/>
        </w:numPr>
      </w:pPr>
      <w:r>
        <w:rPr>
          <w:rFonts w:ascii="Arial" w:cs="Arial" w:eastAsia="Arial" w:hAnsi="Arial"/>
          <w:b w:val="false"/>
          <w:bCs w:val="false"/>
          <w:sz w:val="22"/>
          <w:szCs w:val="22"/>
        </w:rPr>
        <w:t xml:space="preserve">Lab report integration — upload blood test PDFs to contextualise meal analysis</w:t>
      </w:r>
    </w:p>
    <w:p>
      <w:pPr>
        <w:pStyle w:val="ListParagraph"/>
        <w:numPr>
          <w:ilvl w:val="0"/>
          <w:numId w:val="2"/>
        </w:numPr>
      </w:pPr>
      <w:r>
        <w:rPr>
          <w:rFonts w:ascii="Arial" w:cs="Arial" w:eastAsia="Arial" w:hAnsi="Arial"/>
          <w:b w:val="false"/>
          <w:bCs w:val="false"/>
          <w:sz w:val="22"/>
          <w:szCs w:val="22"/>
        </w:rPr>
        <w:t xml:space="preserve">Apple Health integration — steps, heart rate, sleep, and weight feed into analysis</w:t>
      </w:r>
    </w:p>
    <w:p>
      <w:pPr>
        <w:pStyle w:val="ListParagraph"/>
        <w:numPr>
          <w:ilvl w:val="0"/>
          <w:numId w:val="2"/>
        </w:numPr>
      </w:pPr>
      <w:r>
        <w:rPr>
          <w:rFonts w:ascii="Arial" w:cs="Arial" w:eastAsia="Arial" w:hAnsi="Arial"/>
          <w:b w:val="false"/>
          <w:bCs w:val="false"/>
          <w:sz w:val="22"/>
          <w:szCs w:val="22"/>
        </w:rPr>
        <w:t xml:space="preserve">Full scan history with search and filters</w:t>
      </w:r>
    </w:p>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3. Account &amp; Authentication</w:t>
      </w:r>
    </w:p>
    <w:p>
      <w:pPr>
        <w:spacing w:after="100"/>
      </w:pPr>
      <w:r>
        <w:rPr>
          <w:rFonts w:ascii="Arial" w:cs="Arial" w:eastAsia="Arial" w:hAnsi="Arial"/>
          <w:sz w:val="22"/>
          <w:szCs w:val="22"/>
        </w:rPr>
        <w:t xml:space="preserve">Nouriva AI uses Supabase Auth with Google Sign-In (OAuth 2.0) and Apple Sign-In. There is no traditional username/password system. The app does not require account creation to use the scanner — authentication is only required to save history to the cloud and access Pro features.</w:t>
      </w:r>
    </w:p>
    <w:p>
      <w:r>
        <w:t xml:space="preserve"/>
      </w:r>
    </w:p>
    <w:p>
      <w:pPr>
        <w:pStyle w:val="Heading2"/>
        <w:spacing w:after="100" w:before="200"/>
      </w:pPr>
      <w:r>
        <w:rPr>
          <w:rFonts w:ascii="Arial" w:cs="Arial" w:eastAsia="Arial" w:hAnsi="Arial"/>
          <w:b/>
          <w:bCs/>
          <w:color w:val="222222"/>
          <w:sz w:val="24"/>
          <w:szCs w:val="24"/>
        </w:rPr>
        <w:t xml:space="preserve">Test Account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Field</w:t>
            </w:r>
          </w:p>
        </w:tc>
        <w:tc>
          <w:tcPr>
            <w:tcW w:type="dxa" w:w="5560"/>
            <w:tcBorders>
              <w:top w:val="single" w:color="CCCCCC" w:sz="1"/>
              <w:left w:val="single" w:color="CCCCCC" w:sz="1"/>
              <w:bottom w:val="single" w:color="CCCCCC" w:sz="1"/>
              <w:right w:val="single" w:color="CCCCCC" w:sz="1"/>
            </w:tcBorders>
            <w:shd w:fill="1A5C3E" w:val="clear"/>
            <w:tcMar>
              <w:top w:type="dxa" w:w="80"/>
              <w:left w:type="dxa" w:w="160"/>
              <w:bottom w:type="dxa" w:w="80"/>
              <w:right w:type="dxa" w:w="160"/>
            </w:tcMar>
          </w:tcPr>
          <w:p>
            <w:r>
              <w:rPr>
                <w:rFonts w:ascii="Arial" w:cs="Arial" w:eastAsia="Arial" w:hAnsi="Arial"/>
                <w:color w:val="FFFFFF"/>
                <w:sz w:val="22"/>
                <w:szCs w:val="22"/>
              </w:rPr>
              <w:t xml:space="preserve">Value</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Sign-In Method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Google Sign-In</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Test Email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nouriva.review@gmail.com</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Note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Please use 'Continue with Google' on the auth screen. No password needed — OAuth flow completes in the browser sheet.</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Pro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Account is pre-granted Pro entitlement for review purposes</w:t>
            </w:r>
          </w:p>
        </w:tc>
      </w:tr>
    </w:tbl>
    <w:p>
      <w:r>
        <w:t xml:space="preserve"/>
      </w:r>
    </w:p>
    <w:p>
      <w:pPr>
        <w:spacing w:after="100"/>
      </w:pPr>
      <w:r>
        <w:rPr>
          <w:rFonts w:ascii="Arial" w:cs="Arial" w:eastAsia="Arial" w:hAnsi="Arial"/>
          <w:sz w:val="22"/>
          <w:szCs w:val="22"/>
        </w:rPr>
        <w:t xml:space="preserve">If Google Sign-In cannot be used in the review environment, the scanner functionality is fully accessible without sign-in. Tap 'Continue without account' on the auth screen to proceed directly to the scanner.</w:t>
      </w:r>
    </w:p>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4. In-App Purchases &amp; Subscriptions</w:t>
      </w:r>
    </w:p>
    <w:p>
      <w:pPr>
        <w:spacing w:after="100"/>
      </w:pPr>
      <w:r>
        <w:rPr>
          <w:rFonts w:ascii="Arial" w:cs="Arial" w:eastAsia="Arial" w:hAnsi="Arial"/>
          <w:sz w:val="22"/>
          <w:szCs w:val="22"/>
        </w:rPr>
        <w:t xml:space="preserve">Nouriva AI offers one subscription product group with two billing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Product</w:t>
            </w:r>
          </w:p>
        </w:tc>
        <w:tc>
          <w:tcPr>
            <w:tcW w:type="dxa" w:w="22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Product ID</w:t>
            </w:r>
          </w:p>
        </w:tc>
        <w:tc>
          <w:tcPr>
            <w:tcW w:type="dxa" w:w="436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sz w:val="22"/>
                <w:szCs w:val="22"/>
              </w:rPr>
              <w:t xml:space="preserve">Nouriva AI Pro Monthly</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666666"/>
                <w:sz w:val="20"/>
                <w:szCs w:val="20"/>
              </w:rPr>
              <w:t xml:space="preserve">...nourivaai.monthly</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Auto-renewable monthly subscription. Unlocks all Pro features. 7-day free trial.</w:t>
            </w:r>
          </w:p>
        </w:tc>
      </w:tr>
      <w:tr>
        <w:tc>
          <w:tcPr>
            <w:tcW w:type="dxa" w:w="2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sz w:val="22"/>
                <w:szCs w:val="22"/>
              </w:rPr>
              <w:t xml:space="preserve">Nouriva AI Pro Annual</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666666"/>
                <w:sz w:val="20"/>
                <w:szCs w:val="20"/>
              </w:rPr>
              <w:t xml:space="preserve">...nourivaai.annual</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Auto-renewable annual subscription. Same Pro features as monthly, billed yearly at a discount.</w:t>
            </w:r>
          </w:p>
        </w:tc>
      </w:tr>
    </w:tbl>
    <w:p>
      <w:r>
        <w:t xml:space="preserve"/>
      </w:r>
    </w:p>
    <w:p>
      <w:pPr>
        <w:spacing w:after="100"/>
      </w:pPr>
      <w:r>
        <w:rPr>
          <w:rFonts w:ascii="Arial" w:cs="Arial" w:eastAsia="Arial" w:hAnsi="Arial"/>
          <w:sz w:val="22"/>
          <w:szCs w:val="22"/>
        </w:rPr>
        <w:t xml:space="preserve">Subscriptions are managed through Apple's standard StoreKit 2 framework via RevenueCat. Users can cancel at any time through their Apple ID Settings. The paywall is presented once per session after the free scan limit is reached, and can be dismissed.</w:t>
      </w:r>
    </w:p>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5. Required Permissions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8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Permission</w:t>
            </w:r>
          </w:p>
        </w:tc>
        <w:tc>
          <w:tcPr>
            <w:tcW w:type="dxa" w:w="5560"/>
            <w:tcBorders>
              <w:top w:val="single" w:color="CCCCCC" w:sz="1"/>
              <w:left w:val="single" w:color="CCCCCC" w:sz="1"/>
              <w:bottom w:val="single" w:color="CCCCCC" w:sz="1"/>
              <w:right w:val="single" w:color="CCCCCC" w:sz="1"/>
            </w:tcBorders>
            <w:shd w:fill="1A5C3E" w:val="clear"/>
            <w:tcMar>
              <w:top w:type="dxa" w:w="80"/>
              <w:left w:type="dxa" w:w="160"/>
              <w:bottom w:type="dxa" w:w="80"/>
              <w:right w:type="dxa" w:w="160"/>
            </w:tcMar>
          </w:tcPr>
          <w:p>
            <w:r>
              <w:rPr>
                <w:rFonts w:ascii="Arial" w:cs="Arial" w:eastAsia="Arial" w:hAnsi="Arial"/>
                <w:color w:val="FFFFFF"/>
                <w:sz w:val="22"/>
                <w:szCs w:val="22"/>
              </w:rPr>
              <w:t xml:space="preserve">Purpose &amp; User Benefit</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Camera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Photograph food items for AI nutritional analysis — the app's core feature</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Photo Library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Select existing food photos from Camera Roll for analysis</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Apple Health (Read)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Reads steps, heart rate, sleep hours, and weight to contextualise meal analysis. E.g. a high-carb meal is scored differently for an active vs sedentary day.</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Apple Health (Write)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Not requested. The app never writes to Apple Health.</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Face ID / Touch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Optional biometric lock to protect the user's health data and scan history on shared devices</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Notifications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Optional reminders to log meals. Not requested at launch — reserved for future use.</w:t>
            </w:r>
          </w:p>
        </w:tc>
      </w:tr>
    </w:tbl>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6. AI-Generated Content &amp; Health Disclaimer</w:t>
      </w:r>
    </w:p>
    <w:p>
      <w:pPr>
        <w:spacing w:after="100"/>
      </w:pPr>
      <w:r>
        <w:rPr>
          <w:rFonts w:ascii="Arial" w:cs="Arial" w:eastAsia="Arial" w:hAnsi="Arial"/>
          <w:sz w:val="22"/>
          <w:szCs w:val="22"/>
        </w:rPr>
        <w:t xml:space="preserve">All nutritional analysis is generated by Google Gemini AI (gemini-2.0-flash). The app includes a prominent disclaimer on every result screen:</w:t>
      </w:r>
    </w:p>
    <w:p>
      <w:r>
        <w:t xml:space="preserve"/>
      </w:r>
    </w:p>
    <w:p>
      <w:pPr>
        <w:pBdr>
          <w:left w:val="single" w:color="0D3B26" w:sz="12" w:space="12"/>
        </w:pBdr>
        <w:spacing w:after="160"/>
        <w:ind w:left="720"/>
      </w:pPr>
      <w:r>
        <w:rPr>
          <w:rFonts w:ascii="Arial" w:cs="Arial" w:eastAsia="Arial" w:hAnsi="Arial"/>
          <w:i/>
          <w:iCs/>
          <w:color w:val="666666"/>
          <w:sz w:val="22"/>
          <w:szCs w:val="22"/>
        </w:rPr>
        <w:t xml:space="preserve">"This analysis is AI-generated and intended for informational purposes only. It is not a substitute for professional medical or dietetic advice. Always consult a qualified healthcare provider before making dietary changes, especially if you have a medical condition."</w:t>
      </w:r>
    </w:p>
    <w:p>
      <w:pPr>
        <w:spacing w:after="100"/>
      </w:pPr>
      <w:r>
        <w:rPr>
          <w:rFonts w:ascii="Arial" w:cs="Arial" w:eastAsia="Arial" w:hAnsi="Arial"/>
          <w:sz w:val="22"/>
          <w:szCs w:val="22"/>
        </w:rPr>
        <w:t xml:space="preserve">The app does not diagnose, treat, or prescribe. Medical condition inputs are used solely to personalise the nutritional context of AI responses (e.g. flagging high-sodium foods for a user who has indicated hypertension).</w:t>
      </w:r>
    </w:p>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7. Technical Notes for Review</w:t>
      </w:r>
    </w:p>
    <w:p>
      <w:pPr>
        <w:pStyle w:val="Heading2"/>
        <w:spacing w:after="100" w:before="200"/>
      </w:pPr>
      <w:r>
        <w:rPr>
          <w:rFonts w:ascii="Arial" w:cs="Arial" w:eastAsia="Arial" w:hAnsi="Arial"/>
          <w:b/>
          <w:bCs/>
          <w:color w:val="222222"/>
          <w:sz w:val="24"/>
          <w:szCs w:val="24"/>
        </w:rPr>
        <w:t xml:space="preserve">Apple Health Integration</w:t>
      </w:r>
    </w:p>
    <w:p>
      <w:pPr>
        <w:spacing w:after="100"/>
      </w:pPr>
      <w:r>
        <w:rPr>
          <w:rFonts w:ascii="Arial" w:cs="Arial" w:eastAsia="Arial" w:hAnsi="Arial"/>
          <w:sz w:val="22"/>
          <w:szCs w:val="22"/>
        </w:rPr>
        <w:t xml:space="preserve">The app requests HealthKit permissions on the Profile screen when the user taps 'Connect Apple Health'. If permission is denied, the app continues to function normally without health data — health context is optional and additive only.</w:t>
      </w:r>
    </w:p>
    <w:p>
      <w:r>
        <w:t xml:space="preserve"/>
      </w:r>
    </w:p>
    <w:p>
      <w:pPr>
        <w:pStyle w:val="Heading2"/>
        <w:spacing w:after="100" w:before="200"/>
      </w:pPr>
      <w:r>
        <w:rPr>
          <w:rFonts w:ascii="Arial" w:cs="Arial" w:eastAsia="Arial" w:hAnsi="Arial"/>
          <w:b/>
          <w:bCs/>
          <w:color w:val="222222"/>
          <w:sz w:val="24"/>
          <w:szCs w:val="24"/>
        </w:rPr>
        <w:t xml:space="preserve">Lab Report Upload</w:t>
      </w:r>
    </w:p>
    <w:p>
      <w:pPr>
        <w:spacing w:after="100"/>
      </w:pPr>
      <w:r>
        <w:rPr>
          <w:rFonts w:ascii="Arial" w:cs="Arial" w:eastAsia="Arial" w:hAnsi="Arial"/>
          <w:sz w:val="22"/>
          <w:szCs w:val="22"/>
        </w:rPr>
        <w:t xml:space="preserve">Users can upload PDF or image files of blood test results. These are processed by the Gemini AI model to extract out-of-range markers, which are then used to personalise food analysis. No lab data is stored on external servers beyond the Supabase database associated with the user's account.</w:t>
      </w:r>
    </w:p>
    <w:p>
      <w:r>
        <w:t xml:space="preserve"/>
      </w:r>
    </w:p>
    <w:p>
      <w:pPr>
        <w:pStyle w:val="Heading2"/>
        <w:spacing w:after="100" w:before="200"/>
      </w:pPr>
      <w:r>
        <w:rPr>
          <w:rFonts w:ascii="Arial" w:cs="Arial" w:eastAsia="Arial" w:hAnsi="Arial"/>
          <w:b/>
          <w:bCs/>
          <w:color w:val="222222"/>
          <w:sz w:val="24"/>
          <w:szCs w:val="24"/>
        </w:rPr>
        <w:t xml:space="preserve">No Third-Party Ad Networks</w:t>
      </w:r>
    </w:p>
    <w:p>
      <w:pPr>
        <w:spacing w:after="100"/>
      </w:pPr>
      <w:r>
        <w:rPr>
          <w:rFonts w:ascii="Arial" w:cs="Arial" w:eastAsia="Arial" w:hAnsi="Arial"/>
          <w:sz w:val="22"/>
          <w:szCs w:val="22"/>
        </w:rPr>
        <w:t xml:space="preserve">Nouriva AI does not contain any advertising SDKs, third-party tracking pixels, or data brokers. Analytics are limited to Firebase Crashlytics (crash reporting only) and RevenueCat (subscription events only).</w:t>
      </w:r>
    </w:p>
    <w:p>
      <w:r>
        <w:t xml:space="preserve"/>
      </w:r>
    </w:p>
    <w:p>
      <w:pPr>
        <w:pStyle w:val="Heading2"/>
        <w:spacing w:after="100" w:before="200"/>
      </w:pPr>
      <w:r>
        <w:rPr>
          <w:rFonts w:ascii="Arial" w:cs="Arial" w:eastAsia="Arial" w:hAnsi="Arial"/>
          <w:b/>
          <w:bCs/>
          <w:color w:val="222222"/>
          <w:sz w:val="24"/>
          <w:szCs w:val="24"/>
        </w:rPr>
        <w:t xml:space="preserve">Network Requirements</w:t>
      </w:r>
    </w:p>
    <w:p>
      <w:pPr>
        <w:spacing w:after="100"/>
      </w:pPr>
      <w:r>
        <w:rPr>
          <w:rFonts w:ascii="Arial" w:cs="Arial" w:eastAsia="Arial" w:hAnsi="Arial"/>
          <w:sz w:val="22"/>
          <w:szCs w:val="22"/>
        </w:rPr>
        <w:t xml:space="preserve">An internet connection is required for food scanning (Gemini API call) and account features. The app displays a clear error message if the network is unavailable and gracefully degrades — no crash occurs offline.</w:t>
      </w:r>
    </w:p>
    <w:p>
      <w:r>
        <w:t xml:space="preserve"/>
      </w:r>
    </w:p>
    <w:p>
      <w:pPr>
        <w:pStyle w:val="Heading1"/>
        <w:pBdr>
          <w:bottom w:val="single" w:color="0D3B26" w:sz="4" w:space="4"/>
        </w:pBdr>
        <w:spacing w:after="160" w:before="320"/>
      </w:pPr>
      <w:r>
        <w:rPr>
          <w:rFonts w:ascii="Arial" w:cs="Arial" w:eastAsia="Arial" w:hAnsi="Arial"/>
          <w:b/>
          <w:bCs/>
          <w:color w:val="0D3B26"/>
          <w:sz w:val="28"/>
          <w:szCs w:val="28"/>
        </w:rPr>
        <w:t xml:space="preserve">8. Developer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3B26" w:val="clear"/>
            <w:tcMar>
              <w:top w:type="dxa" w:w="80"/>
              <w:left w:type="dxa" w:w="160"/>
              <w:bottom w:type="dxa" w:w="80"/>
              <w:right w:type="dxa" w:w="160"/>
            </w:tcMar>
          </w:tcPr>
          <w:p>
            <w:r>
              <w:rPr>
                <w:rFonts w:ascii="Arial" w:cs="Arial" w:eastAsia="Arial" w:hAnsi="Arial"/>
                <w:b/>
                <w:bCs/>
                <w:color w:val="FFFFFF"/>
                <w:sz w:val="22"/>
                <w:szCs w:val="22"/>
              </w:rPr>
              <w:t xml:space="preserve">Field</w:t>
            </w:r>
          </w:p>
        </w:tc>
        <w:tc>
          <w:tcPr>
            <w:tcW w:type="dxa" w:w="5560"/>
            <w:tcBorders>
              <w:top w:val="single" w:color="CCCCCC" w:sz="1"/>
              <w:left w:val="single" w:color="CCCCCC" w:sz="1"/>
              <w:bottom w:val="single" w:color="CCCCCC" w:sz="1"/>
              <w:right w:val="single" w:color="CCCCCC" w:sz="1"/>
            </w:tcBorders>
            <w:shd w:fill="1A5C3E" w:val="clear"/>
            <w:tcMar>
              <w:top w:type="dxa" w:w="80"/>
              <w:left w:type="dxa" w:w="160"/>
              <w:bottom w:type="dxa" w:w="80"/>
              <w:right w:type="dxa" w:w="160"/>
            </w:tcMar>
          </w:tcPr>
          <w:p>
            <w:r>
              <w:rPr>
                <w:rFonts w:ascii="Arial" w:cs="Arial" w:eastAsia="Arial" w:hAnsi="Arial"/>
                <w:color w:val="FFFFFF"/>
                <w:sz w:val="22"/>
                <w:szCs w:val="22"/>
              </w:rPr>
              <w:t xml:space="preserve">Details</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Developer 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Productverse</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Contact Email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yogesh@productverse.co.in</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Support URL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https://productverse.in/support</w:t>
            </w:r>
          </w:p>
        </w:tc>
      </w:tr>
      <w:tr>
        <w:trPr>
          <w:tblHeader w:val="false"/>
        </w:trPr>
        <w:tc>
          <w:tcPr>
            <w:tcW w:type="dxa" w:w="3800"/>
            <w:tcBorders>
              <w:top w:val="single" w:color="CCCCCC" w:sz="1"/>
              <w:left w:val="single" w:color="CCCCCC" w:sz="1"/>
              <w:bottom w:val="single" w:color="CCCCCC" w:sz="1"/>
              <w:right w:val="single" w:color="CCCCCC" w:sz="1"/>
            </w:tcBorders>
            <w:shd w:fill="E8F4EF" w:val="clear"/>
            <w:tcMar>
              <w:top w:type="dxa" w:w="80"/>
              <w:left w:type="dxa" w:w="160"/>
              <w:bottom w:type="dxa" w:w="80"/>
              <w:right w:type="dxa" w:w="160"/>
            </w:tcMar>
          </w:tcPr>
          <w:p>
            <w:r>
              <w:rPr>
                <w:rFonts w:ascii="Arial" w:cs="Arial" w:eastAsia="Arial" w:hAnsi="Arial"/>
                <w:b/>
                <w:bCs/>
                <w:color w:val="222222"/>
                <w:sz w:val="22"/>
                <w:szCs w:val="22"/>
              </w:rPr>
              <w:t xml:space="preserve">App Store Connect App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6763718713</w:t>
            </w:r>
          </w:p>
        </w:tc>
      </w:tr>
    </w:tbl>
    <w:p>
      <w:r>
        <w:t xml:space="preserve"/>
      </w:r>
    </w:p>
    <w:p>
      <w:r>
        <w:t xml:space="preserve"/>
      </w:r>
    </w:p>
    <w:p>
      <w:pPr>
        <w:jc w:val="center"/>
      </w:pPr>
      <w:r>
        <w:rPr>
          <w:rFonts w:ascii="Arial" w:cs="Arial" w:eastAsia="Arial" w:hAnsi="Arial"/>
          <w:i/>
          <w:iCs/>
          <w:color w:val="666666"/>
          <w:sz w:val="22"/>
          <w:szCs w:val="22"/>
        </w:rPr>
        <w:t xml:space="preserve">Thank you for reviewing Nouriva AI. Please reach out to yogesh@productverse.co.in for any questions or clarifications needed during the review process.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666666"/>
        <w:sz w:val="18"/>
        <w:szCs w:val="18"/>
      </w:rPr>
      <w:t xml:space="preserve">Confidential — Apple App Review Use Only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666666"/>
        <w:sz w:val="18"/>
        <w:szCs w:val="18"/>
      </w:rPr>
      <w:t xml:space="preserve">Nouriva AI  |  App Store Review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3B26"/>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2026-04-26T18:54:30.547Z</dcterms:created>
  <dcterms:modified xsi:type="dcterms:W3CDTF">2026-04-26T18:54:30.548Z</dcterms:modified>
</cp:coreProperties>
</file>

<file path=docProps/custom.xml><?xml version="1.0" encoding="utf-8"?>
<Properties xmlns="http://schemas.openxmlformats.org/officeDocument/2006/custom-properties" xmlns:vt="http://schemas.openxmlformats.org/officeDocument/2006/docPropsVTypes"/>
</file>