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EvoLex 发明专利技术交底书（双层静态可视化增量版）</w:t>
      </w:r>
    </w:p>
    <w:p>
      <w:pPr>
        <w:spacing w:after="120" w:line="276" w:lineRule="auto"/>
      </w:pPr>
      <w:r>
        <w:rPr>
          <w:rFonts w:ascii="宋体" w:hAnsi="宋体" w:eastAsia="宋体"/>
          <w:sz w:val="21"/>
        </w:rPr>
        <w:t>状态：供发明人及专利代理师复核</w:t>
      </w:r>
    </w:p>
    <w:p>
      <w:pPr>
        <w:spacing w:after="120" w:line="276" w:lineRule="auto"/>
      </w:pPr>
      <w:r>
        <w:rPr>
          <w:rFonts w:ascii="宋体" w:hAnsi="宋体" w:eastAsia="宋体"/>
          <w:sz w:val="21"/>
        </w:rPr>
        <w:t>对应实现：EvoLex 0.3.0工作树（2026-07-31双层静态可视化增量）</w:t>
      </w:r>
    </w:p>
    <w:p>
      <w:pPr>
        <w:pStyle w:val="Heading2"/>
      </w:pPr>
      <w:r>
        <w:rPr>
          <w:rFonts w:ascii="黑体" w:hAnsi="黑体" w:eastAsia="黑体"/>
        </w:rPr>
        <w:t>一、发明名称</w:t>
      </w:r>
    </w:p>
    <w:p>
      <w:pPr>
        <w:spacing w:after="120" w:line="276" w:lineRule="auto"/>
      </w:pPr>
      <w:r>
        <w:rPr>
          <w:rFonts w:ascii="宋体" w:hAnsi="宋体" w:eastAsia="宋体"/>
          <w:sz w:val="21"/>
        </w:rPr>
        <w:t>一种基于来源约束影响域和因果验证凭证的知识图谱候选图补丁验证和版本提交方法、系统、设备及介质。</w:t>
      </w:r>
    </w:p>
    <w:p>
      <w:pPr>
        <w:pStyle w:val="Heading2"/>
      </w:pPr>
      <w:r>
        <w:rPr>
          <w:rFonts w:ascii="黑体" w:hAnsi="黑体" w:eastAsia="黑体"/>
        </w:rPr>
        <w:t>二、技术领域</w:t>
      </w:r>
    </w:p>
    <w:p>
      <w:pPr>
        <w:spacing w:after="120" w:line="276" w:lineRule="auto"/>
      </w:pPr>
      <w:r>
        <w:rPr>
          <w:rFonts w:ascii="宋体" w:hAnsi="宋体" w:eastAsia="宋体"/>
          <w:sz w:val="21"/>
        </w:rPr>
        <w:t>本方案涉及知识图谱、图数据库完整性控制、数据来源追踪、自然语言处理和软件版本治理，尤其涉及持续知识抽取产生的候选图补丁在正式写图前的固定边界验证、失败操作反事实归因、局部保留和版本化提交。</w:t>
      </w:r>
    </w:p>
    <w:p>
      <w:pPr>
        <w:pStyle w:val="Heading2"/>
      </w:pPr>
      <w:r>
        <w:rPr>
          <w:rFonts w:ascii="黑体" w:hAnsi="黑体" w:eastAsia="黑体"/>
        </w:rPr>
        <w:t>三、要解决的技术问题</w:t>
      </w:r>
    </w:p>
    <w:p>
      <w:pPr>
        <w:pStyle w:val="Heading3"/>
      </w:pPr>
      <w:r>
        <w:rPr>
          <w:rFonts w:ascii="宋体" w:hAnsi="宋体" w:eastAsia="宋体"/>
        </w:rPr>
        <w:t>1. 验证边界随局部排除漂移</w:t>
      </w:r>
    </w:p>
    <w:p>
      <w:pPr>
        <w:spacing w:after="120" w:line="276" w:lineRule="auto"/>
      </w:pPr>
      <w:r>
        <w:rPr>
          <w:rFonts w:ascii="宋体" w:hAnsi="宋体" w:eastAsia="宋体"/>
          <w:sz w:val="21"/>
        </w:rPr>
        <w:t>候选补丁包含多个实体和关系操作。若发现失败后移除部分操作，并根据剩余操作重新计算影响范围，验证边界可能同步缩小，使原候选补丁曾触及的对象不再参与域外一致性检查。</w:t>
      </w:r>
    </w:p>
    <w:p>
      <w:pPr>
        <w:pStyle w:val="Heading3"/>
      </w:pPr>
      <w:r>
        <w:rPr>
          <w:rFonts w:ascii="宋体" w:hAnsi="宋体" w:eastAsia="宋体"/>
        </w:rPr>
        <w:t>2. 查询关联不等于原因</w:t>
      </w:r>
    </w:p>
    <w:p>
      <w:pPr>
        <w:spacing w:after="120" w:line="276" w:lineRule="auto"/>
      </w:pPr>
      <w:r>
        <w:rPr>
          <w:rFonts w:ascii="宋体" w:hAnsi="宋体" w:eastAsia="宋体"/>
          <w:sz w:val="21"/>
        </w:rPr>
        <w:t>生成结构查询时附加操作ID只能说明关联。若不在相同基线上排除该操作并重放，就不能判断目标失败是否消失。知识图谱还存在实体操作与依赖该端点的关系操作，单独移除实体会产生新的悬空关系。</w:t>
      </w:r>
    </w:p>
    <w:p>
      <w:pPr>
        <w:pStyle w:val="Heading3"/>
      </w:pPr>
      <w:r>
        <w:rPr>
          <w:rFonts w:ascii="宋体" w:hAnsi="宋体" w:eastAsia="宋体"/>
        </w:rPr>
        <w:t>3. 验证结果与实际提交错配</w:t>
      </w:r>
    </w:p>
    <w:p>
      <w:pPr>
        <w:spacing w:after="120" w:line="276" w:lineRule="auto"/>
      </w:pPr>
      <w:r>
        <w:rPr>
          <w:rFonts w:ascii="宋体" w:hAnsi="宋体" w:eastAsia="宋体"/>
          <w:sz w:val="21"/>
        </w:rPr>
        <w:t>验证节点可能批准操作集合A，提交节点却收到集合B。同一完整候选补丁在重试或算法升级后也可能形成不同接受集合；若幂等键只有完整patch ID，存储会错误返回首次版本，并使本次凭证看似对应实际写入。</w:t>
      </w:r>
    </w:p>
    <w:p>
      <w:pPr>
        <w:pStyle w:val="Heading3"/>
      </w:pPr>
      <w:r>
        <w:rPr>
          <w:rFonts w:ascii="宋体" w:hAnsi="宋体" w:eastAsia="宋体"/>
        </w:rPr>
        <w:t>4. 上游端点和身份质量问题</w:t>
      </w:r>
    </w:p>
    <w:p>
      <w:pPr>
        <w:spacing w:after="120" w:line="276" w:lineRule="auto"/>
      </w:pPr>
      <w:r>
        <w:rPr>
          <w:rFonts w:ascii="宋体" w:hAnsi="宋体" w:eastAsia="宋体"/>
          <w:sz w:val="21"/>
        </w:rPr>
        <w:t>实体与关系分步抽取会丢失提及身份；无证据关系引用可能继续传播；链式相似会造成实体过度合并；忽略时间、条件等限定信息会把同一三元组的不同事实错误合并。</w:t>
      </w:r>
    </w:p>
    <w:p>
      <w:pPr>
        <w:pStyle w:val="Heading3"/>
      </w:pPr>
      <w:r>
        <w:rPr>
          <w:rFonts w:ascii="宋体" w:hAnsi="宋体" w:eastAsia="宋体"/>
        </w:rPr>
        <w:t>5. 历史快照回退覆盖后续状态</w:t>
      </w:r>
    </w:p>
    <w:p>
      <w:pPr>
        <w:spacing w:after="120" w:line="276" w:lineRule="auto"/>
      </w:pPr>
      <w:r>
        <w:rPr>
          <w:rFonts w:ascii="宋体" w:hAnsi="宋体" w:eastAsia="宋体"/>
          <w:sz w:val="21"/>
        </w:rPr>
        <w:t>直接恢复旧快照可能覆盖后来贡献、复活后来删除对象，或删除后来重新创建的新生命周期。</w:t>
      </w:r>
    </w:p>
    <w:p>
      <w:pPr>
        <w:pStyle w:val="Heading2"/>
      </w:pPr>
      <w:r>
        <w:rPr>
          <w:rFonts w:ascii="黑体" w:hAnsi="黑体" w:eastAsia="黑体"/>
        </w:rPr>
        <w:t>四、发明构思</w:t>
      </w:r>
    </w:p>
    <w:p>
      <w:pPr>
        <w:spacing w:after="120" w:line="276" w:lineRule="auto"/>
      </w:pPr>
      <w:r>
        <w:rPr>
          <w:rFonts w:ascii="宋体" w:hAnsi="宋体" w:eastAsia="宋体"/>
          <w:sz w:val="21"/>
        </w:rPr>
        <w:t>核心不是“Agent做KG”，也不是孤立的联合抽取或最小repair，而是一条强制消费上一步机器数据的控制链：</w:t>
      </w:r>
    </w:p>
    <w:p>
      <w:pPr>
        <w:spacing w:after="80"/>
        <w:ind w:left="360"/>
      </w:pPr>
      <w:r>
        <w:rPr>
          <w:rFonts w:ascii="宋体" w:hAnsi="宋体" w:eastAsia="宋体"/>
          <w:sz w:val="21"/>
        </w:rPr>
        <w:t>由来源锚和图依赖形成并冻结原始影响域；在固定基线上用依赖闭包排除重放验证失败操作；只在反事实候选空间内求可行排除集合；把基线、边界、原因、求解器和实际接受操作绑定为内容寻址凭证；再以提交清单把凭证和真实图事件绑定到幂等版本事务。</w:t>
      </w:r>
    </w:p>
    <w:p>
      <w:pPr>
        <w:pStyle w:val="Heading2"/>
      </w:pPr>
      <w:r>
        <w:rPr>
          <w:rFonts w:ascii="黑体" w:hAnsi="黑体" w:eastAsia="黑体"/>
        </w:rPr>
        <w:t>五、核心技术方案</w:t>
      </w:r>
    </w:p>
    <w:p>
      <w:pPr>
        <w:pStyle w:val="Heading3"/>
      </w:pPr>
      <w:r>
        <w:rPr>
          <w:rFonts w:ascii="宋体" w:hAnsi="宋体" w:eastAsia="宋体"/>
        </w:rPr>
        <w:t>S1：固定基线和来源绑定候选图补丁</w:t>
      </w:r>
    </w:p>
    <w:p>
      <w:pPr>
        <w:spacing w:after="120" w:line="276" w:lineRule="auto"/>
      </w:pPr>
      <w:r>
        <w:rPr>
          <w:rFonts w:ascii="宋体" w:hAnsi="宋体" w:eastAsia="宋体"/>
          <w:sz w:val="21"/>
        </w:rPr>
        <w:t>系统获取父图版本、规范图基线和候选图补丁。每个更新操作至少具有：</w:t>
      </w:r>
    </w:p>
    <w:p>
      <w:pPr>
        <w:pStyle w:val="ListBullet"/>
        <w:spacing w:after="60"/>
      </w:pPr>
      <w:r>
        <w:rPr>
          <w:rFonts w:ascii="宋体" w:hAnsi="宋体" w:eastAsia="宋体"/>
          <w:color w:val="333333"/>
          <w:sz w:val="21"/>
        </w:rPr>
        <w:t>operation_id</w:t>
      </w:r>
      <w:r>
        <w:rPr>
          <w:rFonts w:ascii="宋体" w:hAnsi="宋体" w:eastAsia="宋体"/>
          <w:sz w:val="21"/>
        </w:rPr>
        <w:t>、</w:t>
      </w:r>
      <w:r>
        <w:rPr>
          <w:rFonts w:ascii="宋体" w:hAnsi="宋体" w:eastAsia="宋体"/>
          <w:color w:val="333333"/>
          <w:sz w:val="21"/>
        </w:rPr>
        <w:t>object_type</w:t>
      </w:r>
      <w:r>
        <w:rPr>
          <w:rFonts w:ascii="宋体" w:hAnsi="宋体" w:eastAsia="宋体"/>
          <w:sz w:val="21"/>
        </w:rPr>
        <w:t>、</w:t>
      </w:r>
      <w:r>
        <w:rPr>
          <w:rFonts w:ascii="宋体" w:hAnsi="宋体" w:eastAsia="宋体"/>
          <w:color w:val="333333"/>
          <w:sz w:val="21"/>
        </w:rPr>
        <w:t>object_id</w:t>
      </w:r>
      <w:r>
        <w:rPr>
          <w:rFonts w:ascii="宋体" w:hAnsi="宋体" w:eastAsia="宋体"/>
          <w:sz w:val="21"/>
        </w:rPr>
        <w:t>和</w:t>
      </w:r>
      <w:r>
        <w:rPr>
          <w:rFonts w:ascii="宋体" w:hAnsi="宋体" w:eastAsia="宋体"/>
          <w:color w:val="333333"/>
          <w:sz w:val="21"/>
        </w:rPr>
        <w:t>after</w:t>
      </w:r>
      <w:r>
        <w:rPr>
          <w:rFonts w:ascii="宋体" w:hAnsi="宋体" w:eastAsia="宋体"/>
          <w:sz w:val="21"/>
        </w:rPr>
        <w:t>；</w:t>
      </w:r>
    </w:p>
    <w:p>
      <w:pPr>
        <w:pStyle w:val="ListBullet"/>
        <w:spacing w:after="60"/>
      </w:pPr>
      <w:r>
        <w:rPr>
          <w:rFonts w:ascii="宋体" w:hAnsi="宋体" w:eastAsia="宋体"/>
          <w:sz w:val="21"/>
        </w:rPr>
        <w:t>与对象类型相适配的来源锚；</w:t>
      </w:r>
    </w:p>
    <w:p>
      <w:pPr>
        <w:pStyle w:val="ListBullet"/>
        <w:spacing w:after="60"/>
      </w:pPr>
      <w:r>
        <w:rPr>
          <w:rFonts w:ascii="宋体" w:hAnsi="宋体" w:eastAsia="宋体"/>
          <w:sz w:val="21"/>
        </w:rPr>
        <w:t>声明影响实体、关系、谓词、文档、片段或证据；</w:t>
      </w:r>
    </w:p>
    <w:p>
      <w:pPr>
        <w:pStyle w:val="ListBullet"/>
        <w:spacing w:after="60"/>
      </w:pPr>
      <w:r>
        <w:rPr>
          <w:rFonts w:ascii="宋体" w:hAnsi="宋体" w:eastAsia="宋体"/>
          <w:sz w:val="21"/>
        </w:rPr>
        <w:t>关系操作的</w:t>
      </w:r>
      <w:r>
        <w:rPr>
          <w:rFonts w:ascii="宋体" w:hAnsi="宋体" w:eastAsia="宋体"/>
          <w:color w:val="333333"/>
          <w:sz w:val="21"/>
        </w:rPr>
        <w:t>depends_on_entity_ids</w:t>
      </w:r>
      <w:r>
        <w:rPr>
          <w:rFonts w:ascii="宋体" w:hAnsi="宋体" w:eastAsia="宋体"/>
          <w:sz w:val="21"/>
        </w:rPr>
        <w:t>。</w:t>
      </w:r>
    </w:p>
    <w:p>
      <w:pPr>
        <w:spacing w:after="120" w:line="276" w:lineRule="auto"/>
      </w:pPr>
      <w:r>
        <w:rPr>
          <w:rFonts w:ascii="宋体" w:hAnsi="宋体" w:eastAsia="宋体"/>
          <w:sz w:val="21"/>
        </w:rPr>
        <w:t>实体操作可以由来源文档、片段和提及锚定；关系操作可以由来源文档、证据、源候选和证据文本锚定。当前自动planner只产生来源完整的entity/relation upsert。</w:t>
      </w:r>
    </w:p>
    <w:p>
      <w:pPr>
        <w:pStyle w:val="Heading3"/>
      </w:pPr>
      <w:r>
        <w:rPr>
          <w:rFonts w:ascii="宋体" w:hAnsi="宋体" w:eastAsia="宋体"/>
        </w:rPr>
        <w:t>S2：派生并冻结原始影响域</w:t>
      </w:r>
    </w:p>
    <w:p>
      <w:pPr>
        <w:spacing w:after="120" w:line="276" w:lineRule="auto"/>
      </w:pPr>
      <w:r>
        <w:rPr>
          <w:rFonts w:ascii="宋体" w:hAnsi="宋体" w:eastAsia="宋体"/>
          <w:sz w:val="21"/>
        </w:rPr>
        <w:t>系统合并全部操作的声明影响对象，加入关系端点和基线一跳邻接，形成原始影响域，并对规范序列化结果计算</w:t>
      </w:r>
      <w:r>
        <w:rPr>
          <w:rFonts w:ascii="Consolas" w:hAnsi="Consolas" w:eastAsia="Consolas"/>
          <w:color w:val="333333"/>
          <w:sz w:val="18"/>
        </w:rPr>
        <w:t>domain_hash</w:t>
      </w:r>
      <w:r>
        <w:rPr>
          <w:rFonts w:ascii="宋体" w:hAnsi="宋体" w:eastAsia="宋体"/>
          <w:sz w:val="21"/>
        </w:rPr>
        <w:t>。后续所有反事实和排除集合重放都使用该冻结域；接受操作自身较小的声明域只作为记录，不替换验证边界。</w:t>
      </w:r>
    </w:p>
    <w:p>
      <w:pPr>
        <w:pStyle w:val="Heading3"/>
      </w:pPr>
      <w:r>
        <w:rPr>
          <w:rFonts w:ascii="宋体" w:hAnsi="宋体" w:eastAsia="宋体"/>
        </w:rPr>
        <w:t>S3：固定基线影子结构验证</w:t>
      </w:r>
    </w:p>
    <w:p>
      <w:pPr>
        <w:spacing w:after="120" w:line="276" w:lineRule="auto"/>
      </w:pPr>
      <w:r>
        <w:rPr>
          <w:rFonts w:ascii="宋体" w:hAnsi="宋体" w:eastAsia="宋体"/>
          <w:sz w:val="21"/>
        </w:rPr>
        <w:t>影子执行器在父版本基线上应用完整候选补丁，至少执行：</w:t>
      </w:r>
    </w:p>
    <w:p>
      <w:pPr>
        <w:pStyle w:val="ListBullet"/>
        <w:spacing w:after="60"/>
      </w:pPr>
      <w:r>
        <w:rPr>
          <w:rFonts w:ascii="宋体" w:hAnsi="宋体" w:eastAsia="宋体"/>
          <w:sz w:val="21"/>
        </w:rPr>
        <w:t>规范实体存在；</w:t>
      </w:r>
    </w:p>
    <w:p>
      <w:pPr>
        <w:pStyle w:val="ListBullet"/>
        <w:spacing w:after="60"/>
      </w:pPr>
      <w:r>
        <w:rPr>
          <w:rFonts w:ascii="宋体" w:hAnsi="宋体" w:eastAsia="宋体"/>
          <w:sz w:val="21"/>
        </w:rPr>
        <w:t>关系端点可解析；</w:t>
      </w:r>
    </w:p>
    <w:p>
      <w:pPr>
        <w:pStyle w:val="ListBullet"/>
        <w:spacing w:after="60"/>
      </w:pPr>
      <w:r>
        <w:rPr>
          <w:rFonts w:ascii="宋体" w:hAnsi="宋体" w:eastAsia="宋体"/>
          <w:sz w:val="21"/>
        </w:rPr>
        <w:t>由端点、谓词和限定信息摘要形成的关系身份唯一；</w:t>
      </w:r>
    </w:p>
    <w:p>
      <w:pPr>
        <w:pStyle w:val="ListBullet"/>
        <w:spacing w:after="60"/>
      </w:pPr>
      <w:r>
        <w:rPr>
          <w:rFonts w:ascii="宋体" w:hAnsi="宋体" w:eastAsia="宋体"/>
          <w:sz w:val="21"/>
        </w:rPr>
        <w:t>相同输入的确定性重放摘要；</w:t>
      </w:r>
    </w:p>
    <w:p>
      <w:pPr>
        <w:pStyle w:val="ListBullet"/>
        <w:spacing w:after="60"/>
      </w:pPr>
      <w:r>
        <w:rPr>
          <w:rFonts w:ascii="宋体" w:hAnsi="宋体" w:eastAsia="宋体"/>
          <w:sz w:val="21"/>
        </w:rPr>
        <w:t>排除冻结域对象后的基线/影子域外投影摘要比较。</w:t>
      </w:r>
    </w:p>
    <w:p>
      <w:pPr>
        <w:spacing w:after="120" w:line="276" w:lineRule="auto"/>
      </w:pPr>
      <w:r>
        <w:rPr>
          <w:rFonts w:ascii="宋体" w:hAnsi="宋体" w:eastAsia="宋体"/>
          <w:sz w:val="21"/>
        </w:rPr>
        <w:t>每个查询保存</w:t>
      </w:r>
      <w:r>
        <w:rPr>
          <w:rFonts w:ascii="Consolas" w:hAnsi="Consolas" w:eastAsia="Consolas"/>
          <w:color w:val="333333"/>
          <w:sz w:val="18"/>
        </w:rPr>
        <w:t>query_id</w:t>
      </w:r>
      <w:r>
        <w:rPr>
          <w:rFonts w:ascii="宋体" w:hAnsi="宋体" w:eastAsia="宋体"/>
          <w:sz w:val="21"/>
        </w:rPr>
        <w:t>、通过状态、关联操作标识和影响域摘要。</w:t>
      </w:r>
    </w:p>
    <w:p>
      <w:pPr>
        <w:pStyle w:val="Heading3"/>
      </w:pPr>
      <w:r>
        <w:rPr>
          <w:rFonts w:ascii="宋体" w:hAnsi="宋体" w:eastAsia="宋体"/>
        </w:rPr>
        <w:t>S4：反事实原因验证</w:t>
      </w:r>
    </w:p>
    <w:p>
      <w:pPr>
        <w:spacing w:after="120" w:line="276" w:lineRule="auto"/>
      </w:pPr>
      <w:r>
        <w:rPr>
          <w:rFonts w:ascii="宋体" w:hAnsi="宋体" w:eastAsia="宋体"/>
          <w:sz w:val="21"/>
        </w:rPr>
        <w:t>对失败查询的每个关联操作：</w:t>
      </w:r>
    </w:p>
    <w:p>
      <w:pPr>
        <w:keepLines/>
        <w:spacing w:after="120"/>
        <w:ind w:left="288"/>
      </w:pPr>
      <w:r>
        <w:rPr>
          <w:rFonts w:ascii="Consolas" w:hAnsi="Consolas" w:eastAsia="Consolas"/>
          <w:color w:val="202020"/>
          <w:sz w:val="18"/>
        </w:rPr>
        <w:t>closure = DependencyClosure({operation_id})</w:t>
        <w:br/>
        <w:t>replay = Apply(baseline, patch - closure, frozen_impact_domain)</w:t>
        <w:br/>
        <w:t>if target_query no longer fails:</w:t>
        <w:br/>
        <w:t xml:space="preserve">    operation_id is a counterfactual cause seed</w:t>
      </w:r>
    </w:p>
    <w:p>
      <w:pPr>
        <w:spacing w:after="120" w:line="276" w:lineRule="auto"/>
      </w:pPr>
      <w:r>
        <w:rPr>
          <w:rFonts w:ascii="宋体" w:hAnsi="宋体" w:eastAsia="宋体"/>
          <w:sz w:val="21"/>
        </w:rPr>
        <w:t>若排除实体操作，闭包递归加入依赖该实体端点的关系操作。系统记录操作ID、排除闭包、目标失败是否消失及归因状态。没有通过反事实检查的静态关联不进入求解候选空间。</w:t>
      </w:r>
    </w:p>
    <w:p>
      <w:pPr>
        <w:spacing w:after="120" w:line="276" w:lineRule="auto"/>
      </w:pPr>
      <w:r>
        <w:rPr>
          <w:rFonts w:ascii="宋体" w:hAnsi="宋体" w:eastAsia="宋体"/>
          <w:sz w:val="21"/>
        </w:rPr>
        <w:t>该因果定义只适用于当前候选补丁和端点依赖闭包，不表示现实世界、统计或知识真实性因果。</w:t>
      </w:r>
    </w:p>
    <w:p>
      <w:pPr>
        <w:pStyle w:val="Heading3"/>
      </w:pPr>
      <w:r>
        <w:rPr>
          <w:rFonts w:ascii="宋体" w:hAnsi="宋体" w:eastAsia="宋体"/>
        </w:rPr>
        <w:t>S5：待排除集合和剩余子补丁</w:t>
      </w:r>
    </w:p>
    <w:p>
      <w:pPr>
        <w:spacing w:after="120" w:line="276" w:lineRule="auto"/>
      </w:pPr>
      <w:r>
        <w:rPr>
          <w:rFonts w:ascii="宋体" w:hAnsi="宋体" w:eastAsia="宋体"/>
          <w:sz w:val="21"/>
        </w:rPr>
        <w:t>在反事实原因及其依赖闭包内搜索待排除更新操作集合</w:t>
      </w:r>
      <w:r>
        <w:rPr>
          <w:rFonts w:ascii="Consolas" w:hAnsi="Consolas" w:eastAsia="Consolas"/>
          <w:color w:val="333333"/>
          <w:sz w:val="18"/>
        </w:rPr>
        <w:t>R</w:t>
      </w:r>
      <w:r>
        <w:rPr>
          <w:rFonts w:ascii="宋体" w:hAnsi="宋体" w:eastAsia="宋体"/>
          <w:sz w:val="21"/>
        </w:rPr>
        <w:t>：</w:t>
      </w:r>
    </w:p>
    <w:p>
      <w:pPr>
        <w:keepLines/>
        <w:spacing w:after="120"/>
        <w:ind w:left="288"/>
      </w:pPr>
      <w:r>
        <w:rPr>
          <w:rFonts w:ascii="Consolas" w:hAnsi="Consolas" w:eastAsia="Consolas"/>
          <w:color w:val="202020"/>
          <w:sz w:val="18"/>
        </w:rPr>
        <w:t>J(R) = λ1|R| + λ2 B(R) + λ3 Le(R)</w:t>
      </w:r>
    </w:p>
    <w:p>
      <w:pPr>
        <w:spacing w:after="120" w:line="276" w:lineRule="auto"/>
      </w:pPr>
      <w:r>
        <w:rPr>
          <w:rFonts w:ascii="宋体" w:hAnsi="宋体" w:eastAsia="宋体"/>
          <w:sz w:val="21"/>
        </w:rPr>
        <w:t>其中</w:t>
      </w:r>
      <w:r>
        <w:rPr>
          <w:rFonts w:ascii="Consolas" w:hAnsi="Consolas" w:eastAsia="Consolas"/>
          <w:color w:val="333333"/>
          <w:sz w:val="18"/>
        </w:rPr>
        <w:t>B(R)</w:t>
      </w:r>
      <w:r>
        <w:rPr>
          <w:rFonts w:ascii="宋体" w:hAnsi="宋体" w:eastAsia="宋体"/>
          <w:sz w:val="21"/>
        </w:rPr>
        <w:t>为被排除操作覆盖的实体、关系和谓词数量，</w:t>
      </w:r>
      <w:r>
        <w:rPr>
          <w:rFonts w:ascii="Consolas" w:hAnsi="Consolas" w:eastAsia="Consolas"/>
          <w:color w:val="333333"/>
          <w:sz w:val="18"/>
        </w:rPr>
        <w:t>Le(R)</w:t>
      </w:r>
      <w:r>
        <w:rPr>
          <w:rFonts w:ascii="宋体" w:hAnsi="宋体" w:eastAsia="宋体"/>
          <w:sz w:val="21"/>
        </w:rPr>
        <w:t>为随排除损失的证据、提及及证据标识数量。约束为依赖闭合、全部结构查询通过及冻结域外投影一致。</w:t>
      </w:r>
    </w:p>
    <w:p>
      <w:pPr>
        <w:spacing w:after="120" w:line="276" w:lineRule="auto"/>
      </w:pPr>
      <w:r>
        <w:rPr>
          <w:rFonts w:ascii="宋体" w:hAnsi="宋体" w:eastAsia="宋体"/>
          <w:sz w:val="21"/>
        </w:rPr>
        <w:t>候选数不超过16时精确枚举；超过16时重复单项删除和重放直至固定点，结果明确标记为</w:t>
      </w:r>
      <w:r>
        <w:rPr>
          <w:rFonts w:ascii="Consolas" w:hAnsi="Consolas" w:eastAsia="Consolas"/>
          <w:color w:val="333333"/>
          <w:sz w:val="18"/>
        </w:rPr>
        <w:t>single_deletion_local_minimum_not_global</w:t>
      </w:r>
      <w:r>
        <w:rPr>
          <w:rFonts w:ascii="宋体" w:hAnsi="宋体" w:eastAsia="宋体"/>
          <w:sz w:val="21"/>
        </w:rPr>
        <w:t>，不声称全局或一般集合包含极小。没有失败查询时</w:t>
      </w:r>
      <w:r>
        <w:rPr>
          <w:rFonts w:ascii="Consolas" w:hAnsi="Consolas" w:eastAsia="Consolas"/>
          <w:color w:val="333333"/>
          <w:sz w:val="18"/>
        </w:rPr>
        <w:t>R</w:t>
      </w:r>
      <w:r>
        <w:rPr>
          <w:rFonts w:ascii="宋体" w:hAnsi="宋体" w:eastAsia="宋体"/>
          <w:sz w:val="21"/>
        </w:rPr>
        <w:t>为空。</w:t>
      </w:r>
    </w:p>
    <w:p>
      <w:pPr>
        <w:pStyle w:val="Heading3"/>
      </w:pPr>
      <w:r>
        <w:rPr>
          <w:rFonts w:ascii="宋体" w:hAnsi="宋体" w:eastAsia="宋体"/>
        </w:rPr>
        <w:t>S6：内容寻址因果验证凭证</w:t>
      </w:r>
    </w:p>
    <w:p>
      <w:pPr>
        <w:spacing w:after="120" w:line="276" w:lineRule="auto"/>
      </w:pPr>
      <w:r>
        <w:rPr>
          <w:rFonts w:ascii="宋体" w:hAnsi="宋体" w:eastAsia="宋体"/>
          <w:sz w:val="21"/>
        </w:rPr>
        <w:t>验证清单至少包括：</w:t>
      </w:r>
    </w:p>
    <w:p>
      <w:pPr>
        <w:pStyle w:val="ListBullet"/>
        <w:spacing w:after="60"/>
      </w:pPr>
      <w:r>
        <w:rPr>
          <w:rFonts w:ascii="宋体" w:hAnsi="宋体" w:eastAsia="宋体"/>
          <w:sz w:val="21"/>
        </w:rPr>
        <w:t>父版本和基线摘要；</w:t>
      </w:r>
    </w:p>
    <w:p>
      <w:pPr>
        <w:pStyle w:val="ListBullet"/>
        <w:spacing w:after="60"/>
      </w:pPr>
      <w:r>
        <w:rPr>
          <w:rFonts w:ascii="宋体" w:hAnsi="宋体" w:eastAsia="宋体"/>
          <w:sz w:val="21"/>
        </w:rPr>
        <w:t>完整候选操作摘要；</w:t>
      </w:r>
    </w:p>
    <w:p>
      <w:pPr>
        <w:pStyle w:val="ListBullet"/>
        <w:spacing w:after="60"/>
      </w:pPr>
      <w:r>
        <w:rPr>
          <w:rFonts w:ascii="宋体" w:hAnsi="宋体" w:eastAsia="宋体"/>
          <w:sz w:val="21"/>
        </w:rPr>
        <w:t>原始/冻结影响域摘要；</w:t>
      </w:r>
    </w:p>
    <w:p>
      <w:pPr>
        <w:pStyle w:val="ListBullet"/>
        <w:spacing w:after="60"/>
      </w:pPr>
      <w:r>
        <w:rPr>
          <w:rFonts w:ascii="宋体" w:hAnsi="宋体" w:eastAsia="宋体"/>
          <w:sz w:val="21"/>
        </w:rPr>
        <w:t>查询关联、反事实原因和检查记录；</w:t>
      </w:r>
    </w:p>
    <w:p>
      <w:pPr>
        <w:pStyle w:val="ListBullet"/>
        <w:spacing w:after="60"/>
      </w:pPr>
      <w:r>
        <w:rPr>
          <w:rFonts w:ascii="宋体" w:hAnsi="宋体" w:eastAsia="宋体"/>
          <w:sz w:val="21"/>
        </w:rPr>
        <w:t>求解模式、性质和求解结果摘要；</w:t>
      </w:r>
    </w:p>
    <w:p>
      <w:pPr>
        <w:pStyle w:val="ListBullet"/>
        <w:spacing w:after="60"/>
      </w:pPr>
      <w:r>
        <w:rPr>
          <w:rFonts w:ascii="宋体" w:hAnsi="宋体" w:eastAsia="宋体"/>
          <w:sz w:val="21"/>
        </w:rPr>
        <w:t>排除操作及接受操作标识；</w:t>
      </w:r>
    </w:p>
    <w:p>
      <w:pPr>
        <w:pStyle w:val="ListBullet"/>
        <w:spacing w:after="60"/>
      </w:pPr>
      <w:r>
        <w:rPr>
          <w:rFonts w:ascii="宋体" w:hAnsi="宋体" w:eastAsia="宋体"/>
          <w:sz w:val="21"/>
        </w:rPr>
        <w:t>剩余操作摘要和最终影子摘要；</w:t>
      </w:r>
    </w:p>
    <w:p>
      <w:pPr>
        <w:pStyle w:val="ListBullet"/>
        <w:spacing w:after="60"/>
      </w:pPr>
      <w:r>
        <w:rPr>
          <w:rFonts w:ascii="宋体" w:hAnsi="宋体" w:eastAsia="宋体"/>
          <w:sz w:val="21"/>
        </w:rPr>
        <w:t>证据、重放、域外投影、结构和更新效用门结果。</w:t>
      </w:r>
    </w:p>
    <w:p>
      <w:pPr>
        <w:keepLines/>
        <w:spacing w:after="120"/>
        <w:ind w:left="288"/>
      </w:pPr>
      <w:r>
        <w:rPr>
          <w:rFonts w:ascii="Consolas" w:hAnsi="Consolas" w:eastAsia="Consolas"/>
          <w:color w:val="202020"/>
          <w:sz w:val="18"/>
        </w:rPr>
        <w:t>certificate_id = "cvc-" || SHA-256(CanonicalJSON(validation_manifest))</w:t>
      </w:r>
    </w:p>
    <w:p>
      <w:pPr>
        <w:spacing w:after="120" w:line="276" w:lineRule="auto"/>
      </w:pPr>
      <w:r>
        <w:rPr>
          <w:rFonts w:ascii="宋体" w:hAnsi="宋体" w:eastAsia="宋体"/>
          <w:sz w:val="21"/>
        </w:rPr>
        <w:t>提交判定节点重算完整凭证；提交执行节点再次重算。两者不只比较字符串。凭证是内容寻址一致性清单，不是数字签名，不提供密钥身份认证，也不判断知识真实性。</w:t>
      </w:r>
    </w:p>
    <w:p>
      <w:pPr>
        <w:pStyle w:val="Heading3"/>
      </w:pPr>
      <w:r>
        <w:rPr>
          <w:rFonts w:ascii="宋体" w:hAnsi="宋体" w:eastAsia="宋体"/>
        </w:rPr>
        <w:t>S7：提交选择三方一致</w:t>
      </w:r>
    </w:p>
    <w:p>
      <w:pPr>
        <w:spacing w:after="120" w:line="276" w:lineRule="auto"/>
      </w:pPr>
      <w:r>
        <w:rPr>
          <w:rFonts w:ascii="宋体" w:hAnsi="宋体" w:eastAsia="宋体"/>
          <w:sz w:val="21"/>
        </w:rPr>
        <w:t>提交前强制：</w:t>
      </w:r>
    </w:p>
    <w:p>
      <w:pPr>
        <w:keepLines/>
        <w:spacing w:after="120"/>
        <w:ind w:left="288"/>
      </w:pPr>
      <w:r>
        <w:rPr>
          <w:rFonts w:ascii="Consolas" w:hAnsi="Consolas" w:eastAsia="Consolas"/>
          <w:color w:val="202020"/>
          <w:sz w:val="18"/>
        </w:rPr>
        <w:t>decision.accepted_operation_ids</w:t>
        <w:br/>
        <w:t>= evaluation.accepted_operation_ids</w:t>
        <w:br/>
        <w:t>= certificate.accepted_operation_ids</w:t>
      </w:r>
    </w:p>
    <w:p>
      <w:pPr>
        <w:spacing w:after="120" w:line="276" w:lineRule="auto"/>
      </w:pPr>
      <w:r>
        <w:rPr>
          <w:rFonts w:ascii="宋体" w:hAnsi="宋体" w:eastAsia="宋体"/>
          <w:sz w:val="21"/>
        </w:rPr>
        <w:t>并核对</w:t>
      </w:r>
      <w:r>
        <w:rPr>
          <w:rFonts w:ascii="Consolas" w:hAnsi="Consolas" w:eastAsia="Consolas"/>
          <w:color w:val="333333"/>
          <w:sz w:val="18"/>
        </w:rPr>
        <w:t>decision.certificate_id</w:t>
      </w:r>
      <w:r>
        <w:rPr>
          <w:rFonts w:ascii="宋体" w:hAnsi="宋体" w:eastAsia="宋体"/>
          <w:sz w:val="21"/>
        </w:rPr>
        <w:t>。任何不一致均隔离，不调用规范图存储。</w:t>
      </w:r>
    </w:p>
    <w:p>
      <w:pPr>
        <w:pStyle w:val="Heading3"/>
      </w:pPr>
      <w:r>
        <w:rPr>
          <w:rFonts w:ascii="宋体" w:hAnsi="宋体" w:eastAsia="宋体"/>
        </w:rPr>
        <w:t>S8：提交清单和幂等版本事务</w:t>
      </w:r>
    </w:p>
    <w:p>
      <w:pPr>
        <w:spacing w:after="120" w:line="276" w:lineRule="auto"/>
      </w:pPr>
      <w:r>
        <w:rPr>
          <w:rFonts w:ascii="宋体" w:hAnsi="宋体" w:eastAsia="宋体"/>
          <w:sz w:val="21"/>
        </w:rPr>
        <w:t>规范图存储形成：</w:t>
      </w:r>
    </w:p>
    <w:p>
      <w:pPr>
        <w:keepLines/>
        <w:spacing w:after="120"/>
        <w:ind w:left="288"/>
      </w:pPr>
      <w:r>
        <w:rPr>
          <w:rFonts w:ascii="Consolas" w:hAnsi="Consolas" w:eastAsia="Consolas"/>
          <w:color w:val="202020"/>
          <w:sz w:val="18"/>
        </w:rPr>
        <w:t>commit_manifest_hash = SHA-256(CanonicalJSON(</w:t>
        <w:br/>
        <w:t xml:space="preserve">  patch_id,</w:t>
        <w:br/>
        <w:t xml:space="preserve">  parent_version_id,</w:t>
        <w:br/>
        <w:t xml:space="preserve">  sorted(accepted_operation_ids),</w:t>
        <w:br/>
        <w:t xml:space="preserve">  accepted_operations_hash,</w:t>
        <w:br/>
        <w:t xml:space="preserve">  certificate_id</w:t>
        <w:br/>
        <w:t>))</w:t>
      </w:r>
    </w:p>
    <w:p>
      <w:pPr>
        <w:spacing w:after="120" w:line="276" w:lineRule="auto"/>
      </w:pPr>
      <w:r>
        <w:rPr>
          <w:rFonts w:ascii="宋体" w:hAnsi="宋体" w:eastAsia="宋体"/>
          <w:sz w:val="21"/>
        </w:rPr>
        <w:t>首次提交在单一事务内校验父版本、写入接受操作、</w:t>
      </w:r>
      <w:r>
        <w:rPr>
          <w:rFonts w:ascii="Consolas" w:hAnsi="Consolas" w:eastAsia="Consolas"/>
          <w:color w:val="333333"/>
          <w:sz w:val="18"/>
        </w:rPr>
        <w:t>graph_events</w:t>
      </w:r>
      <w:r>
        <w:rPr>
          <w:rFonts w:ascii="宋体" w:hAnsi="宋体" w:eastAsia="宋体"/>
          <w:sz w:val="21"/>
        </w:rPr>
        <w:t>、</w:t>
      </w:r>
      <w:r>
        <w:rPr>
          <w:rFonts w:ascii="Consolas" w:hAnsi="Consolas" w:eastAsia="Consolas"/>
          <w:color w:val="333333"/>
          <w:sz w:val="18"/>
        </w:rPr>
        <w:t>graph_versions</w:t>
      </w:r>
      <w:r>
        <w:rPr>
          <w:rFonts w:ascii="宋体" w:hAnsi="宋体" w:eastAsia="宋体"/>
          <w:sz w:val="21"/>
        </w:rPr>
        <w:t>和活动指针，并持久化接受操作、凭证ID和提交清单摘要。相同</w:t>
      </w:r>
      <w:r>
        <w:rPr>
          <w:rFonts w:ascii="Consolas" w:hAnsi="Consolas" w:eastAsia="Consolas"/>
          <w:color w:val="333333"/>
          <w:sz w:val="18"/>
        </w:rPr>
        <w:t>patch_id</w:t>
      </w:r>
      <w:r>
        <w:rPr>
          <w:rFonts w:ascii="宋体" w:hAnsi="宋体" w:eastAsia="宋体"/>
          <w:sz w:val="21"/>
        </w:rPr>
        <w:t>重试只有清单摘要一致才返回旧版本；接受集合或凭证不同则拒绝。</w:t>
      </w:r>
    </w:p>
    <w:p>
      <w:pPr>
        <w:pStyle w:val="Heading2"/>
      </w:pPr>
      <w:r>
        <w:rPr>
          <w:rFonts w:ascii="黑体" w:hAnsi="黑体" w:eastAsia="黑体"/>
        </w:rPr>
        <w:t>六、上游联合抽取和规范化实施例</w:t>
      </w:r>
    </w:p>
    <w:p>
      <w:pPr>
        <w:pStyle w:val="Heading3"/>
      </w:pPr>
      <w:r>
        <w:rPr>
          <w:rFonts w:ascii="宋体" w:hAnsi="宋体" w:eastAsia="宋体"/>
        </w:rPr>
        <w:t>1. 联合提及端点</w:t>
      </w:r>
    </w:p>
    <w:p>
      <w:pPr>
        <w:spacing w:after="120" w:line="276" w:lineRule="auto"/>
      </w:pPr>
      <w:r>
        <w:rPr>
          <w:rFonts w:ascii="宋体" w:hAnsi="宋体" w:eastAsia="宋体"/>
          <w:sz w:val="21"/>
        </w:rPr>
        <w:t>同一源片段的一次结果包含</w:t>
      </w:r>
      <w:r>
        <w:rPr>
          <w:rFonts w:ascii="Consolas" w:hAnsi="Consolas" w:eastAsia="Consolas"/>
          <w:color w:val="333333"/>
          <w:sz w:val="18"/>
        </w:rPr>
        <w:t>mentions</w:t>
      </w:r>
      <w:r>
        <w:rPr>
          <w:rFonts w:ascii="宋体" w:hAnsi="宋体" w:eastAsia="宋体"/>
          <w:sz w:val="21"/>
        </w:rPr>
        <w:t>、</w:t>
      </w:r>
      <w:r>
        <w:rPr>
          <w:rFonts w:ascii="Consolas" w:hAnsi="Consolas" w:eastAsia="Consolas"/>
          <w:color w:val="333333"/>
          <w:sz w:val="18"/>
        </w:rPr>
        <w:t>relation_candidates</w:t>
      </w:r>
      <w:r>
        <w:rPr>
          <w:rFonts w:ascii="宋体" w:hAnsi="宋体" w:eastAsia="宋体"/>
          <w:sz w:val="21"/>
        </w:rPr>
        <w:t>和</w:t>
      </w:r>
      <w:r>
        <w:rPr>
          <w:rFonts w:ascii="Consolas" w:hAnsi="Consolas" w:eastAsia="Consolas"/>
          <w:color w:val="333333"/>
          <w:sz w:val="18"/>
        </w:rPr>
        <w:t>evidence_spans</w:t>
      </w:r>
      <w:r>
        <w:rPr>
          <w:rFonts w:ascii="宋体" w:hAnsi="宋体" w:eastAsia="宋体"/>
          <w:sz w:val="21"/>
        </w:rPr>
        <w:t>。关系端点引用同批次</w:t>
      </w:r>
      <w:r>
        <w:rPr>
          <w:rFonts w:ascii="Consolas" w:hAnsi="Consolas" w:eastAsia="Consolas"/>
          <w:color w:val="333333"/>
          <w:sz w:val="18"/>
        </w:rPr>
        <w:t>mention_id</w:t>
      </w:r>
      <w:r>
        <w:rPr>
          <w:rFonts w:ascii="宋体" w:hAnsi="宋体" w:eastAsia="宋体"/>
          <w:sz w:val="21"/>
        </w:rPr>
        <w:t>。跨片段汇总前对提及、关系候选和证据标识加入片段命名空间。</w:t>
      </w:r>
    </w:p>
    <w:p>
      <w:pPr>
        <w:pStyle w:val="Heading3"/>
      </w:pPr>
      <w:r>
        <w:rPr>
          <w:rFonts w:ascii="宋体" w:hAnsi="宋体" w:eastAsia="宋体"/>
        </w:rPr>
        <w:t>2. 证据先行关系引用校验</w:t>
      </w:r>
    </w:p>
    <w:p>
      <w:pPr>
        <w:spacing w:after="120" w:line="276" w:lineRule="auto"/>
      </w:pPr>
      <w:r>
        <w:rPr>
          <w:rFonts w:ascii="宋体" w:hAnsi="宋体" w:eastAsia="宋体"/>
          <w:sz w:val="21"/>
        </w:rPr>
        <w:t>先检查证据的</w:t>
      </w:r>
      <w:r>
        <w:rPr>
          <w:rFonts w:ascii="Consolas" w:hAnsi="Consolas" w:eastAsia="Consolas"/>
          <w:color w:val="333333"/>
          <w:sz w:val="18"/>
        </w:rPr>
        <w:t>evidence_id</w:t>
      </w:r>
      <w:r>
        <w:rPr>
          <w:rFonts w:ascii="宋体" w:hAnsi="宋体" w:eastAsia="宋体"/>
          <w:sz w:val="21"/>
        </w:rPr>
        <w:t>、</w:t>
      </w:r>
      <w:r>
        <w:rPr>
          <w:rFonts w:ascii="Consolas" w:hAnsi="Consolas" w:eastAsia="Consolas"/>
          <w:color w:val="333333"/>
          <w:sz w:val="18"/>
        </w:rPr>
        <w:t>document_id</w:t>
      </w:r>
      <w:r>
        <w:rPr>
          <w:rFonts w:ascii="宋体" w:hAnsi="宋体" w:eastAsia="宋体"/>
          <w:sz w:val="21"/>
        </w:rPr>
        <w:t>和</w:t>
      </w:r>
      <w:r>
        <w:rPr>
          <w:rFonts w:ascii="Consolas" w:hAnsi="Consolas" w:eastAsia="Consolas"/>
          <w:color w:val="333333"/>
          <w:sz w:val="18"/>
        </w:rPr>
        <w:t>text</w:t>
      </w:r>
      <w:r>
        <w:rPr>
          <w:rFonts w:ascii="宋体" w:hAnsi="宋体" w:eastAsia="宋体"/>
          <w:sz w:val="21"/>
        </w:rPr>
        <w:t>，形成有效证据集合；再检查claim和relation candidate的</w:t>
      </w:r>
      <w:r>
        <w:rPr>
          <w:rFonts w:ascii="Consolas" w:hAnsi="Consolas" w:eastAsia="Consolas"/>
          <w:color w:val="333333"/>
          <w:sz w:val="18"/>
        </w:rPr>
        <w:t>evidence_ids</w:t>
      </w:r>
      <w:r>
        <w:rPr>
          <w:rFonts w:ascii="宋体" w:hAnsi="宋体" w:eastAsia="宋体"/>
          <w:sz w:val="21"/>
        </w:rPr>
        <w:t>。无效关系候选被移出物化输入，并记录候选ID、缺失字段和无效证据ID。至少一条联合关系成功物化时不进行第二次关系模型调用；零成功时才回退。</w:t>
      </w:r>
    </w:p>
    <w:p>
      <w:pPr>
        <w:pStyle w:val="Heading3"/>
      </w:pPr>
      <w:r>
        <w:rPr>
          <w:rFonts w:ascii="宋体" w:hAnsi="宋体" w:eastAsia="宋体"/>
        </w:rPr>
        <w:t>3. 同类实体合并</w:t>
      </w:r>
    </w:p>
    <w:p>
      <w:pPr>
        <w:spacing w:after="120" w:line="276" w:lineRule="auto"/>
      </w:pPr>
      <w:r>
        <w:rPr>
          <w:rFonts w:ascii="宋体" w:hAnsi="宋体" w:eastAsia="宋体"/>
          <w:sz w:val="21"/>
        </w:rPr>
        <w:t>只对同类型实体生成提议；自动合并还要求来源提及完整，并检查两个拟合并簇的任意跨簇成员对均达到阈值。实施例中提议阈值0.65、自动阈值0.90、词典别名0.97、缩写0.92。</w:t>
      </w:r>
    </w:p>
    <w:p>
      <w:pPr>
        <w:pStyle w:val="Heading3"/>
      </w:pPr>
      <w:r>
        <w:rPr>
          <w:rFonts w:ascii="宋体" w:hAnsi="宋体" w:eastAsia="宋体"/>
        </w:rPr>
        <w:t>4. 限定关系身份和源断言快照</w:t>
      </w:r>
    </w:p>
    <w:p>
      <w:pPr>
        <w:spacing w:after="120" w:line="276" w:lineRule="auto"/>
      </w:pPr>
      <w:r>
        <w:rPr>
          <w:rFonts w:ascii="宋体" w:hAnsi="宋体" w:eastAsia="宋体"/>
          <w:sz w:val="21"/>
        </w:rPr>
        <w:t>关系身份由主端点、规范谓词、客端点和限定信息规范序列化摘要组成。不同</w:t>
      </w:r>
      <w:r>
        <w:rPr>
          <w:rFonts w:ascii="Consolas" w:hAnsi="Consolas" w:eastAsia="Consolas"/>
          <w:color w:val="333333"/>
          <w:sz w:val="18"/>
        </w:rPr>
        <w:t>valid_year</w:t>
      </w:r>
      <w:r>
        <w:rPr>
          <w:rFonts w:ascii="宋体" w:hAnsi="宋体" w:eastAsia="宋体"/>
          <w:sz w:val="21"/>
        </w:rPr>
        <w:t>等限定保持为不同关系。每个聚合关系保存逐条</w:t>
      </w:r>
      <w:r>
        <w:rPr>
          <w:rFonts w:ascii="Consolas" w:hAnsi="Consolas" w:eastAsia="Consolas"/>
          <w:color w:val="333333"/>
          <w:sz w:val="18"/>
        </w:rPr>
        <w:t>source_assertions</w:t>
      </w:r>
      <w:r>
        <w:rPr>
          <w:rFonts w:ascii="宋体" w:hAnsi="宋体" w:eastAsia="宋体"/>
          <w:sz w:val="21"/>
        </w:rPr>
        <w:t>，包括源ID、源候选、原谓词、端点、限定信息、证据ID/文本、来源片段和源置信度，从而可重建原断言。</w:t>
      </w:r>
    </w:p>
    <w:p>
      <w:pPr>
        <w:pStyle w:val="Heading2"/>
      </w:pPr>
      <w:r>
        <w:rPr>
          <w:rFonts w:ascii="黑体" w:hAnsi="黑体" w:eastAsia="黑体"/>
        </w:rPr>
        <w:t>七、版本贡献和历史补偿实施例</w:t>
      </w:r>
    </w:p>
    <w:p>
      <w:pPr>
        <w:spacing w:after="120" w:line="276" w:lineRule="auto"/>
      </w:pPr>
      <w:r>
        <w:rPr>
          <w:rFonts w:ascii="宋体" w:hAnsi="宋体" w:eastAsia="宋体"/>
          <w:sz w:val="21"/>
        </w:rPr>
        <w:t>规范存储为实体、别名、提及、关系和证据记录版本贡献，并记录实体/关系删除墓碑。历史补偿创建新版本而不删除旧版本：</w:t>
      </w:r>
    </w:p>
    <w:p>
      <w:pPr>
        <w:pStyle w:val="ListNumber"/>
        <w:spacing w:after="60"/>
      </w:pPr>
      <w:r>
        <w:rPr>
          <w:rFonts w:ascii="宋体" w:hAnsi="宋体" w:eastAsia="宋体"/>
          <w:sz w:val="21"/>
        </w:rPr>
        <w:t>逆序读取目标版本事件；</w:t>
      </w:r>
    </w:p>
    <w:p>
      <w:pPr>
        <w:pStyle w:val="ListNumber"/>
        <w:spacing w:after="60"/>
      </w:pPr>
      <w:r>
        <w:rPr>
          <w:rFonts w:ascii="宋体" w:hAnsi="宋体" w:eastAsia="宋体"/>
          <w:sz w:val="21"/>
        </w:rPr>
        <w:t>检查每个事件的安全补偿条件；</w:t>
      </w:r>
    </w:p>
    <w:p>
      <w:pPr>
        <w:pStyle w:val="ListNumber"/>
        <w:spacing w:after="60"/>
      </w:pPr>
      <w:r>
        <w:rPr>
          <w:rFonts w:ascii="宋体" w:hAnsi="宋体" w:eastAsia="宋体"/>
          <w:sz w:val="21"/>
        </w:rPr>
        <w:t>移除允许移除的目标版本贡献；</w:t>
      </w:r>
    </w:p>
    <w:p>
      <w:pPr>
        <w:pStyle w:val="ListNumber"/>
        <w:spacing w:after="60"/>
      </w:pPr>
      <w:r>
        <w:rPr>
          <w:rFonts w:ascii="宋体" w:hAnsi="宋体" w:eastAsia="宋体"/>
          <w:sz w:val="21"/>
        </w:rPr>
        <w:t>根据剩余贡献、较后墓碑和重新创建生命周期重算；</w:t>
      </w:r>
    </w:p>
    <w:p>
      <w:pPr>
        <w:pStyle w:val="ListNumber"/>
        <w:spacing w:after="60"/>
      </w:pPr>
      <w:r>
        <w:rPr>
          <w:rFonts w:ascii="宋体" w:hAnsi="宋体" w:eastAsia="宋体"/>
          <w:sz w:val="21"/>
        </w:rPr>
        <w:t>后续依赖不允许移除时记录</w:t>
      </w:r>
      <w:r>
        <w:rPr>
          <w:rFonts w:ascii="宋体" w:hAnsi="宋体" w:eastAsia="宋体"/>
          <w:color w:val="333333"/>
          <w:sz w:val="21"/>
        </w:rPr>
        <w:t>skipped_operation_ids</w:t>
      </w:r>
      <w:r>
        <w:rPr>
          <w:rFonts w:ascii="宋体" w:hAnsi="宋体" w:eastAsia="宋体"/>
          <w:sz w:val="21"/>
        </w:rPr>
        <w:t>。</w:t>
      </w:r>
    </w:p>
    <w:p>
      <w:pPr>
        <w:spacing w:after="120" w:line="276" w:lineRule="auto"/>
      </w:pPr>
      <w:r>
        <w:rPr>
          <w:rFonts w:ascii="宋体" w:hAnsi="宋体" w:eastAsia="宋体"/>
          <w:sz w:val="21"/>
        </w:rPr>
        <w:t>本实施例不无条件声称每个历史贡献都可移除，也不自动拆分任意历史误合并簇。</w:t>
      </w:r>
    </w:p>
    <w:p>
      <w:pPr>
        <w:pStyle w:val="Heading2"/>
      </w:pPr>
      <w:r>
        <w:rPr>
          <w:rFonts w:ascii="黑体" w:hAnsi="黑体" w:eastAsia="黑体"/>
        </w:rPr>
        <w:t>八、攻击性验证</w:t>
      </w:r>
    </w:p>
    <w:p>
      <w:pPr>
        <w:spacing w:after="120" w:line="276" w:lineRule="auto"/>
      </w:pPr>
      <w:r>
        <w:rPr>
          <w:rFonts w:ascii="宋体" w:hAnsi="宋体" w:eastAsia="宋体"/>
          <w:sz w:val="21"/>
        </w:rPr>
        <w:t>当前回归测试覆盖：</w:t>
      </w:r>
    </w:p>
    <w:p>
      <w:pPr>
        <w:pStyle w:val="ListBullet"/>
        <w:spacing w:after="60"/>
      </w:pPr>
      <w:r>
        <w:rPr>
          <w:rFonts w:ascii="宋体" w:hAnsi="宋体" w:eastAsia="宋体"/>
          <w:sz w:val="21"/>
        </w:rPr>
        <w:t>基线版本被替换；</w:t>
      </w:r>
    </w:p>
    <w:p>
      <w:pPr>
        <w:pStyle w:val="ListBullet"/>
        <w:spacing w:after="60"/>
      </w:pPr>
      <w:r>
        <w:rPr>
          <w:rFonts w:ascii="宋体" w:hAnsi="宋体" w:eastAsia="宋体"/>
          <w:sz w:val="21"/>
        </w:rPr>
        <w:t>查询—操作映射被替换；</w:t>
      </w:r>
    </w:p>
    <w:p>
      <w:pPr>
        <w:pStyle w:val="ListBullet"/>
        <w:spacing w:after="60"/>
      </w:pPr>
      <w:r>
        <w:rPr>
          <w:rFonts w:ascii="宋体" w:hAnsi="宋体" w:eastAsia="宋体"/>
          <w:sz w:val="21"/>
        </w:rPr>
        <w:t>求解模式被替换；</w:t>
      </w:r>
    </w:p>
    <w:p>
      <w:pPr>
        <w:pStyle w:val="ListBullet"/>
        <w:spacing w:after="60"/>
      </w:pPr>
      <w:r>
        <w:rPr>
          <w:rFonts w:ascii="宋体" w:hAnsi="宋体" w:eastAsia="宋体"/>
          <w:sz w:val="21"/>
        </w:rPr>
        <w:t>排除操作集合被替换；</w:t>
      </w:r>
    </w:p>
    <w:p>
      <w:pPr>
        <w:pStyle w:val="ListBullet"/>
        <w:spacing w:after="60"/>
      </w:pPr>
      <w:r>
        <w:rPr>
          <w:rFonts w:ascii="宋体" w:hAnsi="宋体" w:eastAsia="宋体"/>
          <w:sz w:val="21"/>
        </w:rPr>
        <w:t>最终影子摘要被替换；</w:t>
      </w:r>
    </w:p>
    <w:p>
      <w:pPr>
        <w:pStyle w:val="ListBullet"/>
        <w:spacing w:after="60"/>
      </w:pPr>
      <w:r>
        <w:rPr>
          <w:rFonts w:ascii="宋体" w:hAnsi="宋体" w:eastAsia="宋体"/>
          <w:sz w:val="21"/>
        </w:rPr>
        <w:t>decision接受操作被替换；</w:t>
      </w:r>
    </w:p>
    <w:p>
      <w:pPr>
        <w:pStyle w:val="ListBullet"/>
        <w:spacing w:after="60"/>
      </w:pPr>
      <w:r>
        <w:rPr>
          <w:rFonts w:ascii="宋体" w:hAnsi="宋体" w:eastAsia="宋体"/>
          <w:sz w:val="21"/>
        </w:rPr>
        <w:t>同patch使用不同接受集合和凭证重试；</w:t>
      </w:r>
    </w:p>
    <w:p>
      <w:pPr>
        <w:pStyle w:val="ListBullet"/>
        <w:spacing w:after="60"/>
      </w:pPr>
      <w:r>
        <w:rPr>
          <w:rFonts w:ascii="宋体" w:hAnsi="宋体" w:eastAsia="宋体"/>
          <w:sz w:val="21"/>
        </w:rPr>
        <w:t>17个原因候选进入带性质标记的大空间回退；</w:t>
      </w:r>
    </w:p>
    <w:p>
      <w:pPr>
        <w:pStyle w:val="ListBullet"/>
        <w:spacing w:after="60"/>
      </w:pPr>
      <w:r>
        <w:rPr>
          <w:rFonts w:ascii="宋体" w:hAnsi="宋体" w:eastAsia="宋体"/>
          <w:sz w:val="21"/>
        </w:rPr>
        <w:t>无效关系证据引用被阻断；</w:t>
      </w:r>
    </w:p>
    <w:p>
      <w:pPr>
        <w:pStyle w:val="ListBullet"/>
        <w:spacing w:after="60"/>
      </w:pPr>
      <w:r>
        <w:rPr>
          <w:rFonts w:ascii="宋体" w:hAnsi="宋体" w:eastAsia="宋体"/>
          <w:sz w:val="21"/>
        </w:rPr>
        <w:t>同三元组不同限定信息不误合并。</w:t>
      </w:r>
    </w:p>
    <w:p>
      <w:pPr>
        <w:spacing w:after="120" w:line="276" w:lineRule="auto"/>
      </w:pPr>
      <w:r>
        <w:rPr>
          <w:rFonts w:ascii="宋体" w:hAnsi="宋体" w:eastAsia="宋体"/>
          <w:sz w:val="21"/>
        </w:rPr>
        <w:t>任一凭证字段或选择错配会使提交保持隔离；同patch不同清单会在存储层被拒绝。</w:t>
      </w:r>
    </w:p>
    <w:p>
      <w:pPr>
        <w:pStyle w:val="Heading2"/>
      </w:pPr>
      <w:r>
        <w:rPr>
          <w:rFonts w:ascii="黑体" w:hAnsi="黑体" w:eastAsia="黑体"/>
        </w:rPr>
        <w:t>九、主要技术效果</w:t>
      </w:r>
    </w:p>
    <w:p>
      <w:pPr>
        <w:pStyle w:val="ListBullet"/>
        <w:spacing w:after="60"/>
      </w:pPr>
      <w:r>
        <w:rPr>
          <w:rFonts w:ascii="宋体" w:hAnsi="宋体" w:eastAsia="宋体"/>
          <w:sz w:val="21"/>
        </w:rPr>
        <w:t>冻结域防止局部排除后验证边界收缩；</w:t>
      </w:r>
    </w:p>
    <w:p>
      <w:pPr>
        <w:pStyle w:val="ListBullet"/>
        <w:spacing w:after="60"/>
      </w:pPr>
      <w:r>
        <w:rPr>
          <w:rFonts w:ascii="宋体" w:hAnsi="宋体" w:eastAsia="宋体"/>
          <w:sz w:val="21"/>
        </w:rPr>
        <w:t>反事实闭包重放把静态关联收紧为可复核原因记录；</w:t>
      </w:r>
    </w:p>
    <w:p>
      <w:pPr>
        <w:pStyle w:val="ListBullet"/>
        <w:spacing w:after="60"/>
      </w:pPr>
      <w:r>
        <w:rPr>
          <w:rFonts w:ascii="宋体" w:hAnsi="宋体" w:eastAsia="宋体"/>
          <w:sz w:val="21"/>
        </w:rPr>
        <w:t>局部排除保留满足约束的剩余候选知识；</w:t>
      </w:r>
    </w:p>
    <w:p>
      <w:pPr>
        <w:pStyle w:val="ListBullet"/>
        <w:spacing w:after="60"/>
      </w:pPr>
      <w:r>
        <w:rPr>
          <w:rFonts w:ascii="宋体" w:hAnsi="宋体" w:eastAsia="宋体"/>
          <w:sz w:val="21"/>
        </w:rPr>
        <w:t>两阶段凭证重算检测验证内容和提交选择替换；</w:t>
      </w:r>
    </w:p>
    <w:p>
      <w:pPr>
        <w:pStyle w:val="ListBullet"/>
        <w:spacing w:after="60"/>
      </w:pPr>
      <w:r>
        <w:rPr>
          <w:rFonts w:ascii="宋体" w:hAnsi="宋体" w:eastAsia="宋体"/>
          <w:sz w:val="21"/>
        </w:rPr>
        <w:t>提交清单使幂等版本与实际接受事件一致；</w:t>
      </w:r>
    </w:p>
    <w:p>
      <w:pPr>
        <w:pStyle w:val="ListBullet"/>
        <w:spacing w:after="60"/>
      </w:pPr>
      <w:r>
        <w:rPr>
          <w:rFonts w:ascii="宋体" w:hAnsi="宋体" w:eastAsia="宋体"/>
          <w:sz w:val="21"/>
        </w:rPr>
        <w:t>同批次端点和证据先行校验降低关系物化失败；</w:t>
      </w:r>
    </w:p>
    <w:p>
      <w:pPr>
        <w:pStyle w:val="ListBullet"/>
        <w:spacing w:after="60"/>
      </w:pPr>
      <w:r>
        <w:rPr>
          <w:rFonts w:ascii="宋体" w:hAnsi="宋体" w:eastAsia="宋体"/>
          <w:sz w:val="21"/>
        </w:rPr>
        <w:t>限定关系身份降低不同条件事实误合并；</w:t>
      </w:r>
    </w:p>
    <w:p>
      <w:pPr>
        <w:pStyle w:val="ListBullet"/>
        <w:spacing w:after="60"/>
      </w:pPr>
      <w:r>
        <w:rPr>
          <w:rFonts w:ascii="宋体" w:hAnsi="宋体" w:eastAsia="宋体"/>
          <w:sz w:val="21"/>
        </w:rPr>
        <w:t>贡献/墓碑补偿保留后续删除和新生命周期。</w:t>
      </w:r>
    </w:p>
    <w:p>
      <w:pPr>
        <w:pStyle w:val="Heading2"/>
      </w:pPr>
      <w:r>
        <w:rPr>
          <w:rFonts w:ascii="黑体" w:hAnsi="黑体" w:eastAsia="黑体"/>
        </w:rPr>
        <w:t>十、可替代实施方式</w:t>
      </w:r>
    </w:p>
    <w:p>
      <w:pPr>
        <w:pStyle w:val="ListBullet"/>
        <w:spacing w:after="60"/>
      </w:pPr>
      <w:r>
        <w:rPr>
          <w:rFonts w:ascii="宋体" w:hAnsi="宋体" w:eastAsia="宋体"/>
          <w:sz w:val="21"/>
        </w:rPr>
        <w:t>联合抽取器可为生成模型、判别模型、规则或组合；</w:t>
      </w:r>
    </w:p>
    <w:p>
      <w:pPr>
        <w:pStyle w:val="ListBullet"/>
        <w:spacing w:after="60"/>
      </w:pPr>
      <w:r>
        <w:rPr>
          <w:rFonts w:ascii="宋体" w:hAnsi="宋体" w:eastAsia="宋体"/>
          <w:sz w:val="21"/>
        </w:rPr>
        <w:t>影子环境可为内存图、隔离数据库、临时分支或等效执行环境；</w:t>
      </w:r>
    </w:p>
    <w:p>
      <w:pPr>
        <w:pStyle w:val="ListBullet"/>
        <w:spacing w:after="60"/>
      </w:pPr>
      <w:r>
        <w:rPr>
          <w:rFonts w:ascii="宋体" w:hAnsi="宋体" w:eastAsia="宋体"/>
          <w:sz w:val="21"/>
        </w:rPr>
        <w:t>摘要可使用满足确定性内容寻址的其他算法；</w:t>
      </w:r>
    </w:p>
    <w:p>
      <w:pPr>
        <w:pStyle w:val="ListBullet"/>
        <w:spacing w:after="60"/>
      </w:pPr>
      <w:r>
        <w:rPr>
          <w:rFonts w:ascii="宋体" w:hAnsi="宋体" w:eastAsia="宋体"/>
          <w:sz w:val="21"/>
        </w:rPr>
        <w:t>精确求解可使用枚举、ILP、SAT/SMT或约束搜索；</w:t>
      </w:r>
    </w:p>
    <w:p>
      <w:pPr>
        <w:pStyle w:val="ListBullet"/>
        <w:spacing w:after="60"/>
      </w:pPr>
      <w:r>
        <w:rPr>
          <w:rFonts w:ascii="宋体" w:hAnsi="宋体" w:eastAsia="宋体"/>
          <w:sz w:val="21"/>
        </w:rPr>
        <w:t>规范存储可为关系或图数据库，只要提供父版本和等效原子提交语义；</w:t>
      </w:r>
    </w:p>
    <w:p>
      <w:pPr>
        <w:pStyle w:val="ListBullet"/>
        <w:spacing w:after="60"/>
      </w:pPr>
      <w:r>
        <w:rPr>
          <w:rFonts w:ascii="宋体" w:hAnsi="宋体" w:eastAsia="宋体"/>
          <w:sz w:val="21"/>
        </w:rPr>
        <w:t>Agent可替换为worker、evaluator或普通工作流模块；</w:t>
      </w:r>
    </w:p>
    <w:p>
      <w:pPr>
        <w:pStyle w:val="ListBullet"/>
        <w:spacing w:after="60"/>
      </w:pPr>
      <w:r>
        <w:rPr>
          <w:rFonts w:ascii="宋体" w:hAnsi="宋体" w:eastAsia="宋体"/>
          <w:sz w:val="21"/>
        </w:rPr>
        <w:t>对抗性部署可在内容摘要外增加HMAC、数字签名、不可变日志或硬件密钥。</w:t>
      </w:r>
    </w:p>
    <w:p>
      <w:pPr>
        <w:pStyle w:val="ListBullet"/>
        <w:spacing w:after="60"/>
      </w:pPr>
      <w:r>
        <w:rPr>
          <w:rFonts w:ascii="宋体" w:hAnsi="宋体" w:eastAsia="宋体"/>
          <w:sz w:val="21"/>
        </w:rPr>
        <w:t>只读审计层可生成一份当前活动规范图页面以及按来源文档内容快照分别投影的页面；逐文档投影以实体提及和关系证据中的</w:t>
      </w:r>
      <w:r>
        <w:rPr>
          <w:rFonts w:ascii="宋体" w:hAnsi="宋体" w:eastAsia="宋体"/>
          <w:color w:val="333333"/>
          <w:sz w:val="21"/>
        </w:rPr>
        <w:t>document_id</w:t>
      </w:r>
      <w:r>
        <w:rPr>
          <w:rFonts w:ascii="宋体" w:hAnsi="宋体" w:eastAsia="宋体"/>
          <w:sz w:val="21"/>
        </w:rPr>
        <w:t>为直接边界，只补入已选择关系的主客端点，共享规范实体不据此扩张其他文档独有关系或证据。各页面可把图数据、样式和交互脚本嵌入单一HTML，以在不部署前端服务和后端服务时离线打开。</w:t>
      </w:r>
    </w:p>
    <w:p>
      <w:pPr>
        <w:pStyle w:val="Heading2"/>
      </w:pPr>
      <w:r>
        <w:rPr>
          <w:rFonts w:ascii="黑体" w:hAnsi="黑体" w:eastAsia="黑体"/>
        </w:rPr>
        <w:t>十一、明确边界</w:t>
      </w:r>
    </w:p>
    <w:p>
      <w:pPr>
        <w:spacing w:after="120" w:line="276" w:lineRule="auto"/>
      </w:pPr>
      <w:r>
        <w:rPr>
          <w:rFonts w:ascii="宋体" w:hAnsi="宋体" w:eastAsia="宋体"/>
          <w:sz w:val="21"/>
        </w:rPr>
        <w:t>当前方案不声称：</w:t>
      </w:r>
    </w:p>
    <w:p>
      <w:pPr>
        <w:pStyle w:val="ListBullet"/>
        <w:spacing w:after="60"/>
      </w:pPr>
      <w:r>
        <w:rPr>
          <w:rFonts w:ascii="宋体" w:hAnsi="宋体" w:eastAsia="宋体"/>
          <w:sz w:val="21"/>
        </w:rPr>
        <w:t>跨多个独立存储的分布式原子事务；</w:t>
      </w:r>
    </w:p>
    <w:p>
      <w:pPr>
        <w:pStyle w:val="ListBullet"/>
        <w:spacing w:after="60"/>
      </w:pPr>
      <w:r>
        <w:rPr>
          <w:rFonts w:ascii="宋体" w:hAnsi="宋体" w:eastAsia="宋体"/>
          <w:sz w:val="21"/>
        </w:rPr>
        <w:t>任意业务查询语义等价；</w:t>
      </w:r>
    </w:p>
    <w:p>
      <w:pPr>
        <w:pStyle w:val="ListBullet"/>
        <w:spacing w:after="60"/>
      </w:pPr>
      <w:r>
        <w:rPr>
          <w:rFonts w:ascii="宋体" w:hAnsi="宋体" w:eastAsia="宋体"/>
          <w:sz w:val="21"/>
        </w:rPr>
        <w:t>任意规模全局最小repair；</w:t>
      </w:r>
    </w:p>
    <w:p>
      <w:pPr>
        <w:pStyle w:val="ListBullet"/>
        <w:spacing w:after="60"/>
      </w:pPr>
      <w:r>
        <w:rPr>
          <w:rFonts w:ascii="宋体" w:hAnsi="宋体" w:eastAsia="宋体"/>
          <w:sz w:val="21"/>
        </w:rPr>
        <w:t>数字签名或知识真实性证明；</w:t>
      </w:r>
    </w:p>
    <w:p>
      <w:pPr>
        <w:pStyle w:val="ListBullet"/>
        <w:spacing w:after="60"/>
      </w:pPr>
      <w:r>
        <w:rPr>
          <w:rFonts w:ascii="宋体" w:hAnsi="宋体" w:eastAsia="宋体"/>
          <w:sz w:val="21"/>
        </w:rPr>
        <w:t>在线学习并修改模型权重；</w:t>
      </w:r>
    </w:p>
    <w:p>
      <w:pPr>
        <w:pStyle w:val="ListBullet"/>
        <w:spacing w:after="60"/>
      </w:pPr>
      <w:r>
        <w:rPr>
          <w:rFonts w:ascii="宋体" w:hAnsi="宋体" w:eastAsia="宋体"/>
          <w:sz w:val="21"/>
        </w:rPr>
        <w:t>任意历史误合并自动拆分；</w:t>
      </w:r>
    </w:p>
    <w:p>
      <w:pPr>
        <w:pStyle w:val="ListBullet"/>
        <w:spacing w:after="60"/>
      </w:pPr>
      <w:r>
        <w:rPr>
          <w:rFonts w:ascii="宋体" w:hAnsi="宋体" w:eastAsia="宋体"/>
          <w:sz w:val="21"/>
        </w:rPr>
        <w:t>当前项目自有回归语料代表开放域SOTA；</w:t>
      </w:r>
    </w:p>
    <w:p>
      <w:pPr>
        <w:pStyle w:val="ListBullet"/>
        <w:spacing w:after="60"/>
      </w:pPr>
      <w:r>
        <w:rPr>
          <w:rFonts w:ascii="宋体" w:hAnsi="宋体" w:eastAsia="宋体"/>
          <w:sz w:val="21"/>
        </w:rPr>
        <w:t>当前活动规范图页面代表全部历史对象；</w:t>
      </w:r>
    </w:p>
    <w:p>
      <w:pPr>
        <w:pStyle w:val="ListBullet"/>
        <w:spacing w:after="60"/>
      </w:pPr>
      <w:r>
        <w:rPr>
          <w:rFonts w:ascii="宋体" w:hAnsi="宋体" w:eastAsia="宋体"/>
          <w:sz w:val="21"/>
        </w:rPr>
        <w:t>逐文档页面是原始抽取图、租户隔离图或权限判定结果；</w:t>
      </w:r>
    </w:p>
    <w:p>
      <w:pPr>
        <w:pStyle w:val="ListBullet"/>
        <w:spacing w:after="60"/>
      </w:pPr>
      <w:r>
        <w:rPr>
          <w:rFonts w:ascii="宋体" w:hAnsi="宋体" w:eastAsia="宋体"/>
          <w:color w:val="333333"/>
          <w:sz w:val="21"/>
        </w:rPr>
        <w:t>document_id</w:t>
      </w:r>
      <w:r>
        <w:rPr>
          <w:rFonts w:ascii="宋体" w:hAnsi="宋体" w:eastAsia="宋体"/>
          <w:sz w:val="21"/>
        </w:rPr>
        <w:t>是文件名、人员身份、租户身份或访问控制主体；</w:t>
      </w:r>
    </w:p>
    <w:p>
      <w:pPr>
        <w:pStyle w:val="ListBullet"/>
        <w:spacing w:after="60"/>
      </w:pPr>
      <w:r>
        <w:rPr>
          <w:rFonts w:ascii="宋体" w:hAnsi="宋体" w:eastAsia="宋体"/>
          <w:sz w:val="21"/>
        </w:rPr>
        <w:t>自包含HTML提供不可篡改、密码学完整性或合规证明。</w:t>
      </w:r>
    </w:p>
    <w:p>
      <w:pPr>
        <w:pStyle w:val="Heading2"/>
      </w:pPr>
      <w:r>
        <w:rPr>
          <w:rFonts w:ascii="黑体" w:hAnsi="黑体" w:eastAsia="黑体"/>
        </w:rPr>
        <w:t>十二、商业化场景</w:t>
      </w:r>
    </w:p>
    <w:p>
      <w:pPr>
        <w:pStyle w:val="ListBullet"/>
        <w:spacing w:after="60"/>
      </w:pPr>
      <w:r>
        <w:rPr>
          <w:rFonts w:ascii="宋体" w:hAnsi="宋体" w:eastAsia="宋体"/>
          <w:sz w:val="21"/>
        </w:rPr>
        <w:t>LLM/RAG知识库写入网关；</w:t>
      </w:r>
    </w:p>
    <w:p>
      <w:pPr>
        <w:pStyle w:val="ListBullet"/>
        <w:spacing w:after="60"/>
      </w:pPr>
      <w:r>
        <w:rPr>
          <w:rFonts w:ascii="宋体" w:hAnsi="宋体" w:eastAsia="宋体"/>
          <w:sz w:val="21"/>
        </w:rPr>
        <w:t>企业知识图谱变更控制面；</w:t>
      </w:r>
    </w:p>
    <w:p>
      <w:pPr>
        <w:pStyle w:val="ListBullet"/>
        <w:spacing w:after="60"/>
      </w:pPr>
      <w:r>
        <w:rPr>
          <w:rFonts w:ascii="宋体" w:hAnsi="宋体" w:eastAsia="宋体"/>
          <w:sz w:val="21"/>
        </w:rPr>
        <w:t>数据目录、主数据和图数据库治理；</w:t>
      </w:r>
    </w:p>
    <w:p>
      <w:pPr>
        <w:pStyle w:val="ListBullet"/>
        <w:spacing w:after="60"/>
      </w:pPr>
      <w:r>
        <w:rPr>
          <w:rFonts w:ascii="宋体" w:hAnsi="宋体" w:eastAsia="宋体"/>
          <w:sz w:val="21"/>
        </w:rPr>
        <w:t>科研、制造、运维、法规或专利情报的审计型KG；</w:t>
      </w:r>
    </w:p>
    <w:p>
      <w:pPr>
        <w:pStyle w:val="ListBullet"/>
        <w:spacing w:after="60"/>
      </w:pPr>
      <w:r>
        <w:rPr>
          <w:rFonts w:ascii="宋体" w:hAnsi="宋体" w:eastAsia="宋体"/>
          <w:sz w:val="21"/>
        </w:rPr>
        <w:t>按图版本导出来源、原因、排除集合、凭证和提交清单的合规证据包；</w:t>
      </w:r>
    </w:p>
    <w:p>
      <w:pPr>
        <w:pStyle w:val="ListBullet"/>
        <w:spacing w:after="60"/>
      </w:pPr>
      <w:r>
        <w:rPr>
          <w:rFonts w:ascii="宋体" w:hAnsi="宋体" w:eastAsia="宋体"/>
          <w:sz w:val="21"/>
        </w:rPr>
        <w:t>在受限网络或客户内网中交付无需部署服务的KG复核页面，以逐文档页面缩小人工证据检查范围，并由全局页面提供跨来源活动对象概览。</w:t>
      </w:r>
    </w:p>
    <w:p>
      <w:pPr>
        <w:pStyle w:val="Heading2"/>
      </w:pPr>
      <w:r>
        <w:rPr>
          <w:rFonts w:ascii="黑体" w:hAnsi="黑体" w:eastAsia="黑体"/>
        </w:rPr>
        <w:t>十三、待发明人确认</w:t>
      </w:r>
    </w:p>
    <w:p>
      <w:pPr>
        <w:pStyle w:val="ListBullet"/>
        <w:spacing w:after="60"/>
      </w:pPr>
      <w:r>
        <w:rPr>
          <w:rFonts w:ascii="宋体" w:hAnsi="宋体" w:eastAsia="宋体"/>
          <w:sz w:val="21"/>
        </w:rPr>
        <w:t>发明人及每人对冻结域、反事实、凭证、提交清单、联合抽取、合并和历史补偿的实质贡献；</w:t>
      </w:r>
    </w:p>
    <w:p>
      <w:pPr>
        <w:pStyle w:val="ListBullet"/>
        <w:spacing w:after="60"/>
      </w:pPr>
      <w:r>
        <w:rPr>
          <w:rFonts w:ascii="宋体" w:hAnsi="宋体" w:eastAsia="宋体"/>
          <w:sz w:val="21"/>
        </w:rPr>
        <w:t>申请人及雇佣/合作/委托开发权属；</w:t>
      </w:r>
    </w:p>
    <w:p>
      <w:pPr>
        <w:pStyle w:val="ListBullet"/>
        <w:spacing w:after="60"/>
      </w:pPr>
      <w:r>
        <w:rPr>
          <w:rFonts w:ascii="宋体" w:hAnsi="宋体" w:eastAsia="宋体"/>
          <w:sz w:val="21"/>
        </w:rPr>
        <w:t>最早代码公开、论文、演示、客户交付或其他披露日期；</w:t>
      </w:r>
    </w:p>
    <w:p>
      <w:pPr>
        <w:pStyle w:val="ListBullet"/>
        <w:spacing w:after="60"/>
      </w:pPr>
      <w:r>
        <w:rPr>
          <w:rFonts w:ascii="宋体" w:hAnsi="宋体" w:eastAsia="宋体"/>
          <w:sz w:val="21"/>
        </w:rPr>
        <w:t>是否需要保密审查、优先权或PCT；</w:t>
      </w:r>
    </w:p>
    <w:p>
      <w:pPr>
        <w:pStyle w:val="ListBullet"/>
        <w:spacing w:after="60"/>
      </w:pPr>
      <w:r>
        <w:rPr>
          <w:rFonts w:ascii="宋体" w:hAnsi="宋体" w:eastAsia="宋体"/>
          <w:sz w:val="21"/>
        </w:rPr>
        <w:t>是否把历史版本补偿作为分案；</w:t>
      </w:r>
    </w:p>
    <w:p>
      <w:pPr>
        <w:pStyle w:val="ListBullet"/>
        <w:spacing w:after="60"/>
      </w:pPr>
      <w:r>
        <w:rPr>
          <w:rFonts w:ascii="宋体" w:hAnsi="宋体" w:eastAsia="宋体"/>
          <w:sz w:val="21"/>
        </w:rPr>
        <w:t>是否补充公开数据集消融、影响域效率、知识保留率、原因精度和凭证检出率实验。</w:t>
      </w:r>
    </w:p>
    <w:p>
      <w:pPr>
        <w:spacing w:after="120" w:line="276" w:lineRule="auto"/>
      </w:pPr>
      <w:r>
        <w:rPr>
          <w:rFonts w:ascii="宋体" w:hAnsi="宋体" w:eastAsia="宋体"/>
          <w:sz w:val="21"/>
        </w:rPr>
        <w:t>本交底书不替代执业专利代理师的正式检索、法律判断和申请定稿。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