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权利要求书</w:t>
      </w:r>
    </w:p>
    <w:p>
      <w:pPr>
        <w:spacing w:line="360" w:lineRule="auto"/>
      </w:pPr>
      <w:r>
        <w:rPr>
          <w:rFonts w:ascii="宋体" w:hAnsi="宋体" w:eastAsia="宋体"/>
          <w:b w:val="0"/>
          <w:sz w:val="24"/>
        </w:rPr>
        <w:t>1. 一种知识图谱候选图补丁的验证和版本提交方法，其特征在于，包括：S1，获取固定于父图版本的规范图基线和候选图补丁，所述候选图补丁包括多个具有操作标识的更新操作，每一更新操作包括对象标识、对象后态、与对象类型相适配的来源锚集合及声明影响对象，关系更新操作还包括对端点实体的依赖；S2，消费所述来源锚集合、所述声明影响对象、所述端点实体的依赖以及所述规范图基线中的一跳邻接，生成包括受影响实体、受影响关系、受影响谓词和来源范围的原始影响域，并冻结所述原始影响域的内容摘要；S3，在固定于所述父图版本的影子图中执行所述候选图补丁，获得分别具有查询标识、通过状态、关联操作标识集合和原始影响域摘要的结构查询结果，并比较从所述规范图基线和影子图中排除原始影响域对象后所得域外投影摘要；S4，对于未通过的结构查询，分别以其关联更新操作作为排除种子，将依赖被排除实体的关系更新操作加入排除闭包，从所述规范图基线重放排除该排除闭包后的更新操作，仅当目标结构查询不再失败时把所述排除种子确定为反事实原因操作；在所述反事实原因操作及其依赖闭包内确定待排除更新操作集合，使由其余更新操作形成的剩余子补丁在所述原始影响域保持冻结的条件下重放后通过结构查询和域外投影摘要比较；不存在未通过的结构查询时，所述待排除更新操作集合为空集；S5，对验证清单进行规范序列化并计算内容摘要以生成因果验证凭证，所述验证清单至少绑定规范图基线摘要、候选更新操作摘要、原始影响域摘要、结构查询与反事实原因操作的对应关系、待排除更新操作集合、剩余子补丁摘要及重放结果；S6，在提交判定阶段和提交执行阶段重新计算并核对所述因果验证凭证，且校验提交判定、结构查询评估和因果验证凭证中的接受操作标识相同；仅在核对一致且所述结构查询和域外投影摘要比较通过时，于规范图存储的事务中校验父图版本及由候选图补丁、接受操作和因果验证凭证形成的提交清单，写入所述剩余子补丁、图事件、图版本和活动版本指针，并把因果验证凭证标识与所述图版本关联；否则隔离所述候选图补丁。</w:t>
      </w:r>
    </w:p>
    <w:p>
      <w:pPr>
        <w:spacing w:line="360" w:lineRule="auto"/>
      </w:pPr>
      <w:r>
        <w:rPr>
          <w:rFonts w:ascii="宋体" w:hAnsi="宋体" w:eastAsia="宋体"/>
          <w:b w:val="0"/>
          <w:sz w:val="24"/>
        </w:rPr>
        <w:t>2. 根据权利要求1所述的方法，其特征在于，实体更新操作的来源锚集合包括来源文档标识、来源片段标识和实体提及标识中的至少两项，关系更新操作的来源锚集合包括来源文档标识、证据标识、源关系候选标识和证据文本中的至少两项；仅在与更新操作类型对应的来源完整性条件满足时把所述更新操作纳入剩余子补丁。</w:t>
      </w:r>
    </w:p>
    <w:p>
      <w:pPr>
        <w:spacing w:line="360" w:lineRule="auto"/>
      </w:pPr>
      <w:r>
        <w:rPr>
          <w:rFonts w:ascii="宋体" w:hAnsi="宋体" w:eastAsia="宋体"/>
          <w:b w:val="0"/>
          <w:sz w:val="24"/>
        </w:rPr>
        <w:t>3. 根据权利要求1所述的方法，其特征在于，所述结构查询至少包括规范实体存在查询、关系端点可解析查询和规范关系身份唯一查询；对相同规范图基线和相同候选图补丁执行两次影子重放并比较规范化影子快照摘要，且所述域外投影摘要比较始终使用步骤S2冻结的原始影响域，而不随待排除更新操作集合变化。</w:t>
      </w:r>
    </w:p>
    <w:p>
      <w:pPr>
        <w:spacing w:line="360" w:lineRule="auto"/>
      </w:pPr>
      <w:r>
        <w:rPr>
          <w:rFonts w:ascii="宋体" w:hAnsi="宋体" w:eastAsia="宋体"/>
          <w:b w:val="0"/>
          <w:sz w:val="24"/>
        </w:rPr>
        <w:t>4. 根据权利要求1所述的方法，其特征在于，对每一未通过的结构查询记录关联操作标识集合，并为其中每一操作标识记录由该操作标识触发的排除闭包、目标失败是否消失及反事实验证状态；只有目标失败消失的操作标识进入用于确定所述待排除更新操作集合的候选空间。</w:t>
      </w:r>
    </w:p>
    <w:p>
      <w:pPr>
        <w:spacing w:line="360" w:lineRule="auto"/>
      </w:pPr>
      <w:r>
        <w:rPr>
          <w:rFonts w:ascii="宋体" w:hAnsi="宋体" w:eastAsia="宋体"/>
          <w:b w:val="0"/>
          <w:sz w:val="24"/>
        </w:rPr>
        <w:t>5. 根据权利要求1所述的方法，其特征在于，以被排除更新操作数量、被排除更新操作覆盖的实体、关系和谓词数量以及随排除丢失的证据数量的加权和评价待排除更新操作集合，并以依赖闭合、结构查询通过和域外投影摘要比较通过为约束；当候选空间不超过预设阈值时枚举依赖闭合子集并选择目标函数值最小的可行子集，当超过所述预设阈值时重复执行单项删除和重放直至达到固定点，并把所得结果标记为单删除局部最小且非全局最小。</w:t>
      </w:r>
    </w:p>
    <w:p>
      <w:pPr>
        <w:spacing w:line="360" w:lineRule="auto"/>
      </w:pPr>
      <w:r>
        <w:rPr>
          <w:rFonts w:ascii="宋体" w:hAnsi="宋体" w:eastAsia="宋体"/>
          <w:b w:val="0"/>
          <w:sz w:val="24"/>
        </w:rPr>
        <w:t>6. 根据权利要求1所述的方法，其特征在于，所述因果验证凭证还绑定候选更新操作内容摘要、反事实检查记录摘要、排除集合求解模式及解性质标记、接受操作标识集合、冻结影响域摘要、接受操作自身声明影响域摘要、最终影子快照摘要以及证据完整性、确定性重放、域外投影、结构查询和更新效用的门结果；所述因果验证凭证为可重算的内容寻址一致性清单，而不作为知识内容真实性判断。</w:t>
      </w:r>
    </w:p>
    <w:p>
      <w:pPr>
        <w:spacing w:line="360" w:lineRule="auto"/>
      </w:pPr>
      <w:r>
        <w:rPr>
          <w:rFonts w:ascii="宋体" w:hAnsi="宋体" w:eastAsia="宋体"/>
          <w:b w:val="0"/>
          <w:sz w:val="24"/>
        </w:rPr>
        <w:t>7. 根据权利要求1所述的方法，其特征在于，所述提交清单包括候选图补丁标识、父图版本标识、排序后的接受操作标识集合、接受操作内容摘要和因果验证凭证标识；规范图存储将所述提交清单摘要随图版本持久化，同一候选图补丁标识再次提交时，仅在本次提交清单摘要与已持久化提交清单摘要一致时返回原图版本，否则拒绝所述再次提交。</w:t>
      </w:r>
    </w:p>
    <w:p>
      <w:pPr>
        <w:spacing w:line="360" w:lineRule="auto"/>
      </w:pPr>
      <w:r>
        <w:rPr>
          <w:rFonts w:ascii="宋体" w:hAnsi="宋体" w:eastAsia="宋体"/>
          <w:b w:val="0"/>
          <w:sz w:val="24"/>
        </w:rPr>
        <w:t>8. 根据权利要求1所述的方法，其特征在于，在步骤S1之前，对同一源片段执行一次联合抽取以获得实体提及、关系候选和证据片段，所述关系候选的主端点和客端点引用该次联合抽取中声明的实体提及标识；跨源片段汇总前对实体提及标识、关系候选标识和证据标识加入片段命名空间，并利用实体提及标识到规范实体标识的映射物化关系。</w:t>
      </w:r>
    </w:p>
    <w:p>
      <w:pPr>
        <w:spacing w:line="360" w:lineRule="auto"/>
      </w:pPr>
      <w:r>
        <w:rPr>
          <w:rFonts w:ascii="宋体" w:hAnsi="宋体" w:eastAsia="宋体"/>
          <w:b w:val="0"/>
          <w:sz w:val="24"/>
        </w:rPr>
        <w:t>9. 根据权利要求8所述的方法，其特征在于，先过滤缺少证据标识、来源文档标识或证据文本的证据片段，再依据过滤后保留的证据标识集合分别校验主张和关系候选；不满足证据引用条件的关系候选不进入关系物化，并记录关系候选标识、缺失字段和无效证据标识；仅在不存在能够成功物化的有效联合关系时启动独立关系抽取回退。</w:t>
      </w:r>
    </w:p>
    <w:p>
      <w:pPr>
        <w:spacing w:line="360" w:lineRule="auto"/>
      </w:pPr>
      <w:r>
        <w:rPr>
          <w:rFonts w:ascii="宋体" w:hAnsi="宋体" w:eastAsia="宋体"/>
          <w:b w:val="0"/>
          <w:sz w:val="24"/>
        </w:rPr>
        <w:t>10. 根据权利要求8所述的方法，其特征在于，仅针对实体类型相同的实体生成合并提议，并在来源提及完整且两个拟合并实体簇中的任意跨簇实体对均达到自动合并阈值时接受合并；合并结果保留源实体标识、实体提及标识、别名、来源片段标识和合并决定。</w:t>
      </w:r>
    </w:p>
    <w:p>
      <w:pPr>
        <w:spacing w:line="360" w:lineRule="auto"/>
      </w:pPr>
      <w:r>
        <w:rPr>
          <w:rFonts w:ascii="宋体" w:hAnsi="宋体" w:eastAsia="宋体"/>
          <w:b w:val="0"/>
          <w:sz w:val="24"/>
        </w:rPr>
        <w:t>11. 根据权利要求8所述的方法，其特征在于，在实体端点稳定后把谓词别名映射为规范谓词，对对称谓词按规范实体标识排序端点，并以主端点、规范谓词、客端点和限定信息的规范序列化摘要形成关系身份；仅聚合关系身份相同的关系，并为每一源关系保留源关系标识、源关系候选标识、原谓词、限定信息、证据标识、证据文本、来源片段标识和源置信度组成的源断言快照。</w:t>
      </w:r>
    </w:p>
    <w:p>
      <w:pPr>
        <w:spacing w:line="360" w:lineRule="auto"/>
      </w:pPr>
      <w:r>
        <w:rPr>
          <w:rFonts w:ascii="宋体" w:hAnsi="宋体" w:eastAsia="宋体"/>
          <w:b w:val="0"/>
          <w:sz w:val="24"/>
        </w:rPr>
        <w:t>12. 根据权利要求1所述的方法，其特征在于，规范图存储分别记录规范实体、实体别名、实体提及、规范关系和关系证据的版本贡献以及实体和关系的删除墓碑；响应于补偿指定历史图版本，创建追加式历史补偿版本，按安全补偿条件移除可归因于指定历史图版本的贡献，并依据剩余贡献、时间上较后的删除墓碑和新对象生命周期重算对象状态；因后续依赖不满足安全补偿条件的操作被记录为跳过操作。</w:t>
      </w:r>
    </w:p>
    <w:p>
      <w:pPr>
        <w:spacing w:line="360" w:lineRule="auto"/>
      </w:pPr>
      <w:r>
        <w:rPr>
          <w:rFonts w:ascii="宋体" w:hAnsi="宋体" w:eastAsia="宋体"/>
          <w:b w:val="0"/>
          <w:sz w:val="24"/>
        </w:rPr>
        <w:t>13. 一种知识图谱候选图补丁的验证和版本提交系统，其特征在于，包括：补丁接收模块，用于获得固定父图版本的规范图基线以及携带来源锚、声明影响对象和端点实体依赖的候选图补丁；影响域模块，用于消费所述来源锚、声明影响对象、端点实体依赖及规范图基线邻接以生成并冻结原始影响域摘要；影子验证模块，用于在固定基线的影子图执行候选图补丁并输出带关联操作标识的结构查询结果和域外投影摘要比较结果；反事实归因及排除模块，用于通过依赖闭包排除和同基线重放确定反事实原因操作，并确定通过重新验证的待排除更新操作集合和剩余子补丁；凭证模块，用于生成并重算绑定基线、候选操作、原始影响域、查询原因、排除集合、剩余子补丁和重放结果的因果验证凭证；以及规范图存储模块，用于在提交选择与因果验证凭证一致时核对父图版本和提交清单，在事务中写入剩余子补丁、图事件、图版本及活动版本指针，并将因果验证凭证标识与图版本关联。</w:t>
      </w:r>
    </w:p>
    <w:p>
      <w:pPr>
        <w:spacing w:line="360" w:lineRule="auto"/>
      </w:pPr>
      <w:r>
        <w:rPr>
          <w:rFonts w:ascii="宋体" w:hAnsi="宋体" w:eastAsia="宋体"/>
          <w:b w:val="0"/>
          <w:sz w:val="24"/>
        </w:rPr>
        <w:t>14. 根据权利要求13所述的系统，其特征在于，还包括联合抽取模块、证据校验模块、实体规范化模块和关系规范化模块；所述联合抽取模块输出批次内共享提及标识空间的实体提及、关系候选和证据片段，所述证据校验模块先形成有效证据标识集合，所述实体规范化模块在同类型和跨簇成员对约束下产生规范实体，所述关系规范化模块在规范实体端点上按限定信息区分规范关系并保留源断言快照，所述规范实体和规范关系被转换为供所述补丁接收模块接收的候选图补丁。</w:t>
      </w:r>
    </w:p>
    <w:p>
      <w:pPr>
        <w:spacing w:line="360" w:lineRule="auto"/>
      </w:pPr>
      <w:r>
        <w:rPr>
          <w:rFonts w:ascii="宋体" w:hAnsi="宋体" w:eastAsia="宋体"/>
          <w:b w:val="0"/>
          <w:sz w:val="24"/>
        </w:rPr>
        <w:t>15. 一种电子设备，其特征在于，包括处理器和存储器，所述存储器中存储有计算机程序，所述计算机程序被所述处理器执行时，使所述处理器执行权利要求1至12任一项所述的方法。</w:t>
      </w:r>
    </w:p>
    <w:p>
      <w:pPr>
        <w:spacing w:line="360" w:lineRule="auto"/>
      </w:pPr>
      <w:r>
        <w:rPr>
          <w:rFonts w:ascii="宋体" w:hAnsi="宋体" w:eastAsia="宋体"/>
          <w:b w:val="0"/>
          <w:sz w:val="24"/>
        </w:rPr>
        <w:t>16. 一种计算机可读存储介质，其特征在于，所述计算机可读存储介质上存储有计算机程序，所述计算机程序被处理器执行时，使所述处理器执行权利要求1至12任一项所述的方法。</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