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GraphTask-R1 三篇相似专利检索与区别特征分析</w:t>
      </w:r>
    </w:p>
    <w:p>
      <w:r>
        <w:rPr>
          <w:b w:val="0"/>
        </w:rPr>
        <w:t>检索日期：2026年9月9日。比对对象：项目现有《DSL-Driven Self-Evolving Graph Agent》介绍材料，已由用户确认。本报告属于技术特征初步检索比对；尚未取得正式权利要求书及申请日/优先权日，不据此作出新颖性、创造性或不侵权结论。</w:t>
      </w:r>
    </w:p>
    <w:p>
      <w:r>
        <w:rPr>
          <w:b w:val="0"/>
        </w:rPr>
      </w:r>
      <w:r>
        <w:rPr>
          <w:b/>
        </w:rPr>
        <w:t>主要判断：你的方案较有辨识度的内容，是“受约束图程序执行认证—接口就绪度门控的语义难度反馈—任务准入与角色分离更新”的依赖关系。自动出题、自博弈、强化学习、图谱执行取答案，均不宜单独表述为首次提出。</w:t>
      </w:r>
      <w:r>
        <w:rPr>
          <w:b w:val="0"/>
        </w:rPr>
      </w:r>
    </w:p>
    <w:p>
      <w:pPr>
        <w:pStyle w:val="Heading1"/>
      </w:pPr>
      <w:r>
        <w:rPr>
          <w:b w:val="0"/>
        </w:rPr>
        <w:t>一、比对依据与选文理由</w:t>
      </w:r>
    </w:p>
    <w:p>
      <w:r>
        <w:rPr>
          <w:b w:val="0"/>
        </w:rPr>
        <w:t xml:space="preserve">本方案依据为本目录 </w:t>
      </w:r>
      <w:r>
        <w:rPr>
          <w:b w:val="0"/>
        </w:rPr>
        <w:t>01_patent_presentation_materials_en.md</w:t>
      </w:r>
      <w:r>
        <w:rPr>
          <w:b w:val="0"/>
        </w:rPr>
        <w:t>、</w:t>
      </w:r>
      <w:r>
        <w:rPr>
          <w:b w:val="0"/>
        </w:rPr>
        <w:t>02_technical_evidence_and_confirmations_en.md</w:t>
      </w:r>
      <w:r>
        <w:rPr>
          <w:b w:val="0"/>
        </w:rPr>
        <w:t>，并核对了程序认证、课程奖励、任务准入和自博弈调度代码。实现证据只支持“项目具有该机制”，不等于该机制已获得专利保护或具有新颖性。</w:t>
      </w:r>
    </w:p>
    <w:p>
      <w:r>
        <w:rPr>
          <w:b w:val="0"/>
        </w:rPr>
        <w:t>本次使用公开网页检索，以 Google Patents 收录的专利全文、权利要求和可访问的公布说明书为主要来源。围绕知识图谱问题生成、程序/查询生成、自博弈、强化学习反馈和执行取答案交叉检索，选出以下三篇覆盖主要技术交集的中国专利申请公布文本。它们是本次检索中的重点对比对象，不代表全球穷尽检索后的绝对最接近三篇。</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tblHeader/>
        </w:trPr>
        <w:tc>
          <w:tcPr>
            <w:tcW w:type="dxa" w:w="1662"/>
          </w:tcPr>
          <w:p>
            <w:r>
              <w:rPr>
                <w:b w:val="0"/>
                <w:sz w:val="16"/>
              </w:rPr>
              <w:t>编号</w:t>
            </w:r>
          </w:p>
        </w:tc>
        <w:tc>
          <w:tcPr>
            <w:tcW w:type="dxa" w:w="1662"/>
          </w:tcPr>
          <w:p>
            <w:r>
              <w:rPr>
                <w:b w:val="0"/>
                <w:sz w:val="16"/>
              </w:rPr>
              <w:t>专利名称与公布号</w:t>
            </w:r>
          </w:p>
        </w:tc>
        <w:tc>
          <w:tcPr>
            <w:tcW w:type="dxa" w:w="1662"/>
          </w:tcPr>
          <w:p>
            <w:r>
              <w:rPr>
                <w:b w:val="0"/>
                <w:sz w:val="16"/>
              </w:rPr>
              <w:t>申请号</w:t>
            </w:r>
          </w:p>
        </w:tc>
        <w:tc>
          <w:tcPr>
            <w:tcW w:type="dxa" w:w="1662"/>
          </w:tcPr>
          <w:p>
            <w:r>
              <w:rPr>
                <w:b w:val="0"/>
                <w:sz w:val="16"/>
              </w:rPr>
              <w:t>申请日</w:t>
            </w:r>
          </w:p>
        </w:tc>
        <w:tc>
          <w:tcPr>
            <w:tcW w:type="dxa" w:w="1662"/>
          </w:tcPr>
          <w:p>
            <w:r>
              <w:rPr>
                <w:b w:val="0"/>
                <w:sz w:val="16"/>
              </w:rPr>
              <w:t>首次公布日</w:t>
            </w:r>
          </w:p>
        </w:tc>
        <w:tc>
          <w:tcPr>
            <w:tcW w:type="dxa" w:w="1662"/>
          </w:tcPr>
          <w:p>
            <w:r>
              <w:rPr>
                <w:b w:val="0"/>
                <w:sz w:val="16"/>
              </w:rPr>
              <w:t>选入理由</w:t>
            </w:r>
          </w:p>
        </w:tc>
      </w:tr>
      <w:tr>
        <w:tc>
          <w:tcPr>
            <w:tcW w:type="dxa" w:w="1662"/>
          </w:tcPr>
          <w:p>
            <w:r>
              <w:rPr>
                <w:b w:val="0"/>
                <w:sz w:val="16"/>
              </w:rPr>
              <w:t>D1</w:t>
            </w:r>
          </w:p>
        </w:tc>
        <w:tc>
          <w:tcPr>
            <w:tcW w:type="dxa" w:w="1662"/>
          </w:tcPr>
          <w:p>
            <w:r>
              <w:rPr>
                <w:b w:val="0"/>
                <w:sz w:val="16"/>
              </w:rPr>
            </w:r>
            <w:hyperlink r:id="rId9">
              <w:r>
                <w:rPr>
                  <w:color w:val="0563C1"/>
                </w:rPr>
                <w:t>一种基于分层问句生成与自博弈的数据扩充方法，CN119025540A</w:t>
              </w:r>
            </w:hyperlink>
            <w:r>
              <w:rPr>
                <w:b w:val="0"/>
                <w:sz w:val="16"/>
              </w:rPr>
            </w:r>
          </w:p>
        </w:tc>
        <w:tc>
          <w:tcPr>
            <w:tcW w:type="dxa" w:w="1662"/>
          </w:tcPr>
          <w:p>
            <w:r>
              <w:rPr>
                <w:b w:val="0"/>
                <w:sz w:val="16"/>
              </w:rPr>
              <w:t>202411054872.6</w:t>
            </w:r>
          </w:p>
        </w:tc>
        <w:tc>
          <w:tcPr>
            <w:tcW w:type="dxa" w:w="1662"/>
          </w:tcPr>
          <w:p>
            <w:r>
              <w:rPr>
                <w:b w:val="0"/>
                <w:sz w:val="16"/>
              </w:rPr>
              <w:t>2024-08-02</w:t>
            </w:r>
          </w:p>
        </w:tc>
        <w:tc>
          <w:tcPr>
            <w:tcW w:type="dxa" w:w="1662"/>
          </w:tcPr>
          <w:p>
            <w:r>
              <w:rPr>
                <w:b w:val="0"/>
                <w:sz w:val="16"/>
              </w:rPr>
              <w:t>2024-11-26</w:t>
            </w:r>
          </w:p>
        </w:tc>
        <w:tc>
          <w:tcPr>
            <w:tcW w:type="dxa" w:w="1662"/>
          </w:tcPr>
          <w:p>
            <w:r>
              <w:rPr>
                <w:b w:val="0"/>
                <w:sz w:val="16"/>
              </w:rPr>
              <w:t>出题、语义解析、循环生成与筛选训练数据相近</w:t>
            </w:r>
          </w:p>
        </w:tc>
      </w:tr>
      <w:tr>
        <w:tc>
          <w:tcPr>
            <w:tcW w:type="dxa" w:w="1662"/>
          </w:tcPr>
          <w:p>
            <w:r>
              <w:rPr>
                <w:b w:val="0"/>
                <w:sz w:val="16"/>
              </w:rPr>
              <w:t>D2</w:t>
            </w:r>
          </w:p>
        </w:tc>
        <w:tc>
          <w:tcPr>
            <w:tcW w:type="dxa" w:w="1662"/>
          </w:tcPr>
          <w:p>
            <w:r>
              <w:rPr>
                <w:b w:val="0"/>
                <w:sz w:val="16"/>
              </w:rPr>
            </w:r>
            <w:hyperlink r:id="rId10">
              <w:r>
                <w:rPr>
                  <w:color w:val="0563C1"/>
                </w:rPr>
                <w:t>一种基于强化学习的问题生成方法、装置及存储介质，CN118536585A</w:t>
              </w:r>
            </w:hyperlink>
            <w:r>
              <w:rPr>
                <w:b w:val="0"/>
                <w:sz w:val="16"/>
              </w:rPr>
            </w:r>
          </w:p>
        </w:tc>
        <w:tc>
          <w:tcPr>
            <w:tcW w:type="dxa" w:w="1662"/>
          </w:tcPr>
          <w:p>
            <w:r>
              <w:rPr>
                <w:b w:val="0"/>
                <w:sz w:val="16"/>
              </w:rPr>
              <w:t>202410609624.7</w:t>
            </w:r>
          </w:p>
        </w:tc>
        <w:tc>
          <w:tcPr>
            <w:tcW w:type="dxa" w:w="1662"/>
          </w:tcPr>
          <w:p>
            <w:r>
              <w:rPr>
                <w:b w:val="0"/>
                <w:sz w:val="16"/>
              </w:rPr>
              <w:t>2024-05-16</w:t>
            </w:r>
          </w:p>
        </w:tc>
        <w:tc>
          <w:tcPr>
            <w:tcW w:type="dxa" w:w="1662"/>
          </w:tcPr>
          <w:p>
            <w:r>
              <w:rPr>
                <w:b w:val="0"/>
                <w:sz w:val="16"/>
              </w:rPr>
              <w:t>2024-08-23</w:t>
            </w:r>
          </w:p>
        </w:tc>
        <w:tc>
          <w:tcPr>
            <w:tcW w:type="dxa" w:w="1662"/>
          </w:tcPr>
          <w:p>
            <w:r>
              <w:rPr>
                <w:b w:val="0"/>
                <w:sz w:val="16"/>
              </w:rPr>
              <w:t>知识图谱出题、奖励分解和反馈优化相近</w:t>
            </w:r>
          </w:p>
        </w:tc>
      </w:tr>
      <w:tr>
        <w:tc>
          <w:tcPr>
            <w:tcW w:type="dxa" w:w="1662"/>
          </w:tcPr>
          <w:p>
            <w:r>
              <w:rPr>
                <w:b w:val="0"/>
                <w:sz w:val="16"/>
              </w:rPr>
              <w:t>D3</w:t>
            </w:r>
          </w:p>
        </w:tc>
        <w:tc>
          <w:tcPr>
            <w:tcW w:type="dxa" w:w="1662"/>
          </w:tcPr>
          <w:p>
            <w:r>
              <w:rPr>
                <w:b w:val="0"/>
                <w:sz w:val="16"/>
              </w:rPr>
            </w:r>
            <w:hyperlink r:id="rId11">
              <w:r>
                <w:rPr>
                  <w:color w:val="0563C1"/>
                </w:rPr>
                <w:t>一种从教育知识图中检索问题答案的方法，CN119474279A</w:t>
              </w:r>
            </w:hyperlink>
            <w:r>
              <w:rPr>
                <w:b w:val="0"/>
                <w:sz w:val="16"/>
              </w:rPr>
            </w:r>
          </w:p>
        </w:tc>
        <w:tc>
          <w:tcPr>
            <w:tcW w:type="dxa" w:w="1662"/>
          </w:tcPr>
          <w:p>
            <w:r>
              <w:rPr>
                <w:b w:val="0"/>
                <w:sz w:val="16"/>
              </w:rPr>
              <w:t>202510064196.9</w:t>
            </w:r>
          </w:p>
        </w:tc>
        <w:tc>
          <w:tcPr>
            <w:tcW w:type="dxa" w:w="1662"/>
          </w:tcPr>
          <w:p>
            <w:r>
              <w:rPr>
                <w:b w:val="0"/>
                <w:sz w:val="16"/>
              </w:rPr>
              <w:t>2025-01-15</w:t>
            </w:r>
          </w:p>
        </w:tc>
        <w:tc>
          <w:tcPr>
            <w:tcW w:type="dxa" w:w="1662"/>
          </w:tcPr>
          <w:p>
            <w:r>
              <w:rPr>
                <w:b w:val="0"/>
                <w:sz w:val="16"/>
              </w:rPr>
              <w:t>2025-02-18</w:t>
            </w:r>
          </w:p>
        </w:tc>
        <w:tc>
          <w:tcPr>
            <w:tcW w:type="dxa" w:w="1662"/>
          </w:tcPr>
          <w:p>
            <w:r>
              <w:rPr>
                <w:b w:val="0"/>
                <w:sz w:val="16"/>
              </w:rPr>
              <w:t>明确公开执行图谱模板取得答案并构造问答对</w:t>
            </w:r>
          </w:p>
        </w:tc>
      </w:tr>
    </w:tbl>
    <w:p>
      <w:r>
        <w:rPr>
          <w:b w:val="0"/>
        </w:rPr>
        <w:t>D1 公布说明书首页载明申请人为杭州电子科技大学。D2 页面列示 National University of Defense Technology、Hunan Zhijing Technology Co ltd；因中文页面和 PDF 获取失败，企业中文名称不作推定。D3 公布说明书首页载明申请人为中国人民解放军国防科技大学、湖南智擎科技有限公司。D3 同族另有 CN119474279B，页面列示公告日为2025-04-25；本报告技术比对使用首次公布的 A 文本，不将 A、B 作为两项独立发明计数。</w:t>
      </w:r>
      <w:hyperlink r:id="rId12">
        <w:r>
          <w:rPr>
            <w:color w:val="0563C1"/>
          </w:rPr>
          <w:t>D1 公布说明书</w:t>
        </w:r>
      </w:hyperlink>
      <w:r>
        <w:rPr>
          <w:b w:val="0"/>
        </w:rPr>
        <w:t>、</w:t>
      </w:r>
      <w:hyperlink r:id="rId10">
        <w:r>
          <w:rPr>
            <w:color w:val="0563C1"/>
          </w:rPr>
          <w:t>D2 著录信息</w:t>
        </w:r>
      </w:hyperlink>
      <w:r>
        <w:rPr>
          <w:b w:val="0"/>
        </w:rPr>
        <w:t>、</w:t>
      </w:r>
      <w:hyperlink r:id="rId13">
        <w:r>
          <w:rPr>
            <w:color w:val="0563C1"/>
          </w:rPr>
          <w:t>D3 公布说明书</w:t>
        </w:r>
      </w:hyperlink>
      <w:r>
        <w:rPr>
          <w:b w:val="0"/>
        </w:rPr>
        <w:t>。</w:t>
      </w:r>
    </w:p>
    <w:p>
      <w:pPr>
        <w:pStyle w:val="Heading1"/>
      </w:pPr>
      <w:r>
        <w:rPr>
          <w:b w:val="0"/>
        </w:rPr>
        <w:t>二、逐篇比较</w:t>
      </w:r>
    </w:p>
    <w:p>
      <w:pPr>
        <w:pStyle w:val="Heading2"/>
      </w:pPr>
      <w:r>
        <w:rPr>
          <w:b w:val="0"/>
        </w:rPr>
        <w:t>D1：自博弈数据扩充——重点比较验证依据和闭环更新</w:t>
      </w:r>
    </w:p>
    <w:p>
      <w:r>
        <w:rPr>
          <w:b w:val="0"/>
        </w:rPr>
      </w:r>
      <w:r>
        <w:rPr>
          <w:b/>
        </w:rPr>
        <w:t>已公开内容。</w:t>
      </w:r>
      <w:r>
        <w:rPr>
          <w:b w:val="0"/>
        </w:rPr>
        <w:t xml:space="preserve"> 权利要求1通过目标SQL、子句调整、SQL转问句与问句转SQL形成交互，并以最终查询与目标查询的子句平均准确率筛选生成数据；权利要求2进一步限定插槽模板构造。核对位置：权利要求1步骤2—9、权利要求2和5。</w:t>
      </w:r>
      <w:hyperlink r:id="rId9">
        <w:r>
          <w:rPr>
            <w:color w:val="0563C1"/>
          </w:rPr>
          <w:t>D1 原文</w:t>
        </w:r>
      </w:hyperlink>
      <w:r>
        <w:rPr>
          <w:b w:val="0"/>
        </w:rPr>
        <w:t>。</w:t>
      </w:r>
    </w:p>
    <w:p>
      <w:r>
        <w:rPr>
          <w:b w:val="0"/>
        </w:rPr>
      </w:r>
      <w:r>
        <w:rPr>
          <w:b/>
        </w:rPr>
        <w:t>相同点。</w:t>
      </w:r>
      <w:r>
        <w:rPr>
          <w:b w:val="0"/>
        </w:rPr>
        <w:t xml:space="preserve"> 两者均在自然语言与形式化表示之间建立联系，通过模型交互扩充训练数据，且包含生成后的筛选。因此，双角色、自动扩充和过滤本身不能作为主要区别。</w:t>
      </w:r>
    </w:p>
    <w:p>
      <w:r>
        <w:rPr>
          <w:b w:val="0"/>
        </w:rPr>
      </w:r>
      <w:r>
        <w:rPr>
          <w:b/>
        </w:rPr>
        <w:t>你的区别特征。</w:t>
      </w:r>
      <w:r>
        <w:rPr>
          <w:b w:val="0"/>
        </w:rPr>
      </w:r>
    </w:p>
    <w:p>
      <w:pPr>
        <w:pStyle w:val="ListNumber"/>
      </w:pPr>
      <w:r>
        <w:rPr>
          <w:b w:val="0"/>
        </w:rPr>
      </w:r>
      <w:r>
        <w:rPr>
          <w:b/>
        </w:rPr>
        <w:t>认证依据落实到图执行结果。</w:t>
      </w:r>
      <w:r>
        <w:rPr>
          <w:b w:val="0"/>
        </w:rPr>
        <w:t xml:space="preserve"> 本方案联合生成问题与图程序，执行前检查类型、关系及资源约束，以认证执行结果生成标准答案，并将程序标识、图快照和证据事实关联保存。对比重点应是这条完整认证链。</w:t>
      </w:r>
    </w:p>
    <w:p>
      <w:pPr>
        <w:pStyle w:val="ListNumber"/>
      </w:pPr>
      <w:r>
        <w:rPr>
          <w:b w:val="0"/>
        </w:rPr>
      </w:r>
      <w:r>
        <w:rPr>
          <w:b/>
        </w:rPr>
        <w:t>区分失败发生在哪一层。</w:t>
      </w:r>
      <w:r>
        <w:rPr>
          <w:b w:val="0"/>
        </w:rPr>
        <w:t xml:space="preserve"> 本方案分别测量解题者的解析成功率、解析成功条件下的执行率、执行成功条件下的语义表现，再调节难度奖励；这比笼统使用问题或查询相似度更具体。</w:t>
      </w:r>
    </w:p>
    <w:p>
      <w:pPr>
        <w:pStyle w:val="ListNumber"/>
      </w:pPr>
      <w:r>
        <w:rPr>
          <w:b w:val="0"/>
        </w:rPr>
      </w:r>
      <w:r>
        <w:rPr>
          <w:b/>
        </w:rPr>
        <w:t>明确新任务如何影响角色更新。</w:t>
      </w:r>
      <w:r>
        <w:rPr>
          <w:b w:val="0"/>
        </w:rPr>
        <w:t xml:space="preserve"> 本方案课程配置支持独立的出题者/解题者适配器，候选任务准入后重建当轮解题数据，连接到解题者更新。</w:t>
      </w:r>
    </w:p>
    <w:p>
      <w:r>
        <w:rPr>
          <w:b w:val="0"/>
        </w:rPr>
        <w:t>根据已核对的 D1 权利要求及实施方式，未见上述完整组合。这里不能仅以“SQL换成图DSL”作为区别论证，应说明认证结果如何约束入库和反馈，以及反馈如何控制下一步训练。</w:t>
      </w:r>
    </w:p>
    <w:p>
      <w:r>
        <w:rPr>
          <w:b w:val="0"/>
        </w:rPr>
      </w:r>
      <w:r>
        <w:rPr>
          <w:b/>
        </w:rPr>
        <w:t>可用于交底书的说明：</w:t>
      </w:r>
      <w:r>
        <w:rPr>
          <w:b w:val="0"/>
        </w:rPr>
        <w:t xml:space="preserve"> 本方案针对图程序执行接口不稳定导致任务难度误判的问题，将执行认证和分层成功信号引入出题—解题训练过程，使任务能否成为监督数据及其难度贡献，分别受认证结果和接口就绪度控制。</w:t>
      </w:r>
    </w:p>
    <w:p>
      <w:pPr>
        <w:pStyle w:val="Heading2"/>
      </w:pPr>
      <w:r>
        <w:rPr>
          <w:b w:val="0"/>
        </w:rPr>
        <w:t>D2：强化学习问题生成——重点比较奖励测量对象</w:t>
      </w:r>
    </w:p>
    <w:p>
      <w:r>
        <w:rPr>
          <w:b w:val="0"/>
        </w:rPr>
      </w:r>
      <w:r>
        <w:rPr>
          <w:b/>
        </w:rPr>
        <w:t>已公开内容。</w:t>
      </w:r>
      <w:r>
        <w:rPr>
          <w:b w:val="0"/>
        </w:rPr>
        <w:t xml:space="preserve"> 权利要求1、2、5涉及子图/答案条件下的问题生成及风格、质量评分；权利要求4包括竞争标注模型、质检和拒绝原因；权利要求6—11涉及回放缓冲区、偏差校正、文本相似性指标及PPO优化。不能将其概括为“只有单一奖励”或“完全没有博弈及回放”。</w:t>
      </w:r>
      <w:hyperlink r:id="rId10">
        <w:r>
          <w:rPr>
            <w:color w:val="0563C1"/>
          </w:rPr>
          <w:t>D2 原文</w:t>
        </w:r>
      </w:hyperlink>
      <w:r>
        <w:rPr>
          <w:b w:val="0"/>
        </w:rPr>
        <w:t>。</w:t>
      </w:r>
    </w:p>
    <w:p>
      <w:r>
        <w:rPr>
          <w:b w:val="0"/>
        </w:rPr>
      </w:r>
      <w:r>
        <w:rPr>
          <w:b/>
        </w:rPr>
        <w:t>相同点。</w:t>
      </w:r>
      <w:r>
        <w:rPr>
          <w:b w:val="0"/>
        </w:rPr>
        <w:t xml:space="preserve"> 两者均利用知识图谱相关数据训练出题模型，并通过多个奖励因素改善生成质量和训练反馈。</w:t>
      </w:r>
    </w:p>
    <w:p>
      <w:r>
        <w:rPr>
          <w:b w:val="0"/>
        </w:rPr>
      </w:r>
      <w:r>
        <w:rPr>
          <w:b/>
        </w:rPr>
        <w:t>你的区别特征。</w:t>
      </w:r>
      <w:r>
        <w:rPr>
          <w:b w:val="0"/>
        </w:rPr>
      </w:r>
    </w:p>
    <w:p>
      <w:pPr>
        <w:pStyle w:val="ListNumber"/>
      </w:pPr>
      <w:r>
        <w:rPr>
          <w:b w:val="0"/>
        </w:rPr>
      </w:r>
      <w:r>
        <w:rPr>
          <w:b/>
        </w:rPr>
        <w:t>奖励直接测量解题者的可执行能力。</w:t>
      </w:r>
      <w:r>
        <w:rPr>
          <w:b w:val="0"/>
        </w:rPr>
        <w:t xml:space="preserve"> 项目定义接口就绪度为解析率与条件执行率的乘积。语义难度只从可执行解题尝试中测量，减少格式错误和执行错误对难度估计的混入。</w:t>
      </w:r>
    </w:p>
    <w:p>
      <w:pPr>
        <w:pStyle w:val="ListNumber"/>
      </w:pPr>
      <w:r>
        <w:rPr>
          <w:b w:val="0"/>
        </w:rPr>
      </w:r>
      <w:r>
        <w:rPr>
          <w:b/>
        </w:rPr>
        <w:t>门控改变奖励贡献。</w:t>
      </w:r>
      <w:r>
        <w:rPr>
          <w:b w:val="0"/>
        </w:rPr>
        <w:t xml:space="preserve"> 接口就绪度乘入前沿难度项的权重；接口不成熟时，难度项贡献随之减弱。仅列出“语法奖励、执行奖励、答案奖励”不足以表达这个区别，需写出条件统计和权重控制关系。</w:t>
      </w:r>
    </w:p>
    <w:p>
      <w:pPr>
        <w:pStyle w:val="ListNumber"/>
      </w:pPr>
      <w:r>
        <w:rPr>
          <w:b w:val="0"/>
        </w:rPr>
      </w:r>
      <w:r>
        <w:rPr>
          <w:b/>
        </w:rPr>
        <w:t>标准答案与任务存储有执行约束。</w:t>
      </w:r>
      <w:r>
        <w:rPr>
          <w:b w:val="0"/>
        </w:rPr>
        <w:t xml:space="preserve"> 本方案以认证图执行确定标准答案，持久任务库再依据程序签名、新颖度和配置的难度窗口准入。应突出这些准入条件及其与训练数据的关系，不能只突出“使用经验池”。</w:t>
      </w:r>
    </w:p>
    <w:p>
      <w:r>
        <w:rPr>
          <w:b w:val="0"/>
        </w:rPr>
        <w:t>根据已核对的 D2 文本，未见将“解析—条件执行—条件语义表现”与图任务认证、前沿难度权重及双角色更新结合的完整机制。</w:t>
      </w:r>
    </w:p>
    <w:p>
      <w:r>
        <w:rPr>
          <w:b w:val="0"/>
        </w:rPr>
      </w:r>
      <w:r>
        <w:rPr>
          <w:b/>
        </w:rPr>
        <w:t>可用于交底书的说明：</w:t>
      </w:r>
      <w:r>
        <w:rPr>
          <w:b w:val="0"/>
        </w:rPr>
        <w:t xml:space="preserve"> 本方案将图程序接口可用性与任务语义难度分别测量，并利用前者控制后者的奖励权重，避免解题者尚不能正确调用执行接口时，将其失败直接视为优质高难任务信号。</w:t>
      </w:r>
    </w:p>
    <w:p>
      <w:pPr>
        <w:pStyle w:val="Heading2"/>
      </w:pPr>
      <w:r>
        <w:rPr>
          <w:b w:val="0"/>
        </w:rPr>
        <w:t>D3：图谱执行生成问答对——重点比较程序约束、认证记录及持续训练</w:t>
      </w:r>
    </w:p>
    <w:p>
      <w:r>
        <w:rPr>
          <w:b w:val="0"/>
        </w:rPr>
      </w:r>
      <w:r>
        <w:rPr>
          <w:b/>
        </w:rPr>
        <w:t>已公开内容。</w:t>
      </w:r>
      <w:r>
        <w:rPr>
          <w:b w:val="0"/>
        </w:rPr>
        <w:t xml:space="preserve"> 权利要求13涉及教育问题集构建；权利要求14明确将关系组合为模板，执行模板取得可能答案，再实例化生成问答对。该特征确实与本方案执行派生答案相交，不能说既有方案的答案都由语言模型猜测。核对位置：公布说明书PDF第4页，权利要求14。</w:t>
      </w:r>
      <w:hyperlink r:id="rId11">
        <w:r>
          <w:rPr>
            <w:color w:val="0563C1"/>
          </w:rPr>
          <w:t>D3 原文</w:t>
        </w:r>
      </w:hyperlink>
      <w:r>
        <w:rPr>
          <w:b w:val="0"/>
        </w:rPr>
        <w:t>。</w:t>
      </w:r>
    </w:p>
    <w:p>
      <w:r>
        <w:rPr>
          <w:b w:val="0"/>
        </w:rPr>
      </w:r>
      <w:r>
        <w:rPr>
          <w:b/>
        </w:rPr>
        <w:t>相同点。</w:t>
      </w:r>
      <w:r>
        <w:rPr>
          <w:b w:val="0"/>
        </w:rPr>
        <w:t xml:space="preserve"> 两者都将图结构与问题构造结合，并可通过执行取得答案，支持多关系问题及训练数据生成。</w:t>
      </w:r>
    </w:p>
    <w:p>
      <w:r>
        <w:rPr>
          <w:b w:val="0"/>
        </w:rPr>
      </w:r>
      <w:r>
        <w:rPr>
          <w:b/>
        </w:rPr>
        <w:t>你的区别特征。</w:t>
      </w:r>
      <w:r>
        <w:rPr>
          <w:b w:val="0"/>
        </w:rPr>
      </w:r>
    </w:p>
    <w:p>
      <w:pPr>
        <w:pStyle w:val="ListNumber"/>
      </w:pPr>
      <w:r>
        <w:rPr>
          <w:b w:val="0"/>
        </w:rPr>
      </w:r>
      <w:r>
        <w:rPr>
          <w:b/>
        </w:rPr>
        <w:t>生成对象包括受约束程序。</w:t>
      </w:r>
      <w:r>
        <w:rPr>
          <w:b w:val="0"/>
        </w:rPr>
        <w:t xml:space="preserve"> 本方案问题与程序关联生成，程序具有操作符、类型、中间结果引用、终止输出和资源上限。区别应以这些可执行约束及检查行为表达，不能仅把对象命名为“DSL”。</w:t>
      </w:r>
    </w:p>
    <w:p>
      <w:pPr>
        <w:pStyle w:val="ListNumber"/>
      </w:pPr>
      <w:r>
        <w:rPr>
          <w:b w:val="0"/>
        </w:rPr>
      </w:r>
      <w:r>
        <w:rPr>
          <w:b/>
        </w:rPr>
        <w:t>认证记录连接后续处理。</w:t>
      </w:r>
      <w:r>
        <w:rPr>
          <w:b w:val="0"/>
        </w:rPr>
        <w:t xml:space="preserve"> 本方案保存问题、程序签名、图快照、执行答案和证据事实之间的关联，程序签名又参与任务去重和准入，形成可以追溯数据来源的链条。“证书”在这里是验证记录，不表示密码学签名或形式化证明。</w:t>
      </w:r>
    </w:p>
    <w:p>
      <w:pPr>
        <w:pStyle w:val="ListNumber"/>
      </w:pPr>
      <w:r>
        <w:rPr>
          <w:b w:val="0"/>
        </w:rPr>
      </w:r>
      <w:r>
        <w:rPr>
          <w:b/>
        </w:rPr>
        <w:t>题库持续适配当前解题能力。</w:t>
      </w:r>
      <w:r>
        <w:rPr>
          <w:b w:val="0"/>
        </w:rPr>
        <w:t xml:space="preserve"> 新任务进入以接口就绪度调节语义难度反馈的训练过程，并可通过独立角色状态和当轮数据重建更新模型。根据已核对文本，未见 D3 公开这一完整机制。</w:t>
      </w:r>
    </w:p>
    <w:p>
      <w:r>
        <w:rPr>
          <w:b w:val="0"/>
        </w:rPr>
      </w:r>
      <w:r>
        <w:rPr>
          <w:b/>
        </w:rPr>
        <w:t>可用于交底书的说明：</w:t>
      </w:r>
      <w:r>
        <w:rPr>
          <w:b w:val="0"/>
        </w:rPr>
        <w:t xml:space="preserve"> 本方案在执行获得答案的基础上，将程序约束、任务认证记录、能力条件化的反馈和任务准入连接，使生成数据持续参与出题者与解题者的迭代更新。</w:t>
      </w:r>
    </w:p>
    <w:p>
      <w:pPr>
        <w:pStyle w:val="Heading1"/>
      </w:pPr>
      <w:r>
        <w:rPr>
          <w:b w:val="0"/>
        </w:rPr>
        <w:t>三、区别特征矩阵</w:t>
      </w:r>
    </w:p>
    <w:p>
      <w:r>
        <w:rPr>
          <w:b w:val="0"/>
        </w:rPr>
        <w:t>“未见”仅指本次已核对文本未发现明确披露，不表示绝对不存在。部分交集也不表示对方公开了本方案的全部限制条件。</w:t>
      </w:r>
    </w:p>
    <w:tbl>
      <w:tblPr>
        <w:tblStyle w:val="TableGrid"/>
        <w:tblW w:type="auto" w:w="0"/>
        <w:tblLook w:firstColumn="1" w:firstRow="1" w:lastColumn="0" w:lastRow="0" w:noHBand="0" w:noVBand="1" w:val="04A0"/>
      </w:tblPr>
      <w:tblGrid>
        <w:gridCol w:w="1994"/>
        <w:gridCol w:w="1994"/>
        <w:gridCol w:w="1994"/>
        <w:gridCol w:w="1994"/>
        <w:gridCol w:w="1994"/>
      </w:tblGrid>
      <w:tr>
        <w:trPr>
          <w:tblHeader/>
        </w:trPr>
        <w:tc>
          <w:tcPr>
            <w:tcW w:type="dxa" w:w="1994"/>
          </w:tcPr>
          <w:p>
            <w:r>
              <w:rPr>
                <w:b w:val="0"/>
                <w:sz w:val="16"/>
              </w:rPr>
              <w:t>比对维度</w:t>
            </w:r>
          </w:p>
        </w:tc>
        <w:tc>
          <w:tcPr>
            <w:tcW w:type="dxa" w:w="1994"/>
          </w:tcPr>
          <w:p>
            <w:r>
              <w:rPr>
                <w:b w:val="0"/>
                <w:sz w:val="16"/>
              </w:rPr>
              <w:t>D1</w:t>
            </w:r>
          </w:p>
        </w:tc>
        <w:tc>
          <w:tcPr>
            <w:tcW w:type="dxa" w:w="1994"/>
          </w:tcPr>
          <w:p>
            <w:r>
              <w:rPr>
                <w:b w:val="0"/>
                <w:sz w:val="16"/>
              </w:rPr>
              <w:t>D2</w:t>
            </w:r>
          </w:p>
        </w:tc>
        <w:tc>
          <w:tcPr>
            <w:tcW w:type="dxa" w:w="1994"/>
          </w:tcPr>
          <w:p>
            <w:r>
              <w:rPr>
                <w:b w:val="0"/>
                <w:sz w:val="16"/>
              </w:rPr>
              <w:t>D3</w:t>
            </w:r>
          </w:p>
        </w:tc>
        <w:tc>
          <w:tcPr>
            <w:tcW w:type="dxa" w:w="1994"/>
          </w:tcPr>
          <w:p>
            <w:r>
              <w:rPr>
                <w:b w:val="0"/>
                <w:sz w:val="16"/>
              </w:rPr>
              <w:t>本方案应突出的位置</w:t>
            </w:r>
          </w:p>
        </w:tc>
      </w:tr>
      <w:tr>
        <w:tc>
          <w:tcPr>
            <w:tcW w:type="dxa" w:w="1994"/>
          </w:tcPr>
          <w:p>
            <w:r>
              <w:rPr>
                <w:b w:val="0"/>
                <w:sz w:val="16"/>
              </w:rPr>
              <w:t>自动生成训练问题</w:t>
            </w:r>
          </w:p>
        </w:tc>
        <w:tc>
          <w:tcPr>
            <w:tcW w:type="dxa" w:w="1994"/>
          </w:tcPr>
          <w:p>
            <w:r>
              <w:rPr>
                <w:b w:val="0"/>
                <w:sz w:val="16"/>
              </w:rPr>
              <w:t>有</w:t>
            </w:r>
          </w:p>
        </w:tc>
        <w:tc>
          <w:tcPr>
            <w:tcW w:type="dxa" w:w="1994"/>
          </w:tcPr>
          <w:p>
            <w:r>
              <w:rPr>
                <w:b w:val="0"/>
                <w:sz w:val="16"/>
              </w:rPr>
              <w:t>有</w:t>
            </w:r>
          </w:p>
        </w:tc>
        <w:tc>
          <w:tcPr>
            <w:tcW w:type="dxa" w:w="1994"/>
          </w:tcPr>
          <w:p>
            <w:r>
              <w:rPr>
                <w:b w:val="0"/>
                <w:sz w:val="16"/>
              </w:rPr>
              <w:t>有</w:t>
            </w:r>
          </w:p>
        </w:tc>
        <w:tc>
          <w:tcPr>
            <w:tcW w:type="dxa" w:w="1994"/>
          </w:tcPr>
          <w:p>
            <w:r>
              <w:rPr>
                <w:b w:val="0"/>
                <w:sz w:val="16"/>
              </w:rPr>
              <w:t>高层共性，需进一步限定</w:t>
            </w:r>
          </w:p>
        </w:tc>
      </w:tr>
      <w:tr>
        <w:tc>
          <w:tcPr>
            <w:tcW w:type="dxa" w:w="1994"/>
          </w:tcPr>
          <w:p>
            <w:r>
              <w:rPr>
                <w:b w:val="0"/>
                <w:sz w:val="16"/>
              </w:rPr>
              <w:t>多模型交互/博弈</w:t>
            </w:r>
          </w:p>
        </w:tc>
        <w:tc>
          <w:tcPr>
            <w:tcW w:type="dxa" w:w="1994"/>
          </w:tcPr>
          <w:p>
            <w:r>
              <w:rPr>
                <w:b w:val="0"/>
                <w:sz w:val="16"/>
              </w:rPr>
              <w:t>问句与SQL交互</w:t>
            </w:r>
          </w:p>
        </w:tc>
        <w:tc>
          <w:tcPr>
            <w:tcW w:type="dxa" w:w="1994"/>
          </w:tcPr>
          <w:p>
            <w:r>
              <w:rPr>
                <w:b w:val="0"/>
                <w:sz w:val="16"/>
              </w:rPr>
              <w:t>标注模型博弈</w:t>
            </w:r>
          </w:p>
        </w:tc>
        <w:tc>
          <w:tcPr>
            <w:tcW w:type="dxa" w:w="1994"/>
          </w:tcPr>
          <w:p>
            <w:r>
              <w:rPr>
                <w:b w:val="0"/>
                <w:sz w:val="16"/>
              </w:rPr>
              <w:t>不是本次选入重点</w:t>
            </w:r>
          </w:p>
        </w:tc>
        <w:tc>
          <w:tcPr>
            <w:tcW w:type="dxa" w:w="1994"/>
          </w:tcPr>
          <w:p>
            <w:r>
              <w:rPr>
                <w:b w:val="0"/>
                <w:sz w:val="16"/>
              </w:rPr>
              <w:t>角色身份、反馈路径及更新顺序</w:t>
            </w:r>
          </w:p>
        </w:tc>
      </w:tr>
      <w:tr>
        <w:tc>
          <w:tcPr>
            <w:tcW w:type="dxa" w:w="1994"/>
          </w:tcPr>
          <w:p>
            <w:r>
              <w:rPr>
                <w:b w:val="0"/>
                <w:sz w:val="16"/>
              </w:rPr>
              <w:t>通过图执行取得生成任务答案</w:t>
            </w:r>
          </w:p>
        </w:tc>
        <w:tc>
          <w:tcPr>
            <w:tcW w:type="dxa" w:w="1994"/>
          </w:tcPr>
          <w:p>
            <w:r>
              <w:rPr>
                <w:b w:val="0"/>
                <w:sz w:val="16"/>
              </w:rPr>
              <w:t>未见该链条</w:t>
            </w:r>
          </w:p>
        </w:tc>
        <w:tc>
          <w:tcPr>
            <w:tcW w:type="dxa" w:w="1994"/>
          </w:tcPr>
          <w:p>
            <w:r>
              <w:rPr>
                <w:b w:val="0"/>
                <w:sz w:val="16"/>
              </w:rPr>
              <w:t>未见该链条</w:t>
            </w:r>
          </w:p>
        </w:tc>
        <w:tc>
          <w:tcPr>
            <w:tcW w:type="dxa" w:w="1994"/>
          </w:tcPr>
          <w:p>
            <w:r>
              <w:rPr>
                <w:b w:val="0"/>
                <w:sz w:val="16"/>
              </w:rPr>
              <w:t>有模板执行取答案</w:t>
            </w:r>
          </w:p>
        </w:tc>
        <w:tc>
          <w:tcPr>
            <w:tcW w:type="dxa" w:w="1994"/>
          </w:tcPr>
          <w:p>
            <w:r>
              <w:rPr>
                <w:b w:val="0"/>
                <w:sz w:val="16"/>
              </w:rPr>
              <w:t>不能以执行取答案单独主张区别</w:t>
            </w:r>
          </w:p>
        </w:tc>
      </w:tr>
      <w:tr>
        <w:tc>
          <w:tcPr>
            <w:tcW w:type="dxa" w:w="1994"/>
          </w:tcPr>
          <w:p>
            <w:r>
              <w:rPr>
                <w:b w:val="0"/>
                <w:sz w:val="16"/>
              </w:rPr>
              <w:t>类型、关系及预算约束下的图程序生成与执行</w:t>
            </w:r>
          </w:p>
        </w:tc>
        <w:tc>
          <w:tcPr>
            <w:tcW w:type="dxa" w:w="1994"/>
          </w:tcPr>
          <w:p>
            <w:r>
              <w:rPr>
                <w:b w:val="0"/>
                <w:sz w:val="16"/>
              </w:rPr>
              <w:t>未见完整机制</w:t>
            </w:r>
          </w:p>
        </w:tc>
        <w:tc>
          <w:tcPr>
            <w:tcW w:type="dxa" w:w="1994"/>
          </w:tcPr>
          <w:p>
            <w:r>
              <w:rPr>
                <w:b w:val="0"/>
                <w:sz w:val="16"/>
              </w:rPr>
              <w:t>未见完整机制</w:t>
            </w:r>
          </w:p>
        </w:tc>
        <w:tc>
          <w:tcPr>
            <w:tcW w:type="dxa" w:w="1994"/>
          </w:tcPr>
          <w:p>
            <w:r>
              <w:rPr>
                <w:b w:val="0"/>
                <w:sz w:val="16"/>
              </w:rPr>
              <w:t>未见完整机制</w:t>
            </w:r>
          </w:p>
        </w:tc>
        <w:tc>
          <w:tcPr>
            <w:tcW w:type="dxa" w:w="1994"/>
          </w:tcPr>
          <w:p>
            <w:r>
              <w:rPr>
                <w:b w:val="0"/>
                <w:sz w:val="16"/>
              </w:rPr>
              <w:t>具体检查对象、执行上限及错误记录</w:t>
            </w:r>
          </w:p>
        </w:tc>
      </w:tr>
      <w:tr>
        <w:tc>
          <w:tcPr>
            <w:tcW w:type="dxa" w:w="1994"/>
          </w:tcPr>
          <w:p>
            <w:r>
              <w:rPr>
                <w:b w:val="0"/>
                <w:sz w:val="16"/>
              </w:rPr>
              <w:t>图快照—程序签名—答案—证据关联记录</w:t>
            </w:r>
          </w:p>
        </w:tc>
        <w:tc>
          <w:tcPr>
            <w:tcW w:type="dxa" w:w="1994"/>
          </w:tcPr>
          <w:p>
            <w:r>
              <w:rPr>
                <w:b w:val="0"/>
                <w:sz w:val="16"/>
              </w:rPr>
              <w:t>未见完整机制</w:t>
            </w:r>
          </w:p>
        </w:tc>
        <w:tc>
          <w:tcPr>
            <w:tcW w:type="dxa" w:w="1994"/>
          </w:tcPr>
          <w:p>
            <w:r>
              <w:rPr>
                <w:b w:val="0"/>
                <w:sz w:val="16"/>
              </w:rPr>
              <w:t>未见完整机制</w:t>
            </w:r>
          </w:p>
        </w:tc>
        <w:tc>
          <w:tcPr>
            <w:tcW w:type="dxa" w:w="1994"/>
          </w:tcPr>
          <w:p>
            <w:r>
              <w:rPr>
                <w:b w:val="0"/>
                <w:sz w:val="16"/>
              </w:rPr>
              <w:t>未见完整机制</w:t>
            </w:r>
          </w:p>
        </w:tc>
        <w:tc>
          <w:tcPr>
            <w:tcW w:type="dxa" w:w="1994"/>
          </w:tcPr>
          <w:p>
            <w:r>
              <w:rPr>
                <w:b w:val="0"/>
                <w:sz w:val="16"/>
              </w:rPr>
              <w:t>记录如何参与后续准入、追溯</w:t>
            </w:r>
          </w:p>
        </w:tc>
      </w:tr>
      <w:tr>
        <w:tc>
          <w:tcPr>
            <w:tcW w:type="dxa" w:w="1994"/>
          </w:tcPr>
          <w:p>
            <w:r>
              <w:rPr>
                <w:b w:val="0"/>
                <w:sz w:val="16"/>
              </w:rPr>
              <w:t>解析率×条件执行率控制条件语义难度奖励</w:t>
            </w:r>
          </w:p>
        </w:tc>
        <w:tc>
          <w:tcPr>
            <w:tcW w:type="dxa" w:w="1994"/>
          </w:tcPr>
          <w:p>
            <w:r>
              <w:rPr>
                <w:b w:val="0"/>
                <w:sz w:val="16"/>
              </w:rPr>
              <w:t>未见</w:t>
            </w:r>
          </w:p>
        </w:tc>
        <w:tc>
          <w:tcPr>
            <w:tcW w:type="dxa" w:w="1994"/>
          </w:tcPr>
          <w:p>
            <w:r>
              <w:rPr>
                <w:b w:val="0"/>
                <w:sz w:val="16"/>
              </w:rPr>
              <w:t>未见</w:t>
            </w:r>
          </w:p>
        </w:tc>
        <w:tc>
          <w:tcPr>
            <w:tcW w:type="dxa" w:w="1994"/>
          </w:tcPr>
          <w:p>
            <w:r>
              <w:rPr>
                <w:b w:val="0"/>
                <w:sz w:val="16"/>
              </w:rPr>
              <w:t>未见</w:t>
            </w:r>
          </w:p>
        </w:tc>
        <w:tc>
          <w:tcPr>
            <w:tcW w:type="dxa" w:w="1994"/>
          </w:tcPr>
          <w:p>
            <w:r>
              <w:rPr>
                <w:b w:val="0"/>
                <w:sz w:val="16"/>
              </w:rPr>
              <w:t>本次比对中较有辨识度的机制</w:t>
            </w:r>
          </w:p>
        </w:tc>
      </w:tr>
      <w:tr>
        <w:tc>
          <w:tcPr>
            <w:tcW w:type="dxa" w:w="1994"/>
          </w:tcPr>
          <w:p>
            <w:r>
              <w:rPr>
                <w:b w:val="0"/>
                <w:sz w:val="16"/>
              </w:rPr>
              <w:t>数据筛选或回放</w:t>
            </w:r>
          </w:p>
        </w:tc>
        <w:tc>
          <w:tcPr>
            <w:tcW w:type="dxa" w:w="1994"/>
          </w:tcPr>
          <w:p>
            <w:r>
              <w:rPr>
                <w:b w:val="0"/>
                <w:sz w:val="16"/>
              </w:rPr>
              <w:t>查询相似度过滤</w:t>
            </w:r>
          </w:p>
        </w:tc>
        <w:tc>
          <w:tcPr>
            <w:tcW w:type="dxa" w:w="1994"/>
          </w:tcPr>
          <w:p>
            <w:r>
              <w:rPr>
                <w:b w:val="0"/>
                <w:sz w:val="16"/>
              </w:rPr>
              <w:t>回放、质检</w:t>
            </w:r>
          </w:p>
        </w:tc>
        <w:tc>
          <w:tcPr>
            <w:tcW w:type="dxa" w:w="1994"/>
          </w:tcPr>
          <w:p>
            <w:r>
              <w:rPr>
                <w:b w:val="0"/>
                <w:sz w:val="16"/>
              </w:rPr>
              <w:t>数据集过滤</w:t>
            </w:r>
          </w:p>
        </w:tc>
        <w:tc>
          <w:tcPr>
            <w:tcW w:type="dxa" w:w="1994"/>
          </w:tcPr>
          <w:p>
            <w:r>
              <w:rPr>
                <w:b w:val="0"/>
                <w:sz w:val="16"/>
              </w:rPr>
              <w:t>程序签名、新颖度、难度窗口的联合准入</w:t>
            </w:r>
          </w:p>
        </w:tc>
      </w:tr>
      <w:tr>
        <w:tc>
          <w:tcPr>
            <w:tcW w:type="dxa" w:w="1994"/>
          </w:tcPr>
          <w:p>
            <w:r>
              <w:rPr>
                <w:b w:val="0"/>
                <w:sz w:val="16"/>
              </w:rPr>
              <w:t>角色适配器分离、准入后当轮重建解题数据</w:t>
            </w:r>
          </w:p>
        </w:tc>
        <w:tc>
          <w:tcPr>
            <w:tcW w:type="dxa" w:w="1994"/>
          </w:tcPr>
          <w:p>
            <w:r>
              <w:rPr>
                <w:b w:val="0"/>
                <w:sz w:val="16"/>
              </w:rPr>
              <w:t>未见完整组合</w:t>
            </w:r>
          </w:p>
        </w:tc>
        <w:tc>
          <w:tcPr>
            <w:tcW w:type="dxa" w:w="1994"/>
          </w:tcPr>
          <w:p>
            <w:r>
              <w:rPr>
                <w:b w:val="0"/>
                <w:sz w:val="16"/>
              </w:rPr>
              <w:t>未见完整组合</w:t>
            </w:r>
          </w:p>
        </w:tc>
        <w:tc>
          <w:tcPr>
            <w:tcW w:type="dxa" w:w="1994"/>
          </w:tcPr>
          <w:p>
            <w:r>
              <w:rPr>
                <w:b w:val="0"/>
                <w:sz w:val="16"/>
              </w:rPr>
              <w:t>未见完整组合</w:t>
            </w:r>
          </w:p>
        </w:tc>
        <w:tc>
          <w:tcPr>
            <w:tcW w:type="dxa" w:w="1994"/>
          </w:tcPr>
          <w:p>
            <w:r>
              <w:rPr>
                <w:b w:val="0"/>
                <w:sz w:val="16"/>
              </w:rPr>
              <w:t>将更新时序连接到认证任务</w:t>
            </w:r>
          </w:p>
        </w:tc>
      </w:tr>
    </w:tbl>
    <w:p>
      <w:r>
        <w:rPr>
          <w:b w:val="0"/>
        </w:rPr>
        <w:t xml:space="preserve">矩阵中的对方特征分别依据 </w:t>
      </w:r>
      <w:hyperlink r:id="rId9">
        <w:r>
          <w:rPr>
            <w:color w:val="0563C1"/>
          </w:rPr>
          <w:t>D1权利要求1—7</w:t>
        </w:r>
      </w:hyperlink>
      <w:r>
        <w:rPr>
          <w:b w:val="0"/>
        </w:rPr>
        <w:t>、</w:t>
      </w:r>
      <w:hyperlink r:id="rId10">
        <w:r>
          <w:rPr>
            <w:color w:val="0563C1"/>
          </w:rPr>
          <w:t>D2权利要求1—11</w:t>
        </w:r>
      </w:hyperlink>
      <w:r>
        <w:rPr>
          <w:b w:val="0"/>
        </w:rPr>
        <w:t>、</w:t>
      </w:r>
      <w:hyperlink r:id="rId11">
        <w:r>
          <w:rPr>
            <w:color w:val="0563C1"/>
          </w:rPr>
          <w:t>D3权利要求13—14</w:t>
        </w:r>
      </w:hyperlink>
      <w:r>
        <w:rPr>
          <w:b w:val="0"/>
        </w:rPr>
        <w:t>。</w:t>
      </w:r>
    </w:p>
    <w:p>
      <w:pPr>
        <w:pStyle w:val="Heading1"/>
      </w:pPr>
      <w:r>
        <w:rPr>
          <w:b w:val="0"/>
        </w:rPr>
        <w:t>四、建议重点保留的技术表达</w:t>
      </w:r>
    </w:p>
    <w:p>
      <w:pPr>
        <w:pStyle w:val="Heading2"/>
      </w:pPr>
      <w:r>
        <w:rPr>
          <w:b w:val="0"/>
        </w:rPr>
        <w:t>1. 执行认证与接口门控的关联</w:t>
      </w:r>
    </w:p>
    <w:p>
      <w:r>
        <w:rPr>
          <w:b w:val="0"/>
        </w:rPr>
        <w:t>建议以如下技术链条组织区别说明，再由专利代理师结合正式权利要求确定必要特征：</w:t>
      </w:r>
    </w:p>
    <w:p>
      <w:pPr>
        <w:pStyle w:val="Quote"/>
      </w:pPr>
      <w:r>
        <w:rPr>
          <w:b w:val="0"/>
        </w:rPr>
        <w:t>在指定图数据环境及操作约束下联合生成自然语言任务和有类型的可执行图程序；对图程序进行约束校验和执行验证，将执行得到的答案与图快照、程序标识及证据关联记录；对解题者的多次尝试分别统计解析成功率、解析成功条件下的执行成功率及执行成功条件下的语义表现，利用接口就绪度调节语义难度奖励贡献；根据认证任务的结构标识、新颖度及配置的难度条件实施任务准入，将接纳任务用于角色分离的迭代训练。</w:t>
      </w:r>
    </w:p>
    <w:p>
      <w:r>
        <w:rPr>
          <w:b w:val="0"/>
        </w:rPr>
        <w:t>这段是依据项目实现归纳的技术说明，并非已经确认可授权的权利要求。</w:t>
      </w:r>
    </w:p>
    <w:p>
      <w:pPr>
        <w:pStyle w:val="Heading2"/>
      </w:pPr>
      <w:r>
        <w:rPr>
          <w:b w:val="0"/>
        </w:rPr>
        <w:t>2. 将奖励公式写成可检查的技术关系</w:t>
      </w:r>
    </w:p>
    <w:p>
      <w:r>
        <w:rPr>
          <w:b w:val="0"/>
        </w:rPr>
        <w:t xml:space="preserve">项目 </w:t>
      </w:r>
      <w:r>
        <w:rPr>
          <w:b w:val="0"/>
        </w:rPr>
        <w:t>graphtask_r1/rewards/curriculum.py</w:t>
      </w:r>
      <w:r>
        <w:rPr>
          <w:b w:val="0"/>
        </w:rPr>
        <w:t xml:space="preserve"> 定义：</w:t>
      </w:r>
    </w:p>
    <w:p>
      <w:pPr>
        <w:pStyle w:val="ListBullet"/>
      </w:pPr>
      <w:r>
        <w:rPr>
          <w:b w:val="0"/>
        </w:rPr>
      </w:r>
      <w:r>
        <w:rPr>
          <w:b w:val="0"/>
        </w:rPr>
        <w:t>interface_readiness = parse_rate × execution_rate_given_parse</w:t>
      </w:r>
      <w:r>
        <w:rPr>
          <w:b w:val="0"/>
        </w:rPr>
        <w:t>。</w:t>
      </w:r>
    </w:p>
    <w:p>
      <w:pPr>
        <w:pStyle w:val="ListBullet"/>
      </w:pPr>
      <w:r>
        <w:rPr>
          <w:b w:val="0"/>
        </w:rPr>
      </w:r>
      <w:r>
        <w:rPr>
          <w:b w:val="0"/>
        </w:rPr>
        <w:t>effective_frontier_weight = configured_frontier_weight × interface_readiness</w:t>
      </w:r>
      <w:r>
        <w:rPr>
          <w:b w:val="0"/>
        </w:rPr>
        <w:t>。</w:t>
      </w:r>
    </w:p>
    <w:p>
      <w:pPr>
        <w:pStyle w:val="ListBullet"/>
      </w:pPr>
      <w:r>
        <w:rPr>
          <w:b w:val="0"/>
        </w:rPr>
        <w:t xml:space="preserve">难度函数的输入为 </w:t>
      </w:r>
      <w:r>
        <w:rPr>
          <w:b w:val="0"/>
        </w:rPr>
        <w:t>semantic_success_given_execution</w:t>
      </w:r>
      <w:r>
        <w:rPr>
          <w:b w:val="0"/>
        </w:rPr>
        <w:t>，项目允许以可执行尝试上的平均答案F1等方式测量，不能一概写成无条件答对比例。</w:t>
      </w:r>
    </w:p>
    <w:p>
      <w:r>
        <w:rPr>
          <w:b w:val="0"/>
        </w:rPr>
        <w:t>举例说明机制：若100次解题尝试只有20次解析成功，且这20次中10次执行成功，则接口就绪度为0.1；难度奖励的有效权重相应成为配置权重的十分之一。语义表现只在这10次可执行尝试中测量。该数字是解释性假设，不是实验结果。</w:t>
      </w:r>
    </w:p>
    <w:p>
      <w:pPr>
        <w:pStyle w:val="Heading2"/>
      </w:pPr>
      <w:r>
        <w:rPr>
          <w:b w:val="0"/>
        </w:rPr>
        <w:t>3. 写明条件与实现边界</w:t>
      </w:r>
    </w:p>
    <w:p>
      <w:r>
        <w:rPr>
          <w:b w:val="0"/>
        </w:rPr>
        <w:t>本方案认证记录提供程序执行和证据可追溯性，但程序可执行不自动证明任意自然语言问句与程序完全等价，仍须说明问题—程序一致性检查。课程早期可以放宽入库难度/新颖度阈值；当轮无新任务时也存在配置化回填路径。因此，“始终严格难度筛选”“每轮必有新题且全部当轮使用”并非所有配置都成立。若将严格准入和当轮消费作为必要区别，应在实施方式中明确选择对应配置及失败处理。</w:t>
      </w:r>
    </w:p>
    <w:p>
      <w:pPr>
        <w:pStyle w:val="Heading1"/>
      </w:pPr>
      <w:r>
        <w:rPr>
          <w:b w:val="0"/>
        </w:rPr>
        <w:t>五、项目证据定位</w:t>
      </w:r>
    </w:p>
    <w:tbl>
      <w:tblPr>
        <w:tblStyle w:val="TableGrid"/>
        <w:tblW w:type="auto" w:w="0"/>
        <w:tblLook w:firstColumn="1" w:firstRow="1" w:lastColumn="0" w:lastRow="0" w:noHBand="0" w:noVBand="1" w:val="04A0"/>
      </w:tblPr>
      <w:tblGrid>
        <w:gridCol w:w="3324"/>
        <w:gridCol w:w="3324"/>
        <w:gridCol w:w="3324"/>
      </w:tblGrid>
      <w:tr>
        <w:trPr>
          <w:tblHeader/>
        </w:trPr>
        <w:tc>
          <w:tcPr>
            <w:tcW w:type="dxa" w:w="3324"/>
          </w:tcPr>
          <w:p>
            <w:r>
              <w:rPr>
                <w:b w:val="0"/>
                <w:sz w:val="16"/>
              </w:rPr>
              <w:t>技术内容</w:t>
            </w:r>
          </w:p>
        </w:tc>
        <w:tc>
          <w:tcPr>
            <w:tcW w:type="dxa" w:w="3324"/>
          </w:tcPr>
          <w:p>
            <w:r>
              <w:rPr>
                <w:b w:val="0"/>
                <w:sz w:val="16"/>
              </w:rPr>
              <w:t>可复核项目证据</w:t>
            </w:r>
          </w:p>
        </w:tc>
        <w:tc>
          <w:tcPr>
            <w:tcW w:type="dxa" w:w="3324"/>
          </w:tcPr>
          <w:p>
            <w:r>
              <w:rPr>
                <w:b w:val="0"/>
                <w:sz w:val="16"/>
              </w:rPr>
              <w:t>本次观察</w:t>
            </w:r>
          </w:p>
        </w:tc>
      </w:tr>
      <w:tr>
        <w:tc>
          <w:tcPr>
            <w:tcW w:type="dxa" w:w="3324"/>
          </w:tcPr>
          <w:p>
            <w:r>
              <w:rPr>
                <w:b w:val="0"/>
                <w:sz w:val="16"/>
              </w:rPr>
              <w:t>专利技术定位及特征组合</w:t>
            </w:r>
          </w:p>
        </w:tc>
        <w:tc>
          <w:tcPr>
            <w:tcW w:type="dxa" w:w="3324"/>
          </w:tcPr>
          <w:p>
            <w:r>
              <w:rPr>
                <w:b w:val="0"/>
                <w:sz w:val="16"/>
              </w:rPr>
            </w:r>
            <w:r>
              <w:rPr>
                <w:b w:val="0"/>
                <w:sz w:val="16"/>
              </w:rPr>
              <w:t>patent_ppt_materials/01_patent_presentation_materials_en.md</w:t>
            </w:r>
            <w:r>
              <w:rPr>
                <w:b w:val="0"/>
                <w:sz w:val="16"/>
              </w:rPr>
              <w:t>；</w:t>
            </w:r>
            <w:r>
              <w:rPr>
                <w:b w:val="0"/>
                <w:sz w:val="16"/>
              </w:rPr>
              <w:t>02_technical_evidence_and_confirmations_en.md</w:t>
            </w:r>
            <w:r>
              <w:rPr>
                <w:b w:val="0"/>
                <w:sz w:val="16"/>
              </w:rPr>
            </w:r>
          </w:p>
        </w:tc>
        <w:tc>
          <w:tcPr>
            <w:tcW w:type="dxa" w:w="3324"/>
          </w:tcPr>
          <w:p>
            <w:r>
              <w:rPr>
                <w:b w:val="0"/>
                <w:sz w:val="16"/>
              </w:rPr>
              <w:t>现有介绍/证据材料，非正式权利要求</w:t>
            </w:r>
          </w:p>
        </w:tc>
      </w:tr>
      <w:tr>
        <w:tc>
          <w:tcPr>
            <w:tcW w:type="dxa" w:w="3324"/>
          </w:tcPr>
          <w:p>
            <w:r>
              <w:rPr>
                <w:b w:val="0"/>
                <w:sz w:val="16"/>
              </w:rPr>
              <w:t>类型、操作符、终止输出与程序限制</w:t>
            </w:r>
          </w:p>
        </w:tc>
        <w:tc>
          <w:tcPr>
            <w:tcW w:type="dxa" w:w="3324"/>
          </w:tcPr>
          <w:p>
            <w:r>
              <w:rPr>
                <w:b w:val="0"/>
                <w:sz w:val="16"/>
              </w:rPr>
            </w:r>
            <w:r>
              <w:rPr>
                <w:b w:val="0"/>
                <w:sz w:val="16"/>
              </w:rPr>
              <w:t>graphtask_r1/graphscript/schema.py</w:t>
            </w:r>
            <w:r>
              <w:rPr>
                <w:b w:val="0"/>
                <w:sz w:val="16"/>
              </w:rPr>
            </w:r>
          </w:p>
        </w:tc>
        <w:tc>
          <w:tcPr>
            <w:tcW w:type="dxa" w:w="3324"/>
          </w:tcPr>
          <w:p>
            <w:r>
              <w:rPr>
                <w:b w:val="0"/>
                <w:sz w:val="16"/>
              </w:rPr>
              <w:t>有明确程序结构</w:t>
            </w:r>
          </w:p>
        </w:tc>
      </w:tr>
      <w:tr>
        <w:tc>
          <w:tcPr>
            <w:tcW w:type="dxa" w:w="3324"/>
          </w:tcPr>
          <w:p>
            <w:r>
              <w:rPr>
                <w:b w:val="0"/>
                <w:sz w:val="16"/>
              </w:rPr>
              <w:t>图操作执行、预算与逐步证据</w:t>
            </w:r>
          </w:p>
        </w:tc>
        <w:tc>
          <w:tcPr>
            <w:tcW w:type="dxa" w:w="3324"/>
          </w:tcPr>
          <w:p>
            <w:r>
              <w:rPr>
                <w:b w:val="0"/>
                <w:sz w:val="16"/>
              </w:rPr>
            </w:r>
            <w:r>
              <w:rPr>
                <w:b w:val="0"/>
                <w:sz w:val="16"/>
              </w:rPr>
              <w:t>graphtask_r1/graphscript/executor.py</w:t>
            </w:r>
            <w:r>
              <w:rPr>
                <w:b w:val="0"/>
                <w:sz w:val="16"/>
              </w:rPr>
            </w:r>
          </w:p>
        </w:tc>
        <w:tc>
          <w:tcPr>
            <w:tcW w:type="dxa" w:w="3324"/>
          </w:tcPr>
          <w:p>
            <w:r>
              <w:rPr>
                <w:b w:val="0"/>
                <w:sz w:val="16"/>
              </w:rPr>
              <w:t>执行结果含答案、support、usage、steps</w:t>
            </w:r>
          </w:p>
        </w:tc>
      </w:tr>
      <w:tr>
        <w:tc>
          <w:tcPr>
            <w:tcW w:type="dxa" w:w="3324"/>
          </w:tcPr>
          <w:p>
            <w:r>
              <w:rPr>
                <w:b w:val="0"/>
                <w:sz w:val="16"/>
              </w:rPr>
              <w:t>标准答案及认证记录</w:t>
            </w:r>
          </w:p>
        </w:tc>
        <w:tc>
          <w:tcPr>
            <w:tcW w:type="dxa" w:w="3324"/>
          </w:tcPr>
          <w:p>
            <w:r>
              <w:rPr>
                <w:b w:val="0"/>
                <w:sz w:val="16"/>
              </w:rPr>
            </w:r>
            <w:r>
              <w:rPr>
                <w:b w:val="0"/>
                <w:sz w:val="16"/>
              </w:rPr>
              <w:t>graphtask_r1/generation/certify.py</w:t>
            </w:r>
            <w:r>
              <w:rPr>
                <w:b w:val="0"/>
                <w:sz w:val="16"/>
              </w:rPr>
              <w:t xml:space="preserve"> 的 </w:t>
            </w:r>
            <w:r>
              <w:rPr>
                <w:b w:val="0"/>
                <w:sz w:val="16"/>
              </w:rPr>
              <w:t>certify_proposal</w:t>
            </w:r>
            <w:r>
              <w:rPr>
                <w:b w:val="0"/>
                <w:sz w:val="16"/>
              </w:rPr>
            </w:r>
          </w:p>
        </w:tc>
        <w:tc>
          <w:tcPr>
            <w:tcW w:type="dxa" w:w="3324"/>
          </w:tcPr>
          <w:p>
            <w:r>
              <w:rPr>
                <w:b w:val="0"/>
                <w:sz w:val="16"/>
              </w:rPr>
              <w:t>执行答案关联图快照、程序签名和witness_facts</w:t>
            </w:r>
          </w:p>
        </w:tc>
      </w:tr>
      <w:tr>
        <w:tc>
          <w:tcPr>
            <w:tcW w:type="dxa" w:w="3324"/>
          </w:tcPr>
          <w:p>
            <w:r>
              <w:rPr>
                <w:b w:val="0"/>
                <w:sz w:val="16"/>
              </w:rPr>
              <w:t>有界结果一致性检查</w:t>
            </w:r>
          </w:p>
        </w:tc>
        <w:tc>
          <w:tcPr>
            <w:tcW w:type="dxa" w:w="3324"/>
          </w:tcPr>
          <w:p>
            <w:r>
              <w:rPr>
                <w:b w:val="0"/>
                <w:sz w:val="16"/>
              </w:rPr>
            </w:r>
            <w:r>
              <w:rPr>
                <w:b w:val="0"/>
                <w:sz w:val="16"/>
              </w:rPr>
              <w:t>graphtask_r1/training/ms_swift_reward.py</w:t>
            </w:r>
            <w:r>
              <w:rPr>
                <w:b w:val="0"/>
                <w:sz w:val="16"/>
              </w:rPr>
            </w:r>
          </w:p>
        </w:tc>
        <w:tc>
          <w:tcPr>
            <w:tcW w:type="dxa" w:w="3324"/>
          </w:tcPr>
          <w:p>
            <w:r>
              <w:rPr>
                <w:b w:val="0"/>
                <w:sz w:val="16"/>
              </w:rPr>
              <w:t xml:space="preserve">有界执行与认证Program执行结果不一致时可产生 </w:t>
            </w:r>
            <w:r>
              <w:rPr>
                <w:b w:val="0"/>
                <w:sz w:val="16"/>
              </w:rPr>
              <w:t>BOUNDED_UNBOUNDED_MISMATCH</w:t>
            </w:r>
            <w:r>
              <w:rPr>
                <w:b w:val="0"/>
                <w:sz w:val="16"/>
              </w:rPr>
            </w:r>
          </w:p>
        </w:tc>
      </w:tr>
      <w:tr>
        <w:tc>
          <w:tcPr>
            <w:tcW w:type="dxa" w:w="3324"/>
          </w:tcPr>
          <w:p>
            <w:r>
              <w:rPr>
                <w:b w:val="0"/>
                <w:sz w:val="16"/>
              </w:rPr>
              <w:t>分层测量与门控权重</w:t>
            </w:r>
          </w:p>
        </w:tc>
        <w:tc>
          <w:tcPr>
            <w:tcW w:type="dxa" w:w="3324"/>
          </w:tcPr>
          <w:p>
            <w:r>
              <w:rPr>
                <w:b w:val="0"/>
                <w:sz w:val="16"/>
              </w:rPr>
            </w:r>
            <w:r>
              <w:rPr>
                <w:b w:val="0"/>
                <w:sz w:val="16"/>
              </w:rPr>
              <w:t>graphtask_r1/rewards/curriculum.py</w:t>
            </w:r>
            <w:r>
              <w:rPr>
                <w:b w:val="0"/>
                <w:sz w:val="16"/>
              </w:rPr>
              <w:t xml:space="preserve"> 的 </w:t>
            </w:r>
            <w:r>
              <w:rPr>
                <w:b w:val="0"/>
                <w:sz w:val="16"/>
              </w:rPr>
              <w:t>OpponentSignals</w:t>
            </w:r>
            <w:r>
              <w:rPr>
                <w:b w:val="0"/>
                <w:sz w:val="16"/>
              </w:rPr>
              <w:t>、</w:t>
            </w:r>
            <w:r>
              <w:rPr>
                <w:b w:val="0"/>
                <w:sz w:val="16"/>
              </w:rPr>
              <w:t>questioner_curriculum_reward</w:t>
            </w:r>
            <w:r>
              <w:rPr>
                <w:b w:val="0"/>
                <w:sz w:val="16"/>
              </w:rPr>
            </w:r>
          </w:p>
        </w:tc>
        <w:tc>
          <w:tcPr>
            <w:tcW w:type="dxa" w:w="3324"/>
          </w:tcPr>
          <w:p>
            <w:r>
              <w:rPr>
                <w:b w:val="0"/>
                <w:sz w:val="16"/>
              </w:rPr>
              <w:t>接口就绪度控制前沿项权重</w:t>
            </w:r>
          </w:p>
        </w:tc>
      </w:tr>
      <w:tr>
        <w:tc>
          <w:tcPr>
            <w:tcW w:type="dxa" w:w="3324"/>
          </w:tcPr>
          <w:p>
            <w:r>
              <w:rPr>
                <w:b w:val="0"/>
                <w:sz w:val="16"/>
              </w:rPr>
              <w:t>确定性任务准入</w:t>
            </w:r>
          </w:p>
        </w:tc>
        <w:tc>
          <w:tcPr>
            <w:tcW w:type="dxa" w:w="3324"/>
          </w:tcPr>
          <w:p>
            <w:r>
              <w:rPr>
                <w:b w:val="0"/>
                <w:sz w:val="16"/>
              </w:rPr>
            </w:r>
            <w:r>
              <w:rPr>
                <w:b w:val="0"/>
                <w:sz w:val="16"/>
              </w:rPr>
              <w:t>graphtask_r1/archive/admission.py</w:t>
            </w:r>
            <w:r>
              <w:rPr>
                <w:b w:val="0"/>
                <w:sz w:val="16"/>
              </w:rPr>
              <w:t xml:space="preserve"> 的 </w:t>
            </w:r>
            <w:r>
              <w:rPr>
                <w:b w:val="0"/>
                <w:sz w:val="16"/>
              </w:rPr>
              <w:t>promote_staged_tasks</w:t>
            </w:r>
            <w:r>
              <w:rPr>
                <w:b w:val="0"/>
                <w:sz w:val="16"/>
              </w:rPr>
            </w:r>
          </w:p>
        </w:tc>
        <w:tc>
          <w:tcPr>
            <w:tcW w:type="dxa" w:w="3324"/>
          </w:tcPr>
          <w:p>
            <w:r>
              <w:rPr>
                <w:b w:val="0"/>
                <w:sz w:val="16"/>
              </w:rPr>
              <w:t>程序签名排序、难度/新颖度检查与原因码</w:t>
            </w:r>
          </w:p>
        </w:tc>
      </w:tr>
      <w:tr>
        <w:tc>
          <w:tcPr>
            <w:tcW w:type="dxa" w:w="3324"/>
          </w:tcPr>
          <w:p>
            <w:r>
              <w:rPr>
                <w:b w:val="0"/>
                <w:sz w:val="16"/>
              </w:rPr>
              <w:t>角色分离及当轮重建</w:t>
            </w:r>
          </w:p>
        </w:tc>
        <w:tc>
          <w:tcPr>
            <w:tcW w:type="dxa" w:w="3324"/>
          </w:tcPr>
          <w:p>
            <w:r>
              <w:rPr>
                <w:b w:val="0"/>
                <w:sz w:val="16"/>
              </w:rPr>
            </w:r>
            <w:r>
              <w:rPr>
                <w:b w:val="0"/>
                <w:sz w:val="16"/>
              </w:rPr>
              <w:t>graphtask_r1/training/selfplay.py</w:t>
            </w:r>
            <w:r>
              <w:rPr>
                <w:b w:val="0"/>
                <w:sz w:val="16"/>
              </w:rPr>
            </w:r>
          </w:p>
        </w:tc>
        <w:tc>
          <w:tcPr>
            <w:tcW w:type="dxa" w:w="3324"/>
          </w:tcPr>
          <w:p>
            <w:r>
              <w:rPr>
                <w:b w:val="0"/>
                <w:sz w:val="16"/>
              </w:rPr>
              <w:t>对应课程分支中先准入再重建Solver数据，记录角色适配器和数据哈希</w:t>
            </w:r>
          </w:p>
        </w:tc>
      </w:tr>
    </w:tbl>
    <w:p>
      <w:r>
        <w:rPr>
          <w:b w:val="0"/>
        </w:rPr>
        <w:t>上述为阅读当前工作区得到的实现支持，本次未修改或运行训练代码，也未据此验证精度、成本或训练稳定性的提升幅度。</w:t>
      </w:r>
    </w:p>
    <w:p>
      <w:pPr>
        <w:pStyle w:val="Heading1"/>
      </w:pPr>
      <w:r>
        <w:rPr>
          <w:b w:val="0"/>
        </w:rPr>
        <w:t>六、检索记录与结论边界</w:t>
      </w:r>
    </w:p>
    <w:p>
      <w:r>
        <w:rPr>
          <w:b w:val="0"/>
        </w:rPr>
        <w:t>主要检索式包括：</w:t>
      </w:r>
      <w:r>
        <w:rPr>
          <w:b w:val="0"/>
        </w:rPr>
        <w:t>site:patents.google.com/patent 知识图谱 问答 程序 生成 强化学习</w:t>
      </w:r>
      <w:r>
        <w:rPr>
          <w:b w:val="0"/>
        </w:rPr>
        <w:t>、</w:t>
      </w:r>
      <w:r>
        <w:rPr>
          <w:b w:val="0"/>
        </w:rPr>
        <w:t>site:patents.google.com "自博弈" "问题" "语言模型"</w:t>
      </w:r>
      <w:r>
        <w:rPr>
          <w:b w:val="0"/>
        </w:rPr>
        <w:t>、</w:t>
      </w:r>
      <w:r>
        <w:rPr>
          <w:b w:val="0"/>
        </w:rPr>
        <w:t>site:patents.google.com "question generation" "execution" "knowledge graph"</w:t>
      </w:r>
      <w:r>
        <w:rPr>
          <w:b w:val="0"/>
        </w:rPr>
        <w:t>、</w:t>
      </w:r>
      <w:r>
        <w:rPr>
          <w:b w:val="0"/>
        </w:rPr>
        <w:t>site:patents.google.com/patent "问题生成" "SPARQL"</w:t>
      </w:r>
      <w:r>
        <w:rPr>
          <w:b w:val="0"/>
        </w:rPr>
        <w:t>，并由命中文献追查权利要求和相关条目。</w:t>
      </w:r>
    </w:p>
    <w:p>
      <w:r>
        <w:rPr>
          <w:b w:val="0"/>
        </w:rPr>
        <w:t>筛选时也查看了子图引导出题、知识图谱问题生成与问答联合学习、图谱查询生成及反思记忆等方向。主表优先保留直接覆盖“自博弈数据循环、强化学习奖励、执行派生答案”的三项，避免仅因标题含“知识图谱”而选取弱相关文本。检索没有提交项目全文、代码或未公开的具体奖励公式。</w:t>
      </w:r>
    </w:p>
    <w:p>
      <w:r>
        <w:rPr>
          <w:b w:val="0"/>
        </w:rPr>
        <w:t>目前可作出的技术判断是：在所选三篇中，未发现单篇明确公开本方案上述完整依赖链；但这不能排除其他专利或论文的披露，也不能排除结合多份现有技术评价该组合。你的正式申请日/优先权日未提供，本报告仅列出各文献时间，不认定它们必然构成针对本申请的现有技术。后续正式查新应以拟申请权利要求逐项核对，并纳入非专利文献。</w:t>
      </w:r>
    </w:p>
    <w:p>
      <w:r>
        <w:rPr>
          <w:b w:val="0"/>
        </w:rPr>
      </w:r>
      <w:r>
        <w:rPr>
          <w:b/>
        </w:rPr>
        <w:t>建议提交给代理师的重点问题：能否围绕“执行认证产生可追溯监督数据，接口就绪度控制语义难度反馈，准入任务再驱动角色分离更新”形成有实现支持且边界清楚的必要技术特征组合。</w:t>
      </w:r>
      <w:r>
        <w:rPr>
          <w:b w:val="0"/>
        </w:rPr>
      </w:r>
    </w:p>
    <w:sectPr w:rsidR="00FC693F" w:rsidRPr="0006063C" w:rsidSect="00034616">
      <w:footerReference w:type="default" r:id="rId14"/>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GraphTask-R1 相似专利技术比对 · 2026-09-09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tents.google.com/patent/CN119025540A/zh" TargetMode="External"/><Relationship Id="rId10" Type="http://schemas.openxmlformats.org/officeDocument/2006/relationships/hyperlink" Target="https://patents.google.com/patent/CN118536585A/en" TargetMode="External"/><Relationship Id="rId11" Type="http://schemas.openxmlformats.org/officeDocument/2006/relationships/hyperlink" Target="https://patents.google.com/patent/CN119474279A/zh" TargetMode="External"/><Relationship Id="rId12" Type="http://schemas.openxmlformats.org/officeDocument/2006/relationships/hyperlink" Target="https://patentimages.storage.googleapis.com/6f/bf/65/0efaff45adc977/CN119025540A.pdf" TargetMode="External"/><Relationship Id="rId13" Type="http://schemas.openxmlformats.org/officeDocument/2006/relationships/hyperlink" Target="https://patentimages.storage.googleapis.com/ee/84/b4/6b9dad4ebdfdff/CN119474279A.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