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686"/>
        </w:tabs>
        <w:adjustRightInd w:val="0"/>
        <w:spacing w:before="480" w:beforeLines="200" w:after="240" w:afterLines="100"/>
        <w:jc w:val="center"/>
        <w:textAlignment w:val="baseline"/>
        <w:rPr>
          <w:rFonts w:ascii="Times New Roman" w:hAnsi="Times New Roman"/>
          <w:b/>
          <w:kern w:val="0"/>
          <w:sz w:val="52"/>
          <w:szCs w:val="52"/>
        </w:rPr>
      </w:pPr>
      <w:bookmarkStart w:id="0" w:name="_Toc437006578"/>
      <w:bookmarkStart w:id="1" w:name="_Toc29849"/>
      <w:bookmarkStart w:id="2" w:name="_Toc30008"/>
      <w:bookmarkStart w:id="3" w:name="_Toc23519313"/>
      <w:bookmarkStart w:id="4" w:name="_Toc25852"/>
      <w:r>
        <w:rPr>
          <w:rFonts w:ascii="Times New Roman" w:hAnsi="Times New Roman"/>
          <w:b/>
          <w:kern w:val="0"/>
          <w:sz w:val="52"/>
          <w:szCs w:val="52"/>
        </w:rPr>
        <w:t>内蒙古自治区鄂尔多斯</w:t>
      </w:r>
    </w:p>
    <w:p>
      <w:pPr>
        <w:tabs>
          <w:tab w:val="left" w:pos="3686"/>
        </w:tabs>
        <w:adjustRightInd w:val="0"/>
        <w:spacing w:before="120" w:beforeLines="50" w:after="120" w:afterLines="50"/>
        <w:jc w:val="center"/>
        <w:textAlignment w:val="baseline"/>
        <w:rPr>
          <w:rFonts w:ascii="Times New Roman" w:hAnsi="Times New Roman"/>
          <w:b/>
          <w:kern w:val="0"/>
          <w:sz w:val="52"/>
          <w:szCs w:val="52"/>
        </w:rPr>
      </w:pPr>
      <w:r>
        <w:rPr>
          <w:rFonts w:ascii="Times New Roman" w:hAnsi="Times New Roman"/>
          <w:b/>
          <w:kern w:val="0"/>
          <w:sz w:val="52"/>
          <w:szCs w:val="52"/>
        </w:rPr>
        <w:t>纳林希里矿区总体规划</w:t>
      </w:r>
    </w:p>
    <w:p>
      <w:pPr>
        <w:adjustRightInd w:val="0"/>
        <w:spacing w:before="120" w:beforeLines="50" w:after="120" w:afterLines="50"/>
        <w:jc w:val="center"/>
        <w:textAlignment w:val="baseline"/>
        <w:rPr>
          <w:rFonts w:ascii="Times New Roman" w:hAnsi="Times New Roman"/>
          <w:kern w:val="0"/>
          <w:sz w:val="48"/>
          <w:szCs w:val="48"/>
        </w:rPr>
      </w:pPr>
    </w:p>
    <w:p>
      <w:pPr>
        <w:adjustRightInd w:val="0"/>
        <w:jc w:val="center"/>
        <w:textAlignment w:val="baseline"/>
        <w:rPr>
          <w:rFonts w:ascii="Times New Roman" w:hAnsi="Times New Roman"/>
          <w:kern w:val="0"/>
          <w:sz w:val="48"/>
          <w:szCs w:val="48"/>
        </w:rPr>
      </w:pPr>
    </w:p>
    <w:p>
      <w:pPr>
        <w:spacing w:line="480" w:lineRule="auto"/>
        <w:jc w:val="center"/>
        <w:rPr>
          <w:rFonts w:ascii="Times New Roman" w:hAnsi="Times New Roman"/>
          <w:b/>
          <w:spacing w:val="-10"/>
          <w:sz w:val="72"/>
          <w:szCs w:val="72"/>
        </w:rPr>
      </w:pPr>
      <w:r>
        <w:rPr>
          <w:rFonts w:ascii="Times New Roman" w:hAnsi="Times New Roman"/>
          <w:b/>
          <w:spacing w:val="-10"/>
          <w:sz w:val="72"/>
          <w:szCs w:val="72"/>
        </w:rPr>
        <w:t>环境影响报告书</w:t>
      </w:r>
    </w:p>
    <w:p>
      <w:pPr>
        <w:ind w:left="62" w:leftChars="26"/>
        <w:jc w:val="center"/>
        <w:rPr>
          <w:rFonts w:ascii="Times New Roman" w:hAnsi="Times New Roman"/>
          <w:kern w:val="0"/>
          <w:sz w:val="32"/>
          <w:szCs w:val="32"/>
        </w:rPr>
      </w:pPr>
    </w:p>
    <w:p>
      <w:pPr>
        <w:ind w:left="62" w:leftChars="26"/>
        <w:jc w:val="center"/>
        <w:rPr>
          <w:rFonts w:ascii="Times New Roman" w:hAnsi="Times New Roman"/>
          <w:kern w:val="0"/>
          <w:sz w:val="32"/>
          <w:szCs w:val="32"/>
        </w:rPr>
      </w:pPr>
      <w:r>
        <w:rPr>
          <w:rFonts w:ascii="Times New Roman" w:hAnsi="Times New Roman"/>
          <w:kern w:val="0"/>
          <w:sz w:val="32"/>
          <w:szCs w:val="32"/>
        </w:rPr>
        <w:t>工程编号：ZH0120BG</w:t>
      </w:r>
    </w:p>
    <w:p>
      <w:pPr>
        <w:jc w:val="center"/>
        <w:rPr>
          <w:rFonts w:ascii="Times New Roman" w:hAnsi="Times New Roman"/>
          <w:kern w:val="0"/>
          <w:sz w:val="32"/>
          <w:szCs w:val="32"/>
        </w:rPr>
      </w:pPr>
      <w:r>
        <w:rPr>
          <w:rFonts w:ascii="Times New Roman" w:hAnsi="Times New Roman"/>
          <w:kern w:val="0"/>
          <w:sz w:val="32"/>
          <w:szCs w:val="32"/>
        </w:rPr>
        <w:t>矿区规模：32 Mt/a</w:t>
      </w:r>
    </w:p>
    <w:p>
      <w:pPr>
        <w:ind w:left="55"/>
        <w:jc w:val="center"/>
        <w:rPr>
          <w:rFonts w:ascii="Times New Roman" w:hAnsi="Times New Roman"/>
          <w:kern w:val="0"/>
          <w:sz w:val="32"/>
          <w:szCs w:val="32"/>
        </w:rPr>
      </w:pPr>
      <w:r>
        <w:rPr>
          <w:rFonts w:ascii="Times New Roman" w:hAnsi="Times New Roman"/>
          <w:kern w:val="0"/>
          <w:sz w:val="32"/>
          <w:szCs w:val="32"/>
        </w:rPr>
        <w:t xml:space="preserve">            </w:t>
      </w:r>
    </w:p>
    <w:p>
      <w:pPr>
        <w:ind w:left="55"/>
        <w:jc w:val="center"/>
        <w:rPr>
          <w:rFonts w:ascii="Times New Roman" w:hAnsi="Times New Roman"/>
          <w:kern w:val="0"/>
          <w:sz w:val="32"/>
          <w:szCs w:val="32"/>
        </w:rPr>
      </w:pPr>
    </w:p>
    <w:p>
      <w:pPr>
        <w:ind w:left="55"/>
        <w:jc w:val="center"/>
        <w:rPr>
          <w:rFonts w:ascii="Times New Roman" w:hAnsi="Times New Roman"/>
          <w:kern w:val="0"/>
          <w:sz w:val="32"/>
          <w:szCs w:val="32"/>
        </w:rPr>
      </w:pPr>
    </w:p>
    <w:p>
      <w:pPr>
        <w:pStyle w:val="2"/>
        <w:rPr>
          <w:rFonts w:ascii="Times New Roman"/>
          <w:color w:val="auto"/>
        </w:rPr>
      </w:pPr>
    </w:p>
    <w:p>
      <w:pPr>
        <w:ind w:left="55"/>
        <w:jc w:val="center"/>
        <w:rPr>
          <w:rFonts w:ascii="Times New Roman" w:hAnsi="Times New Roman"/>
          <w:kern w:val="0"/>
          <w:sz w:val="32"/>
          <w:szCs w:val="32"/>
        </w:rPr>
      </w:pPr>
    </w:p>
    <w:p>
      <w:pPr>
        <w:ind w:left="55"/>
        <w:jc w:val="center"/>
        <w:rPr>
          <w:rFonts w:ascii="Times New Roman" w:hAnsi="Times New Roman"/>
          <w:sz w:val="32"/>
        </w:rPr>
      </w:pPr>
      <w:r>
        <w:rPr>
          <w:rFonts w:ascii="Times New Roman" w:hAnsi="Times New Roman"/>
          <w:sz w:val="32"/>
        </w:rPr>
        <w:t>总    经    理：李常文</w:t>
      </w:r>
    </w:p>
    <w:p>
      <w:pPr>
        <w:ind w:left="55"/>
        <w:jc w:val="center"/>
        <w:rPr>
          <w:rFonts w:ascii="Times New Roman" w:hAnsi="Times New Roman"/>
          <w:sz w:val="32"/>
        </w:rPr>
      </w:pPr>
      <w:r>
        <w:rPr>
          <w:rFonts w:ascii="Times New Roman" w:hAnsi="Times New Roman"/>
          <w:sz w:val="32"/>
        </w:rPr>
        <w:t>总  工  程  师：苏纪明</w:t>
      </w:r>
    </w:p>
    <w:p>
      <w:pPr>
        <w:ind w:left="55"/>
        <w:jc w:val="center"/>
        <w:rPr>
          <w:rFonts w:ascii="Times New Roman" w:hAnsi="Times New Roman"/>
          <w:sz w:val="32"/>
        </w:rPr>
      </w:pPr>
      <w:r>
        <w:rPr>
          <w:rFonts w:ascii="Times New Roman" w:hAnsi="Times New Roman"/>
          <w:spacing w:val="28"/>
          <w:sz w:val="32"/>
          <w:szCs w:val="32"/>
        </w:rPr>
        <w:t>项目总工程师</w:t>
      </w:r>
      <w:r>
        <w:rPr>
          <w:rFonts w:ascii="Times New Roman" w:hAnsi="Times New Roman"/>
          <w:sz w:val="32"/>
        </w:rPr>
        <w:t>：刘文荣</w:t>
      </w:r>
    </w:p>
    <w:p>
      <w:pPr>
        <w:ind w:left="55"/>
        <w:jc w:val="center"/>
        <w:rPr>
          <w:rFonts w:ascii="Times New Roman" w:hAnsi="Times New Roman"/>
          <w:sz w:val="32"/>
        </w:rPr>
      </w:pPr>
      <w:r>
        <w:rPr>
          <w:rFonts w:ascii="Times New Roman" w:hAnsi="Times New Roman"/>
          <w:sz w:val="32"/>
        </w:rPr>
        <w:t xml:space="preserve">                潘  静 </w:t>
      </w:r>
    </w:p>
    <w:p>
      <w:pPr>
        <w:ind w:left="120" w:leftChars="50"/>
        <w:jc w:val="center"/>
        <w:rPr>
          <w:rFonts w:ascii="Times New Roman" w:hAnsi="Times New Roman"/>
          <w:sz w:val="32"/>
        </w:rPr>
      </w:pPr>
    </w:p>
    <w:p>
      <w:pPr>
        <w:ind w:left="120" w:leftChars="50"/>
        <w:jc w:val="center"/>
        <w:rPr>
          <w:rFonts w:ascii="Times New Roman" w:hAnsi="Times New Roman"/>
          <w:sz w:val="32"/>
        </w:rPr>
      </w:pPr>
    </w:p>
    <w:p>
      <w:pPr>
        <w:ind w:left="120" w:leftChars="50"/>
        <w:jc w:val="center"/>
        <w:rPr>
          <w:rFonts w:ascii="Times New Roman" w:hAnsi="Times New Roman"/>
          <w:sz w:val="32"/>
        </w:rPr>
      </w:pPr>
    </w:p>
    <w:p>
      <w:pPr>
        <w:adjustRightInd w:val="0"/>
        <w:spacing w:before="120" w:after="120"/>
        <w:jc w:val="center"/>
        <w:textAlignment w:val="baseline"/>
        <w:rPr>
          <w:rFonts w:ascii="Times New Roman" w:hAnsi="Times New Roman"/>
          <w:b/>
          <w:kern w:val="0"/>
          <w:sz w:val="72"/>
          <w:szCs w:val="72"/>
        </w:rPr>
      </w:pPr>
      <w:r>
        <w:rPr>
          <w:rFonts w:ascii="Times New Roman" w:hAnsi="Times New Roman"/>
          <w:b/>
          <w:kern w:val="0"/>
          <w:sz w:val="72"/>
          <w:szCs w:val="72"/>
        </w:rPr>
        <w:drawing>
          <wp:inline distT="0" distB="0" distL="114300" distR="114300">
            <wp:extent cx="4039235" cy="591820"/>
            <wp:effectExtent l="0" t="0" r="18415" b="17780"/>
            <wp:docPr id="1" name="图片 46" descr="00华宇新标志(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6" descr="00华宇新标志(2014"/>
                    <pic:cNvPicPr>
                      <a:picLocks noChangeAspect="1"/>
                    </pic:cNvPicPr>
                  </pic:nvPicPr>
                  <pic:blipFill>
                    <a:blip r:embed="rId41"/>
                    <a:stretch>
                      <a:fillRect/>
                    </a:stretch>
                  </pic:blipFill>
                  <pic:spPr>
                    <a:xfrm>
                      <a:off x="0" y="0"/>
                      <a:ext cx="4039235" cy="591820"/>
                    </a:xfrm>
                    <a:prstGeom prst="rect">
                      <a:avLst/>
                    </a:prstGeom>
                    <a:noFill/>
                    <a:ln>
                      <a:noFill/>
                    </a:ln>
                  </pic:spPr>
                </pic:pic>
              </a:graphicData>
            </a:graphic>
          </wp:inline>
        </w:drawing>
      </w:r>
    </w:p>
    <w:p>
      <w:pPr>
        <w:jc w:val="center"/>
        <w:rPr>
          <w:rFonts w:ascii="Times New Roman" w:hAnsi="Times New Roman"/>
        </w:rPr>
      </w:pPr>
      <w:r>
        <w:rPr>
          <w:rFonts w:ascii="Times New Roman" w:hAnsi="Times New Roman"/>
          <w:sz w:val="30"/>
          <w:szCs w:val="30"/>
        </w:rPr>
        <w:t>二</w:t>
      </w:r>
      <w:r>
        <w:rPr>
          <w:rFonts w:ascii="Times New Roman" w:hAnsi="Times New Roman"/>
          <w:sz w:val="32"/>
          <w:szCs w:val="32"/>
        </w:rPr>
        <w:t>〇</w:t>
      </w:r>
      <w:r>
        <w:rPr>
          <w:rFonts w:ascii="Times New Roman" w:hAnsi="Times New Roman"/>
          <w:sz w:val="30"/>
          <w:szCs w:val="30"/>
        </w:rPr>
        <w:t>二</w:t>
      </w:r>
      <w:r>
        <w:rPr>
          <w:rFonts w:ascii="Times New Roman" w:hAnsi="Times New Roman"/>
          <w:sz w:val="32"/>
          <w:szCs w:val="32"/>
        </w:rPr>
        <w:t>二</w:t>
      </w:r>
      <w:r>
        <w:rPr>
          <w:rFonts w:ascii="Times New Roman" w:hAnsi="Times New Roman"/>
          <w:sz w:val="30"/>
          <w:szCs w:val="30"/>
        </w:rPr>
        <w:t>年</w:t>
      </w:r>
      <w:r>
        <w:rPr>
          <w:rFonts w:hint="eastAsia" w:ascii="Times New Roman" w:hAnsi="Times New Roman"/>
          <w:sz w:val="30"/>
          <w:szCs w:val="30"/>
        </w:rPr>
        <w:t>十一</w:t>
      </w:r>
      <w:r>
        <w:rPr>
          <w:rFonts w:ascii="Times New Roman" w:hAnsi="Times New Roman"/>
          <w:sz w:val="30"/>
          <w:szCs w:val="30"/>
        </w:rPr>
        <w:t>月</w:t>
      </w:r>
    </w:p>
    <w:p>
      <w:pPr>
        <w:pStyle w:val="3"/>
        <w:spacing w:before="240" w:after="240" w:line="440" w:lineRule="exact"/>
        <w:jc w:val="center"/>
        <w:rPr>
          <w:sz w:val="32"/>
          <w:szCs w:val="32"/>
        </w:rPr>
      </w:pPr>
      <w:r>
        <w:rPr>
          <w:sz w:val="32"/>
          <w:szCs w:val="32"/>
        </w:rPr>
        <w:t>前   言</w:t>
      </w:r>
      <w:bookmarkEnd w:id="0"/>
      <w:bookmarkEnd w:id="1"/>
      <w:bookmarkEnd w:id="2"/>
      <w:bookmarkEnd w:id="3"/>
      <w:bookmarkEnd w:id="4"/>
    </w:p>
    <w:p>
      <w:pPr>
        <w:adjustRightInd w:val="0"/>
        <w:spacing w:line="440" w:lineRule="exact"/>
        <w:ind w:firstLine="480" w:firstLineChars="200"/>
        <w:rPr>
          <w:rFonts w:ascii="Times New Roman" w:hAnsi="Times New Roman"/>
          <w:szCs w:val="24"/>
        </w:rPr>
      </w:pPr>
      <w:r>
        <w:rPr>
          <w:rFonts w:ascii="Times New Roman" w:hAnsi="Times New Roman"/>
          <w:szCs w:val="24"/>
        </w:rPr>
        <w:t>纳林希里矿区位于内蒙古自治区鄂尔多斯市境内，</w:t>
      </w:r>
      <w:bookmarkStart w:id="5" w:name="_Hlk119071142"/>
      <w:r>
        <w:rPr>
          <w:rFonts w:ascii="Times New Roman" w:hAnsi="Times New Roman"/>
          <w:szCs w:val="24"/>
        </w:rPr>
        <w:t>行政区划隶属于内蒙古自治区鄂尔多斯市伊金霍洛旗苏布尔噶镇、红庆河镇及杭锦旗锡尼镇管辖</w:t>
      </w:r>
      <w:bookmarkEnd w:id="5"/>
      <w:r>
        <w:rPr>
          <w:rFonts w:ascii="Times New Roman" w:hAnsi="Times New Roman"/>
          <w:szCs w:val="24"/>
        </w:rPr>
        <w:t>。本区西距杭锦旗旗政府所在地锡尼镇约60km，东距伊金霍洛旗旗政府所在地阿勒腾席热镇约40km，距鄂尔多斯市东胜区约70km。矿区东界与高头窑矿区相接，南界与呼吉尔特矿区相接，北界与塔然高勒矿区及生态保护红线相接。</w:t>
      </w:r>
    </w:p>
    <w:p>
      <w:pPr>
        <w:adjustRightInd w:val="0"/>
        <w:spacing w:line="440" w:lineRule="exact"/>
        <w:ind w:firstLine="480" w:firstLineChars="200"/>
        <w:rPr>
          <w:rFonts w:ascii="Times New Roman" w:hAnsi="Times New Roman"/>
          <w:szCs w:val="24"/>
        </w:rPr>
      </w:pPr>
      <w:r>
        <w:rPr>
          <w:rFonts w:ascii="Times New Roman" w:hAnsi="Times New Roman"/>
          <w:szCs w:val="24"/>
        </w:rPr>
        <w:t>受内蒙古自治区发展和改革委员会的委托，2008年12月中煤国际工程集团沈阳设计研究院编制完成了《内蒙古自治区东胜煤田纳林希里煤炭矿区总体规划》（简称《总体规划》），该规划编制的主要设计依据是2008年5月内蒙古自治区地质调查院提交的《内蒙古自治区东胜煤田纳林希里煤炭普查报告》，纳林希里普查区面积1105.70km</w:t>
      </w:r>
      <w:r>
        <w:rPr>
          <w:rFonts w:ascii="Times New Roman" w:hAnsi="Times New Roman"/>
          <w:szCs w:val="24"/>
          <w:vertAlign w:val="superscript"/>
        </w:rPr>
        <w:t>2</w:t>
      </w:r>
      <w:r>
        <w:rPr>
          <w:rFonts w:ascii="Times New Roman" w:hAnsi="Times New Roman"/>
          <w:szCs w:val="24"/>
        </w:rPr>
        <w:t>，《总体规划》矿区南北最长42.8km，东西最宽32.6km，面积1184.3km</w:t>
      </w:r>
      <w:r>
        <w:rPr>
          <w:rFonts w:ascii="Times New Roman" w:hAnsi="Times New Roman"/>
          <w:szCs w:val="24"/>
          <w:vertAlign w:val="superscript"/>
        </w:rPr>
        <w:t>2</w:t>
      </w:r>
      <w:r>
        <w:rPr>
          <w:rFonts w:ascii="Times New Roman" w:hAnsi="Times New Roman"/>
          <w:szCs w:val="24"/>
        </w:rPr>
        <w:t>。2014年3月，中煤科工集团北京华宇工程有限公司根据《内蒙古自治区东胜煤田纳林希里矿区煤炭地质资料汇编报告》完成了《总体规划》（补充修改版），对矿区范围进行了调整。</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2021年，中煤科工集团北京华宇工程有限公司结合地方生态红线划定情况及审查后的矿区地质汇编报告，对矿区总体规划进行了调整完善。矿区由北向南共划分4个井田（奎腾沟井田8.00Mt/a、苏布尔嘎井田8.00Mt/a、壕赖苏井田8.00Mt/a、纳林希里井田8.00Mt/a），矿区西部普查区划分为1个勘查区，4个井田总规模32.00Mt/a。矿区南北平均长38.1km，东西平均宽17.8km，矿区总面积</w:t>
      </w:r>
      <w:bookmarkStart w:id="6" w:name="_Hlk119071177"/>
      <w:r>
        <w:rPr>
          <w:rFonts w:ascii="Times New Roman" w:hAnsi="Times New Roman"/>
          <w:szCs w:val="24"/>
        </w:rPr>
        <w:t>708.16km</w:t>
      </w:r>
      <w:r>
        <w:rPr>
          <w:rFonts w:ascii="Times New Roman" w:hAnsi="Times New Roman"/>
          <w:szCs w:val="24"/>
          <w:vertAlign w:val="superscript"/>
        </w:rPr>
        <w:t>2</w:t>
      </w:r>
      <w:r>
        <w:rPr>
          <w:rFonts w:ascii="Times New Roman" w:hAnsi="Times New Roman"/>
          <w:szCs w:val="24"/>
        </w:rPr>
        <w:t>，</w:t>
      </w:r>
      <w:bookmarkEnd w:id="6"/>
      <w:r>
        <w:rPr>
          <w:rFonts w:ascii="Times New Roman" w:hAnsi="Times New Roman"/>
          <w:szCs w:val="24"/>
        </w:rPr>
        <w:t>资源总量13658.769Mt，可采储量</w:t>
      </w:r>
      <w:r>
        <w:rPr>
          <w:rFonts w:ascii="Times New Roman" w:hAnsi="Times New Roman" w:eastAsia="汉鼎简书宋"/>
          <w:szCs w:val="21"/>
        </w:rPr>
        <w:t>5198.18</w:t>
      </w:r>
      <w:r>
        <w:rPr>
          <w:rFonts w:ascii="Times New Roman" w:hAnsi="Times New Roman"/>
          <w:szCs w:val="24"/>
        </w:rPr>
        <w:t>Mt。</w:t>
      </w:r>
    </w:p>
    <w:p>
      <w:pPr>
        <w:adjustRightInd w:val="0"/>
        <w:spacing w:line="440" w:lineRule="exact"/>
        <w:ind w:firstLine="480" w:firstLineChars="200"/>
        <w:rPr>
          <w:rFonts w:ascii="Times New Roman" w:hAnsi="Times New Roman"/>
          <w:szCs w:val="24"/>
        </w:rPr>
      </w:pPr>
      <w:r>
        <w:rPr>
          <w:rFonts w:ascii="Times New Roman" w:hAnsi="Times New Roman"/>
          <w:szCs w:val="24"/>
        </w:rPr>
        <w:t>为进一步完善矿区总体规划，有效指导矿区的建设，促进地区经济可持续发展，鄂尔多斯市能源局委托中煤科工集团北京华宇工程有限公司承担该规划环境影响报告书编制工作。接受委托后，我公司组织技术人员进行了现场调查和资料收集，对规划方案进行了分析和环境影响识别，深入了解区域环境现状和矿区开发重要的资源环境制约因素，开展了水资源、生态环境承载能力分析，从环境保护的角度，对规划的规模、布局、建设时序等进行了优化与调整，并开展了公众参与调查，在此基础上于2022年9月编制完成了《内蒙古自治区鄂尔多斯纳林希里矿区总体规划环境影响报告书》，并上报生态环境部。</w:t>
      </w:r>
    </w:p>
    <w:p>
      <w:pPr>
        <w:adjustRightInd w:val="0"/>
        <w:spacing w:line="440" w:lineRule="exact"/>
        <w:ind w:firstLine="480" w:firstLineChars="200"/>
        <w:rPr>
          <w:rFonts w:ascii="Times New Roman" w:hAnsi="Times New Roman"/>
          <w:szCs w:val="24"/>
        </w:rPr>
      </w:pPr>
      <w:r>
        <w:rPr>
          <w:rFonts w:ascii="Times New Roman" w:hAnsi="Times New Roman"/>
          <w:szCs w:val="24"/>
        </w:rPr>
        <w:t>在报告书编制过程中，我们得到了</w:t>
      </w:r>
      <w:r>
        <w:rPr>
          <w:rFonts w:ascii="Times New Roman" w:hAnsi="Times New Roman"/>
        </w:rPr>
        <w:t>内蒙古自治区能源局、</w:t>
      </w:r>
      <w:r>
        <w:rPr>
          <w:rFonts w:ascii="Times New Roman" w:hAnsi="Times New Roman"/>
          <w:szCs w:val="24"/>
        </w:rPr>
        <w:t>内蒙古自治区生态环境厅、鄂尔多斯市能源局、生态环境局、自然资源局、水利局等</w:t>
      </w:r>
      <w:r>
        <w:rPr>
          <w:rFonts w:ascii="Times New Roman" w:hAnsi="Times New Roman"/>
        </w:rPr>
        <w:t>政府部门以及各业主单位的大力支持，</w:t>
      </w:r>
      <w:r>
        <w:rPr>
          <w:rFonts w:ascii="Times New Roman" w:hAnsi="Times New Roman"/>
          <w:szCs w:val="24"/>
        </w:rPr>
        <w:t>在此一并致谢。</w:t>
      </w:r>
    </w:p>
    <w:sdt>
      <w:sdtPr>
        <w:rPr>
          <w:rFonts w:ascii="Times New Roman" w:hAnsi="Times New Roman" w:eastAsia="仿宋_GB2312"/>
          <w:b/>
          <w:bCs/>
          <w:color w:val="000000"/>
          <w:kern w:val="0"/>
          <w:sz w:val="28"/>
          <w:szCs w:val="24"/>
        </w:rPr>
        <w:id w:val="147455310"/>
        <w:docPartObj>
          <w:docPartGallery w:val="Table of Contents"/>
          <w:docPartUnique/>
        </w:docPartObj>
      </w:sdtPr>
      <w:sdtEndPr>
        <w:rPr>
          <w:rFonts w:ascii="Times New Roman" w:hAnsi="Times New Roman" w:eastAsia="仿宋_GB2312"/>
          <w:b/>
          <w:bCs/>
          <w:color w:val="000000"/>
          <w:kern w:val="0"/>
          <w:sz w:val="24"/>
          <w:szCs w:val="24"/>
        </w:rPr>
      </w:sdtEndPr>
      <w:sdtContent>
        <w:p>
          <w:pPr>
            <w:jc w:val="center"/>
            <w:rPr>
              <w:rFonts w:ascii="Times New Roman" w:hAnsi="Times New Roman"/>
              <w:b/>
              <w:bCs/>
              <w:sz w:val="36"/>
              <w:szCs w:val="24"/>
            </w:rPr>
          </w:pPr>
          <w:r>
            <w:rPr>
              <w:rFonts w:ascii="Times New Roman" w:hAnsi="Times New Roman"/>
              <w:b/>
              <w:bCs/>
              <w:sz w:val="28"/>
              <w:szCs w:val="24"/>
            </w:rPr>
            <w:t>目  录</w:t>
          </w:r>
        </w:p>
        <w:p>
          <w:pPr>
            <w:pStyle w:val="922"/>
            <w:tabs>
              <w:tab w:val="right" w:leader="dot" w:pos="9071"/>
            </w:tabs>
            <w:spacing w:line="440" w:lineRule="exact"/>
            <w:rPr>
              <w:b/>
              <w:sz w:val="24"/>
              <w:szCs w:val="24"/>
            </w:rPr>
          </w:pPr>
          <w:r>
            <w:fldChar w:fldCharType="begin"/>
          </w:r>
          <w:r>
            <w:instrText xml:space="preserve">TOC \o "1-2" \h \u </w:instrText>
          </w:r>
          <w:r>
            <w:fldChar w:fldCharType="separate"/>
          </w:r>
          <w:r>
            <w:fldChar w:fldCharType="begin"/>
          </w:r>
          <w:r>
            <w:instrText xml:space="preserve"> HYPERLINK \l "_Toc22769" </w:instrText>
          </w:r>
          <w:r>
            <w:fldChar w:fldCharType="separate"/>
          </w:r>
          <w:r>
            <w:rPr>
              <w:b/>
              <w:sz w:val="24"/>
              <w:szCs w:val="24"/>
            </w:rPr>
            <w:t>1 总 则</w:t>
          </w:r>
          <w:r>
            <w:rPr>
              <w:b/>
              <w:sz w:val="24"/>
              <w:szCs w:val="24"/>
            </w:rPr>
            <w:tab/>
          </w:r>
          <w:r>
            <w:rPr>
              <w:b/>
              <w:sz w:val="24"/>
              <w:szCs w:val="24"/>
            </w:rPr>
            <w:fldChar w:fldCharType="begin"/>
          </w:r>
          <w:r>
            <w:rPr>
              <w:b/>
              <w:sz w:val="24"/>
              <w:szCs w:val="24"/>
            </w:rPr>
            <w:instrText xml:space="preserve"> PAGEREF _Toc22769 \h </w:instrText>
          </w:r>
          <w:r>
            <w:rPr>
              <w:b/>
              <w:sz w:val="24"/>
              <w:szCs w:val="24"/>
            </w:rPr>
            <w:fldChar w:fldCharType="separate"/>
          </w:r>
          <w:r>
            <w:rPr>
              <w:b/>
              <w:sz w:val="24"/>
              <w:szCs w:val="24"/>
            </w:rPr>
            <w:t>1</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"_Toc13171" </w:instrText>
          </w:r>
          <w:r>
            <w:fldChar w:fldCharType="separate"/>
          </w:r>
          <w:r>
            <w:rPr>
              <w:sz w:val="24"/>
              <w:szCs w:val="24"/>
            </w:rPr>
            <w:t>1.1评价目的与原则</w:t>
          </w:r>
          <w:r>
            <w:rPr>
              <w:sz w:val="24"/>
              <w:szCs w:val="24"/>
            </w:rPr>
            <w:tab/>
          </w:r>
          <w:r>
            <w:rPr>
              <w:sz w:val="24"/>
              <w:szCs w:val="24"/>
            </w:rPr>
            <w:fldChar w:fldCharType="begin"/>
          </w:r>
          <w:r>
            <w:rPr>
              <w:sz w:val="24"/>
              <w:szCs w:val="24"/>
            </w:rPr>
            <w:instrText xml:space="preserve"> PAGEREF _Toc13171 \h </w:instrText>
          </w:r>
          <w:r>
            <w:rPr>
              <w:sz w:val="24"/>
              <w:szCs w:val="24"/>
            </w:rPr>
            <w:fldChar w:fldCharType="separate"/>
          </w:r>
          <w:r>
            <w:rPr>
              <w:sz w:val="24"/>
              <w:szCs w:val="24"/>
            </w:rPr>
            <w:t>1</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"_Toc20283" </w:instrText>
          </w:r>
          <w:r>
            <w:fldChar w:fldCharType="separate"/>
          </w:r>
          <w:r>
            <w:rPr>
              <w:sz w:val="24"/>
              <w:szCs w:val="24"/>
            </w:rPr>
            <w:t>1.2 编制依据</w:t>
          </w:r>
          <w:r>
            <w:rPr>
              <w:sz w:val="24"/>
              <w:szCs w:val="24"/>
            </w:rPr>
            <w:tab/>
          </w:r>
          <w:r>
            <w:rPr>
              <w:sz w:val="24"/>
              <w:szCs w:val="24"/>
            </w:rPr>
            <w:fldChar w:fldCharType="begin"/>
          </w:r>
          <w:r>
            <w:rPr>
              <w:sz w:val="24"/>
              <w:szCs w:val="24"/>
            </w:rPr>
            <w:instrText xml:space="preserve"> PAGEREF _Toc20283 \h </w:instrText>
          </w:r>
          <w:r>
            <w:rPr>
              <w:sz w:val="24"/>
              <w:szCs w:val="24"/>
            </w:rPr>
            <w:fldChar w:fldCharType="separate"/>
          </w:r>
          <w:r>
            <w:rPr>
              <w:sz w:val="24"/>
              <w:szCs w:val="24"/>
            </w:rPr>
            <w:t>2</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"_Toc20138" </w:instrText>
          </w:r>
          <w:r>
            <w:fldChar w:fldCharType="separate"/>
          </w:r>
          <w:r>
            <w:rPr>
              <w:sz w:val="24"/>
              <w:szCs w:val="24"/>
            </w:rPr>
            <w:t>1.3评价范围与时段</w:t>
          </w:r>
          <w:r>
            <w:rPr>
              <w:sz w:val="24"/>
              <w:szCs w:val="24"/>
            </w:rPr>
            <w:tab/>
          </w:r>
          <w:r>
            <w:rPr>
              <w:sz w:val="24"/>
              <w:szCs w:val="24"/>
            </w:rPr>
            <w:fldChar w:fldCharType="begin"/>
          </w:r>
          <w:r>
            <w:rPr>
              <w:sz w:val="24"/>
              <w:szCs w:val="24"/>
            </w:rPr>
            <w:instrText xml:space="preserve"> PAGEREF _Toc20138 \h </w:instrText>
          </w:r>
          <w:r>
            <w:rPr>
              <w:sz w:val="24"/>
              <w:szCs w:val="24"/>
            </w:rPr>
            <w:fldChar w:fldCharType="separate"/>
          </w:r>
          <w:r>
            <w:rPr>
              <w:sz w:val="24"/>
              <w:szCs w:val="24"/>
            </w:rPr>
            <w:t>7</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"_Toc6646" </w:instrText>
          </w:r>
          <w:r>
            <w:fldChar w:fldCharType="separate"/>
          </w:r>
          <w:r>
            <w:rPr>
              <w:sz w:val="24"/>
              <w:szCs w:val="24"/>
            </w:rPr>
            <w:t>1.4环境功能区划及评价标准</w:t>
          </w:r>
          <w:r>
            <w:rPr>
              <w:sz w:val="24"/>
              <w:szCs w:val="24"/>
            </w:rPr>
            <w:tab/>
          </w:r>
          <w:r>
            <w:rPr>
              <w:sz w:val="24"/>
              <w:szCs w:val="24"/>
            </w:rPr>
            <w:fldChar w:fldCharType="begin"/>
          </w:r>
          <w:r>
            <w:rPr>
              <w:sz w:val="24"/>
              <w:szCs w:val="24"/>
            </w:rPr>
            <w:instrText xml:space="preserve"> PAGEREF _Toc6646 \h </w:instrText>
          </w:r>
          <w:r>
            <w:rPr>
              <w:sz w:val="24"/>
              <w:szCs w:val="24"/>
            </w:rPr>
            <w:fldChar w:fldCharType="separate"/>
          </w:r>
          <w:r>
            <w:rPr>
              <w:sz w:val="24"/>
              <w:szCs w:val="24"/>
            </w:rPr>
            <w:t>8</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"_Toc21881" </w:instrText>
          </w:r>
          <w:r>
            <w:fldChar w:fldCharType="separate"/>
          </w:r>
          <w:r>
            <w:rPr>
              <w:sz w:val="24"/>
              <w:szCs w:val="24"/>
            </w:rPr>
            <w:t>1.5 环境保护目标</w:t>
          </w:r>
          <w:r>
            <w:rPr>
              <w:sz w:val="24"/>
              <w:szCs w:val="24"/>
            </w:rPr>
            <w:tab/>
          </w:r>
          <w:r>
            <w:rPr>
              <w:sz w:val="24"/>
              <w:szCs w:val="24"/>
            </w:rPr>
            <w:fldChar w:fldCharType="begin"/>
          </w:r>
          <w:r>
            <w:rPr>
              <w:sz w:val="24"/>
              <w:szCs w:val="24"/>
            </w:rPr>
            <w:instrText xml:space="preserve"> PAGEREF _Toc21881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"_Toc7215" </w:instrText>
          </w:r>
          <w:r>
            <w:fldChar w:fldCharType="separate"/>
          </w:r>
          <w:r>
            <w:rPr>
              <w:sz w:val="24"/>
              <w:szCs w:val="24"/>
            </w:rPr>
            <w:t>1.6 评价重点</w:t>
          </w:r>
          <w:r>
            <w:rPr>
              <w:sz w:val="24"/>
              <w:szCs w:val="24"/>
            </w:rPr>
            <w:tab/>
          </w:r>
          <w:r>
            <w:rPr>
              <w:sz w:val="24"/>
              <w:szCs w:val="24"/>
            </w:rPr>
            <w:fldChar w:fldCharType="begin"/>
          </w:r>
          <w:r>
            <w:rPr>
              <w:sz w:val="24"/>
              <w:szCs w:val="24"/>
            </w:rPr>
            <w:instrText xml:space="preserve"> PAGEREF _Toc7215 \h </w:instrText>
          </w:r>
          <w:r>
            <w:rPr>
              <w:sz w:val="24"/>
              <w:szCs w:val="24"/>
            </w:rPr>
            <w:fldChar w:fldCharType="separate"/>
          </w:r>
          <w:r>
            <w:rPr>
              <w:sz w:val="24"/>
              <w:szCs w:val="24"/>
            </w:rPr>
            <w:t>18</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"_Toc10239" </w:instrText>
          </w:r>
          <w:r>
            <w:fldChar w:fldCharType="separate"/>
          </w:r>
          <w:r>
            <w:rPr>
              <w:sz w:val="24"/>
              <w:szCs w:val="24"/>
            </w:rPr>
            <w:t>1.7 评价方法</w:t>
          </w:r>
          <w:r>
            <w:rPr>
              <w:sz w:val="24"/>
              <w:szCs w:val="24"/>
            </w:rPr>
            <w:tab/>
          </w:r>
          <w:r>
            <w:rPr>
              <w:sz w:val="24"/>
              <w:szCs w:val="24"/>
            </w:rPr>
            <w:fldChar w:fldCharType="begin"/>
          </w:r>
          <w:r>
            <w:rPr>
              <w:sz w:val="24"/>
              <w:szCs w:val="24"/>
            </w:rPr>
            <w:instrText xml:space="preserve"> PAGEREF _Toc10239 \h </w:instrText>
          </w:r>
          <w:r>
            <w:rPr>
              <w:sz w:val="24"/>
              <w:szCs w:val="24"/>
            </w:rPr>
            <w:fldChar w:fldCharType="separate"/>
          </w:r>
          <w:r>
            <w:rPr>
              <w:sz w:val="24"/>
              <w:szCs w:val="24"/>
            </w:rPr>
            <w:t>18</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"_Toc16806" </w:instrText>
          </w:r>
          <w:r>
            <w:fldChar w:fldCharType="separate"/>
          </w:r>
          <w:r>
            <w:rPr>
              <w:sz w:val="24"/>
              <w:szCs w:val="24"/>
            </w:rPr>
            <w:t>1.8 评价工作程序</w:t>
          </w:r>
          <w:r>
            <w:rPr>
              <w:sz w:val="24"/>
              <w:szCs w:val="24"/>
            </w:rPr>
            <w:tab/>
          </w:r>
          <w:r>
            <w:rPr>
              <w:sz w:val="24"/>
              <w:szCs w:val="24"/>
            </w:rPr>
            <w:fldChar w:fldCharType="begin"/>
          </w:r>
          <w:r>
            <w:rPr>
              <w:sz w:val="24"/>
              <w:szCs w:val="24"/>
            </w:rPr>
            <w:instrText xml:space="preserve"> PAGEREF _Toc16806 \h </w:instrText>
          </w:r>
          <w:r>
            <w:rPr>
              <w:sz w:val="24"/>
              <w:szCs w:val="24"/>
            </w:rPr>
            <w:fldChar w:fldCharType="separate"/>
          </w:r>
          <w:r>
            <w:rPr>
              <w:sz w:val="24"/>
              <w:szCs w:val="24"/>
            </w:rPr>
            <w:t>19</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"_Toc26263" </w:instrText>
          </w:r>
          <w:r>
            <w:fldChar w:fldCharType="separate"/>
          </w:r>
          <w:r>
            <w:rPr>
              <w:b/>
              <w:sz w:val="24"/>
              <w:szCs w:val="24"/>
            </w:rPr>
            <w:t>2 规划方案概述及分析</w:t>
          </w:r>
          <w:r>
            <w:rPr>
              <w:b/>
              <w:sz w:val="24"/>
              <w:szCs w:val="24"/>
            </w:rPr>
            <w:tab/>
          </w:r>
          <w:r>
            <w:rPr>
              <w:b/>
              <w:sz w:val="24"/>
              <w:szCs w:val="24"/>
            </w:rPr>
            <w:fldChar w:fldCharType="begin"/>
          </w:r>
          <w:r>
            <w:rPr>
              <w:b/>
              <w:sz w:val="24"/>
              <w:szCs w:val="24"/>
            </w:rPr>
            <w:instrText xml:space="preserve"> PAGEREF _Toc26263 \h </w:instrText>
          </w:r>
          <w:r>
            <w:rPr>
              <w:b/>
              <w:sz w:val="24"/>
              <w:szCs w:val="24"/>
            </w:rPr>
            <w:fldChar w:fldCharType="separate"/>
          </w:r>
          <w:r>
            <w:rPr>
              <w:b/>
              <w:sz w:val="24"/>
              <w:szCs w:val="24"/>
            </w:rPr>
            <w:t>21</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"_Toc26242" </w:instrText>
          </w:r>
          <w:r>
            <w:fldChar w:fldCharType="separate"/>
          </w:r>
          <w:r>
            <w:rPr>
              <w:sz w:val="24"/>
              <w:szCs w:val="24"/>
            </w:rPr>
            <w:t>2.1 规划概述</w:t>
          </w:r>
          <w:r>
            <w:rPr>
              <w:sz w:val="24"/>
              <w:szCs w:val="24"/>
            </w:rPr>
            <w:tab/>
          </w:r>
          <w:r>
            <w:rPr>
              <w:sz w:val="24"/>
              <w:szCs w:val="24"/>
            </w:rPr>
            <w:fldChar w:fldCharType="begin"/>
          </w:r>
          <w:r>
            <w:rPr>
              <w:sz w:val="24"/>
              <w:szCs w:val="24"/>
            </w:rPr>
            <w:instrText xml:space="preserve"> PAGEREF _Toc26242 \h </w:instrText>
          </w:r>
          <w:r>
            <w:rPr>
              <w:sz w:val="24"/>
              <w:szCs w:val="24"/>
            </w:rPr>
            <w:fldChar w:fldCharType="separate"/>
          </w:r>
          <w:r>
            <w:rPr>
              <w:sz w:val="24"/>
              <w:szCs w:val="24"/>
            </w:rPr>
            <w:t>21</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"_Toc3388" </w:instrText>
          </w:r>
          <w:r>
            <w:fldChar w:fldCharType="separate"/>
          </w:r>
          <w:r>
            <w:rPr>
              <w:sz w:val="24"/>
              <w:szCs w:val="24"/>
            </w:rPr>
            <w:t>2.2 规划协调性分析</w:t>
          </w:r>
          <w:r>
            <w:rPr>
              <w:sz w:val="24"/>
              <w:szCs w:val="24"/>
            </w:rPr>
            <w:tab/>
          </w:r>
          <w:r>
            <w:rPr>
              <w:sz w:val="24"/>
              <w:szCs w:val="24"/>
            </w:rPr>
            <w:fldChar w:fldCharType="begin"/>
          </w:r>
          <w:r>
            <w:rPr>
              <w:sz w:val="24"/>
              <w:szCs w:val="24"/>
            </w:rPr>
            <w:instrText xml:space="preserve"> PAGEREF _Toc3388 \h </w:instrText>
          </w:r>
          <w:r>
            <w:rPr>
              <w:sz w:val="24"/>
              <w:szCs w:val="24"/>
            </w:rPr>
            <w:fldChar w:fldCharType="separate"/>
          </w:r>
          <w:r>
            <w:rPr>
              <w:sz w:val="24"/>
              <w:szCs w:val="24"/>
            </w:rPr>
            <w:t>45</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"_Toc3474" </w:instrText>
          </w:r>
          <w:r>
            <w:fldChar w:fldCharType="separate"/>
          </w:r>
          <w:r>
            <w:rPr>
              <w:b/>
              <w:sz w:val="24"/>
              <w:szCs w:val="24"/>
            </w:rPr>
            <w:t>3 区域自然环境和社会经济概况</w:t>
          </w:r>
          <w:r>
            <w:rPr>
              <w:b/>
              <w:sz w:val="24"/>
              <w:szCs w:val="24"/>
            </w:rPr>
            <w:tab/>
          </w:r>
          <w:r>
            <w:rPr>
              <w:b/>
              <w:sz w:val="24"/>
              <w:szCs w:val="24"/>
            </w:rPr>
            <w:fldChar w:fldCharType="begin"/>
          </w:r>
          <w:r>
            <w:rPr>
              <w:b/>
              <w:sz w:val="24"/>
              <w:szCs w:val="24"/>
            </w:rPr>
            <w:instrText xml:space="preserve"> PAGEREF _Toc3474 \h </w:instrText>
          </w:r>
          <w:r>
            <w:rPr>
              <w:b/>
              <w:sz w:val="24"/>
              <w:szCs w:val="24"/>
            </w:rPr>
            <w:fldChar w:fldCharType="separate"/>
          </w:r>
          <w:r>
            <w:rPr>
              <w:b/>
              <w:sz w:val="24"/>
              <w:szCs w:val="24"/>
            </w:rPr>
            <w:t>58</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"_Toc14129" </w:instrText>
          </w:r>
          <w:r>
            <w:fldChar w:fldCharType="separate"/>
          </w:r>
          <w:r>
            <w:rPr>
              <w:sz w:val="24"/>
              <w:szCs w:val="24"/>
            </w:rPr>
            <w:t>3.1 自然环境概况</w:t>
          </w:r>
          <w:r>
            <w:rPr>
              <w:sz w:val="24"/>
              <w:szCs w:val="24"/>
            </w:rPr>
            <w:tab/>
          </w:r>
          <w:r>
            <w:rPr>
              <w:sz w:val="24"/>
              <w:szCs w:val="24"/>
            </w:rPr>
            <w:fldChar w:fldCharType="begin"/>
          </w:r>
          <w:r>
            <w:rPr>
              <w:sz w:val="24"/>
              <w:szCs w:val="24"/>
            </w:rPr>
            <w:instrText xml:space="preserve"> PAGEREF _Toc14129 \h </w:instrText>
          </w:r>
          <w:r>
            <w:rPr>
              <w:sz w:val="24"/>
              <w:szCs w:val="24"/>
            </w:rPr>
            <w:fldChar w:fldCharType="separate"/>
          </w:r>
          <w:r>
            <w:rPr>
              <w:sz w:val="24"/>
              <w:szCs w:val="24"/>
            </w:rPr>
            <w:t>58</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"_Toc25051" </w:instrText>
          </w:r>
          <w:r>
            <w:fldChar w:fldCharType="separate"/>
          </w:r>
          <w:r>
            <w:rPr>
              <w:sz w:val="24"/>
              <w:szCs w:val="24"/>
            </w:rPr>
            <w:t>3.2社会经济概况</w:t>
          </w:r>
          <w:r>
            <w:rPr>
              <w:sz w:val="24"/>
              <w:szCs w:val="24"/>
            </w:rPr>
            <w:tab/>
          </w:r>
          <w:r>
            <w:rPr>
              <w:sz w:val="24"/>
              <w:szCs w:val="24"/>
            </w:rPr>
            <w:fldChar w:fldCharType="begin"/>
          </w:r>
          <w:r>
            <w:rPr>
              <w:sz w:val="24"/>
              <w:szCs w:val="24"/>
            </w:rPr>
            <w:instrText xml:space="preserve"> PAGEREF _Toc25051 \h </w:instrText>
          </w:r>
          <w:r>
            <w:rPr>
              <w:sz w:val="24"/>
              <w:szCs w:val="24"/>
            </w:rPr>
            <w:fldChar w:fldCharType="separate"/>
          </w:r>
          <w:r>
            <w:rPr>
              <w:sz w:val="24"/>
              <w:szCs w:val="24"/>
            </w:rPr>
            <w:t>59</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"_Toc13562" </w:instrText>
          </w:r>
          <w:r>
            <w:fldChar w:fldCharType="separate"/>
          </w:r>
          <w:r>
            <w:rPr>
              <w:sz w:val="24"/>
              <w:szCs w:val="24"/>
            </w:rPr>
            <w:t>3.3 矿区开发现状</w:t>
          </w:r>
          <w:r>
            <w:rPr>
              <w:sz w:val="24"/>
              <w:szCs w:val="24"/>
            </w:rPr>
            <w:tab/>
          </w:r>
          <w:r>
            <w:rPr>
              <w:sz w:val="24"/>
              <w:szCs w:val="24"/>
            </w:rPr>
            <w:fldChar w:fldCharType="begin"/>
          </w:r>
          <w:r>
            <w:rPr>
              <w:sz w:val="24"/>
              <w:szCs w:val="24"/>
            </w:rPr>
            <w:instrText xml:space="preserve"> PAGEREF _Toc13562 \h </w:instrText>
          </w:r>
          <w:r>
            <w:rPr>
              <w:sz w:val="24"/>
              <w:szCs w:val="24"/>
            </w:rPr>
            <w:fldChar w:fldCharType="separate"/>
          </w:r>
          <w:r>
            <w:rPr>
              <w:sz w:val="24"/>
              <w:szCs w:val="24"/>
            </w:rPr>
            <w:t>60</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"_Toc9530" </w:instrText>
          </w:r>
          <w:r>
            <w:fldChar w:fldCharType="separate"/>
          </w:r>
          <w:r>
            <w:rPr>
              <w:sz w:val="24"/>
              <w:szCs w:val="24"/>
            </w:rPr>
            <w:t>3.4 矿区环境质量现状调查与评价</w:t>
          </w:r>
          <w:r>
            <w:rPr>
              <w:sz w:val="24"/>
              <w:szCs w:val="24"/>
            </w:rPr>
            <w:tab/>
          </w:r>
          <w:r>
            <w:rPr>
              <w:sz w:val="24"/>
              <w:szCs w:val="24"/>
            </w:rPr>
            <w:fldChar w:fldCharType="begin"/>
          </w:r>
          <w:r>
            <w:rPr>
              <w:sz w:val="24"/>
              <w:szCs w:val="24"/>
            </w:rPr>
            <w:instrText xml:space="preserve"> PAGEREF _Toc9530 \h </w:instrText>
          </w:r>
          <w:r>
            <w:rPr>
              <w:sz w:val="24"/>
              <w:szCs w:val="24"/>
            </w:rPr>
            <w:fldChar w:fldCharType="separate"/>
          </w:r>
          <w:r>
            <w:rPr>
              <w:sz w:val="24"/>
              <w:szCs w:val="24"/>
            </w:rPr>
            <w:t>61</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"_Toc11990" </w:instrText>
          </w:r>
          <w:r>
            <w:fldChar w:fldCharType="separate"/>
          </w:r>
          <w:r>
            <w:rPr>
              <w:sz w:val="24"/>
              <w:szCs w:val="24"/>
            </w:rPr>
            <w:t>3.5 矿区生态环境现状调查与评价</w:t>
          </w:r>
          <w:r>
            <w:rPr>
              <w:sz w:val="24"/>
              <w:szCs w:val="24"/>
            </w:rPr>
            <w:tab/>
          </w:r>
          <w:r>
            <w:rPr>
              <w:sz w:val="24"/>
              <w:szCs w:val="24"/>
            </w:rPr>
            <w:fldChar w:fldCharType="begin"/>
          </w:r>
          <w:r>
            <w:rPr>
              <w:sz w:val="24"/>
              <w:szCs w:val="24"/>
            </w:rPr>
            <w:instrText xml:space="preserve"> PAGEREF _Toc11990 \h </w:instrText>
          </w:r>
          <w:r>
            <w:rPr>
              <w:sz w:val="24"/>
              <w:szCs w:val="24"/>
            </w:rPr>
            <w:fldChar w:fldCharType="separate"/>
          </w:r>
          <w:r>
            <w:rPr>
              <w:sz w:val="24"/>
              <w:szCs w:val="24"/>
            </w:rPr>
            <w:t>89</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"_Toc32093" </w:instrText>
          </w:r>
          <w:r>
            <w:fldChar w:fldCharType="separate"/>
          </w:r>
          <w:r>
            <w:rPr>
              <w:b/>
              <w:sz w:val="24"/>
              <w:szCs w:val="24"/>
            </w:rPr>
            <w:t>4 环境影响识别与评价指标体系</w:t>
          </w:r>
          <w:r>
            <w:rPr>
              <w:b/>
              <w:sz w:val="24"/>
              <w:szCs w:val="24"/>
            </w:rPr>
            <w:tab/>
          </w:r>
          <w:r>
            <w:rPr>
              <w:b/>
              <w:sz w:val="24"/>
              <w:szCs w:val="24"/>
            </w:rPr>
            <w:fldChar w:fldCharType="begin"/>
          </w:r>
          <w:r>
            <w:rPr>
              <w:b/>
              <w:sz w:val="24"/>
              <w:szCs w:val="24"/>
            </w:rPr>
            <w:instrText xml:space="preserve"> PAGEREF _Toc32093 \h </w:instrText>
          </w:r>
          <w:r>
            <w:rPr>
              <w:b/>
              <w:sz w:val="24"/>
              <w:szCs w:val="24"/>
            </w:rPr>
            <w:fldChar w:fldCharType="separate"/>
          </w:r>
          <w:r>
            <w:rPr>
              <w:b/>
              <w:sz w:val="24"/>
              <w:szCs w:val="24"/>
            </w:rPr>
            <w:t>121</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"_Toc8291" </w:instrText>
          </w:r>
          <w:r>
            <w:fldChar w:fldCharType="separate"/>
          </w:r>
          <w:r>
            <w:rPr>
              <w:sz w:val="24"/>
              <w:szCs w:val="24"/>
            </w:rPr>
            <w:t>4.1环境影响识别</w:t>
          </w:r>
          <w:r>
            <w:rPr>
              <w:sz w:val="24"/>
              <w:szCs w:val="24"/>
            </w:rPr>
            <w:tab/>
          </w:r>
          <w:r>
            <w:rPr>
              <w:sz w:val="24"/>
              <w:szCs w:val="24"/>
            </w:rPr>
            <w:fldChar w:fldCharType="begin"/>
          </w:r>
          <w:r>
            <w:rPr>
              <w:sz w:val="24"/>
              <w:szCs w:val="24"/>
            </w:rPr>
            <w:instrText xml:space="preserve"> PAGEREF _Toc8291 \h </w:instrText>
          </w:r>
          <w:r>
            <w:rPr>
              <w:sz w:val="24"/>
              <w:szCs w:val="24"/>
            </w:rPr>
            <w:fldChar w:fldCharType="separate"/>
          </w:r>
          <w:r>
            <w:rPr>
              <w:sz w:val="24"/>
              <w:szCs w:val="24"/>
            </w:rPr>
            <w:t>121</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"_Toc22898" </w:instrText>
          </w:r>
          <w:r>
            <w:fldChar w:fldCharType="separate"/>
          </w:r>
          <w:r>
            <w:rPr>
              <w:sz w:val="24"/>
              <w:szCs w:val="24"/>
            </w:rPr>
            <w:t>4.2评价指标体系</w:t>
          </w:r>
          <w:r>
            <w:rPr>
              <w:sz w:val="24"/>
              <w:szCs w:val="24"/>
            </w:rPr>
            <w:tab/>
          </w:r>
          <w:r>
            <w:rPr>
              <w:sz w:val="24"/>
              <w:szCs w:val="24"/>
            </w:rPr>
            <w:fldChar w:fldCharType="begin"/>
          </w:r>
          <w:r>
            <w:rPr>
              <w:sz w:val="24"/>
              <w:szCs w:val="24"/>
            </w:rPr>
            <w:instrText xml:space="preserve"> PAGEREF _Toc22898 \h </w:instrText>
          </w:r>
          <w:r>
            <w:rPr>
              <w:sz w:val="24"/>
              <w:szCs w:val="24"/>
            </w:rPr>
            <w:fldChar w:fldCharType="separate"/>
          </w:r>
          <w:r>
            <w:rPr>
              <w:sz w:val="24"/>
              <w:szCs w:val="24"/>
            </w:rPr>
            <w:t>126</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"_Toc7701" </w:instrText>
          </w:r>
          <w:r>
            <w:fldChar w:fldCharType="separate"/>
          </w:r>
          <w:r>
            <w:rPr>
              <w:b/>
              <w:sz w:val="24"/>
              <w:szCs w:val="24"/>
            </w:rPr>
            <w:t>5 规划实施环境影响评价</w:t>
          </w:r>
          <w:r>
            <w:rPr>
              <w:b/>
              <w:sz w:val="24"/>
              <w:szCs w:val="24"/>
            </w:rPr>
            <w:tab/>
          </w:r>
          <w:r>
            <w:rPr>
              <w:b/>
              <w:sz w:val="24"/>
              <w:szCs w:val="24"/>
            </w:rPr>
            <w:fldChar w:fldCharType="begin"/>
          </w:r>
          <w:r>
            <w:rPr>
              <w:b/>
              <w:sz w:val="24"/>
              <w:szCs w:val="24"/>
            </w:rPr>
            <w:instrText xml:space="preserve"> PAGEREF _Toc7701 \h </w:instrText>
          </w:r>
          <w:r>
            <w:rPr>
              <w:b/>
              <w:sz w:val="24"/>
              <w:szCs w:val="24"/>
            </w:rPr>
            <w:fldChar w:fldCharType="separate"/>
          </w:r>
          <w:r>
            <w:rPr>
              <w:b/>
              <w:sz w:val="24"/>
              <w:szCs w:val="24"/>
            </w:rPr>
            <w:t>130</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"_Toc15914" </w:instrText>
          </w:r>
          <w:r>
            <w:fldChar w:fldCharType="separate"/>
          </w:r>
          <w:r>
            <w:rPr>
              <w:sz w:val="24"/>
              <w:szCs w:val="24"/>
            </w:rPr>
            <w:t>5.1 矿区地表沉陷影响分析与评价</w:t>
          </w:r>
          <w:r>
            <w:rPr>
              <w:sz w:val="24"/>
              <w:szCs w:val="24"/>
            </w:rPr>
            <w:tab/>
          </w:r>
          <w:r>
            <w:rPr>
              <w:sz w:val="24"/>
              <w:szCs w:val="24"/>
            </w:rPr>
            <w:fldChar w:fldCharType="begin"/>
          </w:r>
          <w:r>
            <w:rPr>
              <w:sz w:val="24"/>
              <w:szCs w:val="24"/>
            </w:rPr>
            <w:instrText xml:space="preserve"> PAGEREF _Toc15914 \h </w:instrText>
          </w:r>
          <w:r>
            <w:rPr>
              <w:sz w:val="24"/>
              <w:szCs w:val="24"/>
            </w:rPr>
            <w:fldChar w:fldCharType="separate"/>
          </w:r>
          <w:r>
            <w:rPr>
              <w:sz w:val="24"/>
              <w:szCs w:val="24"/>
            </w:rPr>
            <w:t>130</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"_Toc7073" </w:instrText>
          </w:r>
          <w:r>
            <w:fldChar w:fldCharType="separate"/>
          </w:r>
          <w:r>
            <w:rPr>
              <w:sz w:val="24"/>
              <w:szCs w:val="24"/>
            </w:rPr>
            <w:t>5.2 生态环境影响评价</w:t>
          </w:r>
          <w:r>
            <w:rPr>
              <w:sz w:val="24"/>
              <w:szCs w:val="24"/>
            </w:rPr>
            <w:tab/>
          </w:r>
          <w:r>
            <w:rPr>
              <w:sz w:val="24"/>
              <w:szCs w:val="24"/>
            </w:rPr>
            <w:fldChar w:fldCharType="begin"/>
          </w:r>
          <w:r>
            <w:rPr>
              <w:sz w:val="24"/>
              <w:szCs w:val="24"/>
            </w:rPr>
            <w:instrText xml:space="preserve"> PAGEREF _Toc7073 \h </w:instrText>
          </w:r>
          <w:r>
            <w:rPr>
              <w:sz w:val="24"/>
              <w:szCs w:val="24"/>
            </w:rPr>
            <w:fldChar w:fldCharType="separate"/>
          </w:r>
          <w:r>
            <w:rPr>
              <w:sz w:val="24"/>
              <w:szCs w:val="24"/>
            </w:rPr>
            <w:t>139</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"_Toc29450" </w:instrText>
          </w:r>
          <w:r>
            <w:fldChar w:fldCharType="separate"/>
          </w:r>
          <w:r>
            <w:rPr>
              <w:sz w:val="24"/>
              <w:szCs w:val="24"/>
            </w:rPr>
            <w:t>5.3 地下水环境与水资源影响评价</w:t>
          </w:r>
          <w:r>
            <w:rPr>
              <w:sz w:val="24"/>
              <w:szCs w:val="24"/>
            </w:rPr>
            <w:tab/>
          </w:r>
          <w:r>
            <w:rPr>
              <w:sz w:val="24"/>
              <w:szCs w:val="24"/>
            </w:rPr>
            <w:fldChar w:fldCharType="begin"/>
          </w:r>
          <w:r>
            <w:rPr>
              <w:sz w:val="24"/>
              <w:szCs w:val="24"/>
            </w:rPr>
            <w:instrText xml:space="preserve"> PAGEREF _Toc29450 \h </w:instrText>
          </w:r>
          <w:r>
            <w:rPr>
              <w:sz w:val="24"/>
              <w:szCs w:val="24"/>
            </w:rPr>
            <w:fldChar w:fldCharType="separate"/>
          </w:r>
          <w:r>
            <w:rPr>
              <w:sz w:val="24"/>
              <w:szCs w:val="24"/>
            </w:rPr>
            <w:t>150</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"_Toc25234" </w:instrText>
          </w:r>
          <w:r>
            <w:fldChar w:fldCharType="separate"/>
          </w:r>
          <w:r>
            <w:rPr>
              <w:sz w:val="24"/>
              <w:szCs w:val="24"/>
            </w:rPr>
            <w:t>5.4地表水环境影响评价</w:t>
          </w:r>
          <w:r>
            <w:rPr>
              <w:sz w:val="24"/>
              <w:szCs w:val="24"/>
            </w:rPr>
            <w:tab/>
          </w:r>
          <w:r>
            <w:rPr>
              <w:sz w:val="24"/>
              <w:szCs w:val="24"/>
            </w:rPr>
            <w:fldChar w:fldCharType="begin"/>
          </w:r>
          <w:r>
            <w:rPr>
              <w:sz w:val="24"/>
              <w:szCs w:val="24"/>
            </w:rPr>
            <w:instrText xml:space="preserve"> PAGEREF _Toc25234 \h </w:instrText>
          </w:r>
          <w:r>
            <w:rPr>
              <w:sz w:val="24"/>
              <w:szCs w:val="24"/>
            </w:rPr>
            <w:fldChar w:fldCharType="separate"/>
          </w:r>
          <w:r>
            <w:rPr>
              <w:sz w:val="24"/>
              <w:szCs w:val="24"/>
            </w:rPr>
            <w:t>194</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"_Toc8997" </w:instrText>
          </w:r>
          <w:r>
            <w:fldChar w:fldCharType="separate"/>
          </w:r>
          <w:r>
            <w:rPr>
              <w:sz w:val="24"/>
              <w:szCs w:val="24"/>
            </w:rPr>
            <w:t>5.5 环境空气影响分析</w:t>
          </w:r>
          <w:r>
            <w:rPr>
              <w:sz w:val="24"/>
              <w:szCs w:val="24"/>
            </w:rPr>
            <w:tab/>
          </w:r>
          <w:r>
            <w:rPr>
              <w:sz w:val="24"/>
              <w:szCs w:val="24"/>
            </w:rPr>
            <w:fldChar w:fldCharType="begin"/>
          </w:r>
          <w:r>
            <w:rPr>
              <w:sz w:val="24"/>
              <w:szCs w:val="24"/>
            </w:rPr>
            <w:instrText xml:space="preserve"> PAGEREF _Toc8997 \h </w:instrText>
          </w:r>
          <w:r>
            <w:rPr>
              <w:sz w:val="24"/>
              <w:szCs w:val="24"/>
            </w:rPr>
            <w:fldChar w:fldCharType="separate"/>
          </w:r>
          <w:r>
            <w:rPr>
              <w:sz w:val="24"/>
              <w:szCs w:val="24"/>
            </w:rPr>
            <w:t>197</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"_Toc8855" </w:instrText>
          </w:r>
          <w:r>
            <w:fldChar w:fldCharType="separate"/>
          </w:r>
          <w:r>
            <w:rPr>
              <w:sz w:val="24"/>
              <w:szCs w:val="24"/>
            </w:rPr>
            <w:t>5.6声环境影响评价</w:t>
          </w:r>
          <w:r>
            <w:rPr>
              <w:sz w:val="24"/>
              <w:szCs w:val="24"/>
            </w:rPr>
            <w:tab/>
          </w:r>
          <w:r>
            <w:rPr>
              <w:sz w:val="24"/>
              <w:szCs w:val="24"/>
            </w:rPr>
            <w:fldChar w:fldCharType="begin"/>
          </w:r>
          <w:r>
            <w:rPr>
              <w:sz w:val="24"/>
              <w:szCs w:val="24"/>
            </w:rPr>
            <w:instrText xml:space="preserve"> PAGEREF _Toc8855 \h </w:instrText>
          </w:r>
          <w:r>
            <w:rPr>
              <w:sz w:val="24"/>
              <w:szCs w:val="24"/>
            </w:rPr>
            <w:fldChar w:fldCharType="separate"/>
          </w:r>
          <w:r>
            <w:rPr>
              <w:sz w:val="24"/>
              <w:szCs w:val="24"/>
            </w:rPr>
            <w:t>207</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"_Toc21677" </w:instrText>
          </w:r>
          <w:r>
            <w:fldChar w:fldCharType="separate"/>
          </w:r>
          <w:r>
            <w:rPr>
              <w:sz w:val="24"/>
              <w:szCs w:val="24"/>
            </w:rPr>
            <w:t>5.7 固体废物环境影响分析与评价</w:t>
          </w:r>
          <w:r>
            <w:rPr>
              <w:sz w:val="24"/>
              <w:szCs w:val="24"/>
            </w:rPr>
            <w:tab/>
          </w:r>
          <w:r>
            <w:rPr>
              <w:sz w:val="24"/>
              <w:szCs w:val="24"/>
            </w:rPr>
            <w:fldChar w:fldCharType="begin"/>
          </w:r>
          <w:r>
            <w:rPr>
              <w:sz w:val="24"/>
              <w:szCs w:val="24"/>
            </w:rPr>
            <w:instrText xml:space="preserve"> PAGEREF _Toc21677 \h </w:instrText>
          </w:r>
          <w:r>
            <w:rPr>
              <w:sz w:val="24"/>
              <w:szCs w:val="24"/>
            </w:rPr>
            <w:fldChar w:fldCharType="separate"/>
          </w:r>
          <w:r>
            <w:rPr>
              <w:sz w:val="24"/>
              <w:szCs w:val="24"/>
            </w:rPr>
            <w:t>207</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"_Toc4441" </w:instrText>
          </w:r>
          <w:r>
            <w:fldChar w:fldCharType="separate"/>
          </w:r>
          <w:r>
            <w:rPr>
              <w:sz w:val="24"/>
              <w:szCs w:val="24"/>
            </w:rPr>
            <w:t>5.8 土壤环境影响评价</w:t>
          </w:r>
          <w:r>
            <w:rPr>
              <w:sz w:val="24"/>
              <w:szCs w:val="24"/>
            </w:rPr>
            <w:tab/>
          </w:r>
          <w:r>
            <w:rPr>
              <w:sz w:val="24"/>
              <w:szCs w:val="24"/>
            </w:rPr>
            <w:fldChar w:fldCharType="begin"/>
          </w:r>
          <w:r>
            <w:rPr>
              <w:sz w:val="24"/>
              <w:szCs w:val="24"/>
            </w:rPr>
            <w:instrText xml:space="preserve"> PAGEREF _Toc4441 \h </w:instrText>
          </w:r>
          <w:r>
            <w:rPr>
              <w:sz w:val="24"/>
              <w:szCs w:val="24"/>
            </w:rPr>
            <w:fldChar w:fldCharType="separate"/>
          </w:r>
          <w:r>
            <w:rPr>
              <w:sz w:val="24"/>
              <w:szCs w:val="24"/>
            </w:rPr>
            <w:t>213</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"_Toc30205" </w:instrText>
          </w:r>
          <w:r>
            <w:fldChar w:fldCharType="separate"/>
          </w:r>
          <w:r>
            <w:rPr>
              <w:sz w:val="24"/>
              <w:szCs w:val="24"/>
            </w:rPr>
            <w:t>5.9  矿区开发对鄂尔多斯遗鸥国家级自然保护区的影响分析</w:t>
          </w:r>
          <w:r>
            <w:rPr>
              <w:sz w:val="24"/>
              <w:szCs w:val="24"/>
            </w:rPr>
            <w:tab/>
          </w:r>
          <w:r>
            <w:rPr>
              <w:sz w:val="24"/>
              <w:szCs w:val="24"/>
            </w:rPr>
            <w:fldChar w:fldCharType="begin"/>
          </w:r>
          <w:r>
            <w:rPr>
              <w:sz w:val="24"/>
              <w:szCs w:val="24"/>
            </w:rPr>
            <w:instrText xml:space="preserve"> PAGEREF _Toc30205 \h </w:instrText>
          </w:r>
          <w:r>
            <w:rPr>
              <w:sz w:val="24"/>
              <w:szCs w:val="24"/>
            </w:rPr>
            <w:fldChar w:fldCharType="separate"/>
          </w:r>
          <w:r>
            <w:rPr>
              <w:sz w:val="24"/>
              <w:szCs w:val="24"/>
            </w:rPr>
            <w:t>214</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"_Toc32207" </w:instrText>
          </w:r>
          <w:r>
            <w:fldChar w:fldCharType="separate"/>
          </w:r>
          <w:r>
            <w:rPr>
              <w:sz w:val="24"/>
              <w:szCs w:val="24"/>
            </w:rPr>
            <w:t>5.10 线性工程环境影响分析</w:t>
          </w:r>
          <w:r>
            <w:rPr>
              <w:sz w:val="24"/>
              <w:szCs w:val="24"/>
            </w:rPr>
            <w:tab/>
          </w:r>
          <w:r>
            <w:rPr>
              <w:sz w:val="24"/>
              <w:szCs w:val="24"/>
            </w:rPr>
            <w:fldChar w:fldCharType="begin"/>
          </w:r>
          <w:r>
            <w:rPr>
              <w:sz w:val="24"/>
              <w:szCs w:val="24"/>
            </w:rPr>
            <w:instrText xml:space="preserve"> PAGEREF _Toc32207 \h </w:instrText>
          </w:r>
          <w:r>
            <w:rPr>
              <w:sz w:val="24"/>
              <w:szCs w:val="24"/>
            </w:rPr>
            <w:fldChar w:fldCharType="separate"/>
          </w:r>
          <w:r>
            <w:rPr>
              <w:sz w:val="24"/>
              <w:szCs w:val="24"/>
            </w:rPr>
            <w:t>223</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"_Toc7025" </w:instrText>
          </w:r>
          <w:r>
            <w:fldChar w:fldCharType="separate"/>
          </w:r>
          <w:r>
            <w:rPr>
              <w:sz w:val="24"/>
              <w:szCs w:val="24"/>
            </w:rPr>
            <w:t>5.11 社会经济环境影响分析</w:t>
          </w:r>
          <w:r>
            <w:rPr>
              <w:sz w:val="24"/>
              <w:szCs w:val="24"/>
            </w:rPr>
            <w:tab/>
          </w:r>
          <w:r>
            <w:rPr>
              <w:sz w:val="24"/>
              <w:szCs w:val="24"/>
            </w:rPr>
            <w:fldChar w:fldCharType="begin"/>
          </w:r>
          <w:r>
            <w:rPr>
              <w:sz w:val="24"/>
              <w:szCs w:val="24"/>
            </w:rPr>
            <w:instrText xml:space="preserve"> PAGEREF _Toc7025 \h </w:instrText>
          </w:r>
          <w:r>
            <w:rPr>
              <w:sz w:val="24"/>
              <w:szCs w:val="24"/>
            </w:rPr>
            <w:fldChar w:fldCharType="separate"/>
          </w:r>
          <w:r>
            <w:rPr>
              <w:sz w:val="24"/>
              <w:szCs w:val="24"/>
            </w:rPr>
            <w:t>224</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"_Toc11623" </w:instrText>
          </w:r>
          <w:r>
            <w:fldChar w:fldCharType="separate"/>
          </w:r>
          <w:r>
            <w:rPr>
              <w:sz w:val="24"/>
              <w:szCs w:val="24"/>
            </w:rPr>
            <w:t>5.12环境风险影响分析</w:t>
          </w:r>
          <w:r>
            <w:rPr>
              <w:sz w:val="24"/>
              <w:szCs w:val="24"/>
            </w:rPr>
            <w:tab/>
          </w:r>
          <w:r>
            <w:rPr>
              <w:sz w:val="24"/>
              <w:szCs w:val="24"/>
            </w:rPr>
            <w:fldChar w:fldCharType="begin"/>
          </w:r>
          <w:r>
            <w:rPr>
              <w:sz w:val="24"/>
              <w:szCs w:val="24"/>
            </w:rPr>
            <w:instrText xml:space="preserve"> PAGEREF _Toc11623 \h </w:instrText>
          </w:r>
          <w:r>
            <w:rPr>
              <w:sz w:val="24"/>
              <w:szCs w:val="24"/>
            </w:rPr>
            <w:fldChar w:fldCharType="separate"/>
          </w:r>
          <w:r>
            <w:rPr>
              <w:sz w:val="24"/>
              <w:szCs w:val="24"/>
            </w:rPr>
            <w:t>229</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"_Toc11188" </w:instrText>
          </w:r>
          <w:r>
            <w:fldChar w:fldCharType="separate"/>
          </w:r>
          <w:r>
            <w:rPr>
              <w:b/>
              <w:sz w:val="24"/>
              <w:szCs w:val="24"/>
            </w:rPr>
            <w:t>6 矿区资源、环境承载力分析</w:t>
          </w:r>
          <w:r>
            <w:rPr>
              <w:b/>
              <w:sz w:val="24"/>
              <w:szCs w:val="24"/>
            </w:rPr>
            <w:tab/>
          </w:r>
          <w:r>
            <w:rPr>
              <w:b/>
              <w:sz w:val="24"/>
              <w:szCs w:val="24"/>
            </w:rPr>
            <w:fldChar w:fldCharType="begin"/>
          </w:r>
          <w:r>
            <w:rPr>
              <w:b/>
              <w:sz w:val="24"/>
              <w:szCs w:val="24"/>
            </w:rPr>
            <w:instrText xml:space="preserve"> PAGEREF _Toc11188 \h </w:instrText>
          </w:r>
          <w:r>
            <w:rPr>
              <w:b/>
              <w:sz w:val="24"/>
              <w:szCs w:val="24"/>
            </w:rPr>
            <w:fldChar w:fldCharType="separate"/>
          </w:r>
          <w:r>
            <w:rPr>
              <w:b/>
              <w:sz w:val="24"/>
              <w:szCs w:val="24"/>
            </w:rPr>
            <w:t>231</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"_Toc28210" </w:instrText>
          </w:r>
          <w:r>
            <w:fldChar w:fldCharType="separate"/>
          </w:r>
          <w:r>
            <w:rPr>
              <w:sz w:val="24"/>
              <w:szCs w:val="24"/>
            </w:rPr>
            <w:t>6.1 矿区水资源承载力分析</w:t>
          </w:r>
          <w:r>
            <w:rPr>
              <w:sz w:val="24"/>
              <w:szCs w:val="24"/>
            </w:rPr>
            <w:tab/>
          </w:r>
          <w:r>
            <w:rPr>
              <w:sz w:val="24"/>
              <w:szCs w:val="24"/>
            </w:rPr>
            <w:fldChar w:fldCharType="begin"/>
          </w:r>
          <w:r>
            <w:rPr>
              <w:sz w:val="24"/>
              <w:szCs w:val="24"/>
            </w:rPr>
            <w:instrText xml:space="preserve"> PAGEREF _Toc28210 \h </w:instrText>
          </w:r>
          <w:r>
            <w:rPr>
              <w:sz w:val="24"/>
              <w:szCs w:val="24"/>
            </w:rPr>
            <w:fldChar w:fldCharType="separate"/>
          </w:r>
          <w:r>
            <w:rPr>
              <w:sz w:val="24"/>
              <w:szCs w:val="24"/>
            </w:rPr>
            <w:t>231</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"_Toc8373" </w:instrText>
          </w:r>
          <w:r>
            <w:fldChar w:fldCharType="separate"/>
          </w:r>
          <w:r>
            <w:rPr>
              <w:sz w:val="24"/>
              <w:szCs w:val="24"/>
            </w:rPr>
            <w:t>6.2 矿区生态承载力分析</w:t>
          </w:r>
          <w:r>
            <w:rPr>
              <w:sz w:val="24"/>
              <w:szCs w:val="24"/>
            </w:rPr>
            <w:tab/>
          </w:r>
          <w:r>
            <w:rPr>
              <w:sz w:val="24"/>
              <w:szCs w:val="24"/>
            </w:rPr>
            <w:fldChar w:fldCharType="begin"/>
          </w:r>
          <w:r>
            <w:rPr>
              <w:sz w:val="24"/>
              <w:szCs w:val="24"/>
            </w:rPr>
            <w:instrText xml:space="preserve"> PAGEREF _Toc8373 \h </w:instrText>
          </w:r>
          <w:r>
            <w:rPr>
              <w:sz w:val="24"/>
              <w:szCs w:val="24"/>
            </w:rPr>
            <w:fldChar w:fldCharType="separate"/>
          </w:r>
          <w:r>
            <w:rPr>
              <w:sz w:val="24"/>
              <w:szCs w:val="24"/>
            </w:rPr>
            <w:t>236</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"_Toc17578" </w:instrText>
          </w:r>
          <w:r>
            <w:fldChar w:fldCharType="separate"/>
          </w:r>
          <w:r>
            <w:rPr>
              <w:sz w:val="24"/>
              <w:szCs w:val="24"/>
            </w:rPr>
            <w:t>6.3矿区大气环境容量与承载能力分析</w:t>
          </w:r>
          <w:r>
            <w:rPr>
              <w:sz w:val="24"/>
              <w:szCs w:val="24"/>
            </w:rPr>
            <w:tab/>
          </w:r>
          <w:r>
            <w:rPr>
              <w:sz w:val="24"/>
              <w:szCs w:val="24"/>
            </w:rPr>
            <w:fldChar w:fldCharType="begin"/>
          </w:r>
          <w:r>
            <w:rPr>
              <w:sz w:val="24"/>
              <w:szCs w:val="24"/>
            </w:rPr>
            <w:instrText xml:space="preserve"> PAGEREF _Toc17578 \h </w:instrText>
          </w:r>
          <w:r>
            <w:rPr>
              <w:sz w:val="24"/>
              <w:szCs w:val="24"/>
            </w:rPr>
            <w:fldChar w:fldCharType="separate"/>
          </w:r>
          <w:r>
            <w:rPr>
              <w:sz w:val="24"/>
              <w:szCs w:val="24"/>
            </w:rPr>
            <w:t>240</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"_Toc27138" </w:instrText>
          </w:r>
          <w:r>
            <w:fldChar w:fldCharType="separate"/>
          </w:r>
          <w:r>
            <w:rPr>
              <w:b/>
              <w:sz w:val="24"/>
              <w:szCs w:val="24"/>
            </w:rPr>
            <w:t>7规划方案综合论证与优化调整建议</w:t>
          </w:r>
          <w:r>
            <w:rPr>
              <w:b/>
              <w:sz w:val="24"/>
              <w:szCs w:val="24"/>
            </w:rPr>
            <w:tab/>
          </w:r>
          <w:r>
            <w:rPr>
              <w:b/>
              <w:sz w:val="24"/>
              <w:szCs w:val="24"/>
            </w:rPr>
            <w:fldChar w:fldCharType="begin"/>
          </w:r>
          <w:r>
            <w:rPr>
              <w:b/>
              <w:sz w:val="24"/>
              <w:szCs w:val="24"/>
            </w:rPr>
            <w:instrText xml:space="preserve"> PAGEREF _Toc27138 \h </w:instrText>
          </w:r>
          <w:r>
            <w:rPr>
              <w:b/>
              <w:sz w:val="24"/>
              <w:szCs w:val="24"/>
            </w:rPr>
            <w:fldChar w:fldCharType="separate"/>
          </w:r>
          <w:r>
            <w:rPr>
              <w:b/>
              <w:sz w:val="24"/>
              <w:szCs w:val="24"/>
            </w:rPr>
            <w:t>244</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"_Toc15169" </w:instrText>
          </w:r>
          <w:r>
            <w:fldChar w:fldCharType="separate"/>
          </w:r>
          <w:r>
            <w:rPr>
              <w:sz w:val="24"/>
              <w:szCs w:val="24"/>
            </w:rPr>
            <w:t>7.1 规划方案的环境合理性论证</w:t>
          </w:r>
          <w:r>
            <w:rPr>
              <w:sz w:val="24"/>
              <w:szCs w:val="24"/>
            </w:rPr>
            <w:tab/>
          </w:r>
          <w:r>
            <w:rPr>
              <w:sz w:val="24"/>
              <w:szCs w:val="24"/>
            </w:rPr>
            <w:fldChar w:fldCharType="begin"/>
          </w:r>
          <w:r>
            <w:rPr>
              <w:sz w:val="24"/>
              <w:szCs w:val="24"/>
            </w:rPr>
            <w:instrText xml:space="preserve"> PAGEREF _Toc15169 \h </w:instrText>
          </w:r>
          <w:r>
            <w:rPr>
              <w:sz w:val="24"/>
              <w:szCs w:val="24"/>
            </w:rPr>
            <w:fldChar w:fldCharType="separate"/>
          </w:r>
          <w:r>
            <w:rPr>
              <w:sz w:val="24"/>
              <w:szCs w:val="24"/>
            </w:rPr>
            <w:t>244</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"_Toc25823" </w:instrText>
          </w:r>
          <w:r>
            <w:fldChar w:fldCharType="separate"/>
          </w:r>
          <w:r>
            <w:rPr>
              <w:sz w:val="24"/>
              <w:szCs w:val="24"/>
            </w:rPr>
            <w:t>7.2 规划方案的环境效益论证</w:t>
          </w:r>
          <w:r>
            <w:rPr>
              <w:sz w:val="24"/>
              <w:szCs w:val="24"/>
            </w:rPr>
            <w:tab/>
          </w:r>
          <w:r>
            <w:rPr>
              <w:sz w:val="24"/>
              <w:szCs w:val="24"/>
            </w:rPr>
            <w:fldChar w:fldCharType="begin"/>
          </w:r>
          <w:r>
            <w:rPr>
              <w:sz w:val="24"/>
              <w:szCs w:val="24"/>
            </w:rPr>
            <w:instrText xml:space="preserve"> PAGEREF _Toc25823 \h </w:instrText>
          </w:r>
          <w:r>
            <w:rPr>
              <w:sz w:val="24"/>
              <w:szCs w:val="24"/>
            </w:rPr>
            <w:fldChar w:fldCharType="separate"/>
          </w:r>
          <w:r>
            <w:rPr>
              <w:sz w:val="24"/>
              <w:szCs w:val="24"/>
            </w:rPr>
            <w:t>250</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"_Toc11361" </w:instrText>
          </w:r>
          <w:r>
            <w:fldChar w:fldCharType="separate"/>
          </w:r>
          <w:r>
            <w:rPr>
              <w:sz w:val="24"/>
              <w:szCs w:val="24"/>
            </w:rPr>
            <w:t>7.3 矿区总体规划方案的优化调整建议</w:t>
          </w:r>
          <w:r>
            <w:rPr>
              <w:sz w:val="24"/>
              <w:szCs w:val="24"/>
            </w:rPr>
            <w:tab/>
          </w:r>
          <w:r>
            <w:rPr>
              <w:sz w:val="24"/>
              <w:szCs w:val="24"/>
            </w:rPr>
            <w:fldChar w:fldCharType="begin"/>
          </w:r>
          <w:r>
            <w:rPr>
              <w:sz w:val="24"/>
              <w:szCs w:val="24"/>
            </w:rPr>
            <w:instrText xml:space="preserve"> PAGEREF _Toc11361 \h </w:instrText>
          </w:r>
          <w:r>
            <w:rPr>
              <w:sz w:val="24"/>
              <w:szCs w:val="24"/>
            </w:rPr>
            <w:fldChar w:fldCharType="separate"/>
          </w:r>
          <w:r>
            <w:rPr>
              <w:sz w:val="24"/>
              <w:szCs w:val="24"/>
            </w:rPr>
            <w:t>250</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"_Toc29562" </w:instrText>
          </w:r>
          <w:r>
            <w:fldChar w:fldCharType="separate"/>
          </w:r>
          <w:r>
            <w:rPr>
              <w:bCs/>
              <w:sz w:val="24"/>
              <w:szCs w:val="24"/>
            </w:rPr>
            <w:t>7.4 “三线一单”及空间管控要求</w:t>
          </w:r>
          <w:r>
            <w:rPr>
              <w:sz w:val="24"/>
              <w:szCs w:val="24"/>
            </w:rPr>
            <w:tab/>
          </w:r>
          <w:r>
            <w:rPr>
              <w:sz w:val="24"/>
              <w:szCs w:val="24"/>
            </w:rPr>
            <w:fldChar w:fldCharType="begin"/>
          </w:r>
          <w:r>
            <w:rPr>
              <w:sz w:val="24"/>
              <w:szCs w:val="24"/>
            </w:rPr>
            <w:instrText xml:space="preserve"> PAGEREF _Toc29562 \h </w:instrText>
          </w:r>
          <w:r>
            <w:rPr>
              <w:sz w:val="24"/>
              <w:szCs w:val="24"/>
            </w:rPr>
            <w:fldChar w:fldCharType="separate"/>
          </w:r>
          <w:r>
            <w:rPr>
              <w:sz w:val="24"/>
              <w:szCs w:val="24"/>
            </w:rPr>
            <w:t>253</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"_Toc17729" </w:instrText>
          </w:r>
          <w:r>
            <w:fldChar w:fldCharType="separate"/>
          </w:r>
          <w:r>
            <w:rPr>
              <w:bCs/>
              <w:sz w:val="24"/>
              <w:szCs w:val="24"/>
            </w:rPr>
            <w:t>7.5 规划环评与规划编制的互动成果</w:t>
          </w:r>
          <w:r>
            <w:rPr>
              <w:sz w:val="24"/>
              <w:szCs w:val="24"/>
            </w:rPr>
            <w:tab/>
          </w:r>
          <w:r>
            <w:rPr>
              <w:sz w:val="24"/>
              <w:szCs w:val="24"/>
            </w:rPr>
            <w:fldChar w:fldCharType="begin"/>
          </w:r>
          <w:r>
            <w:rPr>
              <w:sz w:val="24"/>
              <w:szCs w:val="24"/>
            </w:rPr>
            <w:instrText xml:space="preserve"> PAGEREF _Toc17729 \h </w:instrText>
          </w:r>
          <w:r>
            <w:rPr>
              <w:sz w:val="24"/>
              <w:szCs w:val="24"/>
            </w:rPr>
            <w:fldChar w:fldCharType="separate"/>
          </w:r>
          <w:r>
            <w:rPr>
              <w:sz w:val="24"/>
              <w:szCs w:val="24"/>
            </w:rPr>
            <w:t>257</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"_Toc6886" </w:instrText>
          </w:r>
          <w:r>
            <w:fldChar w:fldCharType="separate"/>
          </w:r>
          <w:r>
            <w:rPr>
              <w:sz w:val="24"/>
              <w:szCs w:val="24"/>
            </w:rPr>
            <w:t>7.6 矿区规划实施环境目标可达性分析</w:t>
          </w:r>
          <w:r>
            <w:rPr>
              <w:sz w:val="24"/>
              <w:szCs w:val="24"/>
            </w:rPr>
            <w:tab/>
          </w:r>
          <w:r>
            <w:rPr>
              <w:sz w:val="24"/>
              <w:szCs w:val="24"/>
            </w:rPr>
            <w:fldChar w:fldCharType="begin"/>
          </w:r>
          <w:r>
            <w:rPr>
              <w:sz w:val="24"/>
              <w:szCs w:val="24"/>
            </w:rPr>
            <w:instrText xml:space="preserve"> PAGEREF _Toc6886 \h </w:instrText>
          </w:r>
          <w:r>
            <w:rPr>
              <w:sz w:val="24"/>
              <w:szCs w:val="24"/>
            </w:rPr>
            <w:fldChar w:fldCharType="separate"/>
          </w:r>
          <w:r>
            <w:rPr>
              <w:sz w:val="24"/>
              <w:szCs w:val="24"/>
            </w:rPr>
            <w:t>257</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"_Toc14460" </w:instrText>
          </w:r>
          <w:r>
            <w:fldChar w:fldCharType="separate"/>
          </w:r>
          <w:r>
            <w:rPr>
              <w:b/>
              <w:sz w:val="24"/>
              <w:szCs w:val="24"/>
            </w:rPr>
            <w:t>8 规划实施环境影响减缓措施</w:t>
          </w:r>
          <w:r>
            <w:rPr>
              <w:b/>
              <w:sz w:val="24"/>
              <w:szCs w:val="24"/>
            </w:rPr>
            <w:tab/>
          </w:r>
          <w:r>
            <w:rPr>
              <w:b/>
              <w:sz w:val="24"/>
              <w:szCs w:val="24"/>
            </w:rPr>
            <w:fldChar w:fldCharType="begin"/>
          </w:r>
          <w:r>
            <w:rPr>
              <w:b/>
              <w:sz w:val="24"/>
              <w:szCs w:val="24"/>
            </w:rPr>
            <w:instrText xml:space="preserve"> PAGEREF _Toc14460 \h </w:instrText>
          </w:r>
          <w:r>
            <w:rPr>
              <w:b/>
              <w:sz w:val="24"/>
              <w:szCs w:val="24"/>
            </w:rPr>
            <w:fldChar w:fldCharType="separate"/>
          </w:r>
          <w:r>
            <w:rPr>
              <w:b/>
              <w:sz w:val="24"/>
              <w:szCs w:val="24"/>
            </w:rPr>
            <w:t>261</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"_Toc17882" </w:instrText>
          </w:r>
          <w:r>
            <w:fldChar w:fldCharType="separate"/>
          </w:r>
          <w:r>
            <w:rPr>
              <w:sz w:val="24"/>
              <w:szCs w:val="24"/>
            </w:rPr>
            <w:t>8.1 矿区生态环境综合整治措施</w:t>
          </w:r>
          <w:r>
            <w:rPr>
              <w:sz w:val="24"/>
              <w:szCs w:val="24"/>
            </w:rPr>
            <w:tab/>
          </w:r>
          <w:r>
            <w:rPr>
              <w:sz w:val="24"/>
              <w:szCs w:val="24"/>
            </w:rPr>
            <w:fldChar w:fldCharType="begin"/>
          </w:r>
          <w:r>
            <w:rPr>
              <w:sz w:val="24"/>
              <w:szCs w:val="24"/>
            </w:rPr>
            <w:instrText xml:space="preserve"> PAGEREF _Toc17882 \h </w:instrText>
          </w:r>
          <w:r>
            <w:rPr>
              <w:sz w:val="24"/>
              <w:szCs w:val="24"/>
            </w:rPr>
            <w:fldChar w:fldCharType="separate"/>
          </w:r>
          <w:r>
            <w:rPr>
              <w:sz w:val="24"/>
              <w:szCs w:val="24"/>
            </w:rPr>
            <w:t>261</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"_Toc26187" </w:instrText>
          </w:r>
          <w:r>
            <w:fldChar w:fldCharType="separate"/>
          </w:r>
          <w:r>
            <w:rPr>
              <w:sz w:val="24"/>
              <w:szCs w:val="24"/>
            </w:rPr>
            <w:t>8.2 矿区大气污染控制措施</w:t>
          </w:r>
          <w:r>
            <w:rPr>
              <w:sz w:val="24"/>
              <w:szCs w:val="24"/>
            </w:rPr>
            <w:tab/>
          </w:r>
          <w:r>
            <w:rPr>
              <w:sz w:val="24"/>
              <w:szCs w:val="24"/>
            </w:rPr>
            <w:fldChar w:fldCharType="begin"/>
          </w:r>
          <w:r>
            <w:rPr>
              <w:sz w:val="24"/>
              <w:szCs w:val="24"/>
            </w:rPr>
            <w:instrText xml:space="preserve"> PAGEREF _Toc26187 \h </w:instrText>
          </w:r>
          <w:r>
            <w:rPr>
              <w:sz w:val="24"/>
              <w:szCs w:val="24"/>
            </w:rPr>
            <w:fldChar w:fldCharType="separate"/>
          </w:r>
          <w:r>
            <w:rPr>
              <w:sz w:val="24"/>
              <w:szCs w:val="24"/>
            </w:rPr>
            <w:t>267</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"_Toc31370" </w:instrText>
          </w:r>
          <w:r>
            <w:fldChar w:fldCharType="separate"/>
          </w:r>
          <w:r>
            <w:rPr>
              <w:sz w:val="24"/>
              <w:szCs w:val="24"/>
            </w:rPr>
            <w:t>8.3 矿区水环境影响控制措施</w:t>
          </w:r>
          <w:r>
            <w:rPr>
              <w:sz w:val="24"/>
              <w:szCs w:val="24"/>
            </w:rPr>
            <w:tab/>
          </w:r>
          <w:r>
            <w:rPr>
              <w:sz w:val="24"/>
              <w:szCs w:val="24"/>
            </w:rPr>
            <w:fldChar w:fldCharType="begin"/>
          </w:r>
          <w:r>
            <w:rPr>
              <w:sz w:val="24"/>
              <w:szCs w:val="24"/>
            </w:rPr>
            <w:instrText xml:space="preserve"> PAGEREF _Toc31370 \h </w:instrText>
          </w:r>
          <w:r>
            <w:rPr>
              <w:sz w:val="24"/>
              <w:szCs w:val="24"/>
            </w:rPr>
            <w:fldChar w:fldCharType="separate"/>
          </w:r>
          <w:r>
            <w:rPr>
              <w:sz w:val="24"/>
              <w:szCs w:val="24"/>
            </w:rPr>
            <w:t>268</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"_Toc12169" </w:instrText>
          </w:r>
          <w:r>
            <w:fldChar w:fldCharType="separate"/>
          </w:r>
          <w:r>
            <w:rPr>
              <w:sz w:val="24"/>
              <w:szCs w:val="24"/>
            </w:rPr>
            <w:t>8.4 矿区噪声污染控制措施</w:t>
          </w:r>
          <w:r>
            <w:rPr>
              <w:sz w:val="24"/>
              <w:szCs w:val="24"/>
            </w:rPr>
            <w:tab/>
          </w:r>
          <w:r>
            <w:rPr>
              <w:sz w:val="24"/>
              <w:szCs w:val="24"/>
            </w:rPr>
            <w:fldChar w:fldCharType="begin"/>
          </w:r>
          <w:r>
            <w:rPr>
              <w:sz w:val="24"/>
              <w:szCs w:val="24"/>
            </w:rPr>
            <w:instrText xml:space="preserve"> PAGEREF _Toc12169 \h </w:instrText>
          </w:r>
          <w:r>
            <w:rPr>
              <w:sz w:val="24"/>
              <w:szCs w:val="24"/>
            </w:rPr>
            <w:fldChar w:fldCharType="separate"/>
          </w:r>
          <w:r>
            <w:rPr>
              <w:sz w:val="24"/>
              <w:szCs w:val="24"/>
            </w:rPr>
            <w:t>271</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"_Toc1036" </w:instrText>
          </w:r>
          <w:r>
            <w:fldChar w:fldCharType="separate"/>
          </w:r>
          <w:r>
            <w:rPr>
              <w:sz w:val="24"/>
              <w:szCs w:val="24"/>
            </w:rPr>
            <w:t>8.5 固体废物污染控制措施</w:t>
          </w:r>
          <w:r>
            <w:rPr>
              <w:sz w:val="24"/>
              <w:szCs w:val="24"/>
            </w:rPr>
            <w:tab/>
          </w:r>
          <w:r>
            <w:rPr>
              <w:sz w:val="24"/>
              <w:szCs w:val="24"/>
            </w:rPr>
            <w:fldChar w:fldCharType="begin"/>
          </w:r>
          <w:r>
            <w:rPr>
              <w:sz w:val="24"/>
              <w:szCs w:val="24"/>
            </w:rPr>
            <w:instrText xml:space="preserve"> PAGEREF _Toc1036 \h </w:instrText>
          </w:r>
          <w:r>
            <w:rPr>
              <w:sz w:val="24"/>
              <w:szCs w:val="24"/>
            </w:rPr>
            <w:fldChar w:fldCharType="separate"/>
          </w:r>
          <w:r>
            <w:rPr>
              <w:sz w:val="24"/>
              <w:szCs w:val="24"/>
            </w:rPr>
            <w:t>272</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"_Toc4591" </w:instrText>
          </w:r>
          <w:r>
            <w:fldChar w:fldCharType="separate"/>
          </w:r>
          <w:r>
            <w:rPr>
              <w:sz w:val="24"/>
              <w:szCs w:val="24"/>
            </w:rPr>
            <w:t>8.6土壤环境影响减缓措施</w:t>
          </w:r>
          <w:r>
            <w:rPr>
              <w:sz w:val="24"/>
              <w:szCs w:val="24"/>
            </w:rPr>
            <w:tab/>
          </w:r>
          <w:r>
            <w:rPr>
              <w:sz w:val="24"/>
              <w:szCs w:val="24"/>
            </w:rPr>
            <w:fldChar w:fldCharType="begin"/>
          </w:r>
          <w:r>
            <w:rPr>
              <w:sz w:val="24"/>
              <w:szCs w:val="24"/>
            </w:rPr>
            <w:instrText xml:space="preserve"> PAGEREF _Toc4591 \h </w:instrText>
          </w:r>
          <w:r>
            <w:rPr>
              <w:sz w:val="24"/>
              <w:szCs w:val="24"/>
            </w:rPr>
            <w:fldChar w:fldCharType="separate"/>
          </w:r>
          <w:r>
            <w:rPr>
              <w:sz w:val="24"/>
              <w:szCs w:val="24"/>
            </w:rPr>
            <w:t>273</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"_Toc21548" </w:instrText>
          </w:r>
          <w:r>
            <w:fldChar w:fldCharType="separate"/>
          </w:r>
          <w:r>
            <w:rPr>
              <w:sz w:val="24"/>
              <w:szCs w:val="24"/>
            </w:rPr>
            <w:t>8.7 线性工程环境影响减缓措施</w:t>
          </w:r>
          <w:r>
            <w:rPr>
              <w:sz w:val="24"/>
              <w:szCs w:val="24"/>
            </w:rPr>
            <w:tab/>
          </w:r>
          <w:r>
            <w:rPr>
              <w:sz w:val="24"/>
              <w:szCs w:val="24"/>
            </w:rPr>
            <w:fldChar w:fldCharType="begin"/>
          </w:r>
          <w:r>
            <w:rPr>
              <w:sz w:val="24"/>
              <w:szCs w:val="24"/>
            </w:rPr>
            <w:instrText xml:space="preserve"> PAGEREF _Toc21548 \h </w:instrText>
          </w:r>
          <w:r>
            <w:rPr>
              <w:sz w:val="24"/>
              <w:szCs w:val="24"/>
            </w:rPr>
            <w:fldChar w:fldCharType="separate"/>
          </w:r>
          <w:r>
            <w:rPr>
              <w:sz w:val="24"/>
              <w:szCs w:val="24"/>
            </w:rPr>
            <w:t>274</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"_Toc24370" </w:instrText>
          </w:r>
          <w:r>
            <w:fldChar w:fldCharType="separate"/>
          </w:r>
          <w:r>
            <w:rPr>
              <w:b/>
              <w:sz w:val="24"/>
              <w:szCs w:val="24"/>
            </w:rPr>
            <w:t>9 矿区清洁生产与循环经济分析</w:t>
          </w:r>
          <w:r>
            <w:rPr>
              <w:b/>
              <w:sz w:val="24"/>
              <w:szCs w:val="24"/>
            </w:rPr>
            <w:tab/>
          </w:r>
          <w:r>
            <w:rPr>
              <w:b/>
              <w:sz w:val="24"/>
              <w:szCs w:val="24"/>
            </w:rPr>
            <w:fldChar w:fldCharType="begin"/>
          </w:r>
          <w:r>
            <w:rPr>
              <w:b/>
              <w:sz w:val="24"/>
              <w:szCs w:val="24"/>
            </w:rPr>
            <w:instrText xml:space="preserve"> PAGEREF _Toc24370 \h </w:instrText>
          </w:r>
          <w:r>
            <w:rPr>
              <w:b/>
              <w:sz w:val="24"/>
              <w:szCs w:val="24"/>
            </w:rPr>
            <w:fldChar w:fldCharType="separate"/>
          </w:r>
          <w:r>
            <w:rPr>
              <w:b/>
              <w:sz w:val="24"/>
              <w:szCs w:val="24"/>
            </w:rPr>
            <w:t>275</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"_Toc18590" </w:instrText>
          </w:r>
          <w:r>
            <w:fldChar w:fldCharType="separate"/>
          </w:r>
          <w:r>
            <w:rPr>
              <w:sz w:val="24"/>
              <w:szCs w:val="24"/>
            </w:rPr>
            <w:t>9.1 清洁生产分析</w:t>
          </w:r>
          <w:r>
            <w:rPr>
              <w:sz w:val="24"/>
              <w:szCs w:val="24"/>
            </w:rPr>
            <w:tab/>
          </w:r>
          <w:r>
            <w:rPr>
              <w:sz w:val="24"/>
              <w:szCs w:val="24"/>
            </w:rPr>
            <w:fldChar w:fldCharType="begin"/>
          </w:r>
          <w:r>
            <w:rPr>
              <w:sz w:val="24"/>
              <w:szCs w:val="24"/>
            </w:rPr>
            <w:instrText xml:space="preserve"> PAGEREF _Toc18590 \h </w:instrText>
          </w:r>
          <w:r>
            <w:rPr>
              <w:sz w:val="24"/>
              <w:szCs w:val="24"/>
            </w:rPr>
            <w:fldChar w:fldCharType="separate"/>
          </w:r>
          <w:r>
            <w:rPr>
              <w:sz w:val="24"/>
              <w:szCs w:val="24"/>
            </w:rPr>
            <w:t>275</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"_Toc11735" </w:instrText>
          </w:r>
          <w:r>
            <w:fldChar w:fldCharType="separate"/>
          </w:r>
          <w:r>
            <w:rPr>
              <w:sz w:val="24"/>
              <w:szCs w:val="24"/>
            </w:rPr>
            <w:t>9.2 矿区循环经济分析</w:t>
          </w:r>
          <w:r>
            <w:rPr>
              <w:sz w:val="24"/>
              <w:szCs w:val="24"/>
            </w:rPr>
            <w:tab/>
          </w:r>
          <w:r>
            <w:rPr>
              <w:sz w:val="24"/>
              <w:szCs w:val="24"/>
            </w:rPr>
            <w:fldChar w:fldCharType="begin"/>
          </w:r>
          <w:r>
            <w:rPr>
              <w:sz w:val="24"/>
              <w:szCs w:val="24"/>
            </w:rPr>
            <w:instrText xml:space="preserve"> PAGEREF _Toc11735 \h </w:instrText>
          </w:r>
          <w:r>
            <w:rPr>
              <w:sz w:val="24"/>
              <w:szCs w:val="24"/>
            </w:rPr>
            <w:fldChar w:fldCharType="separate"/>
          </w:r>
          <w:r>
            <w:rPr>
              <w:sz w:val="24"/>
              <w:szCs w:val="24"/>
            </w:rPr>
            <w:t>277</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"_Toc5860" </w:instrText>
          </w:r>
          <w:r>
            <w:fldChar w:fldCharType="separate"/>
          </w:r>
          <w:r>
            <w:rPr>
              <w:b/>
              <w:bCs/>
              <w:kern w:val="44"/>
              <w:sz w:val="24"/>
              <w:szCs w:val="24"/>
              <w:lang w:bidi="ar"/>
            </w:rPr>
            <w:t>10 公众参与</w:t>
          </w:r>
          <w:r>
            <w:rPr>
              <w:b/>
              <w:sz w:val="24"/>
              <w:szCs w:val="24"/>
            </w:rPr>
            <w:tab/>
          </w:r>
          <w:r>
            <w:rPr>
              <w:b/>
              <w:sz w:val="24"/>
              <w:szCs w:val="24"/>
            </w:rPr>
            <w:fldChar w:fldCharType="begin"/>
          </w:r>
          <w:r>
            <w:rPr>
              <w:b/>
              <w:sz w:val="24"/>
              <w:szCs w:val="24"/>
            </w:rPr>
            <w:instrText xml:space="preserve"> PAGEREF _Toc5860 \h </w:instrText>
          </w:r>
          <w:r>
            <w:rPr>
              <w:b/>
              <w:sz w:val="24"/>
              <w:szCs w:val="24"/>
            </w:rPr>
            <w:fldChar w:fldCharType="separate"/>
          </w:r>
          <w:r>
            <w:rPr>
              <w:b/>
              <w:sz w:val="24"/>
              <w:szCs w:val="24"/>
            </w:rPr>
            <w:t>279</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"_Toc23046" </w:instrText>
          </w:r>
          <w:r>
            <w:fldChar w:fldCharType="separate"/>
          </w:r>
          <w:r>
            <w:rPr>
              <w:kern w:val="2"/>
              <w:sz w:val="24"/>
              <w:szCs w:val="24"/>
              <w:lang w:bidi="ar"/>
            </w:rPr>
            <w:t>10.1 公众参与目的</w:t>
          </w:r>
          <w:r>
            <w:rPr>
              <w:sz w:val="24"/>
              <w:szCs w:val="24"/>
            </w:rPr>
            <w:tab/>
          </w:r>
          <w:r>
            <w:rPr>
              <w:sz w:val="24"/>
              <w:szCs w:val="24"/>
            </w:rPr>
            <w:fldChar w:fldCharType="begin"/>
          </w:r>
          <w:r>
            <w:rPr>
              <w:sz w:val="24"/>
              <w:szCs w:val="24"/>
            </w:rPr>
            <w:instrText xml:space="preserve"> PAGEREF _Toc23046 \h </w:instrText>
          </w:r>
          <w:r>
            <w:rPr>
              <w:sz w:val="24"/>
              <w:szCs w:val="24"/>
            </w:rPr>
            <w:fldChar w:fldCharType="separate"/>
          </w:r>
          <w:r>
            <w:rPr>
              <w:sz w:val="24"/>
              <w:szCs w:val="24"/>
            </w:rPr>
            <w:t>279</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"_Toc31858" </w:instrText>
          </w:r>
          <w:r>
            <w:fldChar w:fldCharType="separate"/>
          </w:r>
          <w:r>
            <w:rPr>
              <w:kern w:val="2"/>
              <w:sz w:val="24"/>
              <w:szCs w:val="24"/>
              <w:lang w:bidi="ar"/>
            </w:rPr>
            <w:t>10.2 公众参与方式及结果</w:t>
          </w:r>
          <w:r>
            <w:rPr>
              <w:sz w:val="24"/>
              <w:szCs w:val="24"/>
            </w:rPr>
            <w:tab/>
          </w:r>
          <w:r>
            <w:rPr>
              <w:sz w:val="24"/>
              <w:szCs w:val="24"/>
            </w:rPr>
            <w:fldChar w:fldCharType="begin"/>
          </w:r>
          <w:r>
            <w:rPr>
              <w:sz w:val="24"/>
              <w:szCs w:val="24"/>
            </w:rPr>
            <w:instrText xml:space="preserve"> PAGEREF _Toc31858 \h </w:instrText>
          </w:r>
          <w:r>
            <w:rPr>
              <w:sz w:val="24"/>
              <w:szCs w:val="24"/>
            </w:rPr>
            <w:fldChar w:fldCharType="separate"/>
          </w:r>
          <w:r>
            <w:rPr>
              <w:sz w:val="24"/>
              <w:szCs w:val="24"/>
            </w:rPr>
            <w:t>279</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"_Toc23974" </w:instrText>
          </w:r>
          <w:r>
            <w:fldChar w:fldCharType="separate"/>
          </w:r>
          <w:r>
            <w:rPr>
              <w:b/>
              <w:sz w:val="24"/>
              <w:szCs w:val="24"/>
            </w:rPr>
            <w:t>11 环境管理、监测计划与跟踪评价</w:t>
          </w:r>
          <w:r>
            <w:rPr>
              <w:b/>
              <w:sz w:val="24"/>
              <w:szCs w:val="24"/>
            </w:rPr>
            <w:tab/>
          </w:r>
          <w:r>
            <w:rPr>
              <w:b/>
              <w:sz w:val="24"/>
              <w:szCs w:val="24"/>
            </w:rPr>
            <w:fldChar w:fldCharType="begin"/>
          </w:r>
          <w:r>
            <w:rPr>
              <w:b/>
              <w:sz w:val="24"/>
              <w:szCs w:val="24"/>
            </w:rPr>
            <w:instrText xml:space="preserve"> PAGEREF _Toc23974 \h </w:instrText>
          </w:r>
          <w:r>
            <w:rPr>
              <w:b/>
              <w:sz w:val="24"/>
              <w:szCs w:val="24"/>
            </w:rPr>
            <w:fldChar w:fldCharType="separate"/>
          </w:r>
          <w:r>
            <w:rPr>
              <w:b/>
              <w:sz w:val="24"/>
              <w:szCs w:val="24"/>
            </w:rPr>
            <w:t>286</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"_Toc31950" </w:instrText>
          </w:r>
          <w:r>
            <w:fldChar w:fldCharType="separate"/>
          </w:r>
          <w:r>
            <w:rPr>
              <w:sz w:val="24"/>
              <w:szCs w:val="24"/>
            </w:rPr>
            <w:t>11.1 环境管理计划</w:t>
          </w:r>
          <w:r>
            <w:rPr>
              <w:sz w:val="24"/>
              <w:szCs w:val="24"/>
            </w:rPr>
            <w:tab/>
          </w:r>
          <w:r>
            <w:rPr>
              <w:sz w:val="24"/>
              <w:szCs w:val="24"/>
            </w:rPr>
            <w:fldChar w:fldCharType="begin"/>
          </w:r>
          <w:r>
            <w:rPr>
              <w:sz w:val="24"/>
              <w:szCs w:val="24"/>
            </w:rPr>
            <w:instrText xml:space="preserve"> PAGEREF _Toc31950 \h </w:instrText>
          </w:r>
          <w:r>
            <w:rPr>
              <w:sz w:val="24"/>
              <w:szCs w:val="24"/>
            </w:rPr>
            <w:fldChar w:fldCharType="separate"/>
          </w:r>
          <w:r>
            <w:rPr>
              <w:sz w:val="24"/>
              <w:szCs w:val="24"/>
            </w:rPr>
            <w:t>286</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"_Toc17020" </w:instrText>
          </w:r>
          <w:r>
            <w:fldChar w:fldCharType="separate"/>
          </w:r>
          <w:r>
            <w:rPr>
              <w:sz w:val="24"/>
              <w:szCs w:val="24"/>
            </w:rPr>
            <w:t>11.2 环境监测计划</w:t>
          </w:r>
          <w:r>
            <w:rPr>
              <w:sz w:val="24"/>
              <w:szCs w:val="24"/>
            </w:rPr>
            <w:tab/>
          </w:r>
          <w:r>
            <w:rPr>
              <w:sz w:val="24"/>
              <w:szCs w:val="24"/>
            </w:rPr>
            <w:fldChar w:fldCharType="begin"/>
          </w:r>
          <w:r>
            <w:rPr>
              <w:sz w:val="24"/>
              <w:szCs w:val="24"/>
            </w:rPr>
            <w:instrText xml:space="preserve"> PAGEREF _Toc17020 \h </w:instrText>
          </w:r>
          <w:r>
            <w:rPr>
              <w:sz w:val="24"/>
              <w:szCs w:val="24"/>
            </w:rPr>
            <w:fldChar w:fldCharType="separate"/>
          </w:r>
          <w:r>
            <w:rPr>
              <w:sz w:val="24"/>
              <w:szCs w:val="24"/>
            </w:rPr>
            <w:t>288</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"_Toc1463" </w:instrText>
          </w:r>
          <w:r>
            <w:fldChar w:fldCharType="separate"/>
          </w:r>
          <w:r>
            <w:rPr>
              <w:sz w:val="24"/>
              <w:szCs w:val="24"/>
            </w:rPr>
            <w:t>11.3 跟踪评价</w:t>
          </w:r>
          <w:r>
            <w:rPr>
              <w:sz w:val="24"/>
              <w:szCs w:val="24"/>
            </w:rPr>
            <w:tab/>
          </w:r>
          <w:r>
            <w:rPr>
              <w:sz w:val="24"/>
              <w:szCs w:val="24"/>
            </w:rPr>
            <w:fldChar w:fldCharType="begin"/>
          </w:r>
          <w:r>
            <w:rPr>
              <w:sz w:val="24"/>
              <w:szCs w:val="24"/>
            </w:rPr>
            <w:instrText xml:space="preserve"> PAGEREF _Toc1463 \h </w:instrText>
          </w:r>
          <w:r>
            <w:rPr>
              <w:sz w:val="24"/>
              <w:szCs w:val="24"/>
            </w:rPr>
            <w:fldChar w:fldCharType="separate"/>
          </w:r>
          <w:r>
            <w:rPr>
              <w:sz w:val="24"/>
              <w:szCs w:val="24"/>
            </w:rPr>
            <w:t>291</w:t>
          </w:r>
          <w:r>
            <w:rPr>
              <w:sz w:val="24"/>
              <w:szCs w:val="24"/>
            </w:rPr>
            <w:fldChar w:fldCharType="end"/>
          </w:r>
          <w:r>
            <w:rPr>
              <w:sz w:val="24"/>
              <w:szCs w:val="24"/>
            </w:rPr>
            <w:fldChar w:fldCharType="end"/>
          </w:r>
        </w:p>
        <w:p>
          <w:pPr>
            <w:pStyle w:val="922"/>
            <w:tabs>
              <w:tab w:val="right" w:leader="dot" w:pos="9071"/>
            </w:tabs>
            <w:spacing w:line="440" w:lineRule="exact"/>
            <w:rPr>
              <w:b/>
              <w:sz w:val="24"/>
              <w:szCs w:val="24"/>
            </w:rPr>
          </w:pPr>
          <w:r>
            <w:fldChar w:fldCharType="begin"/>
          </w:r>
          <w:r>
            <w:instrText xml:space="preserve"> HYPERLINK \l "_Toc17958" </w:instrText>
          </w:r>
          <w:r>
            <w:fldChar w:fldCharType="separate"/>
          </w:r>
          <w:r>
            <w:rPr>
              <w:b/>
              <w:sz w:val="24"/>
              <w:szCs w:val="24"/>
            </w:rPr>
            <w:t>12 结论与建议</w:t>
          </w:r>
          <w:r>
            <w:rPr>
              <w:b/>
              <w:sz w:val="24"/>
              <w:szCs w:val="24"/>
            </w:rPr>
            <w:tab/>
          </w:r>
          <w:r>
            <w:rPr>
              <w:b/>
              <w:sz w:val="24"/>
              <w:szCs w:val="24"/>
            </w:rPr>
            <w:fldChar w:fldCharType="begin"/>
          </w:r>
          <w:r>
            <w:rPr>
              <w:b/>
              <w:sz w:val="24"/>
              <w:szCs w:val="24"/>
            </w:rPr>
            <w:instrText xml:space="preserve"> PAGEREF _Toc17958 \h </w:instrText>
          </w:r>
          <w:r>
            <w:rPr>
              <w:b/>
              <w:sz w:val="24"/>
              <w:szCs w:val="24"/>
            </w:rPr>
            <w:fldChar w:fldCharType="separate"/>
          </w:r>
          <w:r>
            <w:rPr>
              <w:b/>
              <w:sz w:val="24"/>
              <w:szCs w:val="24"/>
            </w:rPr>
            <w:t>295</w:t>
          </w:r>
          <w:r>
            <w:rPr>
              <w:b/>
              <w:sz w:val="24"/>
              <w:szCs w:val="24"/>
            </w:rPr>
            <w:fldChar w:fldCharType="end"/>
          </w:r>
          <w:r>
            <w:rPr>
              <w:b/>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"_Toc20900" </w:instrText>
          </w:r>
          <w:r>
            <w:fldChar w:fldCharType="separate"/>
          </w:r>
          <w:r>
            <w:rPr>
              <w:sz w:val="24"/>
              <w:szCs w:val="24"/>
            </w:rPr>
            <w:t>12.1 规划方案政策、法规及规划协调性分析结论</w:t>
          </w:r>
          <w:r>
            <w:rPr>
              <w:sz w:val="24"/>
              <w:szCs w:val="24"/>
            </w:rPr>
            <w:tab/>
          </w:r>
          <w:r>
            <w:rPr>
              <w:sz w:val="24"/>
              <w:szCs w:val="24"/>
            </w:rPr>
            <w:fldChar w:fldCharType="begin"/>
          </w:r>
          <w:r>
            <w:rPr>
              <w:sz w:val="24"/>
              <w:szCs w:val="24"/>
            </w:rPr>
            <w:instrText xml:space="preserve"> PAGEREF _Toc20900 \h </w:instrText>
          </w:r>
          <w:r>
            <w:rPr>
              <w:sz w:val="24"/>
              <w:szCs w:val="24"/>
            </w:rPr>
            <w:fldChar w:fldCharType="separate"/>
          </w:r>
          <w:r>
            <w:rPr>
              <w:sz w:val="24"/>
              <w:szCs w:val="24"/>
            </w:rPr>
            <w:t>295</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"_Toc18228" </w:instrText>
          </w:r>
          <w:r>
            <w:fldChar w:fldCharType="separate"/>
          </w:r>
          <w:r>
            <w:rPr>
              <w:sz w:val="24"/>
              <w:szCs w:val="24"/>
            </w:rPr>
            <w:t>12.2 矿区环境质量现状评价结论</w:t>
          </w:r>
          <w:r>
            <w:rPr>
              <w:sz w:val="24"/>
              <w:szCs w:val="24"/>
            </w:rPr>
            <w:tab/>
          </w:r>
          <w:r>
            <w:rPr>
              <w:sz w:val="24"/>
              <w:szCs w:val="24"/>
            </w:rPr>
            <w:fldChar w:fldCharType="begin"/>
          </w:r>
          <w:r>
            <w:rPr>
              <w:sz w:val="24"/>
              <w:szCs w:val="24"/>
            </w:rPr>
            <w:instrText xml:space="preserve"> PAGEREF _Toc18228 \h </w:instrText>
          </w:r>
          <w:r>
            <w:rPr>
              <w:sz w:val="24"/>
              <w:szCs w:val="24"/>
            </w:rPr>
            <w:fldChar w:fldCharType="separate"/>
          </w:r>
          <w:r>
            <w:rPr>
              <w:sz w:val="24"/>
              <w:szCs w:val="24"/>
            </w:rPr>
            <w:t>296</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"_Toc25367" </w:instrText>
          </w:r>
          <w:r>
            <w:fldChar w:fldCharType="separate"/>
          </w:r>
          <w:r>
            <w:rPr>
              <w:sz w:val="24"/>
              <w:szCs w:val="24"/>
            </w:rPr>
            <w:t>12.3 矿区规划实施环境影响评价及减缓措施</w:t>
          </w:r>
          <w:r>
            <w:rPr>
              <w:sz w:val="24"/>
              <w:szCs w:val="24"/>
            </w:rPr>
            <w:tab/>
          </w:r>
          <w:r>
            <w:rPr>
              <w:sz w:val="24"/>
              <w:szCs w:val="24"/>
            </w:rPr>
            <w:fldChar w:fldCharType="begin"/>
          </w:r>
          <w:r>
            <w:rPr>
              <w:sz w:val="24"/>
              <w:szCs w:val="24"/>
            </w:rPr>
            <w:instrText xml:space="preserve"> PAGEREF _Toc25367 \h </w:instrText>
          </w:r>
          <w:r>
            <w:rPr>
              <w:sz w:val="24"/>
              <w:szCs w:val="24"/>
            </w:rPr>
            <w:fldChar w:fldCharType="separate"/>
          </w:r>
          <w:r>
            <w:rPr>
              <w:sz w:val="24"/>
              <w:szCs w:val="24"/>
            </w:rPr>
            <w:t>298</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"_Toc2979" </w:instrText>
          </w:r>
          <w:r>
            <w:fldChar w:fldCharType="separate"/>
          </w:r>
          <w:r>
            <w:rPr>
              <w:sz w:val="24"/>
              <w:szCs w:val="24"/>
            </w:rPr>
            <w:t>12.4 矿区资源、环境承载力分析结论</w:t>
          </w:r>
          <w:r>
            <w:rPr>
              <w:sz w:val="24"/>
              <w:szCs w:val="24"/>
            </w:rPr>
            <w:tab/>
          </w:r>
          <w:r>
            <w:rPr>
              <w:sz w:val="24"/>
              <w:szCs w:val="24"/>
            </w:rPr>
            <w:fldChar w:fldCharType="begin"/>
          </w:r>
          <w:r>
            <w:rPr>
              <w:sz w:val="24"/>
              <w:szCs w:val="24"/>
            </w:rPr>
            <w:instrText xml:space="preserve"> PAGEREF _Toc2979 \h </w:instrText>
          </w:r>
          <w:r>
            <w:rPr>
              <w:sz w:val="24"/>
              <w:szCs w:val="24"/>
            </w:rPr>
            <w:fldChar w:fldCharType="separate"/>
          </w:r>
          <w:r>
            <w:rPr>
              <w:sz w:val="24"/>
              <w:szCs w:val="24"/>
            </w:rPr>
            <w:t>304</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"_Toc1938" </w:instrText>
          </w:r>
          <w:r>
            <w:fldChar w:fldCharType="separate"/>
          </w:r>
          <w:r>
            <w:rPr>
              <w:sz w:val="24"/>
              <w:szCs w:val="24"/>
            </w:rPr>
            <w:t>12.5 清洁生产与矿区循环经济分析结论</w:t>
          </w:r>
          <w:r>
            <w:rPr>
              <w:sz w:val="24"/>
              <w:szCs w:val="24"/>
            </w:rPr>
            <w:tab/>
          </w:r>
          <w:r>
            <w:rPr>
              <w:sz w:val="24"/>
              <w:szCs w:val="24"/>
            </w:rPr>
            <w:fldChar w:fldCharType="begin"/>
          </w:r>
          <w:r>
            <w:rPr>
              <w:sz w:val="24"/>
              <w:szCs w:val="24"/>
            </w:rPr>
            <w:instrText xml:space="preserve"> PAGEREF _Toc1938 \h </w:instrText>
          </w:r>
          <w:r>
            <w:rPr>
              <w:sz w:val="24"/>
              <w:szCs w:val="24"/>
            </w:rPr>
            <w:fldChar w:fldCharType="separate"/>
          </w:r>
          <w:r>
            <w:rPr>
              <w:sz w:val="24"/>
              <w:szCs w:val="24"/>
            </w:rPr>
            <w:t>304</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"_Toc13441" </w:instrText>
          </w:r>
          <w:r>
            <w:fldChar w:fldCharType="separate"/>
          </w:r>
          <w:r>
            <w:rPr>
              <w:sz w:val="24"/>
              <w:szCs w:val="24"/>
            </w:rPr>
            <w:t>12.6 公众参与结论</w:t>
          </w:r>
          <w:r>
            <w:rPr>
              <w:sz w:val="24"/>
              <w:szCs w:val="24"/>
            </w:rPr>
            <w:tab/>
          </w:r>
          <w:r>
            <w:rPr>
              <w:sz w:val="24"/>
              <w:szCs w:val="24"/>
            </w:rPr>
            <w:fldChar w:fldCharType="begin"/>
          </w:r>
          <w:r>
            <w:rPr>
              <w:sz w:val="24"/>
              <w:szCs w:val="24"/>
            </w:rPr>
            <w:instrText xml:space="preserve"> PAGEREF _Toc13441 \h </w:instrText>
          </w:r>
          <w:r>
            <w:rPr>
              <w:sz w:val="24"/>
              <w:szCs w:val="24"/>
            </w:rPr>
            <w:fldChar w:fldCharType="separate"/>
          </w:r>
          <w:r>
            <w:rPr>
              <w:sz w:val="24"/>
              <w:szCs w:val="24"/>
            </w:rPr>
            <w:t>305</w:t>
          </w:r>
          <w:r>
            <w:rPr>
              <w:sz w:val="24"/>
              <w:szCs w:val="24"/>
            </w:rPr>
            <w:fldChar w:fldCharType="end"/>
          </w:r>
          <w:r>
            <w:rPr>
              <w:sz w:val="24"/>
              <w:szCs w:val="24"/>
            </w:rPr>
            <w:fldChar w:fldCharType="end"/>
          </w:r>
        </w:p>
        <w:p>
          <w:pPr>
            <w:pStyle w:val="923"/>
            <w:tabs>
              <w:tab w:val="right" w:leader="dot" w:pos="9071"/>
            </w:tabs>
            <w:spacing w:line="440" w:lineRule="exact"/>
            <w:ind w:left="480"/>
            <w:rPr>
              <w:sz w:val="24"/>
              <w:szCs w:val="24"/>
            </w:rPr>
          </w:pPr>
          <w:r>
            <w:fldChar w:fldCharType="begin"/>
          </w:r>
          <w:r>
            <w:instrText xml:space="preserve"> HYPERLINK \l "_Toc1842" </w:instrText>
          </w:r>
          <w:r>
            <w:fldChar w:fldCharType="separate"/>
          </w:r>
          <w:r>
            <w:rPr>
              <w:sz w:val="24"/>
              <w:szCs w:val="24"/>
            </w:rPr>
            <w:t>12.7 综合结论</w:t>
          </w:r>
          <w:r>
            <w:rPr>
              <w:sz w:val="24"/>
              <w:szCs w:val="24"/>
            </w:rPr>
            <w:tab/>
          </w:r>
          <w:r>
            <w:rPr>
              <w:sz w:val="24"/>
              <w:szCs w:val="24"/>
            </w:rPr>
            <w:fldChar w:fldCharType="begin"/>
          </w:r>
          <w:r>
            <w:rPr>
              <w:sz w:val="24"/>
              <w:szCs w:val="24"/>
            </w:rPr>
            <w:instrText xml:space="preserve"> PAGEREF _Toc1842 \h </w:instrText>
          </w:r>
          <w:r>
            <w:rPr>
              <w:sz w:val="24"/>
              <w:szCs w:val="24"/>
            </w:rPr>
            <w:fldChar w:fldCharType="separate"/>
          </w:r>
          <w:r>
            <w:rPr>
              <w:sz w:val="24"/>
              <w:szCs w:val="24"/>
            </w:rPr>
            <w:t>305</w:t>
          </w:r>
          <w:r>
            <w:rPr>
              <w:sz w:val="24"/>
              <w:szCs w:val="24"/>
            </w:rPr>
            <w:fldChar w:fldCharType="end"/>
          </w:r>
          <w:r>
            <w:rPr>
              <w:sz w:val="24"/>
              <w:szCs w:val="24"/>
            </w:rPr>
            <w:fldChar w:fldCharType="end"/>
          </w:r>
        </w:p>
        <w:p>
          <w:pPr>
            <w:pStyle w:val="922"/>
            <w:tabs>
              <w:tab w:val="right" w:leader="dot" w:pos="9071"/>
            </w:tabs>
            <w:spacing w:line="440" w:lineRule="exact"/>
            <w:rPr>
              <w:b/>
            </w:rPr>
          </w:pPr>
          <w:r>
            <w:fldChar w:fldCharType="begin"/>
          </w:r>
          <w:r>
            <w:instrText xml:space="preserve"> HYPERLINK \l "_Toc3986" </w:instrText>
          </w:r>
          <w:r>
            <w:fldChar w:fldCharType="separate"/>
          </w:r>
          <w:r>
            <w:rPr>
              <w:b/>
              <w:sz w:val="24"/>
              <w:szCs w:val="24"/>
            </w:rPr>
            <w:t>附 录</w:t>
          </w:r>
          <w:r>
            <w:rPr>
              <w:b/>
              <w:sz w:val="24"/>
              <w:szCs w:val="24"/>
            </w:rPr>
            <w:tab/>
          </w:r>
          <w:r>
            <w:rPr>
              <w:b/>
              <w:sz w:val="24"/>
              <w:szCs w:val="24"/>
            </w:rPr>
            <w:fldChar w:fldCharType="begin"/>
          </w:r>
          <w:r>
            <w:rPr>
              <w:b/>
              <w:sz w:val="24"/>
              <w:szCs w:val="24"/>
            </w:rPr>
            <w:instrText xml:space="preserve"> PAGEREF _Toc3986 \h </w:instrText>
          </w:r>
          <w:r>
            <w:rPr>
              <w:b/>
              <w:sz w:val="24"/>
              <w:szCs w:val="24"/>
            </w:rPr>
            <w:fldChar w:fldCharType="separate"/>
          </w:r>
          <w:r>
            <w:rPr>
              <w:b/>
              <w:sz w:val="24"/>
              <w:szCs w:val="24"/>
            </w:rPr>
            <w:t>308</w:t>
          </w:r>
          <w:r>
            <w:rPr>
              <w:b/>
              <w:sz w:val="24"/>
              <w:szCs w:val="24"/>
            </w:rPr>
            <w:fldChar w:fldCharType="end"/>
          </w:r>
          <w:r>
            <w:rPr>
              <w:b/>
              <w:sz w:val="24"/>
              <w:szCs w:val="24"/>
            </w:rPr>
            <w:fldChar w:fldCharType="end"/>
          </w:r>
        </w:p>
        <w:p>
          <w:pPr>
            <w:pStyle w:val="2"/>
            <w:rPr>
              <w:rFonts w:ascii="Times New Roman"/>
              <w:color w:val="auto"/>
            </w:rPr>
          </w:pPr>
          <w:r>
            <w:rPr>
              <w:rFonts w:ascii="Times New Roman"/>
              <w:b/>
              <w:color w:val="auto"/>
            </w:rPr>
            <w:fldChar w:fldCharType="end"/>
          </w:r>
        </w:p>
      </w:sdtContent>
    </w:sdt>
    <w:p>
      <w:pPr>
        <w:widowControl/>
        <w:jc w:val="left"/>
        <w:rPr>
          <w:rFonts w:ascii="Times New Roman" w:hAnsi="Times New Roman"/>
          <w:sz w:val="36"/>
        </w:rPr>
        <w:sectPr>
          <w:pgSz w:w="11907" w:h="16840"/>
          <w:pgMar w:top="1701" w:right="1418" w:bottom="1417" w:left="1418" w:header="1134" w:footer="851" w:gutter="0"/>
          <w:pgNumType w:start="1"/>
          <w:cols w:space="720" w:num="1"/>
        </w:sectPr>
      </w:pPr>
    </w:p>
    <w:p>
      <w:pPr>
        <w:pStyle w:val="3"/>
        <w:spacing w:before="360" w:after="360" w:line="440" w:lineRule="exact"/>
        <w:jc w:val="center"/>
        <w:rPr>
          <w:sz w:val="32"/>
          <w:szCs w:val="32"/>
        </w:rPr>
      </w:pPr>
      <w:bookmarkStart w:id="7" w:name="_Toc163440972"/>
      <w:bookmarkStart w:id="8" w:name="_Toc11401"/>
      <w:bookmarkStart w:id="9" w:name="_Toc437006579"/>
      <w:bookmarkStart w:id="10" w:name="_Toc23519314"/>
      <w:bookmarkStart w:id="11" w:name="_Toc32227"/>
      <w:bookmarkStart w:id="12" w:name="_Toc22769"/>
      <w:r>
        <w:rPr>
          <w:sz w:val="32"/>
          <w:szCs w:val="32"/>
        </w:rPr>
        <w:t>1 总</w:t>
      </w:r>
      <w:bookmarkEnd w:id="7"/>
      <w:r>
        <w:rPr>
          <w:sz w:val="32"/>
          <w:szCs w:val="32"/>
        </w:rPr>
        <w:t xml:space="preserve"> 则</w:t>
      </w:r>
      <w:bookmarkEnd w:id="8"/>
      <w:bookmarkEnd w:id="9"/>
      <w:bookmarkEnd w:id="10"/>
      <w:bookmarkEnd w:id="11"/>
      <w:bookmarkEnd w:id="12"/>
    </w:p>
    <w:p>
      <w:pPr>
        <w:pStyle w:val="4"/>
        <w:snapToGrid w:val="0"/>
        <w:spacing w:line="440" w:lineRule="exact"/>
        <w:rPr>
          <w:rFonts w:ascii="Times New Roman" w:hAnsi="Times New Roman" w:eastAsia="宋体"/>
          <w:sz w:val="28"/>
        </w:rPr>
      </w:pPr>
      <w:bookmarkStart w:id="13" w:name="_Toc13171"/>
      <w:r>
        <w:rPr>
          <w:rFonts w:ascii="Times New Roman" w:hAnsi="Times New Roman" w:eastAsia="宋体"/>
          <w:sz w:val="28"/>
        </w:rPr>
        <w:t>1.1评价目的与原则</w:t>
      </w:r>
      <w:bookmarkEnd w:id="13"/>
    </w:p>
    <w:p>
      <w:pPr>
        <w:pStyle w:val="5"/>
        <w:spacing w:before="120" w:after="120" w:line="440" w:lineRule="exact"/>
        <w:rPr>
          <w:sz w:val="24"/>
        </w:rPr>
      </w:pPr>
      <w:r>
        <w:rPr>
          <w:sz w:val="24"/>
        </w:rPr>
        <w:t>1.1.1 评价目的</w:t>
      </w:r>
    </w:p>
    <w:p>
      <w:pPr>
        <w:spacing w:line="440" w:lineRule="exact"/>
        <w:ind w:firstLine="480" w:firstLineChars="200"/>
        <w:rPr>
          <w:rFonts w:ascii="Times New Roman" w:hAnsi="Times New Roman"/>
        </w:rPr>
      </w:pPr>
      <w:r>
        <w:rPr>
          <w:rFonts w:ascii="Times New Roman" w:hAnsi="Times New Roman"/>
        </w:rPr>
        <w:t>实施可持续发展战略，在煤炭工业矿区总体规划编制和决策过程中，充分考虑所拟议的矿区总体规划可能涉及的环境问题，预防规划实施后可能造成的不良环境影响，合理安排煤炭生产力的布局、开采顺序以及开发规模，使煤炭开采能在资源、环境承载能力的基础上有序、和谐发展，促使经济增长、社会进步与环境保护关系协调发展。</w:t>
      </w:r>
    </w:p>
    <w:p>
      <w:pPr>
        <w:pStyle w:val="5"/>
        <w:spacing w:before="120" w:after="120" w:line="440" w:lineRule="exact"/>
        <w:rPr>
          <w:sz w:val="24"/>
        </w:rPr>
      </w:pPr>
      <w:r>
        <w:rPr>
          <w:sz w:val="24"/>
        </w:rPr>
        <w:t>1.1.2 评价原则</w:t>
      </w:r>
    </w:p>
    <w:p>
      <w:pPr>
        <w:spacing w:line="440" w:lineRule="exact"/>
        <w:ind w:firstLine="480" w:firstLineChars="200"/>
        <w:rPr>
          <w:rFonts w:ascii="Times New Roman" w:hAnsi="Times New Roman"/>
        </w:rPr>
      </w:pPr>
      <w:r>
        <w:rPr>
          <w:rFonts w:ascii="Times New Roman" w:hAnsi="Times New Roman"/>
        </w:rPr>
        <w:t>为使矿区规划在编制和决策中实现经济增长、社会进步与环境保护协调发展，评价应遵循以下原则：</w:t>
      </w:r>
    </w:p>
    <w:p>
      <w:pPr>
        <w:spacing w:line="440" w:lineRule="exact"/>
        <w:ind w:firstLine="482" w:firstLineChars="200"/>
        <w:rPr>
          <w:rFonts w:ascii="Times New Roman" w:hAnsi="Times New Roman"/>
          <w:b/>
        </w:rPr>
      </w:pPr>
      <w:r>
        <w:rPr>
          <w:rFonts w:ascii="Times New Roman" w:hAnsi="Times New Roman"/>
          <w:b/>
        </w:rPr>
        <w:t>（1）科学性原则</w:t>
      </w:r>
    </w:p>
    <w:p>
      <w:pPr>
        <w:spacing w:line="440" w:lineRule="exact"/>
        <w:ind w:firstLine="480" w:firstLineChars="200"/>
        <w:rPr>
          <w:rFonts w:ascii="Times New Roman" w:hAnsi="Times New Roman"/>
        </w:rPr>
      </w:pPr>
      <w:r>
        <w:rPr>
          <w:rFonts w:ascii="Times New Roman" w:hAnsi="Times New Roman"/>
        </w:rPr>
        <w:t>认真贯彻科学发展观与可持续发展的要求，综合考虑规划方案实施后对各环境要素及区域生态系统的潜在影响，着重分析规划方案对环境和资源的需求，同时将环境保护目标充分融入到规划方案的论证和完善中，贯彻循环经济理念与环境容量要求，为科学决策提供指导和依据。</w:t>
      </w:r>
    </w:p>
    <w:p>
      <w:pPr>
        <w:spacing w:line="440" w:lineRule="exact"/>
        <w:ind w:firstLine="482" w:firstLineChars="200"/>
        <w:rPr>
          <w:rFonts w:ascii="Times New Roman" w:hAnsi="Times New Roman"/>
          <w:b/>
        </w:rPr>
      </w:pPr>
      <w:r>
        <w:rPr>
          <w:rFonts w:ascii="Times New Roman" w:hAnsi="Times New Roman"/>
          <w:b/>
        </w:rPr>
        <w:t>（2）整体性原则</w:t>
      </w:r>
    </w:p>
    <w:p>
      <w:pPr>
        <w:spacing w:line="440" w:lineRule="exact"/>
        <w:ind w:firstLine="480" w:firstLineChars="200"/>
        <w:rPr>
          <w:rFonts w:ascii="Times New Roman" w:hAnsi="Times New Roman"/>
        </w:rPr>
      </w:pPr>
      <w:r>
        <w:rPr>
          <w:rFonts w:ascii="Times New Roman" w:hAnsi="Times New Roman"/>
        </w:rPr>
        <w:t>整体性体现在三个方面，一是对评价对象进行整体评价，二是环境要素实施系统分析预测，三是制定全面系统地对策方案。</w:t>
      </w:r>
    </w:p>
    <w:p>
      <w:pPr>
        <w:spacing w:line="440" w:lineRule="exact"/>
        <w:ind w:firstLine="480" w:firstLineChars="200"/>
        <w:rPr>
          <w:rFonts w:ascii="Times New Roman" w:hAnsi="Times New Roman"/>
        </w:rPr>
      </w:pPr>
      <w:r>
        <w:rPr>
          <w:rFonts w:ascii="Times New Roman" w:hAnsi="Times New Roman"/>
        </w:rPr>
        <w:t>其中，环境要素方面，重点考虑水、气、生态等关键要素，从区域角度，全面分析规划方案实施可能引发的环境影响累积、叠加和长期生态效应；对策方案方面，不仅要对潜在的不利环境影响采取有针对性的减缓措施，而且要强调对矿区清洁生产、循环经济论证，形成协同效应。</w:t>
      </w:r>
    </w:p>
    <w:p>
      <w:pPr>
        <w:spacing w:line="440" w:lineRule="exact"/>
        <w:ind w:firstLine="482" w:firstLineChars="200"/>
        <w:rPr>
          <w:rFonts w:ascii="Times New Roman" w:hAnsi="Times New Roman"/>
          <w:b/>
        </w:rPr>
      </w:pPr>
      <w:r>
        <w:rPr>
          <w:rFonts w:ascii="Times New Roman" w:hAnsi="Times New Roman"/>
          <w:b/>
        </w:rPr>
        <w:t>（3）突出重点原则</w:t>
      </w:r>
    </w:p>
    <w:p>
      <w:pPr>
        <w:spacing w:line="440" w:lineRule="exact"/>
        <w:ind w:firstLine="480" w:firstLineChars="200"/>
        <w:rPr>
          <w:rFonts w:ascii="Times New Roman" w:hAnsi="Times New Roman"/>
        </w:rPr>
      </w:pPr>
      <w:r>
        <w:rPr>
          <w:rFonts w:ascii="Times New Roman" w:hAnsi="Times New Roman"/>
        </w:rPr>
        <w:t>在全面系统分析的基础上，综合矿区资源禀赋和生态环境特征，针对矿区总体规划的重大项目及布局，结合区域关键环境要素，重点分析环境资源对矿区总体规划实施的实际支撑能力、矿区开发活动全过程的循环经济发展模式，以及开发建设过程中可能产生的突出环境问题，并制定有针对性地调整、改进与减缓措施。</w:t>
      </w:r>
    </w:p>
    <w:p>
      <w:pPr>
        <w:spacing w:line="440" w:lineRule="exact"/>
        <w:ind w:firstLine="482" w:firstLineChars="200"/>
        <w:rPr>
          <w:rFonts w:ascii="Times New Roman" w:hAnsi="Times New Roman"/>
          <w:b/>
        </w:rPr>
      </w:pPr>
      <w:r>
        <w:rPr>
          <w:rFonts w:ascii="Times New Roman" w:hAnsi="Times New Roman"/>
          <w:b/>
        </w:rPr>
        <w:t>（4）一致性原则</w:t>
      </w:r>
    </w:p>
    <w:p>
      <w:pPr>
        <w:spacing w:line="440" w:lineRule="exact"/>
        <w:ind w:firstLine="480" w:firstLineChars="200"/>
        <w:rPr>
          <w:rFonts w:ascii="Times New Roman" w:hAnsi="Times New Roman"/>
        </w:rPr>
      </w:pPr>
      <w:r>
        <w:rPr>
          <w:rFonts w:ascii="Times New Roman" w:hAnsi="Times New Roman"/>
        </w:rPr>
        <w:t>评价工作深度与规划层次、详尽程度相一致，强调矿区总体规划目标与国家相关环境保护法律法规、产业政策以及地方和部门有关生态、环保规划的协调性、公平性和均衡性。同时要保证规划环评的层次、工作内容深度、详尽程度与矿区总体规划保持一致。</w:t>
      </w:r>
    </w:p>
    <w:p>
      <w:pPr>
        <w:spacing w:line="440" w:lineRule="exact"/>
        <w:ind w:firstLine="482" w:firstLineChars="200"/>
        <w:rPr>
          <w:rFonts w:ascii="Times New Roman" w:hAnsi="Times New Roman"/>
          <w:b/>
        </w:rPr>
      </w:pPr>
      <w:r>
        <w:rPr>
          <w:rFonts w:ascii="Times New Roman" w:hAnsi="Times New Roman"/>
          <w:b/>
        </w:rPr>
        <w:t>（5）公众参与原则</w:t>
      </w:r>
    </w:p>
    <w:p>
      <w:pPr>
        <w:spacing w:line="440" w:lineRule="exact"/>
        <w:ind w:firstLine="480" w:firstLineChars="200"/>
        <w:rPr>
          <w:rFonts w:ascii="Times New Roman" w:hAnsi="Times New Roman"/>
        </w:rPr>
      </w:pPr>
      <w:r>
        <w:rPr>
          <w:rFonts w:ascii="Times New Roman" w:hAnsi="Times New Roman"/>
        </w:rPr>
        <w:t>在规划环境影响评价的过程中开展公众参与，充分考虑社会各方面的利益和主张。</w:t>
      </w:r>
    </w:p>
    <w:p>
      <w:pPr>
        <w:pStyle w:val="4"/>
        <w:snapToGrid w:val="0"/>
        <w:spacing w:line="440" w:lineRule="exact"/>
        <w:rPr>
          <w:rFonts w:ascii="Times New Roman" w:hAnsi="Times New Roman" w:eastAsia="宋体"/>
          <w:sz w:val="28"/>
        </w:rPr>
      </w:pPr>
      <w:bookmarkStart w:id="14" w:name="_Toc163440973"/>
      <w:bookmarkStart w:id="15" w:name="_Toc437006580"/>
      <w:bookmarkStart w:id="16" w:name="_Toc20283"/>
      <w:bookmarkStart w:id="17" w:name="_Toc23519315"/>
      <w:bookmarkStart w:id="18" w:name="_Toc5433"/>
      <w:bookmarkStart w:id="19" w:name="_Toc17589"/>
      <w:r>
        <w:rPr>
          <w:rFonts w:ascii="Times New Roman" w:hAnsi="Times New Roman" w:eastAsia="宋体"/>
          <w:sz w:val="28"/>
        </w:rPr>
        <w:t xml:space="preserve">1.2 </w:t>
      </w:r>
      <w:bookmarkEnd w:id="14"/>
      <w:bookmarkEnd w:id="15"/>
      <w:bookmarkStart w:id="20" w:name="_Toc163440974"/>
      <w:bookmarkStart w:id="21" w:name="_Toc437006581"/>
      <w:r>
        <w:rPr>
          <w:rFonts w:ascii="Times New Roman" w:hAnsi="Times New Roman" w:eastAsia="宋体"/>
          <w:sz w:val="28"/>
        </w:rPr>
        <w:t>编制依据</w:t>
      </w:r>
      <w:bookmarkEnd w:id="16"/>
      <w:bookmarkEnd w:id="17"/>
      <w:bookmarkEnd w:id="18"/>
      <w:bookmarkEnd w:id="19"/>
      <w:bookmarkEnd w:id="20"/>
      <w:bookmarkEnd w:id="21"/>
    </w:p>
    <w:p>
      <w:pPr>
        <w:pStyle w:val="5"/>
        <w:spacing w:before="120" w:after="120" w:line="440" w:lineRule="exact"/>
        <w:rPr>
          <w:sz w:val="24"/>
        </w:rPr>
      </w:pPr>
      <w:r>
        <w:rPr>
          <w:sz w:val="24"/>
        </w:rPr>
        <w:t>1.2.1 任务依据</w:t>
      </w:r>
    </w:p>
    <w:p>
      <w:pPr>
        <w:spacing w:line="440" w:lineRule="exact"/>
        <w:ind w:firstLine="480" w:firstLineChars="200"/>
        <w:rPr>
          <w:rFonts w:ascii="Times New Roman" w:hAnsi="Times New Roman"/>
        </w:rPr>
      </w:pPr>
      <w:r>
        <w:rPr>
          <w:rFonts w:ascii="Times New Roman" w:hAnsi="Times New Roman"/>
        </w:rPr>
        <w:t>《鄂尔多斯市能源局关于委托编制纳林希里矿区总体规划和总体规划环境影响评价的函》鄂能局函[2021]462号。</w:t>
      </w:r>
    </w:p>
    <w:p>
      <w:pPr>
        <w:pStyle w:val="5"/>
        <w:spacing w:before="120" w:after="120" w:line="440" w:lineRule="exact"/>
        <w:rPr>
          <w:sz w:val="24"/>
          <w:szCs w:val="22"/>
        </w:rPr>
      </w:pPr>
      <w:r>
        <w:rPr>
          <w:sz w:val="24"/>
          <w:szCs w:val="22"/>
        </w:rPr>
        <w:t>1.2.2法律、法规</w:t>
      </w:r>
    </w:p>
    <w:p>
      <w:pPr>
        <w:keepNext/>
        <w:keepLines/>
        <w:spacing w:line="440" w:lineRule="exact"/>
        <w:outlineLvl w:val="3"/>
        <w:rPr>
          <w:rFonts w:ascii="Times New Roman" w:hAnsi="Times New Roman"/>
          <w:b/>
          <w:szCs w:val="22"/>
        </w:rPr>
      </w:pPr>
      <w:r>
        <w:rPr>
          <w:rFonts w:ascii="Times New Roman" w:hAnsi="Times New Roman"/>
          <w:b/>
          <w:szCs w:val="22"/>
        </w:rPr>
        <w:t>1.2.2.1 法律</w:t>
      </w:r>
    </w:p>
    <w:p>
      <w:pPr>
        <w:pStyle w:val="514"/>
        <w:spacing w:line="440" w:lineRule="exact"/>
        <w:ind w:firstLine="480"/>
      </w:pPr>
      <w:r>
        <w:t>（1）《中华人民共和国环境保护法》，2015-01-01起施行；</w:t>
      </w:r>
    </w:p>
    <w:p>
      <w:pPr>
        <w:pStyle w:val="514"/>
        <w:spacing w:line="440" w:lineRule="exact"/>
        <w:ind w:firstLine="480"/>
      </w:pPr>
      <w:r>
        <w:t>（2）《中华人民共和国环境影响评价法》（修订），2018-12-29起施行；</w:t>
      </w:r>
    </w:p>
    <w:p>
      <w:pPr>
        <w:pStyle w:val="514"/>
        <w:spacing w:line="440" w:lineRule="exact"/>
        <w:ind w:firstLine="480"/>
      </w:pPr>
      <w:r>
        <w:t>（3）《中华人民共和国大气污染防治法》（修订），2018-10-26起施行；</w:t>
      </w:r>
    </w:p>
    <w:p>
      <w:pPr>
        <w:pStyle w:val="514"/>
        <w:spacing w:line="440" w:lineRule="exact"/>
        <w:ind w:firstLine="480"/>
      </w:pPr>
      <w:r>
        <w:t>（4）《中华人民共和国水污染防治法》（修订），2018-01-01起施行；</w:t>
      </w:r>
    </w:p>
    <w:p>
      <w:pPr>
        <w:pStyle w:val="514"/>
        <w:spacing w:line="440" w:lineRule="exact"/>
        <w:ind w:firstLine="480"/>
      </w:pPr>
      <w:r>
        <w:t>（5）《中华人民共和国环境噪声污染防治法》（修订），2018-12-29起施行；</w:t>
      </w:r>
    </w:p>
    <w:p>
      <w:pPr>
        <w:pStyle w:val="514"/>
        <w:spacing w:line="440" w:lineRule="exact"/>
        <w:ind w:firstLine="480"/>
      </w:pPr>
      <w:r>
        <w:t>（6）《中华人民共和国固体废物污染环境防治法》（2020修订），2020-9-1起施行；</w:t>
      </w:r>
    </w:p>
    <w:p>
      <w:pPr>
        <w:pStyle w:val="514"/>
        <w:spacing w:line="440" w:lineRule="exact"/>
        <w:ind w:firstLine="480"/>
      </w:pPr>
      <w:r>
        <w:t>（7）《中华人民共和国节约能源法》（修正），2018-10-26起施行；</w:t>
      </w:r>
    </w:p>
    <w:p>
      <w:pPr>
        <w:pStyle w:val="514"/>
        <w:spacing w:line="440" w:lineRule="exact"/>
        <w:ind w:firstLine="480"/>
      </w:pPr>
      <w:r>
        <w:t>（8）《中华人民共和国循环经济促进法》（修正），2018-10-26起施行；</w:t>
      </w:r>
    </w:p>
    <w:p>
      <w:pPr>
        <w:pStyle w:val="514"/>
        <w:spacing w:line="440" w:lineRule="exact"/>
        <w:ind w:firstLine="480"/>
      </w:pPr>
      <w:r>
        <w:t>（9）《中华人民共和国清洁生产促进法》，2012-7-1起施行；</w:t>
      </w:r>
    </w:p>
    <w:p>
      <w:pPr>
        <w:pStyle w:val="514"/>
        <w:spacing w:line="440" w:lineRule="exact"/>
        <w:ind w:firstLine="480"/>
      </w:pPr>
      <w:r>
        <w:t>（10）《中华人民共和国防沙治沙法》（修订），2018-10-26起施行；</w:t>
      </w:r>
    </w:p>
    <w:p>
      <w:pPr>
        <w:pStyle w:val="514"/>
        <w:spacing w:line="440" w:lineRule="exact"/>
        <w:ind w:firstLine="480"/>
      </w:pPr>
      <w:r>
        <w:t>（11）《中华人民共和国水土保持法》，2011-3-1起施行；</w:t>
      </w:r>
    </w:p>
    <w:p>
      <w:pPr>
        <w:pStyle w:val="514"/>
        <w:spacing w:line="440" w:lineRule="exact"/>
        <w:ind w:firstLine="480"/>
      </w:pPr>
      <w:r>
        <w:t>（12）《中华人民共和国水法》（2016年修订），2016-7-2起施行；</w:t>
      </w:r>
    </w:p>
    <w:p>
      <w:pPr>
        <w:pStyle w:val="514"/>
        <w:spacing w:line="440" w:lineRule="exact"/>
        <w:ind w:firstLine="480"/>
      </w:pPr>
      <w:r>
        <w:t>（13）《中华人民共和国草原法》（修正），2013-6-29起施行；</w:t>
      </w:r>
    </w:p>
    <w:p>
      <w:pPr>
        <w:pStyle w:val="514"/>
        <w:spacing w:line="440" w:lineRule="exact"/>
        <w:ind w:firstLine="480"/>
      </w:pPr>
      <w:r>
        <w:t>（14）《中华人民共和国土地管理法》（修改），2020-01-01起施行；</w:t>
      </w:r>
    </w:p>
    <w:p>
      <w:pPr>
        <w:pStyle w:val="514"/>
        <w:spacing w:line="440" w:lineRule="exact"/>
        <w:ind w:firstLine="480"/>
      </w:pPr>
      <w:r>
        <w:t>（15）《中华人民共和国野生动物保护法》（修订），2018-10-26起施行；</w:t>
      </w:r>
    </w:p>
    <w:p>
      <w:pPr>
        <w:pStyle w:val="514"/>
        <w:spacing w:line="440" w:lineRule="exact"/>
        <w:ind w:firstLine="480"/>
      </w:pPr>
      <w:r>
        <w:t>（16）《中华人民共和国矿产资源法》（修正），2009-08-27起施行；</w:t>
      </w:r>
    </w:p>
    <w:p>
      <w:pPr>
        <w:pStyle w:val="514"/>
        <w:spacing w:line="440" w:lineRule="exact"/>
        <w:ind w:firstLine="480"/>
      </w:pPr>
      <w:r>
        <w:t>（17）《中华人民共和国煤炭法》（修正），2016-11-07起施行；</w:t>
      </w:r>
    </w:p>
    <w:p>
      <w:pPr>
        <w:pStyle w:val="514"/>
        <w:spacing w:line="440" w:lineRule="exact"/>
        <w:ind w:firstLine="480"/>
      </w:pPr>
      <w:r>
        <w:t>（18）《中华人民共和国土壤污染防治法》，2019-1-1起施行。</w:t>
      </w:r>
    </w:p>
    <w:p>
      <w:pPr>
        <w:keepNext/>
        <w:keepLines/>
        <w:spacing w:line="440" w:lineRule="exact"/>
        <w:outlineLvl w:val="3"/>
        <w:rPr>
          <w:rFonts w:ascii="Times New Roman" w:hAnsi="Times New Roman"/>
          <w:b/>
          <w:szCs w:val="22"/>
        </w:rPr>
      </w:pPr>
      <w:r>
        <w:rPr>
          <w:rFonts w:ascii="Times New Roman" w:hAnsi="Times New Roman"/>
          <w:b/>
          <w:szCs w:val="22"/>
        </w:rPr>
        <w:t>1.2.2.2 行政法规</w:t>
      </w:r>
    </w:p>
    <w:p>
      <w:pPr>
        <w:adjustRightInd w:val="0"/>
        <w:snapToGrid w:val="0"/>
        <w:spacing w:line="440" w:lineRule="exact"/>
        <w:ind w:left="397"/>
        <w:rPr>
          <w:rFonts w:ascii="Times New Roman" w:hAnsi="Times New Roman"/>
        </w:rPr>
      </w:pPr>
      <w:r>
        <w:rPr>
          <w:rFonts w:ascii="Times New Roman" w:hAnsi="Times New Roman"/>
        </w:rPr>
        <w:t>（1）《规划环境影响评价条例》，国务院令第559号，2009-10-01施行；</w:t>
      </w:r>
    </w:p>
    <w:p>
      <w:pPr>
        <w:adjustRightInd w:val="0"/>
        <w:snapToGrid w:val="0"/>
        <w:spacing w:line="440" w:lineRule="exact"/>
        <w:ind w:left="397"/>
        <w:rPr>
          <w:rFonts w:ascii="Times New Roman" w:hAnsi="Times New Roman"/>
        </w:rPr>
      </w:pPr>
      <w:r>
        <w:rPr>
          <w:rFonts w:ascii="Times New Roman" w:hAnsi="Times New Roman"/>
        </w:rPr>
        <w:t>（2）《建设项目环境保护管理条例》（修订），国务院令第682号，2017-10-1施行；</w:t>
      </w:r>
    </w:p>
    <w:p>
      <w:pPr>
        <w:adjustRightInd w:val="0"/>
        <w:snapToGrid w:val="0"/>
        <w:spacing w:line="440" w:lineRule="exact"/>
        <w:ind w:left="397"/>
        <w:rPr>
          <w:rFonts w:ascii="Times New Roman" w:hAnsi="Times New Roman"/>
        </w:rPr>
      </w:pPr>
      <w:r>
        <w:rPr>
          <w:rFonts w:ascii="Times New Roman" w:hAnsi="Times New Roman"/>
        </w:rPr>
        <w:t>（3）《中华人民共和国自然保护区条例》（修订），国务院令第687号，2017-10-7起施行；</w:t>
      </w:r>
    </w:p>
    <w:p>
      <w:pPr>
        <w:numPr>
          <w:ilvl w:val="0"/>
          <w:numId w:val="1"/>
        </w:numPr>
        <w:adjustRightInd w:val="0"/>
        <w:snapToGrid w:val="0"/>
        <w:spacing w:line="440" w:lineRule="exact"/>
        <w:ind w:left="397"/>
        <w:rPr>
          <w:rFonts w:ascii="Times New Roman" w:hAnsi="Times New Roman"/>
        </w:rPr>
      </w:pPr>
      <w:r>
        <w:rPr>
          <w:rFonts w:ascii="Times New Roman" w:hAnsi="Times New Roman"/>
        </w:rPr>
        <w:t>《土地复垦条例》，国务院令第592号，2011-3-5起施行；</w:t>
      </w:r>
    </w:p>
    <w:p>
      <w:pPr>
        <w:numPr>
          <w:ilvl w:val="0"/>
          <w:numId w:val="1"/>
        </w:numPr>
        <w:adjustRightInd w:val="0"/>
        <w:snapToGrid w:val="0"/>
        <w:spacing w:line="440" w:lineRule="exact"/>
        <w:ind w:left="397"/>
        <w:rPr>
          <w:rFonts w:ascii="Times New Roman" w:hAnsi="Times New Roman"/>
        </w:rPr>
      </w:pPr>
      <w:r>
        <w:rPr>
          <w:rFonts w:ascii="Times New Roman" w:hAnsi="Times New Roman"/>
        </w:rPr>
        <w:t>《中华人民共和国陆生野生动物保护实施条例》（修订），2016-02-06起施行；</w:t>
      </w:r>
    </w:p>
    <w:p>
      <w:pPr>
        <w:numPr>
          <w:ilvl w:val="0"/>
          <w:numId w:val="1"/>
        </w:numPr>
        <w:adjustRightInd w:val="0"/>
        <w:snapToGrid w:val="0"/>
        <w:spacing w:line="440" w:lineRule="exact"/>
        <w:ind w:left="397"/>
        <w:rPr>
          <w:rFonts w:ascii="Times New Roman" w:hAnsi="Times New Roman"/>
        </w:rPr>
      </w:pPr>
      <w:r>
        <w:rPr>
          <w:rFonts w:ascii="Times New Roman" w:hAnsi="Times New Roman"/>
        </w:rPr>
        <w:t>《中华人民共和国文物保护法实施条例》（修订），国务院令第377号，2017-03-07起施行；</w:t>
      </w:r>
    </w:p>
    <w:p>
      <w:pPr>
        <w:numPr>
          <w:ilvl w:val="0"/>
          <w:numId w:val="1"/>
        </w:numPr>
        <w:adjustRightInd w:val="0"/>
        <w:snapToGrid w:val="0"/>
        <w:spacing w:line="440" w:lineRule="exact"/>
        <w:ind w:left="397"/>
        <w:rPr>
          <w:rFonts w:ascii="Times New Roman" w:hAnsi="Times New Roman"/>
        </w:rPr>
      </w:pPr>
      <w:r>
        <w:rPr>
          <w:rFonts w:ascii="Times New Roman" w:hAnsi="Times New Roman"/>
        </w:rPr>
        <w:t>《中华人民共和国野生植物保护条例》（修订），国务院令第687号，2017-10-07起施行；</w:t>
      </w:r>
    </w:p>
    <w:p>
      <w:pPr>
        <w:adjustRightInd w:val="0"/>
        <w:snapToGrid w:val="0"/>
        <w:spacing w:line="440" w:lineRule="exact"/>
        <w:ind w:left="397"/>
        <w:rPr>
          <w:rFonts w:ascii="Times New Roman" w:hAnsi="Times New Roman"/>
        </w:rPr>
      </w:pPr>
      <w:r>
        <w:rPr>
          <w:rFonts w:ascii="Times New Roman" w:hAnsi="Times New Roman"/>
        </w:rPr>
        <w:t xml:space="preserve">（8）《地质灾害防治条例》，国务院令第394号，2011-3-5起施行； </w:t>
      </w:r>
    </w:p>
    <w:p>
      <w:pPr>
        <w:adjustRightInd w:val="0"/>
        <w:snapToGrid w:val="0"/>
        <w:spacing w:line="440" w:lineRule="exact"/>
        <w:ind w:left="397"/>
        <w:rPr>
          <w:rFonts w:ascii="Times New Roman" w:hAnsi="Times New Roman"/>
        </w:rPr>
      </w:pPr>
      <w:r>
        <w:rPr>
          <w:rFonts w:ascii="Times New Roman" w:hAnsi="Times New Roman"/>
        </w:rPr>
        <w:t>（9）《公路安全保护条例》，国务院令第593号，2011-7-1起施行。</w:t>
      </w:r>
    </w:p>
    <w:p>
      <w:pPr>
        <w:keepNext/>
        <w:keepLines/>
        <w:spacing w:line="440" w:lineRule="exact"/>
        <w:outlineLvl w:val="3"/>
        <w:rPr>
          <w:rFonts w:ascii="Times New Roman" w:hAnsi="Times New Roman"/>
          <w:b/>
          <w:szCs w:val="22"/>
        </w:rPr>
      </w:pPr>
      <w:r>
        <w:rPr>
          <w:rFonts w:ascii="Times New Roman" w:hAnsi="Times New Roman"/>
          <w:b/>
          <w:szCs w:val="22"/>
        </w:rPr>
        <w:t>1.2.2.3 地方性法规</w:t>
      </w:r>
    </w:p>
    <w:p>
      <w:pPr>
        <w:spacing w:line="440" w:lineRule="exact"/>
        <w:ind w:firstLine="480" w:firstLineChars="200"/>
        <w:rPr>
          <w:rFonts w:ascii="Times New Roman" w:hAnsi="Times New Roman"/>
        </w:rPr>
      </w:pPr>
      <w:r>
        <w:rPr>
          <w:rFonts w:ascii="Times New Roman" w:hAnsi="Times New Roman"/>
        </w:rPr>
        <w:t>（1）《内蒙古自治区环境保护条例》（</w:t>
      </w:r>
      <w:r>
        <w:rPr>
          <w:rFonts w:ascii="Times New Roman" w:hAnsi="Times New Roman"/>
          <w:spacing w:val="8"/>
        </w:rPr>
        <w:t>1991年3月23日经会议通过，2018年12月6日第五次修正</w:t>
      </w:r>
      <w:r>
        <w:rPr>
          <w:rFonts w:ascii="Times New Roman" w:hAnsi="Times New Roman"/>
        </w:rPr>
        <w:t>）；</w:t>
      </w:r>
    </w:p>
    <w:p>
      <w:pPr>
        <w:spacing w:line="440" w:lineRule="exact"/>
        <w:ind w:firstLine="480" w:firstLineChars="200"/>
        <w:rPr>
          <w:rFonts w:ascii="Times New Roman" w:hAnsi="Times New Roman"/>
        </w:rPr>
      </w:pPr>
      <w:r>
        <w:rPr>
          <w:rFonts w:ascii="Times New Roman" w:hAnsi="Times New Roman"/>
        </w:rPr>
        <w:t>（2）《内蒙古自治区自然保护区实施办法》（内蒙古自治区人民政府，1998年11月25日发布并实施）；</w:t>
      </w:r>
    </w:p>
    <w:p>
      <w:pPr>
        <w:spacing w:line="440" w:lineRule="exact"/>
        <w:ind w:firstLine="480" w:firstLineChars="200"/>
        <w:rPr>
          <w:rFonts w:ascii="Times New Roman" w:hAnsi="Times New Roman"/>
        </w:rPr>
      </w:pPr>
      <w:r>
        <w:rPr>
          <w:rFonts w:ascii="Times New Roman" w:hAnsi="Times New Roman"/>
        </w:rPr>
        <w:t>（3）《内蒙古自治区草原管理条例实施细则》（内蒙古自治区人民政府令第86号，2006年1月12日修订，2006年5月1日实施）；</w:t>
      </w:r>
    </w:p>
    <w:p>
      <w:pPr>
        <w:spacing w:line="440" w:lineRule="exact"/>
        <w:ind w:firstLine="480" w:firstLineChars="200"/>
        <w:rPr>
          <w:rFonts w:ascii="Times New Roman" w:hAnsi="Times New Roman"/>
        </w:rPr>
      </w:pPr>
      <w:r>
        <w:rPr>
          <w:rFonts w:ascii="Times New Roman" w:hAnsi="Times New Roman"/>
        </w:rPr>
        <w:t>（4）《内蒙古自治区矿产资源管理条例》（</w:t>
      </w:r>
      <w:r>
        <w:rPr>
          <w:rFonts w:ascii="Times New Roman" w:hAnsi="Times New Roman"/>
          <w:spacing w:val="8"/>
        </w:rPr>
        <w:t>内蒙古自治区人民代表大会常务委员，</w:t>
      </w:r>
      <w:r>
        <w:rPr>
          <w:rFonts w:ascii="Times New Roman" w:hAnsi="Times New Roman"/>
        </w:rPr>
        <w:t>1999年7月31日发布并实施）；</w:t>
      </w:r>
    </w:p>
    <w:p>
      <w:pPr>
        <w:pStyle w:val="514"/>
        <w:spacing w:line="440" w:lineRule="exact"/>
        <w:ind w:firstLine="480"/>
      </w:pPr>
      <w:r>
        <w:t>（5）《内蒙古自治区基本草原保护条例》，（内蒙古自治区第十一届人民代表大会常务委员会公告第31号，2011年12月1日起施行）；</w:t>
      </w:r>
    </w:p>
    <w:p>
      <w:pPr>
        <w:pStyle w:val="464"/>
        <w:tabs>
          <w:tab w:val="left" w:pos="1260"/>
        </w:tabs>
        <w:adjustRightInd w:val="0"/>
        <w:spacing w:line="440" w:lineRule="exact"/>
        <w:rPr>
          <w:rFonts w:ascii="Times New Roman" w:hAnsi="Times New Roman" w:cs="Times New Roman"/>
        </w:rPr>
      </w:pPr>
      <w:r>
        <w:rPr>
          <w:rFonts w:ascii="Times New Roman" w:hAnsi="Times New Roman" w:cs="Times New Roman"/>
        </w:rPr>
        <w:t>（6）《内蒙古自治区地质环境保护条例》（修订）（内蒙古自治区人大常委会，2001年7月29日发布，2021年9月1日起施行）。</w:t>
      </w:r>
    </w:p>
    <w:p>
      <w:pPr>
        <w:pStyle w:val="5"/>
        <w:spacing w:before="120" w:after="120" w:line="440" w:lineRule="exact"/>
        <w:rPr>
          <w:sz w:val="24"/>
          <w:szCs w:val="22"/>
        </w:rPr>
      </w:pPr>
      <w:r>
        <w:rPr>
          <w:sz w:val="24"/>
          <w:szCs w:val="22"/>
        </w:rPr>
        <w:t>1.2.3 规章</w:t>
      </w:r>
    </w:p>
    <w:p>
      <w:pPr>
        <w:keepNext/>
        <w:keepLines/>
        <w:spacing w:line="440" w:lineRule="exact"/>
        <w:outlineLvl w:val="3"/>
        <w:rPr>
          <w:rFonts w:ascii="Times New Roman" w:hAnsi="Times New Roman"/>
          <w:b/>
          <w:szCs w:val="22"/>
        </w:rPr>
      </w:pPr>
      <w:r>
        <w:rPr>
          <w:rFonts w:ascii="Times New Roman" w:hAnsi="Times New Roman"/>
          <w:b/>
          <w:szCs w:val="22"/>
        </w:rPr>
        <w:t>1.2.3.1国务院部门规章</w:t>
      </w:r>
    </w:p>
    <w:p>
      <w:pPr>
        <w:pStyle w:val="113"/>
        <w:numPr>
          <w:ilvl w:val="0"/>
          <w:numId w:val="2"/>
        </w:numPr>
        <w:adjustRightInd w:val="0"/>
        <w:snapToGrid w:val="0"/>
        <w:spacing w:line="440" w:lineRule="exact"/>
        <w:ind w:left="0" w:firstLine="480"/>
        <w:rPr>
          <w:rFonts w:ascii="Times New Roman" w:hAnsi="Times New Roman"/>
          <w:sz w:val="24"/>
          <w:szCs w:val="24"/>
        </w:rPr>
      </w:pPr>
      <w:r>
        <w:rPr>
          <w:rFonts w:ascii="Times New Roman" w:hAnsi="Times New Roman"/>
          <w:sz w:val="24"/>
          <w:szCs w:val="24"/>
        </w:rPr>
        <w:t>《煤炭矿区总体规划管理暂行规定》，国家发改委令第14号；</w:t>
      </w:r>
    </w:p>
    <w:p>
      <w:pPr>
        <w:pStyle w:val="113"/>
        <w:numPr>
          <w:ilvl w:val="0"/>
          <w:numId w:val="2"/>
        </w:numPr>
        <w:adjustRightInd w:val="0"/>
        <w:snapToGrid w:val="0"/>
        <w:spacing w:line="440" w:lineRule="exact"/>
        <w:ind w:left="0" w:firstLine="480"/>
        <w:rPr>
          <w:rFonts w:ascii="Times New Roman" w:hAnsi="Times New Roman"/>
          <w:sz w:val="24"/>
          <w:szCs w:val="24"/>
        </w:rPr>
      </w:pPr>
      <w:r>
        <w:rPr>
          <w:rFonts w:ascii="Times New Roman" w:hAnsi="Times New Roman"/>
          <w:sz w:val="24"/>
          <w:szCs w:val="24"/>
        </w:rPr>
        <w:t>《产业结构调整指导目录（2019年本）》（修正），国家发改委令第29号；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《关于印发&lt;生态环境保护纲要&gt;的通知》，国发[2000] 38号；</w:t>
      </w:r>
    </w:p>
    <w:p>
      <w:pPr>
        <w:pStyle w:val="113"/>
        <w:numPr>
          <w:ilvl w:val="0"/>
          <w:numId w:val="2"/>
        </w:numPr>
        <w:adjustRightInd w:val="0"/>
        <w:snapToGrid w:val="0"/>
        <w:spacing w:line="440" w:lineRule="exact"/>
        <w:ind w:left="0" w:firstLine="480"/>
        <w:rPr>
          <w:rFonts w:ascii="Times New Roman" w:hAnsi="Times New Roman"/>
          <w:sz w:val="24"/>
          <w:szCs w:val="24"/>
        </w:rPr>
      </w:pPr>
      <w:r>
        <w:rPr>
          <w:rFonts w:ascii="Times New Roman" w:hAnsi="Times New Roman"/>
          <w:sz w:val="24"/>
          <w:szCs w:val="24"/>
        </w:rPr>
        <w:t>《环境影响评价公众参与办法》，生态环境部令第4号，2019-1-1起施行；</w:t>
      </w:r>
    </w:p>
    <w:p>
      <w:pPr>
        <w:pStyle w:val="113"/>
        <w:numPr>
          <w:ilvl w:val="0"/>
          <w:numId w:val="2"/>
        </w:numPr>
        <w:adjustRightInd w:val="0"/>
        <w:snapToGrid w:val="0"/>
        <w:spacing w:line="440" w:lineRule="exact"/>
        <w:ind w:left="0" w:firstLine="480"/>
        <w:rPr>
          <w:rFonts w:ascii="Times New Roman" w:hAnsi="Times New Roman"/>
          <w:sz w:val="24"/>
          <w:szCs w:val="24"/>
        </w:rPr>
      </w:pPr>
      <w:r>
        <w:rPr>
          <w:rFonts w:ascii="Times New Roman" w:hAnsi="Times New Roman"/>
          <w:sz w:val="24"/>
          <w:szCs w:val="24"/>
        </w:rPr>
        <w:t>《国务院关于印发大气污染防治行动计划的通知》，国发[2013]317号文；</w:t>
      </w:r>
    </w:p>
    <w:p>
      <w:pPr>
        <w:pStyle w:val="113"/>
        <w:numPr>
          <w:ilvl w:val="0"/>
          <w:numId w:val="2"/>
        </w:numPr>
        <w:adjustRightInd w:val="0"/>
        <w:snapToGrid w:val="0"/>
        <w:spacing w:line="440" w:lineRule="exact"/>
        <w:ind w:left="0" w:firstLine="480"/>
        <w:rPr>
          <w:rFonts w:ascii="Times New Roman" w:hAnsi="Times New Roman"/>
          <w:sz w:val="24"/>
          <w:szCs w:val="24"/>
        </w:rPr>
      </w:pPr>
      <w:r>
        <w:rPr>
          <w:rFonts w:ascii="Times New Roman" w:hAnsi="Times New Roman"/>
          <w:sz w:val="24"/>
          <w:szCs w:val="24"/>
        </w:rPr>
        <w:t>《关于加强环境保护重点工作的意见》，国发[2011] 35号；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《关于加强资源开发生态环境保护监管工作意见》，环发[2004]24号；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《关于进一步加强生态保护工作的意见》，环发[2007]37号；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《关于印发&lt;煤炭工业节能减排工作意见&gt;的通知》，发改能源[2007]456号；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《关于加强煤炭矿区总体规划和煤矿建设项目环境影响评价工作的通知》，环办[2006]129号；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《煤炭产业政策》，国家发改委公告[2007]年80号；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《中国资源综合利用技术政策大纲》，国家发改委公告[2010]年14号；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《煤电节能减排升级与改造行动计划（2014-2020年）》；</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《关于规划环境影响评价加强空间管制、总量管控和环境准入的指导意见（试行）》，环办环评[2016]14号；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国家发展改革委等9部委印发《关于加强资源环境生态红线管控的指导意见》的通知，发改环资〔2016〕1162号；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《国务院关于煤炭行业化解过剩产能实现脱困发展的意见》，国发〔2016〕7号；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《国务院关于同意新增部分县（市、区、旗）纳入国家重点生态功能区的批复》，国函〔2016〕161号；</w:t>
      </w:r>
    </w:p>
    <w:p>
      <w:pPr>
        <w:pStyle w:val="113"/>
        <w:numPr>
          <w:ilvl w:val="0"/>
          <w:numId w:val="2"/>
        </w:numPr>
        <w:spacing w:line="440" w:lineRule="exact"/>
        <w:ind w:left="0" w:firstLine="480"/>
        <w:rPr>
          <w:rFonts w:ascii="Times New Roman" w:hAnsi="Times New Roman"/>
          <w:sz w:val="24"/>
          <w:szCs w:val="24"/>
        </w:rPr>
      </w:pPr>
      <w:r>
        <w:rPr>
          <w:rFonts w:ascii="Times New Roman" w:hAnsi="Times New Roman"/>
          <w:sz w:val="24"/>
          <w:szCs w:val="24"/>
        </w:rPr>
        <w:t>《关于进一步加强煤炭资源开发环境影响评价管理的通知》生态环境部、国家发展和改革委员会、国家能源局，环环评〔2020〕63号，2020-10-30；</w:t>
      </w:r>
    </w:p>
    <w:p>
      <w:pPr>
        <w:pStyle w:val="189"/>
        <w:snapToGrid/>
        <w:ind w:firstLine="480"/>
        <w:rPr>
          <w:rFonts w:ascii="Times New Roman" w:hAnsi="Times New Roman" w:eastAsia="宋体" w:cs="Times New Roman"/>
        </w:rPr>
      </w:pPr>
      <w:r>
        <w:rPr>
          <w:rFonts w:ascii="Times New Roman" w:hAnsi="Times New Roman" w:eastAsia="宋体" w:cs="Times New Roman"/>
        </w:rPr>
        <w:t>（19）《国家危险废物名录（2021版）》，生态环境部，2020-11-25；</w:t>
      </w:r>
    </w:p>
    <w:p>
      <w:pPr>
        <w:pStyle w:val="464"/>
        <w:tabs>
          <w:tab w:val="left" w:pos="1260"/>
        </w:tabs>
        <w:adjustRightInd w:val="0"/>
        <w:spacing w:line="440" w:lineRule="exact"/>
        <w:rPr>
          <w:rFonts w:ascii="Times New Roman" w:hAnsi="Times New Roman" w:cs="Times New Roman"/>
        </w:rPr>
      </w:pPr>
      <w:r>
        <w:rPr>
          <w:rFonts w:ascii="Times New Roman" w:hAnsi="Times New Roman" w:cs="Times New Roman"/>
        </w:rPr>
        <w:t>（20）《关于“十四五”大宗固体废弃物综合利用的指导意见》，发改环资〔2021〕381号），2021-3-18。</w:t>
      </w:r>
    </w:p>
    <w:p>
      <w:pPr>
        <w:keepNext/>
        <w:keepLines/>
        <w:spacing w:line="440" w:lineRule="exact"/>
        <w:outlineLvl w:val="3"/>
        <w:rPr>
          <w:rFonts w:ascii="Times New Roman" w:hAnsi="Times New Roman"/>
          <w:b/>
          <w:szCs w:val="22"/>
        </w:rPr>
      </w:pPr>
      <w:r>
        <w:rPr>
          <w:rFonts w:ascii="Times New Roman" w:hAnsi="Times New Roman"/>
          <w:b/>
          <w:szCs w:val="22"/>
        </w:rPr>
        <w:t>1.2.3.2地方政府规章</w:t>
      </w:r>
    </w:p>
    <w:p>
      <w:pPr>
        <w:numPr>
          <w:ilvl w:val="0"/>
          <w:numId w:val="3"/>
        </w:numPr>
        <w:adjustRightInd w:val="0"/>
        <w:snapToGrid w:val="0"/>
        <w:spacing w:line="440" w:lineRule="exact"/>
        <w:ind w:firstLine="480" w:firstLineChars="200"/>
        <w:jc w:val="left"/>
        <w:rPr>
          <w:rFonts w:ascii="Times New Roman" w:hAnsi="Times New Roman"/>
        </w:rPr>
      </w:pPr>
      <w:r>
        <w:rPr>
          <w:rFonts w:ascii="Times New Roman" w:hAnsi="Times New Roman"/>
        </w:rPr>
        <w:t>《内蒙古自治区人民政府关于印发自治区节能减排实施方案的通知》（内蒙古自治区人民政府，内政发[2007]95号，2007年9月21发布并实施）；</w:t>
      </w:r>
    </w:p>
    <w:p>
      <w:pPr>
        <w:numPr>
          <w:ilvl w:val="0"/>
          <w:numId w:val="3"/>
        </w:numPr>
        <w:adjustRightInd w:val="0"/>
        <w:snapToGrid w:val="0"/>
        <w:spacing w:line="440" w:lineRule="exact"/>
        <w:ind w:firstLine="480" w:firstLineChars="200"/>
        <w:jc w:val="left"/>
        <w:rPr>
          <w:rFonts w:ascii="Times New Roman" w:hAnsi="Times New Roman"/>
        </w:rPr>
      </w:pPr>
      <w:r>
        <w:rPr>
          <w:rFonts w:ascii="Times New Roman" w:hAnsi="Times New Roman"/>
        </w:rPr>
        <w:t>《内蒙古自治区人民政府关于印发自治区国家重点生态功能区产业准入负面清单（试行）的通知》，内政发〔2018〕11号；</w:t>
      </w:r>
    </w:p>
    <w:p>
      <w:pPr>
        <w:numPr>
          <w:ilvl w:val="0"/>
          <w:numId w:val="3"/>
        </w:numPr>
        <w:adjustRightInd w:val="0"/>
        <w:snapToGrid w:val="0"/>
        <w:spacing w:line="440" w:lineRule="exact"/>
        <w:ind w:firstLine="480" w:firstLineChars="200"/>
        <w:jc w:val="left"/>
        <w:rPr>
          <w:rFonts w:ascii="Times New Roman" w:hAnsi="Times New Roman"/>
        </w:rPr>
      </w:pPr>
      <w:r>
        <w:rPr>
          <w:rFonts w:ascii="Times New Roman" w:hAnsi="Times New Roman"/>
        </w:rPr>
        <w:t>《内蒙古自治区人民政府关于印发打赢蓝天保卫站三年行动计划实施方案的通知》，内政发[2018]37号；</w:t>
      </w:r>
    </w:p>
    <w:p>
      <w:pPr>
        <w:numPr>
          <w:ilvl w:val="0"/>
          <w:numId w:val="3"/>
        </w:numPr>
        <w:adjustRightInd w:val="0"/>
        <w:snapToGrid w:val="0"/>
        <w:spacing w:line="440" w:lineRule="exact"/>
        <w:ind w:firstLine="480" w:firstLineChars="200"/>
        <w:jc w:val="left"/>
        <w:rPr>
          <w:rFonts w:ascii="Times New Roman" w:hAnsi="Times New Roman"/>
        </w:rPr>
      </w:pPr>
      <w:r>
        <w:rPr>
          <w:rFonts w:ascii="Times New Roman" w:hAnsi="Times New Roman"/>
        </w:rPr>
        <w:t>《内蒙古自治区人民政府关于印发自治区绿色矿山建设方案的通知》，内政发〔2017〕111号</w:t>
      </w:r>
      <w:r>
        <w:rPr>
          <w:rStyle w:val="74"/>
          <w:rFonts w:ascii="Times New Roman" w:hAnsi="Times New Roman"/>
        </w:rPr>
        <w:t>；</w:t>
      </w:r>
    </w:p>
    <w:p>
      <w:pPr>
        <w:pStyle w:val="464"/>
        <w:tabs>
          <w:tab w:val="left" w:pos="1260"/>
        </w:tabs>
        <w:adjustRightInd w:val="0"/>
        <w:spacing w:line="440" w:lineRule="exact"/>
        <w:rPr>
          <w:rFonts w:ascii="Times New Roman" w:hAnsi="Times New Roman" w:cs="Times New Roman"/>
          <w:bCs/>
        </w:rPr>
      </w:pPr>
      <w:r>
        <w:rPr>
          <w:rFonts w:ascii="Times New Roman" w:hAnsi="Times New Roman" w:cs="Times New Roman"/>
          <w:bCs/>
        </w:rPr>
        <w:t>（5）《内蒙古自治区人民政府关于实施“三线一单”生态环境分区管控的意见》，内政发〔2020〕24号，2020-12-29；</w:t>
      </w:r>
    </w:p>
    <w:p>
      <w:pPr>
        <w:pStyle w:val="464"/>
        <w:tabs>
          <w:tab w:val="left" w:pos="1260"/>
        </w:tabs>
        <w:spacing w:line="440" w:lineRule="exact"/>
        <w:rPr>
          <w:rFonts w:ascii="Times New Roman" w:hAnsi="Times New Roman" w:cs="Times New Roman"/>
          <w:bCs/>
        </w:rPr>
      </w:pPr>
      <w:r>
        <w:rPr>
          <w:rFonts w:ascii="Times New Roman" w:hAnsi="Times New Roman" w:cs="Times New Roman"/>
          <w:bCs/>
        </w:rPr>
        <w:t>（6）《内蒙古自治区人民政府办公厅关于印发自治区矿山环境治理实施方案的通知》，内政办字〔2020〕56号，2020-8-3；</w:t>
      </w:r>
    </w:p>
    <w:p>
      <w:pPr>
        <w:numPr>
          <w:ilvl w:val="255"/>
          <w:numId w:val="0"/>
        </w:numPr>
        <w:adjustRightInd w:val="0"/>
        <w:snapToGrid w:val="0"/>
        <w:spacing w:line="440" w:lineRule="exact"/>
        <w:ind w:firstLine="480" w:firstLineChars="200"/>
        <w:jc w:val="left"/>
        <w:rPr>
          <w:rFonts w:ascii="Times New Roman" w:hAnsi="Times New Roman"/>
        </w:rPr>
      </w:pPr>
      <w:r>
        <w:rPr>
          <w:rFonts w:ascii="Times New Roman" w:hAnsi="Times New Roman"/>
        </w:rPr>
        <w:t>（7）《内蒙古自治区党委 自治区人民政府关于促进煤炭工业高质量发展的意见》（</w:t>
      </w:r>
      <w:r>
        <w:rPr>
          <w:rFonts w:ascii="Times New Roman" w:hAnsi="Times New Roman"/>
          <w:bCs/>
        </w:rPr>
        <w:t>内党发〔2021〕8号</w:t>
      </w:r>
      <w:r>
        <w:rPr>
          <w:rFonts w:ascii="Times New Roman" w:hAnsi="Times New Roman"/>
        </w:rPr>
        <w:t>）；</w:t>
      </w:r>
    </w:p>
    <w:p>
      <w:pPr>
        <w:numPr>
          <w:ilvl w:val="255"/>
          <w:numId w:val="0"/>
        </w:numPr>
        <w:adjustRightInd w:val="0"/>
        <w:snapToGrid w:val="0"/>
        <w:spacing w:line="440" w:lineRule="exact"/>
        <w:ind w:firstLine="480" w:firstLineChars="200"/>
        <w:rPr>
          <w:rFonts w:ascii="Times New Roman" w:hAnsi="Times New Roman"/>
        </w:rPr>
      </w:pPr>
      <w:r>
        <w:rPr>
          <w:rFonts w:ascii="Times New Roman" w:hAnsi="Times New Roman"/>
        </w:rPr>
        <w:t>（8）《关于实行征占用草原林地分区管控的通知》，内林草草监发【2021】257号，2021.11.3。</w:t>
      </w:r>
    </w:p>
    <w:p>
      <w:pPr>
        <w:pStyle w:val="5"/>
        <w:spacing w:before="120" w:after="120" w:line="440" w:lineRule="exact"/>
        <w:rPr>
          <w:sz w:val="24"/>
          <w:szCs w:val="22"/>
        </w:rPr>
      </w:pPr>
      <w:r>
        <w:rPr>
          <w:sz w:val="24"/>
          <w:szCs w:val="22"/>
        </w:rPr>
        <w:t>1.2.4相关规划</w:t>
      </w:r>
    </w:p>
    <w:p>
      <w:pPr>
        <w:keepNext/>
        <w:keepLines/>
        <w:spacing w:line="440" w:lineRule="exact"/>
        <w:outlineLvl w:val="3"/>
        <w:rPr>
          <w:rFonts w:ascii="Times New Roman" w:hAnsi="Times New Roman"/>
          <w:b/>
          <w:szCs w:val="22"/>
        </w:rPr>
      </w:pPr>
      <w:r>
        <w:rPr>
          <w:rFonts w:ascii="Times New Roman" w:hAnsi="Times New Roman"/>
          <w:b/>
          <w:szCs w:val="22"/>
        </w:rPr>
        <w:t>1.2.4.1 国家层次规划</w:t>
      </w:r>
    </w:p>
    <w:p>
      <w:pPr>
        <w:spacing w:line="440" w:lineRule="exact"/>
        <w:ind w:firstLine="480" w:firstLineChars="200"/>
        <w:rPr>
          <w:rFonts w:ascii="Times New Roman" w:hAnsi="Times New Roman"/>
        </w:rPr>
      </w:pPr>
      <w:r>
        <w:rPr>
          <w:rFonts w:ascii="Times New Roman" w:hAnsi="Times New Roman"/>
        </w:rPr>
        <w:t>（1）《中华人民共和国国民经济和社会发展第十四个五年规划和2035年远景目标纲要》，2021-3-13发布；</w:t>
      </w:r>
    </w:p>
    <w:p>
      <w:pPr>
        <w:spacing w:line="440" w:lineRule="exact"/>
        <w:ind w:firstLine="480" w:firstLineChars="200"/>
        <w:rPr>
          <w:rFonts w:ascii="Times New Roman" w:hAnsi="Times New Roman"/>
        </w:rPr>
      </w:pPr>
      <w:r>
        <w:rPr>
          <w:rFonts w:ascii="Times New Roman" w:hAnsi="Times New Roman"/>
        </w:rPr>
        <w:t>（2）《全国主体功能区规划》，2010-12-21发布；</w:t>
      </w:r>
    </w:p>
    <w:p>
      <w:pPr>
        <w:spacing w:line="440" w:lineRule="exact"/>
        <w:ind w:firstLine="480" w:firstLineChars="200"/>
        <w:rPr>
          <w:rFonts w:ascii="Times New Roman" w:hAnsi="Times New Roman"/>
        </w:rPr>
      </w:pPr>
      <w:r>
        <w:rPr>
          <w:rFonts w:ascii="Times New Roman" w:hAnsi="Times New Roman"/>
        </w:rPr>
        <w:t>（3）《全国生态功能区划》（修编版），2015.11发布；</w:t>
      </w:r>
    </w:p>
    <w:p>
      <w:pPr>
        <w:spacing w:line="440" w:lineRule="exact"/>
        <w:ind w:firstLine="480" w:firstLineChars="200"/>
        <w:rPr>
          <w:rFonts w:ascii="Times New Roman" w:hAnsi="Times New Roman"/>
        </w:rPr>
      </w:pPr>
      <w:r>
        <w:rPr>
          <w:rFonts w:ascii="Times New Roman" w:hAnsi="Times New Roman"/>
        </w:rPr>
        <w:t>（4）《全国生态脆弱区保护规划纲要》，2008-9-27发布；</w:t>
      </w:r>
    </w:p>
    <w:p>
      <w:pPr>
        <w:spacing w:line="440" w:lineRule="exact"/>
        <w:ind w:firstLine="480" w:firstLineChars="200"/>
        <w:rPr>
          <w:rFonts w:ascii="Times New Roman" w:hAnsi="Times New Roman"/>
        </w:rPr>
      </w:pPr>
      <w:r>
        <w:rPr>
          <w:rFonts w:ascii="Times New Roman" w:hAnsi="Times New Roman"/>
        </w:rPr>
        <w:t>（5）《“十三五”生态环境保护规划》，2016-11-24发布；</w:t>
      </w:r>
    </w:p>
    <w:p>
      <w:pPr>
        <w:spacing w:line="440" w:lineRule="exact"/>
        <w:ind w:firstLine="480" w:firstLineChars="200"/>
        <w:rPr>
          <w:rFonts w:ascii="Times New Roman" w:hAnsi="Times New Roman"/>
        </w:rPr>
      </w:pPr>
      <w:r>
        <w:rPr>
          <w:rFonts w:ascii="Times New Roman" w:hAnsi="Times New Roman"/>
        </w:rPr>
        <w:t>（6）《全国地下水污染防治规划（2011-2020年）》，2011-10-10发布；</w:t>
      </w:r>
    </w:p>
    <w:p>
      <w:pPr>
        <w:pStyle w:val="514"/>
        <w:spacing w:line="440" w:lineRule="exact"/>
        <w:ind w:firstLine="480"/>
      </w:pPr>
      <w:r>
        <w:t>（7）《大气污染防治行动计划》，2013-9-10；</w:t>
      </w:r>
    </w:p>
    <w:p>
      <w:pPr>
        <w:pStyle w:val="514"/>
        <w:spacing w:line="440" w:lineRule="exact"/>
        <w:ind w:firstLine="480"/>
      </w:pPr>
      <w:r>
        <w:t>（8）《水污染防治行动计划》，2015-4-16；</w:t>
      </w:r>
    </w:p>
    <w:p>
      <w:pPr>
        <w:spacing w:line="440" w:lineRule="exact"/>
        <w:ind w:firstLine="480" w:firstLineChars="200"/>
        <w:rPr>
          <w:rFonts w:ascii="Times New Roman" w:hAnsi="Times New Roman"/>
        </w:rPr>
      </w:pPr>
      <w:r>
        <w:rPr>
          <w:rFonts w:ascii="Times New Roman" w:hAnsi="Times New Roman"/>
        </w:rPr>
        <w:t>（9）《土壤污染防治行动计划》，2016-5-28；</w:t>
      </w:r>
    </w:p>
    <w:p>
      <w:pPr>
        <w:spacing w:line="440" w:lineRule="exact"/>
        <w:ind w:firstLine="480" w:firstLineChars="200"/>
        <w:rPr>
          <w:rFonts w:ascii="Times New Roman" w:hAnsi="Times New Roman"/>
        </w:rPr>
      </w:pPr>
      <w:r>
        <w:rPr>
          <w:rFonts w:ascii="Times New Roman" w:hAnsi="Times New Roman"/>
        </w:rPr>
        <w:t>（10）《煤炭工业发展“十三五”规划》，2016-12-22发布。</w:t>
      </w:r>
    </w:p>
    <w:p>
      <w:pPr>
        <w:keepNext/>
        <w:keepLines/>
        <w:spacing w:line="440" w:lineRule="exact"/>
        <w:outlineLvl w:val="3"/>
        <w:rPr>
          <w:rFonts w:ascii="Times New Roman" w:hAnsi="Times New Roman"/>
          <w:b/>
          <w:szCs w:val="22"/>
        </w:rPr>
      </w:pPr>
      <w:r>
        <w:rPr>
          <w:rFonts w:ascii="Times New Roman" w:hAnsi="Times New Roman"/>
          <w:b/>
          <w:szCs w:val="22"/>
        </w:rPr>
        <w:t>1.2.4.2 地方层次规划</w:t>
      </w:r>
    </w:p>
    <w:p>
      <w:pPr>
        <w:pStyle w:val="298"/>
        <w:numPr>
          <w:ilvl w:val="0"/>
          <w:numId w:val="4"/>
        </w:numPr>
        <w:adjustRightInd w:val="0"/>
        <w:snapToGrid w:val="0"/>
        <w:spacing w:line="440" w:lineRule="exact"/>
        <w:ind w:firstLineChars="0"/>
        <w:rPr>
          <w:rFonts w:ascii="Times New Roman" w:hAnsi="Times New Roman" w:eastAsia="宋体"/>
        </w:rPr>
      </w:pPr>
      <w:r>
        <w:rPr>
          <w:rFonts w:ascii="Times New Roman" w:hAnsi="Times New Roman" w:eastAsia="宋体"/>
        </w:rPr>
        <w:t>《内蒙古自治区国民经济和社会发展第十四个五年规划和2035年远景目标纲要》，2021.2.7；</w:t>
      </w:r>
    </w:p>
    <w:p>
      <w:pPr>
        <w:pStyle w:val="298"/>
        <w:numPr>
          <w:ilvl w:val="0"/>
          <w:numId w:val="4"/>
        </w:numPr>
        <w:adjustRightInd w:val="0"/>
        <w:snapToGrid w:val="0"/>
        <w:spacing w:line="440" w:lineRule="exact"/>
        <w:ind w:firstLineChars="0"/>
        <w:rPr>
          <w:rFonts w:ascii="Times New Roman" w:hAnsi="Times New Roman" w:eastAsia="宋体"/>
        </w:rPr>
      </w:pPr>
      <w:r>
        <w:rPr>
          <w:rFonts w:ascii="Times New Roman" w:hAnsi="Times New Roman" w:eastAsia="宋体"/>
        </w:rPr>
        <w:t>《内蒙古自治区主体功能区划》内政发〔2012〕85号，2012.7.27；</w:t>
      </w:r>
    </w:p>
    <w:p>
      <w:pPr>
        <w:pStyle w:val="298"/>
        <w:numPr>
          <w:ilvl w:val="0"/>
          <w:numId w:val="4"/>
        </w:numPr>
        <w:adjustRightInd w:val="0"/>
        <w:snapToGrid w:val="0"/>
        <w:spacing w:line="440" w:lineRule="exact"/>
        <w:ind w:firstLineChars="0"/>
        <w:rPr>
          <w:rFonts w:ascii="Times New Roman" w:hAnsi="Times New Roman" w:eastAsia="宋体"/>
        </w:rPr>
      </w:pPr>
      <w:r>
        <w:rPr>
          <w:rFonts w:ascii="Times New Roman" w:hAnsi="Times New Roman" w:eastAsia="宋体"/>
        </w:rPr>
        <w:t>《内蒙古自治区生态功能区划》；</w:t>
      </w:r>
    </w:p>
    <w:p>
      <w:pPr>
        <w:pStyle w:val="298"/>
        <w:numPr>
          <w:ilvl w:val="0"/>
          <w:numId w:val="4"/>
        </w:numPr>
        <w:adjustRightInd w:val="0"/>
        <w:snapToGrid w:val="0"/>
        <w:spacing w:line="440" w:lineRule="exact"/>
        <w:ind w:firstLineChars="0"/>
        <w:rPr>
          <w:rFonts w:ascii="Times New Roman" w:hAnsi="Times New Roman" w:eastAsia="宋体"/>
        </w:rPr>
      </w:pPr>
      <w:r>
        <w:rPr>
          <w:rFonts w:ascii="Times New Roman" w:hAnsi="Times New Roman" w:eastAsia="宋体"/>
        </w:rPr>
        <w:t>《内蒙古自治区“十四五”生态环境保护规划》，2021.9；</w:t>
      </w:r>
    </w:p>
    <w:p>
      <w:pPr>
        <w:pStyle w:val="298"/>
        <w:numPr>
          <w:ilvl w:val="0"/>
          <w:numId w:val="4"/>
        </w:numPr>
        <w:adjustRightInd w:val="0"/>
        <w:snapToGrid w:val="0"/>
        <w:spacing w:line="440" w:lineRule="exact"/>
        <w:ind w:firstLineChars="0"/>
        <w:rPr>
          <w:rFonts w:ascii="Times New Roman" w:hAnsi="Times New Roman" w:eastAsia="宋体"/>
        </w:rPr>
      </w:pPr>
      <w:r>
        <w:rPr>
          <w:rFonts w:ascii="Times New Roman" w:hAnsi="Times New Roman" w:eastAsia="宋体"/>
        </w:rPr>
        <w:t>《内蒙古自治区煤炭工业发展“十四五”规划》，2021.12；</w:t>
      </w:r>
    </w:p>
    <w:p>
      <w:pPr>
        <w:pStyle w:val="298"/>
        <w:numPr>
          <w:ilvl w:val="0"/>
          <w:numId w:val="4"/>
        </w:numPr>
        <w:adjustRightInd w:val="0"/>
        <w:snapToGrid w:val="0"/>
        <w:spacing w:line="440" w:lineRule="exact"/>
        <w:ind w:firstLineChars="0"/>
        <w:rPr>
          <w:rFonts w:ascii="Times New Roman" w:hAnsi="Times New Roman" w:eastAsia="宋体"/>
        </w:rPr>
      </w:pPr>
      <w:r>
        <w:rPr>
          <w:rFonts w:ascii="Times New Roman" w:hAnsi="Times New Roman" w:eastAsia="宋体"/>
        </w:rPr>
        <w:t>《内蒙古自治区黄河流域生态保护和高质量发展规划》；</w:t>
      </w:r>
    </w:p>
    <w:p>
      <w:pPr>
        <w:pStyle w:val="298"/>
        <w:numPr>
          <w:ilvl w:val="0"/>
          <w:numId w:val="4"/>
        </w:numPr>
        <w:adjustRightInd w:val="0"/>
        <w:snapToGrid w:val="0"/>
        <w:spacing w:line="440" w:lineRule="exact"/>
        <w:ind w:firstLineChars="0"/>
        <w:rPr>
          <w:rFonts w:ascii="Times New Roman" w:hAnsi="Times New Roman" w:eastAsia="宋体"/>
        </w:rPr>
      </w:pPr>
      <w:r>
        <w:rPr>
          <w:rFonts w:ascii="Times New Roman" w:hAnsi="Times New Roman" w:eastAsia="宋体"/>
        </w:rPr>
        <w:t>《鄂尔多斯市“十四五”生态环境保护规划》2020.11；</w:t>
      </w:r>
    </w:p>
    <w:p>
      <w:pPr>
        <w:pStyle w:val="298"/>
        <w:numPr>
          <w:ilvl w:val="0"/>
          <w:numId w:val="4"/>
        </w:numPr>
        <w:adjustRightInd w:val="0"/>
        <w:snapToGrid w:val="0"/>
        <w:spacing w:line="440" w:lineRule="exact"/>
        <w:ind w:firstLineChars="0"/>
        <w:rPr>
          <w:rFonts w:ascii="Times New Roman" w:hAnsi="Times New Roman" w:eastAsia="宋体"/>
        </w:rPr>
      </w:pPr>
      <w:r>
        <w:rPr>
          <w:rFonts w:ascii="Times New Roman" w:hAnsi="Times New Roman" w:eastAsia="宋体"/>
        </w:rPr>
        <w:t>《鄂尔多斯市“十四五”水安全保障规划》2020.12；</w:t>
      </w:r>
    </w:p>
    <w:p>
      <w:pPr>
        <w:pStyle w:val="298"/>
        <w:numPr>
          <w:ilvl w:val="0"/>
          <w:numId w:val="4"/>
        </w:numPr>
        <w:adjustRightInd w:val="0"/>
        <w:snapToGrid w:val="0"/>
        <w:spacing w:line="440" w:lineRule="exact"/>
        <w:ind w:firstLineChars="0"/>
        <w:rPr>
          <w:rFonts w:ascii="Times New Roman" w:hAnsi="Times New Roman" w:eastAsia="宋体"/>
        </w:rPr>
      </w:pPr>
      <w:r>
        <w:rPr>
          <w:rFonts w:ascii="Times New Roman" w:hAnsi="Times New Roman" w:eastAsia="宋体"/>
        </w:rPr>
        <w:t>《鄂尔多斯市矿井疏干水和再生水综合利用方案及分年度方案》，2018.12。</w:t>
      </w:r>
    </w:p>
    <w:p>
      <w:pPr>
        <w:pStyle w:val="5"/>
        <w:spacing w:before="120" w:after="120" w:line="440" w:lineRule="exact"/>
        <w:rPr>
          <w:sz w:val="24"/>
          <w:szCs w:val="22"/>
        </w:rPr>
      </w:pPr>
      <w:r>
        <w:rPr>
          <w:sz w:val="24"/>
          <w:szCs w:val="22"/>
        </w:rPr>
        <w:t xml:space="preserve">1.2.5 技术规范 </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《规划环境影响评价技术导则 总纲》（HJ130-2019）；</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《规划环境影响评价技术导则·煤炭工业矿区总体规划》（HJ463-2009）；</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《建设项目环境影响评价技术导则·总纲》（HJ2.1-2016）；</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《环境影响评价技术导则·大气环境》（HJ2.2-2018）；</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《环境影响评价技术导则·地表水环境》（HJ2.3-2018）；</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《环境影响评价技术导则·土壤环境（试行）》（HJ964-2018）</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《环境影响评价技术导则·地下水环境》（HJ610-2016）；</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《环境影响评价技术导则·声环境》（HJ2.4-2021）；</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《环境影响评价技术导则·生态影响》（HJ19-2022）；</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《环境影响评价技术导则 煤炭采选工程》，（HJ619-2011）；</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《煤炭工业矿区总体规划规范》（GB50465-2008）；</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《煤炭工业矿区总体规划文件编制标准》（GB/T50651-2011）；</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《煤炭洗选工程设计规范》（GB50539-2016）；</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《煤炭工业环境保护设计规范》（GB50821-2012）；</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《建筑物、水体、铁路及主要井巷煤柱留设与压煤开采规范》（国家煤炭工业局，2017-5）；</w:t>
      </w:r>
    </w:p>
    <w:p>
      <w:pPr>
        <w:pStyle w:val="298"/>
        <w:numPr>
          <w:ilvl w:val="0"/>
          <w:numId w:val="5"/>
        </w:numPr>
        <w:adjustRightInd w:val="0"/>
        <w:snapToGrid w:val="0"/>
        <w:spacing w:line="440" w:lineRule="exact"/>
        <w:ind w:firstLineChars="0"/>
        <w:rPr>
          <w:rFonts w:ascii="Times New Roman" w:hAnsi="Times New Roman" w:eastAsia="宋体"/>
        </w:rPr>
      </w:pPr>
      <w:r>
        <w:rPr>
          <w:rFonts w:ascii="Times New Roman" w:hAnsi="Times New Roman" w:eastAsia="宋体"/>
        </w:rPr>
        <w:t>《煤炭采选业清洁生产评价指标体系》（中华人民共和国国家发展和改革委员会 中华人民共和国生态环境部 中华人民共和国工业和信息化部公告 2019年 第8号，2019-8-28）；</w:t>
      </w:r>
    </w:p>
    <w:p>
      <w:pPr>
        <w:pStyle w:val="5"/>
        <w:adjustRightInd w:val="0"/>
        <w:snapToGrid w:val="0"/>
        <w:spacing w:before="120" w:after="120" w:line="440" w:lineRule="exact"/>
        <w:textAlignment w:val="baseline"/>
        <w:rPr>
          <w:bCs/>
          <w:kern w:val="0"/>
          <w:sz w:val="24"/>
          <w:szCs w:val="24"/>
        </w:rPr>
      </w:pPr>
      <w:r>
        <w:rPr>
          <w:bCs/>
          <w:kern w:val="0"/>
          <w:sz w:val="24"/>
          <w:szCs w:val="24"/>
        </w:rPr>
        <w:t>1.2.6 主要技术文件</w:t>
      </w:r>
    </w:p>
    <w:p>
      <w:pPr>
        <w:spacing w:line="440" w:lineRule="exact"/>
        <w:ind w:firstLine="480" w:firstLineChars="200"/>
        <w:rPr>
          <w:rFonts w:ascii="Times New Roman" w:hAnsi="Times New Roman"/>
        </w:rPr>
      </w:pPr>
      <w:r>
        <w:rPr>
          <w:rFonts w:ascii="Times New Roman" w:hAnsi="Times New Roman"/>
        </w:rPr>
        <w:t>（1）《内蒙古自治区鄂尔多斯纳林希里矿区总体规划》，中煤科工集团北京华宇工程有限公司，2021年11月；</w:t>
      </w:r>
    </w:p>
    <w:p>
      <w:pPr>
        <w:spacing w:line="440" w:lineRule="exact"/>
        <w:ind w:firstLine="480" w:firstLineChars="200"/>
        <w:rPr>
          <w:rFonts w:ascii="Times New Roman" w:hAnsi="Times New Roman"/>
        </w:rPr>
      </w:pPr>
      <w:r>
        <w:rPr>
          <w:rFonts w:ascii="Times New Roman" w:hAnsi="Times New Roman"/>
        </w:rPr>
        <w:t>（2）《内蒙古自治区东胜煤田纳林希里矿区地质勘查成果总结报告》，内蒙古煤炭地质勘察（集团）一五三有限公司，2021年6月；</w:t>
      </w:r>
    </w:p>
    <w:p>
      <w:pPr>
        <w:spacing w:line="440" w:lineRule="exact"/>
        <w:ind w:firstLine="480"/>
        <w:rPr>
          <w:rFonts w:ascii="Times New Roman" w:hAnsi="Times New Roman"/>
        </w:rPr>
      </w:pPr>
      <w:r>
        <w:rPr>
          <w:rFonts w:ascii="Times New Roman" w:hAnsi="Times New Roman"/>
        </w:rPr>
        <w:t>（3）《内蒙古自治区东胜煤田纳林希里矿区苏布尔噶井田煤炭勘探报告》，内蒙古自治区地质调查院，2020年12月；</w:t>
      </w:r>
    </w:p>
    <w:p>
      <w:pPr>
        <w:spacing w:line="440" w:lineRule="exact"/>
        <w:ind w:firstLine="480"/>
        <w:rPr>
          <w:rFonts w:ascii="Times New Roman" w:hAnsi="Times New Roman"/>
        </w:rPr>
      </w:pPr>
      <w:r>
        <w:rPr>
          <w:rFonts w:ascii="Times New Roman" w:hAnsi="Times New Roman"/>
        </w:rPr>
        <w:t>（4）《内蒙古自治区东胜煤田纳林希里矿区纳林希里井田煤炭勘探报告》，内蒙古自治区煤田地质局153勘探队，2021年4月；</w:t>
      </w:r>
    </w:p>
    <w:p>
      <w:pPr>
        <w:spacing w:line="440" w:lineRule="exact"/>
        <w:ind w:firstLine="480"/>
        <w:rPr>
          <w:rFonts w:ascii="Times New Roman" w:hAnsi="Times New Roman"/>
        </w:rPr>
      </w:pPr>
      <w:r>
        <w:rPr>
          <w:rFonts w:ascii="Times New Roman" w:hAnsi="Times New Roman"/>
        </w:rPr>
        <w:t>（5）《内蒙古自治区东胜煤田苏布尔噶勘查区煤炭详查报告》，内蒙古自治区地质调查院，2014年4月；</w:t>
      </w:r>
    </w:p>
    <w:p>
      <w:pPr>
        <w:spacing w:line="440" w:lineRule="exact"/>
        <w:ind w:firstLine="480"/>
        <w:rPr>
          <w:rFonts w:ascii="Times New Roman" w:hAnsi="Times New Roman"/>
        </w:rPr>
      </w:pPr>
      <w:r>
        <w:rPr>
          <w:rFonts w:ascii="Times New Roman" w:hAnsi="Times New Roman"/>
        </w:rPr>
        <w:t>（6）《内蒙古自治区东胜煤田纳林希里勘查区煤炭详查报告》，内蒙古自治区煤炭建设工程（集团）总公司，2017年3月；</w:t>
      </w:r>
    </w:p>
    <w:p>
      <w:pPr>
        <w:spacing w:line="440" w:lineRule="exact"/>
        <w:ind w:firstLine="480"/>
        <w:rPr>
          <w:rFonts w:ascii="Times New Roman" w:hAnsi="Times New Roman"/>
        </w:rPr>
      </w:pPr>
      <w:r>
        <w:rPr>
          <w:rFonts w:ascii="Times New Roman" w:hAnsi="Times New Roman"/>
        </w:rPr>
        <w:t>（7）《内蒙古自治区东胜煤田壕赖苏勘查区煤炭详查报告》，内蒙古自治区地质调查院，2013年10月；</w:t>
      </w:r>
    </w:p>
    <w:p>
      <w:pPr>
        <w:spacing w:line="440" w:lineRule="exact"/>
        <w:ind w:firstLine="480"/>
        <w:rPr>
          <w:rFonts w:ascii="Times New Roman" w:hAnsi="Times New Roman"/>
        </w:rPr>
      </w:pPr>
      <w:r>
        <w:rPr>
          <w:rFonts w:ascii="Times New Roman" w:hAnsi="Times New Roman"/>
        </w:rPr>
        <w:t>（8）《内蒙古自治区东胜煤田奎腾沟井田煤炭详查报告》，内蒙古自治区地质调查院，2015年12月。</w:t>
      </w:r>
    </w:p>
    <w:p>
      <w:pPr>
        <w:pStyle w:val="4"/>
        <w:spacing w:after="140" w:line="413" w:lineRule="auto"/>
        <w:rPr>
          <w:rFonts w:ascii="Times New Roman" w:hAnsi="Times New Roman" w:eastAsia="宋体"/>
          <w:sz w:val="28"/>
        </w:rPr>
      </w:pPr>
      <w:bookmarkStart w:id="22" w:name="_Toc163440976"/>
      <w:bookmarkStart w:id="23" w:name="_Toc23519317"/>
      <w:bookmarkStart w:id="24" w:name="_Toc437006583"/>
      <w:bookmarkStart w:id="25" w:name="_Toc28790"/>
      <w:bookmarkStart w:id="26" w:name="_Toc24418"/>
      <w:bookmarkStart w:id="27" w:name="_Toc20138"/>
      <w:r>
        <w:rPr>
          <w:rFonts w:ascii="Times New Roman" w:hAnsi="Times New Roman" w:eastAsia="宋体"/>
          <w:sz w:val="28"/>
        </w:rPr>
        <w:t>1.3评价范围</w:t>
      </w:r>
      <w:bookmarkEnd w:id="22"/>
      <w:bookmarkEnd w:id="23"/>
      <w:bookmarkEnd w:id="24"/>
      <w:bookmarkEnd w:id="25"/>
      <w:bookmarkEnd w:id="26"/>
      <w:r>
        <w:rPr>
          <w:rFonts w:ascii="Times New Roman" w:hAnsi="Times New Roman" w:eastAsia="宋体"/>
          <w:sz w:val="28"/>
        </w:rPr>
        <w:t>与时段</w:t>
      </w:r>
      <w:bookmarkEnd w:id="27"/>
    </w:p>
    <w:p>
      <w:pPr>
        <w:pStyle w:val="5"/>
        <w:spacing w:before="120" w:after="120" w:line="440" w:lineRule="exact"/>
        <w:rPr>
          <w:sz w:val="24"/>
          <w:szCs w:val="22"/>
        </w:rPr>
      </w:pPr>
      <w:r>
        <w:rPr>
          <w:sz w:val="24"/>
          <w:szCs w:val="22"/>
        </w:rPr>
        <w:t>1.3.1 评价范围</w:t>
      </w:r>
    </w:p>
    <w:p>
      <w:pPr>
        <w:spacing w:line="440" w:lineRule="exact"/>
        <w:ind w:firstLine="480" w:firstLineChars="200"/>
        <w:rPr>
          <w:rFonts w:ascii="Times New Roman" w:hAnsi="Times New Roman"/>
          <w:szCs w:val="22"/>
        </w:rPr>
      </w:pPr>
      <w:r>
        <w:rPr>
          <w:rFonts w:ascii="Times New Roman" w:hAnsi="Times New Roman"/>
          <w:szCs w:val="24"/>
        </w:rPr>
        <w:t>矿区总面积708.16km</w:t>
      </w:r>
      <w:r>
        <w:rPr>
          <w:rFonts w:ascii="Times New Roman" w:hAnsi="Times New Roman"/>
          <w:szCs w:val="24"/>
          <w:vertAlign w:val="superscript"/>
        </w:rPr>
        <w:t>2</w:t>
      </w:r>
      <w:r>
        <w:rPr>
          <w:rFonts w:ascii="Times New Roman" w:hAnsi="Times New Roman"/>
          <w:szCs w:val="24"/>
        </w:rPr>
        <w:t>，</w:t>
      </w:r>
      <w:r>
        <w:rPr>
          <w:rFonts w:ascii="Times New Roman" w:hAnsi="Times New Roman"/>
          <w:szCs w:val="22"/>
        </w:rPr>
        <w:t>依据相应环境评价技术导则和规范要求，确定本规划环境影响评价各环境要素评价范围见表1.3-1。</w:t>
      </w:r>
    </w:p>
    <w:p>
      <w:pPr>
        <w:pStyle w:val="345"/>
        <w:adjustRightInd w:val="0"/>
        <w:spacing w:line="440" w:lineRule="exact"/>
        <w:ind w:firstLine="198"/>
        <w:jc w:val="center"/>
        <w:rPr>
          <w:rFonts w:ascii="Times New Roman" w:hAnsi="Times New Roman" w:cs="Times New Roman"/>
          <w:kern w:val="0"/>
          <w:szCs w:val="20"/>
        </w:rPr>
      </w:pPr>
      <w:r>
        <w:rPr>
          <w:rFonts w:ascii="Times New Roman" w:hAnsi="Times New Roman" w:cs="Times New Roman"/>
          <w:kern w:val="0"/>
        </w:rPr>
        <w:t>矿区总体规划环境影响评价范围一览表</w:t>
      </w:r>
    </w:p>
    <w:p>
      <w:pPr>
        <w:pStyle w:val="331"/>
        <w:spacing w:line="440" w:lineRule="exact"/>
        <w:rPr>
          <w:rFonts w:ascii="Times New Roman" w:hAnsi="Times New Roman" w:cs="Times New Roman"/>
          <w:kern w:val="0"/>
        </w:rPr>
      </w:pPr>
      <w:r>
        <w:rPr>
          <w:rFonts w:ascii="Times New Roman" w:hAnsi="Times New Roman" w:cs="Times New Roman"/>
        </w:rPr>
        <w:t>表1.3-1</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8"/>
        <w:gridCol w:w="77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pPr>
              <w:pStyle w:val="522"/>
              <w:snapToGrid w:val="0"/>
              <w:spacing w:line="440" w:lineRule="exact"/>
              <w:jc w:val="center"/>
              <w:rPr>
                <w:rFonts w:ascii="Times New Roman" w:hAnsi="Times New Roman" w:eastAsia="宋体" w:cs="Times New Roman"/>
                <w:szCs w:val="21"/>
              </w:rPr>
            </w:pPr>
            <w:r>
              <w:rPr>
                <w:rFonts w:ascii="Times New Roman" w:hAnsi="Times New Roman" w:eastAsia="宋体" w:cs="Times New Roman"/>
                <w:szCs w:val="21"/>
              </w:rPr>
              <w:t>评价要素</w:t>
            </w:r>
          </w:p>
        </w:tc>
        <w:tc>
          <w:tcPr>
            <w:tcW w:w="7789" w:type="dxa"/>
            <w:tcBorders>
              <w:top w:val="single" w:color="auto" w:sz="4" w:space="0"/>
              <w:left w:val="single" w:color="auto" w:sz="4" w:space="0"/>
              <w:bottom w:val="single" w:color="auto" w:sz="4" w:space="0"/>
              <w:right w:val="single" w:color="auto" w:sz="4" w:space="0"/>
            </w:tcBorders>
            <w:vAlign w:val="center"/>
          </w:tcPr>
          <w:p>
            <w:pPr>
              <w:pStyle w:val="522"/>
              <w:snapToGrid w:val="0"/>
              <w:spacing w:line="440" w:lineRule="exact"/>
              <w:jc w:val="center"/>
              <w:rPr>
                <w:rFonts w:ascii="Times New Roman" w:hAnsi="Times New Roman" w:eastAsia="宋体" w:cs="Times New Roman"/>
                <w:szCs w:val="21"/>
              </w:rPr>
            </w:pPr>
            <w:r>
              <w:rPr>
                <w:rFonts w:ascii="Times New Roman" w:hAnsi="Times New Roman" w:eastAsia="宋体" w:cs="Times New Roman"/>
                <w:szCs w:val="21"/>
              </w:rPr>
              <w:t>评价范围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pPr>
              <w:pStyle w:val="522"/>
              <w:snapToGrid w:val="0"/>
              <w:spacing w:line="240" w:lineRule="auto"/>
              <w:jc w:val="center"/>
              <w:rPr>
                <w:rFonts w:ascii="Times New Roman" w:hAnsi="Times New Roman" w:eastAsia="宋体" w:cs="Times New Roman"/>
                <w:szCs w:val="21"/>
              </w:rPr>
            </w:pPr>
            <w:r>
              <w:rPr>
                <w:rFonts w:ascii="Times New Roman" w:hAnsi="Times New Roman" w:eastAsia="宋体" w:cs="Times New Roman"/>
                <w:szCs w:val="21"/>
              </w:rPr>
              <w:t>生态环境</w:t>
            </w:r>
          </w:p>
        </w:tc>
        <w:tc>
          <w:tcPr>
            <w:tcW w:w="7789"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sz w:val="21"/>
                <w:szCs w:val="21"/>
              </w:rPr>
            </w:pPr>
            <w:r>
              <w:rPr>
                <w:rFonts w:ascii="Times New Roman" w:hAnsi="Times New Roman"/>
                <w:sz w:val="21"/>
                <w:szCs w:val="21"/>
              </w:rPr>
              <w:t>本次生态环境影响评价范围综合考虑生态系统完整性及生态影响的联动关系，根据当地地貌特征、区域特点、土地利用与生态功能分区，结合矿区开发对生态环境的影响特征。确定生态评价范围为矿区规划范围外扩2500m形成的闭合范围，面积1050.90km</w:t>
            </w:r>
            <w:r>
              <w:rPr>
                <w:rFonts w:ascii="Times New Roman" w:hAnsi="Times New Roman"/>
                <w:sz w:val="21"/>
                <w:szCs w:val="21"/>
                <w:vertAlign w:val="superscript"/>
              </w:rPr>
              <w:t>2</w:t>
            </w: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pPr>
              <w:pStyle w:val="522"/>
              <w:snapToGrid w:val="0"/>
              <w:spacing w:line="240" w:lineRule="auto"/>
              <w:jc w:val="center"/>
              <w:rPr>
                <w:rFonts w:ascii="Times New Roman" w:hAnsi="Times New Roman" w:eastAsia="宋体" w:cs="Times New Roman"/>
                <w:szCs w:val="21"/>
              </w:rPr>
            </w:pPr>
            <w:r>
              <w:rPr>
                <w:rFonts w:ascii="Times New Roman" w:hAnsi="Times New Roman" w:eastAsia="宋体" w:cs="Times New Roman"/>
                <w:szCs w:val="21"/>
              </w:rPr>
              <w:t>大气环境</w:t>
            </w:r>
          </w:p>
        </w:tc>
        <w:tc>
          <w:tcPr>
            <w:tcW w:w="7789" w:type="dxa"/>
            <w:tcBorders>
              <w:top w:val="single" w:color="auto" w:sz="4" w:space="0"/>
              <w:left w:val="single" w:color="auto" w:sz="4" w:space="0"/>
              <w:bottom w:val="single" w:color="auto" w:sz="4" w:space="0"/>
              <w:right w:val="single" w:color="auto" w:sz="4" w:space="0"/>
            </w:tcBorders>
            <w:vAlign w:val="center"/>
          </w:tcPr>
          <w:p>
            <w:pPr>
              <w:pStyle w:val="522"/>
              <w:snapToGrid w:val="0"/>
              <w:spacing w:line="240" w:lineRule="auto"/>
              <w:rPr>
                <w:rFonts w:ascii="Times New Roman" w:hAnsi="Times New Roman" w:eastAsia="宋体" w:cs="Times New Roman"/>
                <w:szCs w:val="21"/>
              </w:rPr>
            </w:pPr>
            <w:r>
              <w:rPr>
                <w:rFonts w:ascii="Times New Roman" w:hAnsi="Times New Roman" w:eastAsia="宋体" w:cs="Times New Roman"/>
                <w:szCs w:val="21"/>
              </w:rPr>
              <w:t>评价范围为矿区规划范围，重点为矿区规划煤矿、选煤厂、矸石周转场等大气污染源周边区域。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pPr>
              <w:pStyle w:val="25"/>
              <w:jc w:val="center"/>
              <w:rPr>
                <w:rFonts w:ascii="Times New Roman" w:eastAsia="宋体"/>
                <w:color w:val="auto"/>
                <w:szCs w:val="21"/>
              </w:rPr>
            </w:pPr>
            <w:r>
              <w:rPr>
                <w:rFonts w:ascii="Times New Roman" w:eastAsia="宋体"/>
                <w:color w:val="auto"/>
                <w:szCs w:val="21"/>
              </w:rPr>
              <w:t>地表水环境</w:t>
            </w:r>
          </w:p>
        </w:tc>
        <w:tc>
          <w:tcPr>
            <w:tcW w:w="7789" w:type="dxa"/>
            <w:tcBorders>
              <w:top w:val="single" w:color="auto" w:sz="4" w:space="0"/>
              <w:left w:val="single" w:color="auto" w:sz="4" w:space="0"/>
              <w:bottom w:val="single" w:color="auto" w:sz="4" w:space="0"/>
              <w:right w:val="single" w:color="auto" w:sz="4" w:space="0"/>
            </w:tcBorders>
            <w:vAlign w:val="center"/>
          </w:tcPr>
          <w:p>
            <w:pPr>
              <w:pStyle w:val="522"/>
              <w:snapToGrid w:val="0"/>
              <w:spacing w:line="240" w:lineRule="auto"/>
              <w:rPr>
                <w:rFonts w:ascii="Times New Roman" w:hAnsi="Times New Roman" w:eastAsia="宋体" w:cs="Times New Roman"/>
                <w:szCs w:val="21"/>
              </w:rPr>
            </w:pPr>
            <w:r>
              <w:rPr>
                <w:rFonts w:ascii="Times New Roman" w:hAnsi="Times New Roman" w:eastAsia="宋体" w:cs="Times New Roman"/>
                <w:szCs w:val="21"/>
              </w:rPr>
              <w:t>矿区周边地表水水体主要为矿区内5个淖尔：伊和日淖尔（神海子）、哈塔图淖尔、光明淖尔、哈达图淖尔、乌兰淖尔及矿区南侧外其和淖尔（马奶湖）。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pPr>
              <w:pStyle w:val="25"/>
              <w:jc w:val="center"/>
              <w:rPr>
                <w:rFonts w:ascii="Times New Roman" w:eastAsia="宋体"/>
                <w:color w:val="auto"/>
                <w:szCs w:val="21"/>
              </w:rPr>
            </w:pPr>
            <w:r>
              <w:rPr>
                <w:rFonts w:ascii="Times New Roman" w:eastAsia="宋体"/>
                <w:color w:val="auto"/>
                <w:szCs w:val="21"/>
              </w:rPr>
              <w:t>地下水</w:t>
            </w:r>
          </w:p>
        </w:tc>
        <w:tc>
          <w:tcPr>
            <w:tcW w:w="7789" w:type="dxa"/>
            <w:tcBorders>
              <w:top w:val="single" w:color="auto" w:sz="4" w:space="0"/>
              <w:left w:val="single" w:color="auto" w:sz="4" w:space="0"/>
              <w:bottom w:val="single" w:color="auto" w:sz="4" w:space="0"/>
              <w:right w:val="single" w:color="auto" w:sz="4" w:space="0"/>
            </w:tcBorders>
            <w:vAlign w:val="center"/>
          </w:tcPr>
          <w:p>
            <w:pPr>
              <w:pStyle w:val="522"/>
              <w:snapToGrid w:val="0"/>
              <w:spacing w:line="240" w:lineRule="auto"/>
              <w:rPr>
                <w:rFonts w:ascii="Times New Roman" w:hAnsi="Times New Roman" w:eastAsia="宋体" w:cs="Times New Roman"/>
                <w:szCs w:val="21"/>
              </w:rPr>
            </w:pPr>
            <w:r>
              <w:rPr>
                <w:rFonts w:ascii="Times New Roman" w:hAnsi="Times New Roman" w:eastAsia="宋体" w:cs="Times New Roman"/>
                <w:szCs w:val="21"/>
              </w:rPr>
              <w:t>总体规划范围及与矿区地下水补径排关系密切的区域。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pPr>
              <w:pStyle w:val="25"/>
              <w:jc w:val="center"/>
              <w:rPr>
                <w:rFonts w:ascii="Times New Roman" w:eastAsia="宋体"/>
                <w:color w:val="auto"/>
                <w:szCs w:val="21"/>
              </w:rPr>
            </w:pPr>
            <w:r>
              <w:rPr>
                <w:rFonts w:ascii="Times New Roman" w:eastAsia="宋体"/>
                <w:color w:val="auto"/>
                <w:szCs w:val="21"/>
              </w:rPr>
              <w:t>声环境</w:t>
            </w:r>
          </w:p>
        </w:tc>
        <w:tc>
          <w:tcPr>
            <w:tcW w:w="7789" w:type="dxa"/>
            <w:tcBorders>
              <w:top w:val="single" w:color="auto" w:sz="4" w:space="0"/>
              <w:left w:val="single" w:color="auto" w:sz="4" w:space="0"/>
              <w:bottom w:val="single" w:color="auto" w:sz="4" w:space="0"/>
              <w:right w:val="single" w:color="auto" w:sz="4" w:space="0"/>
            </w:tcBorders>
            <w:vAlign w:val="center"/>
          </w:tcPr>
          <w:p>
            <w:pPr>
              <w:pStyle w:val="522"/>
              <w:snapToGrid w:val="0"/>
              <w:spacing w:line="240" w:lineRule="auto"/>
              <w:rPr>
                <w:rFonts w:ascii="Times New Roman" w:hAnsi="Times New Roman" w:eastAsia="宋体" w:cs="Times New Roman"/>
                <w:szCs w:val="21"/>
              </w:rPr>
            </w:pPr>
            <w:r>
              <w:rPr>
                <w:rFonts w:ascii="Times New Roman" w:hAnsi="Times New Roman" w:eastAsia="宋体" w:cs="Times New Roman"/>
                <w:szCs w:val="21"/>
              </w:rPr>
              <w:t>总体规划范围，重点为工业场地、道路沿线噪声源影响区。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pPr>
              <w:pStyle w:val="522"/>
              <w:snapToGrid w:val="0"/>
              <w:spacing w:line="240" w:lineRule="auto"/>
              <w:jc w:val="center"/>
              <w:rPr>
                <w:rFonts w:ascii="Times New Roman" w:hAnsi="Times New Roman" w:eastAsia="宋体" w:cs="Times New Roman"/>
                <w:szCs w:val="21"/>
              </w:rPr>
            </w:pPr>
            <w:r>
              <w:rPr>
                <w:rFonts w:ascii="Times New Roman" w:hAnsi="Times New Roman" w:eastAsia="宋体" w:cs="Times New Roman"/>
                <w:szCs w:val="21"/>
              </w:rPr>
              <w:t>固体废弃物</w:t>
            </w:r>
          </w:p>
        </w:tc>
        <w:tc>
          <w:tcPr>
            <w:tcW w:w="7789" w:type="dxa"/>
            <w:tcBorders>
              <w:top w:val="single" w:color="auto" w:sz="4" w:space="0"/>
              <w:left w:val="single" w:color="auto" w:sz="4" w:space="0"/>
              <w:bottom w:val="single" w:color="auto" w:sz="4" w:space="0"/>
              <w:right w:val="single" w:color="auto" w:sz="4" w:space="0"/>
            </w:tcBorders>
            <w:vAlign w:val="center"/>
          </w:tcPr>
          <w:p>
            <w:pPr>
              <w:pStyle w:val="25"/>
              <w:rPr>
                <w:rFonts w:ascii="Times New Roman" w:eastAsia="宋体"/>
                <w:color w:val="auto"/>
                <w:szCs w:val="21"/>
              </w:rPr>
            </w:pPr>
            <w:r>
              <w:rPr>
                <w:rFonts w:ascii="Times New Roman" w:eastAsia="宋体"/>
                <w:color w:val="auto"/>
                <w:szCs w:val="21"/>
              </w:rPr>
              <w:t>矿区矸石周转场等固废存储场地周围1km范围。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pPr>
              <w:pStyle w:val="522"/>
              <w:snapToGrid w:val="0"/>
              <w:spacing w:line="240" w:lineRule="auto"/>
              <w:jc w:val="center"/>
              <w:rPr>
                <w:rFonts w:ascii="Times New Roman" w:hAnsi="Times New Roman" w:eastAsia="宋体" w:cs="Times New Roman"/>
                <w:szCs w:val="21"/>
              </w:rPr>
            </w:pPr>
            <w:bookmarkStart w:id="28" w:name="_Toc9124"/>
            <w:bookmarkStart w:id="29" w:name="_Toc23519318"/>
            <w:bookmarkStart w:id="30" w:name="_Toc18554"/>
            <w:r>
              <w:rPr>
                <w:rFonts w:ascii="Times New Roman" w:hAnsi="Times New Roman" w:eastAsia="宋体" w:cs="Times New Roman"/>
                <w:szCs w:val="21"/>
              </w:rPr>
              <w:t>土壤环境</w:t>
            </w:r>
          </w:p>
        </w:tc>
        <w:tc>
          <w:tcPr>
            <w:tcW w:w="7789" w:type="dxa"/>
            <w:tcBorders>
              <w:top w:val="single" w:color="auto" w:sz="4" w:space="0"/>
              <w:left w:val="single" w:color="auto" w:sz="4" w:space="0"/>
              <w:bottom w:val="single" w:color="auto" w:sz="4" w:space="0"/>
              <w:right w:val="single" w:color="auto" w:sz="4" w:space="0"/>
            </w:tcBorders>
            <w:vAlign w:val="center"/>
          </w:tcPr>
          <w:p>
            <w:pPr>
              <w:pStyle w:val="25"/>
              <w:rPr>
                <w:rFonts w:ascii="Times New Roman" w:eastAsia="宋体"/>
                <w:color w:val="auto"/>
                <w:szCs w:val="21"/>
              </w:rPr>
            </w:pPr>
            <w:r>
              <w:rPr>
                <w:rFonts w:ascii="Times New Roman" w:eastAsia="宋体"/>
                <w:color w:val="auto"/>
                <w:szCs w:val="21"/>
              </w:rPr>
              <w:t>矿区范围及开采影响范围，重点为工业场地、开采沉陷区、矸石周转场等</w:t>
            </w:r>
            <w:r>
              <w:rPr>
                <w:rStyle w:val="74"/>
                <w:rFonts w:ascii="Times New Roman" w:eastAsia="宋体"/>
                <w:color w:val="auto"/>
              </w:rPr>
              <w:t>。</w:t>
            </w:r>
          </w:p>
        </w:tc>
      </w:tr>
    </w:tbl>
    <w:p>
      <w:pPr>
        <w:pStyle w:val="5"/>
        <w:snapToGrid w:val="0"/>
        <w:spacing w:before="120" w:after="120" w:line="440" w:lineRule="exact"/>
        <w:rPr>
          <w:sz w:val="24"/>
          <w:szCs w:val="22"/>
        </w:rPr>
      </w:pPr>
      <w:r>
        <w:rPr>
          <w:sz w:val="24"/>
          <w:szCs w:val="22"/>
        </w:rPr>
        <w:t>1.4.2 评价时段</w:t>
      </w:r>
    </w:p>
    <w:bookmarkEnd w:id="28"/>
    <w:bookmarkEnd w:id="29"/>
    <w:bookmarkEnd w:id="30"/>
    <w:p>
      <w:pPr>
        <w:pStyle w:val="324"/>
        <w:adjustRightInd w:val="0"/>
        <w:snapToGrid w:val="0"/>
        <w:spacing w:line="440" w:lineRule="exact"/>
        <w:ind w:firstLine="480"/>
        <w:rPr>
          <w:rFonts w:ascii="Times New Roman" w:hAnsi="Times New Roman"/>
        </w:rPr>
      </w:pPr>
      <w:r>
        <w:rPr>
          <w:rFonts w:ascii="Times New Roman" w:hAnsi="Times New Roman"/>
        </w:rPr>
        <w:t>矿区规划的4个煤矿在2023、2025年即开始建设，由于矿区内规划矿井开发时间较近，因此本次评价不再分近期、远期开展评价。</w:t>
      </w:r>
    </w:p>
    <w:p>
      <w:pPr>
        <w:pStyle w:val="345"/>
        <w:adjustRightInd w:val="0"/>
        <w:spacing w:line="440" w:lineRule="exact"/>
        <w:jc w:val="center"/>
        <w:rPr>
          <w:rFonts w:ascii="Times New Roman" w:hAnsi="Times New Roman" w:cs="Times New Roman"/>
        </w:rPr>
      </w:pPr>
      <w:r>
        <w:rPr>
          <w:rFonts w:ascii="Times New Roman" w:hAnsi="Times New Roman" w:cs="Times New Roman"/>
        </w:rPr>
        <w:t>矿区规划建设项目一览表</w:t>
      </w:r>
    </w:p>
    <w:p>
      <w:pPr>
        <w:pStyle w:val="331"/>
        <w:spacing w:line="440" w:lineRule="exact"/>
        <w:ind w:firstLine="240" w:firstLineChars="100"/>
        <w:rPr>
          <w:rFonts w:ascii="Times New Roman" w:hAnsi="Times New Roman" w:cs="Times New Roman"/>
        </w:rPr>
      </w:pPr>
      <w:r>
        <w:rPr>
          <w:rFonts w:ascii="Times New Roman" w:hAnsi="Times New Roman" w:cs="Times New Roman"/>
        </w:rPr>
        <w:t>表1.4-1</w:t>
      </w:r>
    </w:p>
    <w:tbl>
      <w:tblPr>
        <w:tblStyle w:val="59"/>
        <w:tblW w:w="90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4"/>
        <w:gridCol w:w="1199"/>
        <w:gridCol w:w="69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103" w:type="dxa"/>
            <w:gridSpan w:val="2"/>
            <w:shd w:val="clear" w:color="auto" w:fill="auto"/>
            <w:vAlign w:val="center"/>
          </w:tcPr>
          <w:p>
            <w:pPr>
              <w:pStyle w:val="331"/>
              <w:widowControl w:val="0"/>
              <w:jc w:val="center"/>
              <w:rPr>
                <w:rFonts w:ascii="Times New Roman" w:hAnsi="Times New Roman" w:cs="Times New Roman"/>
                <w:sz w:val="21"/>
                <w:szCs w:val="21"/>
              </w:rPr>
            </w:pPr>
            <w:r>
              <w:rPr>
                <w:rFonts w:ascii="Times New Roman" w:hAnsi="Times New Roman" w:cs="Times New Roman"/>
                <w:sz w:val="21"/>
                <w:szCs w:val="21"/>
              </w:rPr>
              <w:t>评价阶段</w:t>
            </w:r>
          </w:p>
        </w:tc>
        <w:tc>
          <w:tcPr>
            <w:tcW w:w="6902" w:type="dxa"/>
            <w:shd w:val="clear" w:color="auto" w:fill="auto"/>
            <w:vAlign w:val="center"/>
          </w:tcPr>
          <w:p>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矿区开发阶段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904" w:type="dxa"/>
            <w:vMerge w:val="restart"/>
            <w:shd w:val="clear" w:color="auto" w:fill="auto"/>
            <w:vAlign w:val="center"/>
          </w:tcPr>
          <w:p>
            <w:pPr>
              <w:pStyle w:val="331"/>
              <w:widowControl w:val="0"/>
              <w:jc w:val="center"/>
              <w:rPr>
                <w:rFonts w:ascii="Times New Roman" w:hAnsi="Times New Roman" w:cs="Times New Roman"/>
                <w:sz w:val="21"/>
                <w:szCs w:val="21"/>
              </w:rPr>
            </w:pPr>
            <w:r>
              <w:rPr>
                <w:rFonts w:ascii="Times New Roman" w:hAnsi="Times New Roman" w:cs="Times New Roman"/>
                <w:sz w:val="21"/>
                <w:szCs w:val="21"/>
              </w:rPr>
              <w:t>规划</w:t>
            </w:r>
          </w:p>
          <w:p>
            <w:pPr>
              <w:pStyle w:val="331"/>
              <w:widowControl w:val="0"/>
              <w:jc w:val="center"/>
              <w:rPr>
                <w:rFonts w:ascii="Times New Roman" w:hAnsi="Times New Roman" w:cs="Times New Roman"/>
                <w:sz w:val="21"/>
                <w:szCs w:val="21"/>
              </w:rPr>
            </w:pPr>
            <w:r>
              <w:rPr>
                <w:rFonts w:ascii="Times New Roman" w:hAnsi="Times New Roman" w:cs="Times New Roman"/>
                <w:sz w:val="21"/>
                <w:szCs w:val="21"/>
              </w:rPr>
              <w:t>内容</w:t>
            </w:r>
          </w:p>
        </w:tc>
        <w:tc>
          <w:tcPr>
            <w:tcW w:w="1199" w:type="dxa"/>
            <w:shd w:val="clear" w:color="auto" w:fill="auto"/>
            <w:vAlign w:val="center"/>
          </w:tcPr>
          <w:p>
            <w:pPr>
              <w:pStyle w:val="331"/>
              <w:widowControl w:val="0"/>
              <w:jc w:val="center"/>
              <w:rPr>
                <w:rFonts w:ascii="Times New Roman" w:hAnsi="Times New Roman" w:cs="Times New Roman"/>
                <w:sz w:val="21"/>
                <w:szCs w:val="21"/>
              </w:rPr>
            </w:pPr>
            <w:r>
              <w:rPr>
                <w:rFonts w:ascii="Times New Roman" w:hAnsi="Times New Roman" w:cs="Times New Roman"/>
                <w:sz w:val="21"/>
                <w:szCs w:val="21"/>
              </w:rPr>
              <w:t>煤矿项目</w:t>
            </w:r>
          </w:p>
        </w:tc>
        <w:tc>
          <w:tcPr>
            <w:tcW w:w="6902" w:type="dxa"/>
            <w:shd w:val="clear" w:color="auto" w:fill="auto"/>
            <w:vAlign w:val="center"/>
          </w:tcPr>
          <w:p>
            <w:pPr>
              <w:widowControl/>
              <w:adjustRightInd w:val="0"/>
              <w:snapToGrid w:val="0"/>
              <w:spacing w:line="240" w:lineRule="atLeast"/>
              <w:jc w:val="center"/>
              <w:rPr>
                <w:rFonts w:ascii="Times New Roman" w:hAnsi="Times New Roman"/>
                <w:kern w:val="0"/>
                <w:sz w:val="21"/>
                <w:szCs w:val="21"/>
              </w:rPr>
            </w:pPr>
            <w:r>
              <w:rPr>
                <w:rFonts w:ascii="Times New Roman" w:hAnsi="Times New Roman"/>
                <w:b/>
                <w:kern w:val="0"/>
                <w:sz w:val="21"/>
                <w:szCs w:val="21"/>
              </w:rPr>
              <w:t>总规模：32Mt/a，</w:t>
            </w:r>
            <w:r>
              <w:rPr>
                <w:rFonts w:ascii="Times New Roman" w:hAnsi="Times New Roman"/>
                <w:kern w:val="0"/>
                <w:sz w:val="21"/>
                <w:szCs w:val="21"/>
              </w:rPr>
              <w:t>分别为：</w:t>
            </w:r>
          </w:p>
          <w:p>
            <w:pPr>
              <w:widowControl/>
              <w:adjustRightInd w:val="0"/>
              <w:snapToGrid w:val="0"/>
              <w:spacing w:line="240" w:lineRule="atLeast"/>
              <w:jc w:val="center"/>
              <w:rPr>
                <w:rFonts w:ascii="Times New Roman" w:hAnsi="Times New Roman"/>
                <w:sz w:val="21"/>
                <w:szCs w:val="21"/>
              </w:rPr>
            </w:pPr>
            <w:r>
              <w:rPr>
                <w:rFonts w:ascii="Times New Roman" w:hAnsi="Times New Roman"/>
                <w:sz w:val="21"/>
                <w:szCs w:val="21"/>
              </w:rPr>
              <w:t>奎腾沟井田8.0Mt/a</w:t>
            </w:r>
            <w:r>
              <w:rPr>
                <w:rFonts w:ascii="Times New Roman" w:hAnsi="Times New Roman"/>
                <w:kern w:val="0"/>
                <w:sz w:val="21"/>
                <w:szCs w:val="21"/>
              </w:rPr>
              <w:t>；</w:t>
            </w:r>
          </w:p>
          <w:p>
            <w:pPr>
              <w:widowControl/>
              <w:adjustRightInd w:val="0"/>
              <w:snapToGrid w:val="0"/>
              <w:spacing w:line="240" w:lineRule="atLeast"/>
              <w:jc w:val="center"/>
              <w:rPr>
                <w:rFonts w:ascii="Times New Roman" w:hAnsi="Times New Roman"/>
                <w:kern w:val="0"/>
                <w:sz w:val="21"/>
                <w:szCs w:val="21"/>
              </w:rPr>
            </w:pPr>
            <w:r>
              <w:rPr>
                <w:rFonts w:ascii="Times New Roman" w:hAnsi="Times New Roman"/>
                <w:sz w:val="21"/>
                <w:szCs w:val="21"/>
              </w:rPr>
              <w:t>苏布尔嘎井田8.0Mt/a</w:t>
            </w:r>
            <w:r>
              <w:rPr>
                <w:rFonts w:ascii="Times New Roman" w:hAnsi="Times New Roman"/>
                <w:kern w:val="0"/>
                <w:sz w:val="21"/>
                <w:szCs w:val="21"/>
              </w:rPr>
              <w:t>；</w:t>
            </w:r>
          </w:p>
          <w:p>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壕赖苏井田</w:t>
            </w:r>
            <w:r>
              <w:rPr>
                <w:rFonts w:ascii="Times New Roman" w:hAnsi="Times New Roman"/>
                <w:sz w:val="21"/>
                <w:szCs w:val="21"/>
              </w:rPr>
              <w:t>8.0Mt/a</w:t>
            </w:r>
            <w:r>
              <w:rPr>
                <w:rFonts w:ascii="Times New Roman" w:hAnsi="Times New Roman"/>
                <w:kern w:val="0"/>
                <w:sz w:val="21"/>
                <w:szCs w:val="21"/>
              </w:rPr>
              <w:t>；</w:t>
            </w:r>
          </w:p>
          <w:p>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纳林希里井田</w:t>
            </w:r>
            <w:r>
              <w:rPr>
                <w:rFonts w:ascii="Times New Roman" w:hAnsi="Times New Roman"/>
                <w:sz w:val="21"/>
                <w:szCs w:val="21"/>
              </w:rPr>
              <w:t>8.0Mt/a</w:t>
            </w: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jc w:val="center"/>
        </w:trPr>
        <w:tc>
          <w:tcPr>
            <w:tcW w:w="904" w:type="dxa"/>
            <w:vMerge w:val="continue"/>
            <w:shd w:val="clear" w:color="auto" w:fill="auto"/>
            <w:vAlign w:val="center"/>
          </w:tcPr>
          <w:p>
            <w:pPr>
              <w:pStyle w:val="331"/>
              <w:widowControl w:val="0"/>
              <w:jc w:val="center"/>
              <w:outlineLvl w:val="9"/>
              <w:rPr>
                <w:rFonts w:ascii="Times New Roman" w:hAnsi="Times New Roman" w:cs="Times New Roman"/>
                <w:sz w:val="21"/>
                <w:szCs w:val="21"/>
              </w:rPr>
            </w:pPr>
          </w:p>
        </w:tc>
        <w:tc>
          <w:tcPr>
            <w:tcW w:w="1199" w:type="dxa"/>
            <w:shd w:val="clear" w:color="auto" w:fill="auto"/>
            <w:vAlign w:val="center"/>
          </w:tcPr>
          <w:p>
            <w:pPr>
              <w:pStyle w:val="331"/>
              <w:widowControl w:val="0"/>
              <w:jc w:val="center"/>
              <w:rPr>
                <w:rFonts w:ascii="Times New Roman" w:hAnsi="Times New Roman" w:cs="Times New Roman"/>
                <w:sz w:val="21"/>
                <w:szCs w:val="21"/>
              </w:rPr>
            </w:pPr>
            <w:r>
              <w:rPr>
                <w:rFonts w:ascii="Times New Roman" w:hAnsi="Times New Roman" w:cs="Times New Roman"/>
                <w:sz w:val="21"/>
                <w:szCs w:val="21"/>
              </w:rPr>
              <w:t>选煤项目</w:t>
            </w:r>
          </w:p>
        </w:tc>
        <w:tc>
          <w:tcPr>
            <w:tcW w:w="6902" w:type="dxa"/>
            <w:shd w:val="clear" w:color="auto" w:fill="auto"/>
            <w:vAlign w:val="center"/>
          </w:tcPr>
          <w:p>
            <w:pPr>
              <w:pStyle w:val="331"/>
              <w:widowControl w:val="0"/>
              <w:jc w:val="center"/>
              <w:rPr>
                <w:rFonts w:ascii="Times New Roman" w:hAnsi="Times New Roman" w:cs="Times New Roman"/>
                <w:b/>
                <w:sz w:val="21"/>
                <w:szCs w:val="21"/>
              </w:rPr>
            </w:pPr>
            <w:r>
              <w:rPr>
                <w:rFonts w:ascii="Times New Roman" w:hAnsi="Times New Roman" w:cs="Times New Roman"/>
                <w:b/>
                <w:sz w:val="21"/>
                <w:szCs w:val="21"/>
              </w:rPr>
              <w:t>总规模：32Mt/a</w:t>
            </w:r>
          </w:p>
          <w:p>
            <w:pPr>
              <w:pStyle w:val="331"/>
              <w:widowControl w:val="0"/>
              <w:jc w:val="center"/>
              <w:rPr>
                <w:rFonts w:ascii="Times New Roman" w:hAnsi="Times New Roman" w:cs="Times New Roman"/>
                <w:sz w:val="21"/>
                <w:szCs w:val="21"/>
              </w:rPr>
            </w:pPr>
            <w:r>
              <w:rPr>
                <w:rFonts w:ascii="Times New Roman" w:hAnsi="Times New Roman" w:cs="Times New Roman"/>
                <w:sz w:val="21"/>
                <w:szCs w:val="21"/>
              </w:rPr>
              <w:t>各矿井配套建设同等规模的选煤厂。</w:t>
            </w:r>
          </w:p>
        </w:tc>
      </w:tr>
    </w:tbl>
    <w:p>
      <w:pPr>
        <w:pStyle w:val="4"/>
        <w:snapToGrid w:val="0"/>
        <w:spacing w:line="440" w:lineRule="exact"/>
        <w:rPr>
          <w:rFonts w:ascii="Times New Roman" w:hAnsi="Times New Roman" w:eastAsia="宋体"/>
          <w:sz w:val="28"/>
        </w:rPr>
      </w:pPr>
      <w:bookmarkStart w:id="31" w:name="_Toc1112"/>
      <w:bookmarkStart w:id="32" w:name="_Toc23519319"/>
      <w:bookmarkStart w:id="33" w:name="_Toc31147"/>
      <w:bookmarkStart w:id="34" w:name="_Toc6646"/>
      <w:bookmarkStart w:id="35" w:name="_Toc163440977"/>
      <w:bookmarkStart w:id="36" w:name="_Toc437006584"/>
      <w:r>
        <w:rPr>
          <w:rFonts w:ascii="Times New Roman" w:hAnsi="Times New Roman" w:eastAsia="宋体"/>
          <w:sz w:val="28"/>
        </w:rPr>
        <w:t>1.4环境功能区划及评价标准</w:t>
      </w:r>
      <w:bookmarkEnd w:id="31"/>
      <w:bookmarkEnd w:id="32"/>
      <w:bookmarkEnd w:id="33"/>
      <w:bookmarkEnd w:id="34"/>
      <w:bookmarkEnd w:id="35"/>
      <w:bookmarkEnd w:id="36"/>
    </w:p>
    <w:p>
      <w:pPr>
        <w:pStyle w:val="5"/>
        <w:spacing w:before="120" w:after="120" w:line="440" w:lineRule="exact"/>
        <w:rPr>
          <w:sz w:val="24"/>
        </w:rPr>
      </w:pPr>
      <w:r>
        <w:rPr>
          <w:sz w:val="24"/>
        </w:rPr>
        <w:t>1.4.1 环境功能区划</w:t>
      </w:r>
    </w:p>
    <w:p>
      <w:pPr>
        <w:spacing w:line="400" w:lineRule="exact"/>
        <w:ind w:firstLine="480" w:firstLineChars="200"/>
        <w:rPr>
          <w:rFonts w:ascii="Times New Roman" w:hAnsi="Times New Roman"/>
        </w:rPr>
      </w:pPr>
      <w:r>
        <w:rPr>
          <w:rFonts w:ascii="Times New Roman" w:hAnsi="Times New Roman"/>
        </w:rPr>
        <w:t>根据本次评价现场调查及鄂尔多斯市环保局相关文件，矿区所在区域环境功能区划见表1.4-1。</w:t>
      </w:r>
    </w:p>
    <w:p>
      <w:pPr>
        <w:spacing w:line="400" w:lineRule="exact"/>
        <w:jc w:val="center"/>
        <w:rPr>
          <w:rFonts w:ascii="Times New Roman" w:hAnsi="Times New Roman"/>
          <w:b/>
          <w:kern w:val="0"/>
        </w:rPr>
      </w:pPr>
      <w:r>
        <w:rPr>
          <w:rFonts w:ascii="Times New Roman" w:hAnsi="Times New Roman"/>
          <w:b/>
          <w:kern w:val="0"/>
        </w:rPr>
        <w:t>矿区所在区域环境功能区划</w:t>
      </w:r>
    </w:p>
    <w:p>
      <w:pPr>
        <w:pStyle w:val="331"/>
        <w:spacing w:line="240" w:lineRule="auto"/>
        <w:rPr>
          <w:rFonts w:ascii="Times New Roman" w:hAnsi="Times New Roman" w:cs="Times New Roman"/>
        </w:rPr>
      </w:pPr>
      <w:r>
        <w:rPr>
          <w:rFonts w:ascii="Times New Roman" w:hAnsi="Times New Roman" w:cs="Times New Roman"/>
        </w:rPr>
        <w:t>表1.4-1</w:t>
      </w:r>
    </w:p>
    <w:tbl>
      <w:tblPr>
        <w:tblStyle w:val="59"/>
        <w:tblW w:w="9286"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837"/>
        <w:gridCol w:w="2840"/>
        <w:gridCol w:w="5609"/>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837" w:type="dxa"/>
            <w:vAlign w:val="center"/>
          </w:tcPr>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环境要素</w:t>
            </w:r>
          </w:p>
        </w:tc>
        <w:tc>
          <w:tcPr>
            <w:tcW w:w="2840" w:type="dxa"/>
            <w:vAlign w:val="center"/>
          </w:tcPr>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区划依据</w:t>
            </w:r>
          </w:p>
        </w:tc>
        <w:tc>
          <w:tcPr>
            <w:tcW w:w="5609" w:type="dxa"/>
            <w:tcBorders>
              <w:left w:val="single" w:color="auto" w:sz="4" w:space="0"/>
            </w:tcBorders>
            <w:vAlign w:val="center"/>
          </w:tcPr>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区划结果</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837" w:type="dxa"/>
            <w:tcBorders>
              <w:bottom w:val="single" w:color="auto" w:sz="4" w:space="0"/>
            </w:tcBorders>
            <w:vAlign w:val="center"/>
          </w:tcPr>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环境空气</w:t>
            </w:r>
          </w:p>
        </w:tc>
        <w:tc>
          <w:tcPr>
            <w:tcW w:w="2840" w:type="dxa"/>
            <w:tcBorders>
              <w:bottom w:val="single" w:color="auto" w:sz="4" w:space="0"/>
            </w:tcBorders>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《环境空气质量功能区划分原则与技术方法》</w:t>
            </w:r>
          </w:p>
        </w:tc>
        <w:tc>
          <w:tcPr>
            <w:tcW w:w="5609" w:type="dxa"/>
            <w:tcBorders>
              <w:left w:val="single" w:color="auto" w:sz="4" w:space="0"/>
              <w:bottom w:val="single" w:color="auto" w:sz="4" w:space="0"/>
            </w:tcBorders>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矿区属二类区；</w:t>
            </w:r>
          </w:p>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矿区外鄂尔多斯遗鸥国家级自然保护区为一类区。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837" w:type="dxa"/>
            <w:tcBorders>
              <w:bottom w:val="single" w:color="auto" w:sz="4" w:space="0"/>
            </w:tcBorders>
            <w:vAlign w:val="center"/>
          </w:tcPr>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地表</w:t>
            </w:r>
          </w:p>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水</w:t>
            </w:r>
          </w:p>
        </w:tc>
        <w:tc>
          <w:tcPr>
            <w:tcW w:w="2840" w:type="dxa"/>
            <w:tcBorders>
              <w:bottom w:val="single" w:color="auto" w:sz="4" w:space="0"/>
            </w:tcBorders>
            <w:vAlign w:val="center"/>
          </w:tcPr>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w:t>
            </w:r>
          </w:p>
        </w:tc>
        <w:tc>
          <w:tcPr>
            <w:tcW w:w="5609" w:type="dxa"/>
            <w:tcBorders>
              <w:left w:val="single" w:color="auto" w:sz="4" w:space="0"/>
              <w:bottom w:val="single" w:color="auto" w:sz="4" w:space="0"/>
            </w:tcBorders>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矿区周边地表水水体主要为矿区内5个淖尔：伊和日淖尔、哈塔图淖尔、光明淖尔、哈达图淖尔、乌兰淖尔及矿区南侧其和淖尔</w:t>
            </w:r>
            <w:r>
              <w:rPr>
                <w:rFonts w:ascii="Times New Roman" w:hAnsi="Times New Roman" w:eastAsia="宋体" w:cs="Times New Roman"/>
              </w:rPr>
              <w:t>。根据本次评价现场调查，以上淖尔均不在鄂尔多斯市水功能区划范围内，本次评价</w:t>
            </w:r>
            <w:r>
              <w:rPr>
                <w:rFonts w:ascii="Times New Roman" w:hAnsi="Times New Roman" w:eastAsia="宋体" w:cs="Times New Roman"/>
                <w:szCs w:val="21"/>
              </w:rPr>
              <w:t>执行水质目标为《地表水环境质量标准》（GB3838—2002）Ⅲ类。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837" w:type="dxa"/>
            <w:vMerge w:val="restart"/>
            <w:vAlign w:val="center"/>
          </w:tcPr>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生态环境</w:t>
            </w:r>
          </w:p>
        </w:tc>
        <w:tc>
          <w:tcPr>
            <w:tcW w:w="2840" w:type="dxa"/>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《全国生态功能区划》</w:t>
            </w:r>
          </w:p>
        </w:tc>
        <w:tc>
          <w:tcPr>
            <w:tcW w:w="5609" w:type="dxa"/>
            <w:tcBorders>
              <w:left w:val="single" w:color="auto" w:sz="4" w:space="0"/>
            </w:tcBorders>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矿区属</w:t>
            </w:r>
            <w:r>
              <w:rPr>
                <w:rFonts w:ascii="Times New Roman" w:hAnsi="Times New Roman" w:eastAsia="宋体" w:cs="Times New Roman"/>
                <w:szCs w:val="24"/>
              </w:rPr>
              <w:t>“鄂尔多斯高原中部防风固沙功能区”</w:t>
            </w:r>
            <w:r>
              <w:rPr>
                <w:rFonts w:ascii="Times New Roman" w:hAnsi="Times New Roman" w:eastAsia="宋体" w:cs="Times New Roman"/>
                <w:szCs w:val="21"/>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837" w:type="dxa"/>
            <w:vMerge w:val="continue"/>
            <w:vAlign w:val="center"/>
          </w:tcPr>
          <w:p>
            <w:pPr>
              <w:pStyle w:val="522"/>
              <w:adjustRightInd/>
              <w:spacing w:line="240" w:lineRule="auto"/>
              <w:jc w:val="center"/>
              <w:rPr>
                <w:rFonts w:ascii="Times New Roman" w:hAnsi="Times New Roman" w:eastAsia="宋体" w:cs="Times New Roman"/>
                <w:szCs w:val="21"/>
              </w:rPr>
            </w:pPr>
          </w:p>
        </w:tc>
        <w:tc>
          <w:tcPr>
            <w:tcW w:w="2840" w:type="dxa"/>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《内蒙古生态功能区划》</w:t>
            </w:r>
          </w:p>
        </w:tc>
        <w:tc>
          <w:tcPr>
            <w:tcW w:w="5609" w:type="dxa"/>
            <w:tcBorders>
              <w:left w:val="single" w:color="auto" w:sz="4" w:space="0"/>
            </w:tcBorders>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矿区属</w:t>
            </w:r>
            <w:r>
              <w:rPr>
                <w:rFonts w:hint="eastAsia" w:ascii="Times New Roman" w:hAnsi="Times New Roman" w:eastAsia="宋体" w:cs="Times New Roman"/>
              </w:rPr>
              <w:t>“</w:t>
            </w:r>
            <w:r>
              <w:rPr>
                <w:rFonts w:ascii="Times New Roman" w:hAnsi="Times New Roman" w:eastAsia="宋体" w:cs="Times New Roman"/>
              </w:rPr>
              <w:t>鄂尔多斯高原典型草原沙漠化控制生态功能区</w:t>
            </w:r>
            <w:r>
              <w:rPr>
                <w:rFonts w:hint="eastAsia" w:ascii="Times New Roman" w:hAnsi="Times New Roman" w:eastAsia="宋体" w:cs="Times New Roman"/>
              </w:rPr>
              <w:t>”</w:t>
            </w:r>
            <w:r>
              <w:rPr>
                <w:rFonts w:ascii="Times New Roman" w:hAnsi="Times New Roman" w:eastAsia="宋体" w:cs="Times New Roman"/>
                <w:szCs w:val="21"/>
              </w:rPr>
              <w:t>，内蒙古生态功能区划见图1.4-1。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837" w:type="dxa"/>
            <w:vMerge w:val="continue"/>
            <w:vAlign w:val="center"/>
          </w:tcPr>
          <w:p>
            <w:pPr>
              <w:pStyle w:val="522"/>
              <w:adjustRightInd/>
              <w:spacing w:line="240" w:lineRule="auto"/>
              <w:jc w:val="center"/>
              <w:rPr>
                <w:rFonts w:ascii="Times New Roman" w:hAnsi="Times New Roman" w:eastAsia="宋体" w:cs="Times New Roman"/>
                <w:szCs w:val="21"/>
              </w:rPr>
            </w:pPr>
          </w:p>
        </w:tc>
        <w:tc>
          <w:tcPr>
            <w:tcW w:w="2840" w:type="dxa"/>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rPr>
              <w:t>《鄂尔多斯市生态功能区划》</w:t>
            </w:r>
          </w:p>
        </w:tc>
        <w:tc>
          <w:tcPr>
            <w:tcW w:w="5609" w:type="dxa"/>
            <w:tcBorders>
              <w:left w:val="single" w:color="auto" w:sz="4" w:space="0"/>
            </w:tcBorders>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rPr>
              <w:t>矿区属鄂尔多斯高原典型草原沙漠化控制生态功能区，鄂尔多斯</w:t>
            </w:r>
            <w:r>
              <w:rPr>
                <w:rFonts w:ascii="Times New Roman" w:hAnsi="Times New Roman" w:eastAsia="宋体" w:cs="Times New Roman"/>
                <w:szCs w:val="21"/>
              </w:rPr>
              <w:t>生态功能区划见图1.4-2。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837" w:type="dxa"/>
            <w:vAlign w:val="center"/>
          </w:tcPr>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地下水</w:t>
            </w:r>
          </w:p>
        </w:tc>
        <w:tc>
          <w:tcPr>
            <w:tcW w:w="2840" w:type="dxa"/>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依据矿区周围的地下水环境特点确定</w:t>
            </w:r>
          </w:p>
        </w:tc>
        <w:tc>
          <w:tcPr>
            <w:tcW w:w="5609" w:type="dxa"/>
            <w:tcBorders>
              <w:left w:val="single" w:color="auto" w:sz="4" w:space="0"/>
            </w:tcBorders>
            <w:vAlign w:val="center"/>
          </w:tcPr>
          <w:p>
            <w:pPr>
              <w:pStyle w:val="522"/>
              <w:adjustRightInd/>
              <w:spacing w:line="240" w:lineRule="auto"/>
              <w:jc w:val="left"/>
              <w:rPr>
                <w:rFonts w:ascii="Times New Roman" w:hAnsi="Times New Roman" w:eastAsia="宋体" w:cs="Times New Roman"/>
                <w:szCs w:val="21"/>
              </w:rPr>
            </w:pPr>
            <w:r>
              <w:rPr>
                <w:rFonts w:ascii="Times New Roman" w:hAnsi="Times New Roman" w:eastAsia="宋体" w:cs="Times New Roman"/>
                <w:szCs w:val="21"/>
              </w:rPr>
              <w:t>矿区所在区域地下水属《地下水质量标准》（GB/T14848-2017）中Ⅲ类。</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837" w:type="dxa"/>
            <w:tcBorders>
              <w:bottom w:val="single" w:color="auto" w:sz="4" w:space="0"/>
            </w:tcBorders>
            <w:vAlign w:val="center"/>
          </w:tcPr>
          <w:p>
            <w:pPr>
              <w:pStyle w:val="522"/>
              <w:adjustRightInd/>
              <w:spacing w:line="240" w:lineRule="auto"/>
              <w:jc w:val="center"/>
              <w:rPr>
                <w:rFonts w:ascii="Times New Roman" w:hAnsi="Times New Roman" w:eastAsia="宋体" w:cs="Times New Roman"/>
                <w:szCs w:val="21"/>
              </w:rPr>
            </w:pPr>
            <w:r>
              <w:rPr>
                <w:rFonts w:ascii="Times New Roman" w:hAnsi="Times New Roman" w:eastAsia="宋体" w:cs="Times New Roman"/>
                <w:szCs w:val="21"/>
              </w:rPr>
              <w:t>声环境</w:t>
            </w:r>
          </w:p>
        </w:tc>
        <w:tc>
          <w:tcPr>
            <w:tcW w:w="2840" w:type="dxa"/>
            <w:tcBorders>
              <w:bottom w:val="single" w:color="auto" w:sz="4" w:space="0"/>
            </w:tcBorders>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根据《声环境功能区划分技术规范》（GB/T15190-2014）</w:t>
            </w:r>
          </w:p>
        </w:tc>
        <w:tc>
          <w:tcPr>
            <w:tcW w:w="5609" w:type="dxa"/>
            <w:tcBorders>
              <w:left w:val="single" w:color="auto" w:sz="4" w:space="0"/>
              <w:bottom w:val="single" w:color="auto" w:sz="4" w:space="0"/>
            </w:tcBorders>
            <w:vAlign w:val="center"/>
          </w:tcPr>
          <w:p>
            <w:pPr>
              <w:pStyle w:val="522"/>
              <w:adjustRightInd/>
              <w:spacing w:line="240" w:lineRule="auto"/>
              <w:rPr>
                <w:rFonts w:ascii="Times New Roman" w:hAnsi="Times New Roman" w:eastAsia="宋体" w:cs="Times New Roman"/>
                <w:szCs w:val="21"/>
              </w:rPr>
            </w:pPr>
            <w:r>
              <w:rPr>
                <w:rFonts w:ascii="Times New Roman" w:hAnsi="Times New Roman" w:eastAsia="宋体" w:cs="Times New Roman"/>
                <w:szCs w:val="21"/>
              </w:rPr>
              <w:t>矿区属2类声环境功能区。</w:t>
            </w:r>
          </w:p>
        </w:tc>
      </w:tr>
    </w:tbl>
    <w:p>
      <w:pPr>
        <w:pStyle w:val="5"/>
        <w:spacing w:before="120" w:after="120" w:line="440" w:lineRule="exact"/>
        <w:rPr>
          <w:sz w:val="24"/>
        </w:rPr>
      </w:pPr>
      <w:r>
        <w:rPr>
          <w:sz w:val="24"/>
        </w:rPr>
        <w:t>1.4.2 评价标准</w:t>
      </w:r>
    </w:p>
    <w:p>
      <w:pPr>
        <w:adjustRightInd w:val="0"/>
        <w:snapToGrid w:val="0"/>
        <w:spacing w:line="440" w:lineRule="exact"/>
        <w:ind w:firstLine="480" w:firstLineChars="200"/>
        <w:rPr>
          <w:rFonts w:ascii="Times New Roman" w:hAnsi="Times New Roman"/>
        </w:rPr>
      </w:pPr>
      <w:r>
        <w:rPr>
          <w:rFonts w:ascii="Times New Roman" w:hAnsi="Times New Roman"/>
        </w:rPr>
        <w:t>根据环境功能区划，本次评价采用的主要评价标准见表1.4-2。</w:t>
      </w:r>
    </w:p>
    <w:p>
      <w:pPr>
        <w:pStyle w:val="345"/>
        <w:adjustRightInd w:val="0"/>
        <w:spacing w:line="440" w:lineRule="exact"/>
        <w:jc w:val="center"/>
        <w:rPr>
          <w:rFonts w:ascii="Times New Roman" w:hAnsi="Times New Roman" w:cs="Times New Roman"/>
          <w:kern w:val="0"/>
        </w:rPr>
      </w:pPr>
    </w:p>
    <w:p>
      <w:pPr>
        <w:pStyle w:val="345"/>
        <w:adjustRightInd w:val="0"/>
        <w:spacing w:line="440" w:lineRule="exact"/>
        <w:jc w:val="center"/>
        <w:rPr>
          <w:rFonts w:ascii="Times New Roman" w:hAnsi="Times New Roman" w:cs="Times New Roman"/>
          <w:kern w:val="0"/>
        </w:rPr>
      </w:pPr>
      <w:r>
        <w:rPr>
          <w:rFonts w:ascii="Times New Roman" w:hAnsi="Times New Roman" w:cs="Times New Roman"/>
          <w:kern w:val="0"/>
        </w:rPr>
        <w:t>主要评价标准一览表</w:t>
      </w:r>
    </w:p>
    <w:p>
      <w:pPr>
        <w:pStyle w:val="331"/>
        <w:spacing w:line="440" w:lineRule="exact"/>
        <w:rPr>
          <w:rFonts w:ascii="Times New Roman" w:hAnsi="Times New Roman" w:cs="Times New Roman"/>
          <w:kern w:val="0"/>
        </w:rPr>
      </w:pPr>
      <w:r>
        <w:rPr>
          <w:rFonts w:ascii="Times New Roman" w:hAnsi="Times New Roman" w:cs="Times New Roman"/>
        </w:rPr>
        <w:t>表1.4-2</w:t>
      </w:r>
    </w:p>
    <w:tbl>
      <w:tblPr>
        <w:tblStyle w:val="59"/>
        <w:tblW w:w="928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670"/>
        <w:gridCol w:w="3059"/>
        <w:gridCol w:w="555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670" w:type="dxa"/>
            <w:tcBorders>
              <w:top w:val="single" w:color="auto" w:sz="2" w:space="0"/>
              <w:left w:val="single" w:color="auto" w:sz="2" w:space="0"/>
              <w:bottom w:val="single" w:color="auto" w:sz="2" w:space="0"/>
              <w:right w:val="single" w:color="auto" w:sz="2" w:space="0"/>
            </w:tcBorders>
            <w:vAlign w:val="center"/>
          </w:tcPr>
          <w:p>
            <w:pPr>
              <w:pStyle w:val="522"/>
              <w:spacing w:line="240" w:lineRule="auto"/>
              <w:jc w:val="center"/>
              <w:rPr>
                <w:rFonts w:ascii="Times New Roman" w:hAnsi="Times New Roman" w:eastAsia="宋体" w:cs="Times New Roman"/>
              </w:rPr>
            </w:pPr>
            <w:r>
              <w:rPr>
                <w:rFonts w:ascii="Times New Roman" w:hAnsi="Times New Roman" w:eastAsia="宋体" w:cs="Times New Roman"/>
              </w:rPr>
              <w:t>要素</w:t>
            </w:r>
          </w:p>
        </w:tc>
        <w:tc>
          <w:tcPr>
            <w:tcW w:w="3059" w:type="dxa"/>
            <w:tcBorders>
              <w:top w:val="single" w:color="auto" w:sz="2" w:space="0"/>
              <w:left w:val="single" w:color="auto" w:sz="2" w:space="0"/>
              <w:bottom w:val="single" w:color="auto" w:sz="2" w:space="0"/>
              <w:right w:val="single" w:color="auto" w:sz="2" w:space="0"/>
            </w:tcBorders>
            <w:vAlign w:val="center"/>
          </w:tcPr>
          <w:p>
            <w:pPr>
              <w:pStyle w:val="522"/>
              <w:spacing w:line="240" w:lineRule="auto"/>
              <w:jc w:val="center"/>
              <w:rPr>
                <w:rFonts w:ascii="Times New Roman" w:hAnsi="Times New Roman" w:eastAsia="宋体" w:cs="Times New Roman"/>
              </w:rPr>
            </w:pPr>
            <w:r>
              <w:rPr>
                <w:rFonts w:ascii="Times New Roman" w:hAnsi="Times New Roman" w:eastAsia="宋体" w:cs="Times New Roman"/>
              </w:rPr>
              <w:t>环境质量标准</w:t>
            </w:r>
          </w:p>
        </w:tc>
        <w:tc>
          <w:tcPr>
            <w:tcW w:w="5558" w:type="dxa"/>
            <w:tcBorders>
              <w:top w:val="single" w:color="auto" w:sz="2" w:space="0"/>
              <w:left w:val="single" w:color="auto" w:sz="4" w:space="0"/>
              <w:bottom w:val="single" w:color="auto" w:sz="2" w:space="0"/>
              <w:right w:val="single" w:color="auto" w:sz="2" w:space="0"/>
            </w:tcBorders>
            <w:vAlign w:val="center"/>
          </w:tcPr>
          <w:p>
            <w:pPr>
              <w:pStyle w:val="522"/>
              <w:spacing w:line="240" w:lineRule="auto"/>
              <w:jc w:val="center"/>
              <w:rPr>
                <w:rFonts w:ascii="Times New Roman" w:hAnsi="Times New Roman" w:eastAsia="宋体" w:cs="Times New Roman"/>
              </w:rPr>
            </w:pPr>
            <w:r>
              <w:rPr>
                <w:rFonts w:ascii="Times New Roman" w:hAnsi="Times New Roman" w:eastAsia="宋体" w:cs="Times New Roman"/>
              </w:rPr>
              <w:t>污染物排放标准</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670"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jc w:val="center"/>
              <w:rPr>
                <w:rFonts w:ascii="Times New Roman" w:hAnsi="Times New Roman" w:eastAsia="宋体" w:cs="Times New Roman"/>
              </w:rPr>
            </w:pPr>
            <w:r>
              <w:rPr>
                <w:rFonts w:ascii="Times New Roman" w:hAnsi="Times New Roman" w:eastAsia="宋体" w:cs="Times New Roman"/>
              </w:rPr>
              <w:t>环境空气</w:t>
            </w:r>
          </w:p>
        </w:tc>
        <w:tc>
          <w:tcPr>
            <w:tcW w:w="3059"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rPr>
                <w:rFonts w:ascii="Times New Roman" w:hAnsi="Times New Roman" w:eastAsia="宋体" w:cs="Times New Roman"/>
              </w:rPr>
            </w:pPr>
            <w:r>
              <w:rPr>
                <w:rFonts w:ascii="Times New Roman" w:hAnsi="Times New Roman" w:eastAsia="宋体" w:cs="Times New Roman"/>
              </w:rPr>
              <w:t>遗鸥保护区执行《环境空气质量标准》（GB3095-2012）一级标准；</w:t>
            </w:r>
          </w:p>
          <w:p>
            <w:pPr>
              <w:pStyle w:val="522"/>
              <w:spacing w:line="240" w:lineRule="auto"/>
              <w:rPr>
                <w:rFonts w:ascii="Times New Roman" w:hAnsi="Times New Roman" w:eastAsia="宋体" w:cs="Times New Roman"/>
              </w:rPr>
            </w:pPr>
            <w:r>
              <w:rPr>
                <w:rFonts w:ascii="Times New Roman" w:hAnsi="Times New Roman" w:eastAsia="宋体" w:cs="Times New Roman"/>
              </w:rPr>
              <w:t>居民点执行《环境空气质量标准》（GB3095-2012）二级标准</w:t>
            </w:r>
          </w:p>
        </w:tc>
        <w:tc>
          <w:tcPr>
            <w:tcW w:w="5558" w:type="dxa"/>
            <w:tcBorders>
              <w:top w:val="single" w:color="auto" w:sz="2" w:space="0"/>
              <w:left w:val="single" w:color="auto" w:sz="4" w:space="0"/>
              <w:bottom w:val="single" w:color="auto" w:sz="4" w:space="0"/>
              <w:right w:val="single" w:color="auto" w:sz="2" w:space="0"/>
            </w:tcBorders>
            <w:vAlign w:val="center"/>
          </w:tcPr>
          <w:p>
            <w:pPr>
              <w:pStyle w:val="522"/>
              <w:spacing w:line="240" w:lineRule="auto"/>
              <w:rPr>
                <w:rFonts w:ascii="Times New Roman" w:hAnsi="Times New Roman" w:eastAsia="宋体" w:cs="Times New Roman"/>
              </w:rPr>
            </w:pPr>
            <w:r>
              <w:rPr>
                <w:rFonts w:ascii="Times New Roman" w:hAnsi="Times New Roman" w:eastAsia="宋体" w:cs="Times New Roman"/>
              </w:rPr>
              <w:t>粉尘、扬尘排放执行《大气污染物综合排放标准》（GB16297-1996）中二级标准及《煤炭工业污染物排放标准》（GB20426-2006）表4、表5规定的限值；</w:t>
            </w:r>
          </w:p>
          <w:p>
            <w:pPr>
              <w:pStyle w:val="522"/>
              <w:spacing w:line="240" w:lineRule="auto"/>
              <w:rPr>
                <w:rFonts w:ascii="Times New Roman" w:hAnsi="Times New Roman" w:eastAsia="宋体" w:cs="Times New Roman"/>
              </w:rPr>
            </w:pPr>
            <w:r>
              <w:rPr>
                <w:rFonts w:ascii="Times New Roman" w:hAnsi="Times New Roman" w:eastAsia="宋体" w:cs="Times New Roman"/>
              </w:rPr>
              <w:t>锅炉执行《锅炉大气污染物排放标准》（GB13271-2014）。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670"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jc w:val="center"/>
              <w:rPr>
                <w:rFonts w:ascii="Times New Roman" w:hAnsi="Times New Roman" w:eastAsia="宋体" w:cs="Times New Roman"/>
              </w:rPr>
            </w:pPr>
            <w:r>
              <w:rPr>
                <w:rFonts w:ascii="Times New Roman" w:hAnsi="Times New Roman" w:eastAsia="宋体" w:cs="Times New Roman"/>
              </w:rPr>
              <w:t>水环境</w:t>
            </w:r>
          </w:p>
        </w:tc>
        <w:tc>
          <w:tcPr>
            <w:tcW w:w="3059"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rPr>
                <w:rFonts w:ascii="Times New Roman" w:hAnsi="Times New Roman" w:eastAsia="宋体" w:cs="Times New Roman"/>
              </w:rPr>
            </w:pPr>
            <w:r>
              <w:rPr>
                <w:rFonts w:ascii="Times New Roman" w:hAnsi="Times New Roman" w:eastAsia="宋体" w:cs="Times New Roman"/>
              </w:rPr>
              <w:t>《地表水环境质量标准》（GB3838-2002）Ⅲ类标准；</w:t>
            </w:r>
          </w:p>
          <w:p>
            <w:pPr>
              <w:pStyle w:val="522"/>
              <w:spacing w:line="240" w:lineRule="auto"/>
              <w:rPr>
                <w:rFonts w:ascii="Times New Roman" w:hAnsi="Times New Roman" w:eastAsia="宋体" w:cs="Times New Roman"/>
              </w:rPr>
            </w:pPr>
            <w:r>
              <w:rPr>
                <w:rFonts w:ascii="Times New Roman" w:hAnsi="Times New Roman" w:eastAsia="宋体" w:cs="Times New Roman"/>
              </w:rPr>
              <w:t>《地下水质量标准》（GB/T14848-2017）Ⅲ类标准</w:t>
            </w:r>
          </w:p>
        </w:tc>
        <w:tc>
          <w:tcPr>
            <w:tcW w:w="5558" w:type="dxa"/>
            <w:tcBorders>
              <w:top w:val="single" w:color="auto" w:sz="2" w:space="0"/>
              <w:left w:val="single" w:color="auto" w:sz="4" w:space="0"/>
              <w:bottom w:val="single" w:color="auto" w:sz="4" w:space="0"/>
              <w:right w:val="single" w:color="auto" w:sz="2" w:space="0"/>
            </w:tcBorders>
            <w:vAlign w:val="center"/>
          </w:tcPr>
          <w:p>
            <w:pPr>
              <w:pStyle w:val="522"/>
              <w:spacing w:line="240" w:lineRule="auto"/>
              <w:rPr>
                <w:rFonts w:ascii="Times New Roman" w:hAnsi="Times New Roman" w:eastAsia="宋体" w:cs="Times New Roman"/>
              </w:rPr>
            </w:pPr>
            <w:r>
              <w:rPr>
                <w:rFonts w:ascii="Times New Roman" w:hAnsi="Times New Roman" w:eastAsia="宋体" w:cs="Times New Roman"/>
              </w:rPr>
              <w:t>矿井水排放执行《地表水环境质量标准》（GB3838-2002）Ⅲ类标准及生态环境部、国家发展和改革委员会、国家能源局《关于进一步加强煤炭资源开发环境影响评价管理的通知》，环环评〔2020〕63号相关要求；</w:t>
            </w:r>
          </w:p>
          <w:p>
            <w:pPr>
              <w:pStyle w:val="522"/>
              <w:spacing w:line="240" w:lineRule="auto"/>
              <w:rPr>
                <w:rFonts w:ascii="Times New Roman" w:hAnsi="Times New Roman" w:eastAsia="宋体" w:cs="Times New Roman"/>
              </w:rPr>
            </w:pPr>
            <w:r>
              <w:rPr>
                <w:rFonts w:ascii="Times New Roman" w:hAnsi="Times New Roman" w:eastAsia="宋体" w:cs="Times New Roman"/>
              </w:rPr>
              <w:t>《煤炭工业污染物排放标准》（GB20426-2006）；</w:t>
            </w:r>
          </w:p>
          <w:p>
            <w:pPr>
              <w:pStyle w:val="522"/>
              <w:spacing w:line="240" w:lineRule="auto"/>
              <w:rPr>
                <w:rFonts w:ascii="Times New Roman" w:hAnsi="Times New Roman" w:eastAsia="宋体" w:cs="Times New Roman"/>
              </w:rPr>
            </w:pPr>
            <w:r>
              <w:rPr>
                <w:rFonts w:ascii="Times New Roman" w:hAnsi="Times New Roman" w:eastAsia="宋体" w:cs="Times New Roman"/>
              </w:rPr>
              <w:t>污废水回用需满足相应标准限值：《城市污水再生利用  城市杂用水水质》（GB/T18920-2020）等。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670"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jc w:val="center"/>
              <w:rPr>
                <w:rFonts w:ascii="Times New Roman" w:hAnsi="Times New Roman" w:eastAsia="宋体" w:cs="Times New Roman"/>
              </w:rPr>
            </w:pPr>
            <w:r>
              <w:rPr>
                <w:rFonts w:ascii="Times New Roman" w:hAnsi="Times New Roman" w:eastAsia="宋体" w:cs="Times New Roman"/>
              </w:rPr>
              <w:t>声环境</w:t>
            </w:r>
          </w:p>
        </w:tc>
        <w:tc>
          <w:tcPr>
            <w:tcW w:w="3059"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rPr>
                <w:rFonts w:ascii="Times New Roman" w:hAnsi="Times New Roman" w:eastAsia="宋体" w:cs="Times New Roman"/>
              </w:rPr>
            </w:pPr>
            <w:r>
              <w:rPr>
                <w:rFonts w:ascii="Times New Roman" w:hAnsi="Times New Roman" w:eastAsia="宋体" w:cs="Times New Roman"/>
              </w:rPr>
              <w:t>《声环境质量标准》（GB3096-2008）</w:t>
            </w:r>
          </w:p>
        </w:tc>
        <w:tc>
          <w:tcPr>
            <w:tcW w:w="5558" w:type="dxa"/>
            <w:tcBorders>
              <w:top w:val="single" w:color="auto" w:sz="2" w:space="0"/>
              <w:left w:val="single" w:color="auto" w:sz="4" w:space="0"/>
              <w:bottom w:val="single" w:color="auto" w:sz="4" w:space="0"/>
              <w:right w:val="single" w:color="auto" w:sz="2" w:space="0"/>
            </w:tcBorders>
            <w:vAlign w:val="center"/>
          </w:tcPr>
          <w:p>
            <w:pPr>
              <w:pStyle w:val="522"/>
              <w:spacing w:line="240" w:lineRule="auto"/>
              <w:rPr>
                <w:rFonts w:ascii="Times New Roman" w:hAnsi="Times New Roman" w:eastAsia="宋体" w:cs="Times New Roman"/>
              </w:rPr>
            </w:pPr>
            <w:r>
              <w:rPr>
                <w:rFonts w:ascii="Times New Roman" w:hAnsi="Times New Roman" w:eastAsia="宋体" w:cs="Times New Roman"/>
              </w:rPr>
              <w:t>工业场地执行《工业企业厂界环境噪声排放标准》（GB12348-2008）；</w:t>
            </w:r>
          </w:p>
          <w:p>
            <w:pPr>
              <w:pStyle w:val="522"/>
              <w:spacing w:line="240" w:lineRule="auto"/>
              <w:rPr>
                <w:rFonts w:ascii="Times New Roman" w:hAnsi="Times New Roman" w:eastAsia="宋体" w:cs="Times New Roman"/>
              </w:rPr>
            </w:pPr>
            <w:r>
              <w:rPr>
                <w:rFonts w:ascii="Times New Roman" w:hAnsi="Times New Roman" w:eastAsia="宋体" w:cs="Times New Roman"/>
              </w:rPr>
              <w:t>施工场地执行《建筑施工场界环境噪声排放标准》（GB12523-2011）。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670"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jc w:val="center"/>
              <w:rPr>
                <w:rFonts w:ascii="Times New Roman" w:hAnsi="Times New Roman" w:eastAsia="宋体" w:cs="Times New Roman"/>
                <w:szCs w:val="21"/>
              </w:rPr>
            </w:pPr>
            <w:r>
              <w:rPr>
                <w:rFonts w:ascii="Times New Roman" w:hAnsi="Times New Roman" w:eastAsia="宋体" w:cs="Times New Roman"/>
                <w:szCs w:val="21"/>
              </w:rPr>
              <w:t>土壤环境</w:t>
            </w:r>
          </w:p>
        </w:tc>
        <w:tc>
          <w:tcPr>
            <w:tcW w:w="3059"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rPr>
                <w:rFonts w:ascii="Times New Roman" w:hAnsi="Times New Roman" w:eastAsia="宋体" w:cs="Times New Roman"/>
                <w:szCs w:val="21"/>
              </w:rPr>
            </w:pPr>
            <w:r>
              <w:rPr>
                <w:rFonts w:ascii="Times New Roman" w:hAnsi="Times New Roman" w:eastAsia="宋体" w:cs="Times New Roman"/>
                <w:szCs w:val="21"/>
              </w:rPr>
              <w:t>《土壤环境质量 农用地土壤污染风险管控标准（试行）》（GB15618-2018）；</w:t>
            </w:r>
          </w:p>
          <w:p>
            <w:pPr>
              <w:pStyle w:val="522"/>
              <w:spacing w:line="240" w:lineRule="auto"/>
              <w:rPr>
                <w:rFonts w:ascii="Times New Roman" w:hAnsi="Times New Roman" w:eastAsia="宋体" w:cs="Times New Roman"/>
                <w:szCs w:val="21"/>
              </w:rPr>
            </w:pPr>
            <w:r>
              <w:rPr>
                <w:rFonts w:ascii="Times New Roman" w:hAnsi="Times New Roman" w:eastAsia="宋体" w:cs="Times New Roman"/>
                <w:szCs w:val="21"/>
              </w:rPr>
              <w:t>《土壤环境质量 建设用地土壤污染风险管控标准（试行）》（GB 36600-2018）</w:t>
            </w:r>
          </w:p>
        </w:tc>
        <w:tc>
          <w:tcPr>
            <w:tcW w:w="5558" w:type="dxa"/>
            <w:tcBorders>
              <w:top w:val="single" w:color="auto" w:sz="2" w:space="0"/>
              <w:left w:val="single" w:color="auto" w:sz="4" w:space="0"/>
              <w:bottom w:val="single" w:color="auto" w:sz="4" w:space="0"/>
              <w:right w:val="single" w:color="auto" w:sz="2" w:space="0"/>
            </w:tcBorders>
            <w:vAlign w:val="center"/>
          </w:tcPr>
          <w:p>
            <w:pPr>
              <w:pStyle w:val="522"/>
              <w:spacing w:line="240" w:lineRule="auto"/>
              <w:jc w:val="center"/>
              <w:rPr>
                <w:rFonts w:ascii="Times New Roman" w:hAnsi="Times New Roman" w:eastAsia="宋体" w:cs="Times New Roman"/>
                <w:szCs w:val="20"/>
              </w:rPr>
            </w:pPr>
            <w:r>
              <w:rPr>
                <w:rFonts w:ascii="Times New Roman" w:hAnsi="Times New Roman" w:eastAsia="宋体" w:cs="Times New Roman"/>
                <w:szCs w:val="20"/>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670"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jc w:val="center"/>
              <w:rPr>
                <w:rFonts w:ascii="Times New Roman" w:hAnsi="Times New Roman" w:eastAsia="宋体" w:cs="Times New Roman"/>
              </w:rPr>
            </w:pPr>
            <w:r>
              <w:rPr>
                <w:rFonts w:ascii="Times New Roman" w:hAnsi="Times New Roman" w:eastAsia="宋体" w:cs="Times New Roman"/>
              </w:rPr>
              <w:t>固体废物</w:t>
            </w:r>
          </w:p>
        </w:tc>
        <w:tc>
          <w:tcPr>
            <w:tcW w:w="3059" w:type="dxa"/>
            <w:tcBorders>
              <w:top w:val="single" w:color="auto" w:sz="2" w:space="0"/>
              <w:left w:val="single" w:color="auto" w:sz="2" w:space="0"/>
              <w:bottom w:val="single" w:color="auto" w:sz="4" w:space="0"/>
              <w:right w:val="single" w:color="auto" w:sz="2" w:space="0"/>
            </w:tcBorders>
            <w:vAlign w:val="center"/>
          </w:tcPr>
          <w:p>
            <w:pPr>
              <w:pStyle w:val="522"/>
              <w:spacing w:line="240" w:lineRule="auto"/>
              <w:jc w:val="center"/>
              <w:rPr>
                <w:rFonts w:ascii="Times New Roman" w:hAnsi="Times New Roman" w:eastAsia="宋体" w:cs="Times New Roman"/>
              </w:rPr>
            </w:pPr>
            <w:r>
              <w:rPr>
                <w:rFonts w:ascii="Times New Roman" w:hAnsi="Times New Roman" w:eastAsia="宋体" w:cs="Times New Roman"/>
              </w:rPr>
              <w:t>/</w:t>
            </w:r>
          </w:p>
        </w:tc>
        <w:tc>
          <w:tcPr>
            <w:tcW w:w="5558" w:type="dxa"/>
            <w:tcBorders>
              <w:top w:val="single" w:color="auto" w:sz="2" w:space="0"/>
              <w:left w:val="single" w:color="auto" w:sz="4" w:space="0"/>
              <w:bottom w:val="single" w:color="auto" w:sz="4" w:space="0"/>
              <w:right w:val="single" w:color="auto" w:sz="2" w:space="0"/>
            </w:tcBorders>
            <w:vAlign w:val="center"/>
          </w:tcPr>
          <w:p>
            <w:pPr>
              <w:pStyle w:val="522"/>
              <w:spacing w:line="240" w:lineRule="auto"/>
              <w:rPr>
                <w:rFonts w:ascii="Times New Roman" w:hAnsi="Times New Roman" w:eastAsia="宋体" w:cs="Times New Roman"/>
              </w:rPr>
            </w:pPr>
            <w:r>
              <w:rPr>
                <w:rFonts w:ascii="Times New Roman" w:hAnsi="Times New Roman" w:eastAsia="宋体" w:cs="Times New Roman"/>
              </w:rPr>
              <w:t>《一般工业固体废物贮存和填埋污染控制标准》（GB18599-2020）；《生活垃圾填埋污染控制标准》（GB16889-2008）；《煤炭工业污染物排放标准》（GB20426-2006）；《危险废物贮存污染控制标准》（GB18597-2001）及修改单（环保部公告2013年第36号）。</w:t>
            </w:r>
          </w:p>
        </w:tc>
      </w:tr>
    </w:tbl>
    <w:p>
      <w:pPr>
        <w:pStyle w:val="4"/>
        <w:snapToGrid w:val="0"/>
        <w:spacing w:line="440" w:lineRule="exact"/>
        <w:rPr>
          <w:rFonts w:ascii="Times New Roman" w:hAnsi="Times New Roman" w:eastAsia="宋体"/>
          <w:sz w:val="28"/>
        </w:rPr>
      </w:pPr>
      <w:bookmarkStart w:id="37" w:name="_Toc437006585"/>
      <w:bookmarkStart w:id="38" w:name="_Toc23519320"/>
      <w:bookmarkStart w:id="39" w:name="_Toc163440978"/>
      <w:bookmarkStart w:id="40" w:name="_Toc145"/>
      <w:bookmarkStart w:id="41" w:name="_Toc21881"/>
      <w:bookmarkStart w:id="42" w:name="_Toc2816"/>
      <w:r>
        <w:rPr>
          <w:rFonts w:ascii="Times New Roman" w:hAnsi="Times New Roman" w:eastAsia="宋体"/>
          <w:sz w:val="28"/>
        </w:rPr>
        <w:t>1.5 环境保护目标</w:t>
      </w:r>
      <w:bookmarkEnd w:id="37"/>
      <w:bookmarkEnd w:id="38"/>
      <w:bookmarkEnd w:id="39"/>
      <w:bookmarkEnd w:id="40"/>
      <w:bookmarkEnd w:id="41"/>
      <w:bookmarkEnd w:id="42"/>
    </w:p>
    <w:p>
      <w:pPr>
        <w:spacing w:line="440" w:lineRule="exact"/>
        <w:ind w:firstLine="480" w:firstLineChars="200"/>
        <w:rPr>
          <w:rFonts w:ascii="Times New Roman" w:hAnsi="Times New Roman"/>
        </w:rPr>
      </w:pPr>
      <w:r>
        <w:rPr>
          <w:rFonts w:ascii="Times New Roman" w:hAnsi="Times New Roman"/>
          <w:szCs w:val="24"/>
        </w:rPr>
        <w:t>根据《规划环境影响评价技术导则-总纲》（HJ130-2019）中关于生态敏感区（点）的定义，结合矿区及周边的自然环境与人文特征，经现场踏勘和调查分析，评价区主要环境保护目标有鄂尔多斯遗鸥国家级自然保护区、二级国家级公益林、基本草原、红庆河镇、东乌铁路等，详见表1.5-1及图1.5-1~1.5-6。</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鄂尔多斯遗鸥国家级自然保护区位于纳林希里矿区北侧，与奎腾沟井田北侧边界相接，占地面积147.7km</w:t>
      </w:r>
      <w:r>
        <w:rPr>
          <w:rFonts w:ascii="Times New Roman" w:hAnsi="Times New Roman" w:eastAsia="宋体" w:cs="Times New Roman"/>
          <w:vertAlign w:val="superscript"/>
        </w:rPr>
        <w:t>2</w:t>
      </w:r>
      <w:r>
        <w:rPr>
          <w:rFonts w:ascii="Times New Roman" w:hAnsi="Times New Roman" w:eastAsia="宋体" w:cs="Times New Roman"/>
        </w:rPr>
        <w:t>，湖面面积10.2km</w:t>
      </w:r>
      <w:r>
        <w:rPr>
          <w:rFonts w:ascii="Times New Roman" w:hAnsi="Times New Roman" w:eastAsia="宋体" w:cs="Times New Roman"/>
          <w:vertAlign w:val="superscript"/>
        </w:rPr>
        <w:t>2</w:t>
      </w:r>
      <w:r>
        <w:rPr>
          <w:rFonts w:ascii="Times New Roman" w:hAnsi="Times New Roman" w:eastAsia="宋体" w:cs="Times New Roman"/>
        </w:rPr>
        <w:t>；矿区西侧勘查区处分布有部分生态红线</w:t>
      </w:r>
      <w:r>
        <w:rPr>
          <w:rFonts w:ascii="Times New Roman" w:hAnsi="Times New Roman" w:eastAsia="宋体" w:cs="Times New Roman"/>
          <w:snapToGrid w:val="0"/>
          <w:kern w:val="0"/>
        </w:rPr>
        <w:t>，面积28.47km</w:t>
      </w:r>
      <w:r>
        <w:rPr>
          <w:rFonts w:ascii="Times New Roman" w:hAnsi="Times New Roman" w:eastAsia="宋体" w:cs="Times New Roman"/>
          <w:snapToGrid w:val="0"/>
          <w:kern w:val="0"/>
          <w:vertAlign w:val="superscript"/>
        </w:rPr>
        <w:t>2</w:t>
      </w:r>
      <w:r>
        <w:rPr>
          <w:rFonts w:ascii="Times New Roman" w:hAnsi="Times New Roman" w:eastAsia="宋体" w:cs="Times New Roman"/>
          <w:snapToGrid w:val="0"/>
          <w:kern w:val="0"/>
        </w:rPr>
        <w:t>。</w:t>
      </w:r>
    </w:p>
    <w:p>
      <w:pPr>
        <w:spacing w:line="440" w:lineRule="exact"/>
        <w:ind w:firstLine="480" w:firstLineChars="200"/>
        <w:rPr>
          <w:rFonts w:ascii="Times New Roman" w:hAnsi="Times New Roman"/>
          <w:szCs w:val="24"/>
        </w:rPr>
      </w:pPr>
      <w:r>
        <w:rPr>
          <w:rFonts w:ascii="Times New Roman" w:hAnsi="Times New Roman"/>
          <w:szCs w:val="24"/>
        </w:rPr>
        <w:t>评价区内环保目标主要为</w:t>
      </w:r>
      <w:r>
        <w:rPr>
          <w:rFonts w:ascii="Times New Roman" w:hAnsi="Times New Roman"/>
          <w:szCs w:val="21"/>
        </w:rPr>
        <w:t>高压输电线路、东乌铁路、荣乌高速及红庆河镇等。</w:t>
      </w:r>
    </w:p>
    <w:tbl>
      <w:tblPr>
        <w:tblStyle w:val="59"/>
        <w:tblW w:w="9287" w:type="dxa"/>
        <w:tblInd w:w="0" w:type="dxa"/>
        <w:tblLayout w:type="fixed"/>
        <w:tblCellMar>
          <w:top w:w="0" w:type="dxa"/>
          <w:left w:w="108" w:type="dxa"/>
          <w:bottom w:w="0" w:type="dxa"/>
          <w:right w:w="108" w:type="dxa"/>
        </w:tblCellMar>
      </w:tblPr>
      <w:tblGrid>
        <w:gridCol w:w="4827"/>
        <w:gridCol w:w="4460"/>
      </w:tblGrid>
      <w:tr>
        <w:tblPrEx>
          <w:tblCellMar>
            <w:top w:w="0" w:type="dxa"/>
            <w:left w:w="108" w:type="dxa"/>
            <w:bottom w:w="0" w:type="dxa"/>
            <w:right w:w="108" w:type="dxa"/>
          </w:tblCellMar>
        </w:tblPrEx>
        <w:trPr>
          <w:trHeight w:val="3336" w:hRule="atLeast"/>
        </w:trPr>
        <w:tc>
          <w:tcPr>
            <w:tcW w:w="4827" w:type="dxa"/>
          </w:tcPr>
          <w:p>
            <w:pPr>
              <w:pStyle w:val="428"/>
              <w:spacing w:line="240" w:lineRule="auto"/>
              <w:ind w:firstLine="0" w:firstLineChars="0"/>
              <w:jc w:val="center"/>
              <w:rPr>
                <w:rFonts w:ascii="Times New Roman" w:hAnsi="Times New Roman" w:cs="Times New Roman"/>
              </w:rPr>
            </w:pPr>
            <w:r>
              <w:rPr>
                <w:rFonts w:ascii="Times New Roman" w:hAnsi="Times New Roman" w:cs="Times New Roman"/>
              </w:rPr>
              <w:drawing>
                <wp:inline distT="0" distB="0" distL="114300" distR="114300">
                  <wp:extent cx="2990215" cy="1992630"/>
                  <wp:effectExtent l="0" t="0" r="635" b="7620"/>
                  <wp:docPr id="72" name="图片 72" descr="飞地保护区沟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飞地保护区沟谷"/>
                          <pic:cNvPicPr>
                            <a:picLocks noChangeAspect="1"/>
                          </pic:cNvPicPr>
                        </pic:nvPicPr>
                        <pic:blipFill>
                          <a:blip r:embed="rId42"/>
                          <a:stretch>
                            <a:fillRect/>
                          </a:stretch>
                        </pic:blipFill>
                        <pic:spPr>
                          <a:xfrm>
                            <a:off x="0" y="0"/>
                            <a:ext cx="2990215" cy="1992630"/>
                          </a:xfrm>
                          <a:prstGeom prst="rect">
                            <a:avLst/>
                          </a:prstGeom>
                        </pic:spPr>
                      </pic:pic>
                    </a:graphicData>
                  </a:graphic>
                </wp:inline>
              </w:drawing>
            </w:r>
          </w:p>
        </w:tc>
        <w:tc>
          <w:tcPr>
            <w:tcW w:w="4460" w:type="dxa"/>
          </w:tcPr>
          <w:p>
            <w:pPr>
              <w:pStyle w:val="428"/>
              <w:spacing w:line="240" w:lineRule="auto"/>
              <w:ind w:firstLine="0" w:firstLineChars="0"/>
              <w:jc w:val="center"/>
              <w:rPr>
                <w:rFonts w:ascii="Times New Roman" w:hAnsi="Times New Roman" w:cs="Times New Roman"/>
              </w:rPr>
            </w:pPr>
            <w:r>
              <w:rPr>
                <w:rFonts w:ascii="Times New Roman" w:hAnsi="Times New Roman" w:cs="Times New Roman"/>
              </w:rPr>
              <w:drawing>
                <wp:inline distT="0" distB="0" distL="114300" distR="114300">
                  <wp:extent cx="2620010" cy="1990725"/>
                  <wp:effectExtent l="0" t="0" r="8890" b="9525"/>
                  <wp:docPr id="70" name="图片 70" descr="微信图片_2020081810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微信图片_20200818104941"/>
                          <pic:cNvPicPr>
                            <a:picLocks noChangeAspect="1"/>
                          </pic:cNvPicPr>
                        </pic:nvPicPr>
                        <pic:blipFill>
                          <a:blip r:embed="rId43"/>
                          <a:stretch>
                            <a:fillRect/>
                          </a:stretch>
                        </pic:blipFill>
                        <pic:spPr>
                          <a:xfrm>
                            <a:off x="0" y="0"/>
                            <a:ext cx="2620010" cy="1990725"/>
                          </a:xfrm>
                          <a:prstGeom prst="rect">
                            <a:avLst/>
                          </a:prstGeom>
                        </pic:spPr>
                      </pic:pic>
                    </a:graphicData>
                  </a:graphic>
                </wp:inline>
              </w:drawing>
            </w:r>
          </w:p>
        </w:tc>
      </w:tr>
      <w:tr>
        <w:tblPrEx>
          <w:tblCellMar>
            <w:top w:w="0" w:type="dxa"/>
            <w:left w:w="108" w:type="dxa"/>
            <w:bottom w:w="0" w:type="dxa"/>
            <w:right w:w="108" w:type="dxa"/>
          </w:tblCellMar>
        </w:tblPrEx>
        <w:trPr>
          <w:trHeight w:val="396" w:hRule="atLeast"/>
        </w:trPr>
        <w:tc>
          <w:tcPr>
            <w:tcW w:w="4827" w:type="dxa"/>
          </w:tcPr>
          <w:p>
            <w:pPr>
              <w:pStyle w:val="428"/>
              <w:spacing w:line="240" w:lineRule="auto"/>
              <w:ind w:firstLine="0" w:firstLineChars="0"/>
              <w:jc w:val="center"/>
              <w:rPr>
                <w:rFonts w:ascii="Times New Roman" w:hAnsi="Times New Roman" w:cs="Times New Roman"/>
                <w:sz w:val="22"/>
                <w:szCs w:val="22"/>
              </w:rPr>
            </w:pPr>
            <w:r>
              <w:rPr>
                <w:rFonts w:ascii="Times New Roman" w:hAnsi="Times New Roman" w:eastAsia="宋体" w:cs="Times New Roman"/>
                <w:bCs w:val="0"/>
                <w:kern w:val="2"/>
                <w:sz w:val="22"/>
                <w:szCs w:val="18"/>
              </w:rPr>
              <w:t>勘查区生态红线区</w:t>
            </w:r>
          </w:p>
        </w:tc>
        <w:tc>
          <w:tcPr>
            <w:tcW w:w="4460" w:type="dxa"/>
          </w:tcPr>
          <w:p>
            <w:pPr>
              <w:pStyle w:val="428"/>
              <w:spacing w:line="240" w:lineRule="auto"/>
              <w:ind w:firstLine="0" w:firstLineChars="0"/>
              <w:jc w:val="center"/>
              <w:rPr>
                <w:rFonts w:ascii="Times New Roman" w:hAnsi="Times New Roman" w:cs="Times New Roman"/>
                <w:sz w:val="22"/>
                <w:szCs w:val="22"/>
              </w:rPr>
            </w:pPr>
            <w:r>
              <w:rPr>
                <w:rFonts w:ascii="Times New Roman" w:hAnsi="Times New Roman" w:eastAsia="宋体" w:cs="Times New Roman"/>
                <w:bCs w:val="0"/>
                <w:kern w:val="2"/>
                <w:sz w:val="22"/>
                <w:szCs w:val="18"/>
              </w:rPr>
              <w:t>勘查区生态红线区</w:t>
            </w:r>
          </w:p>
        </w:tc>
      </w:tr>
      <w:tr>
        <w:tblPrEx>
          <w:tblCellMar>
            <w:top w:w="0" w:type="dxa"/>
            <w:left w:w="108" w:type="dxa"/>
            <w:bottom w:w="0" w:type="dxa"/>
            <w:right w:w="108" w:type="dxa"/>
          </w:tblCellMar>
        </w:tblPrEx>
        <w:trPr>
          <w:trHeight w:val="90" w:hRule="atLeast"/>
        </w:trPr>
        <w:tc>
          <w:tcPr>
            <w:tcW w:w="4827" w:type="dxa"/>
          </w:tcPr>
          <w:p>
            <w:pPr>
              <w:pStyle w:val="428"/>
              <w:spacing w:line="240" w:lineRule="auto"/>
              <w:ind w:firstLine="0" w:firstLineChars="0"/>
              <w:jc w:val="center"/>
              <w:rPr>
                <w:rFonts w:ascii="Times New Roman" w:hAnsi="Times New Roman" w:cs="Times New Roman"/>
                <w:sz w:val="22"/>
                <w:szCs w:val="22"/>
              </w:rPr>
            </w:pPr>
            <w:r>
              <w:rPr>
                <w:rFonts w:ascii="Times New Roman" w:hAnsi="Times New Roman" w:cs="Times New Roman"/>
                <w:sz w:val="22"/>
                <w:szCs w:val="22"/>
              </w:rPr>
              <w:drawing>
                <wp:inline distT="0" distB="0" distL="114300" distR="114300">
                  <wp:extent cx="2990215" cy="2242820"/>
                  <wp:effectExtent l="0" t="0" r="635" b="5080"/>
                  <wp:docPr id="68" name="图片 68" descr="东乌铁路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东乌铁路 (2)"/>
                          <pic:cNvPicPr>
                            <a:picLocks noChangeAspect="1"/>
                          </pic:cNvPicPr>
                        </pic:nvPicPr>
                        <pic:blipFill>
                          <a:blip r:embed="rId44"/>
                          <a:stretch>
                            <a:fillRect/>
                          </a:stretch>
                        </pic:blipFill>
                        <pic:spPr>
                          <a:xfrm>
                            <a:off x="0" y="0"/>
                            <a:ext cx="2990215" cy="2242820"/>
                          </a:xfrm>
                          <a:prstGeom prst="rect">
                            <a:avLst/>
                          </a:prstGeom>
                        </pic:spPr>
                      </pic:pic>
                    </a:graphicData>
                  </a:graphic>
                </wp:inline>
              </w:drawing>
            </w:r>
          </w:p>
          <w:p>
            <w:pPr>
              <w:ind w:firstLine="1650" w:firstLineChars="750"/>
              <w:rPr>
                <w:rFonts w:ascii="Times New Roman" w:hAnsi="Times New Roman"/>
                <w:sz w:val="22"/>
                <w:szCs w:val="18"/>
              </w:rPr>
            </w:pPr>
            <w:r>
              <w:rPr>
                <w:rFonts w:ascii="Times New Roman" w:hAnsi="Times New Roman"/>
                <w:sz w:val="22"/>
                <w:szCs w:val="18"/>
              </w:rPr>
              <w:t>东乌铁路</w:t>
            </w:r>
          </w:p>
        </w:tc>
        <w:tc>
          <w:tcPr>
            <w:tcW w:w="4460" w:type="dxa"/>
          </w:tcPr>
          <w:p>
            <w:pPr>
              <w:pStyle w:val="428"/>
              <w:spacing w:line="240" w:lineRule="auto"/>
              <w:ind w:firstLine="0" w:firstLineChars="0"/>
              <w:jc w:val="center"/>
              <w:rPr>
                <w:rFonts w:ascii="Times New Roman" w:hAnsi="Times New Roman" w:cs="Times New Roman"/>
                <w:sz w:val="22"/>
                <w:szCs w:val="22"/>
              </w:rPr>
            </w:pPr>
            <w:r>
              <w:rPr>
                <w:rFonts w:ascii="Times New Roman" w:hAnsi="Times New Roman" w:cs="Times New Roman"/>
                <w:sz w:val="22"/>
                <w:szCs w:val="22"/>
              </w:rPr>
              <w:drawing>
                <wp:inline distT="0" distB="0" distL="114300" distR="114300">
                  <wp:extent cx="2620010" cy="2241550"/>
                  <wp:effectExtent l="0" t="0" r="8890" b="6350"/>
                  <wp:docPr id="69" name="图片 69" descr="荣乌高速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荣乌高速 (3)"/>
                          <pic:cNvPicPr>
                            <a:picLocks noChangeAspect="1"/>
                          </pic:cNvPicPr>
                        </pic:nvPicPr>
                        <pic:blipFill>
                          <a:blip r:embed="rId45"/>
                          <a:stretch>
                            <a:fillRect/>
                          </a:stretch>
                        </pic:blipFill>
                        <pic:spPr>
                          <a:xfrm>
                            <a:off x="0" y="0"/>
                            <a:ext cx="2620010" cy="2241550"/>
                          </a:xfrm>
                          <a:prstGeom prst="rect">
                            <a:avLst/>
                          </a:prstGeom>
                        </pic:spPr>
                      </pic:pic>
                    </a:graphicData>
                  </a:graphic>
                </wp:inline>
              </w:drawing>
            </w:r>
          </w:p>
          <w:p>
            <w:pPr>
              <w:tabs>
                <w:tab w:val="left" w:pos="735"/>
              </w:tabs>
              <w:ind w:firstLine="1320" w:firstLineChars="600"/>
              <w:rPr>
                <w:rFonts w:ascii="Times New Roman" w:hAnsi="Times New Roman"/>
                <w:sz w:val="22"/>
                <w:szCs w:val="18"/>
              </w:rPr>
            </w:pPr>
            <w:r>
              <w:rPr>
                <w:rFonts w:ascii="Times New Roman" w:hAnsi="Times New Roman"/>
                <w:sz w:val="22"/>
                <w:szCs w:val="18"/>
              </w:rPr>
              <w:tab/>
            </w:r>
            <w:r>
              <w:rPr>
                <w:rFonts w:ascii="Times New Roman" w:hAnsi="Times New Roman"/>
                <w:sz w:val="22"/>
                <w:szCs w:val="18"/>
              </w:rPr>
              <w:t>荣乌高速</w:t>
            </w:r>
          </w:p>
        </w:tc>
      </w:tr>
      <w:tr>
        <w:tblPrEx>
          <w:tblCellMar>
            <w:top w:w="0" w:type="dxa"/>
            <w:left w:w="108" w:type="dxa"/>
            <w:bottom w:w="0" w:type="dxa"/>
            <w:right w:w="108" w:type="dxa"/>
          </w:tblCellMar>
        </w:tblPrEx>
        <w:trPr>
          <w:trHeight w:val="3927" w:hRule="atLeast"/>
        </w:trPr>
        <w:tc>
          <w:tcPr>
            <w:tcW w:w="4827" w:type="dxa"/>
          </w:tcPr>
          <w:p>
            <w:pPr>
              <w:ind w:firstLine="1800" w:firstLineChars="750"/>
              <w:rPr>
                <w:rFonts w:ascii="Times New Roman" w:hAnsi="Times New Roman"/>
              </w:rPr>
            </w:pPr>
            <w:r>
              <w:rPr>
                <w:rFonts w:ascii="Times New Roman" w:hAnsi="Times New Roman"/>
              </w:rPr>
              <w:drawing>
                <wp:anchor distT="0" distB="0" distL="114300" distR="114300" simplePos="0" relativeHeight="251662336" behindDoc="0" locked="0" layoutInCell="1" allowOverlap="1">
                  <wp:simplePos x="0" y="0"/>
                  <wp:positionH relativeFrom="column">
                    <wp:posOffset>-8890</wp:posOffset>
                  </wp:positionH>
                  <wp:positionV relativeFrom="paragraph">
                    <wp:posOffset>86360</wp:posOffset>
                  </wp:positionV>
                  <wp:extent cx="2990215" cy="2242820"/>
                  <wp:effectExtent l="0" t="0" r="635" b="5080"/>
                  <wp:wrapNone/>
                  <wp:docPr id="73" name="图片 73" descr="东乌铁路旁高压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东乌铁路旁高压线"/>
                          <pic:cNvPicPr>
                            <a:picLocks noChangeAspect="1"/>
                          </pic:cNvPicPr>
                        </pic:nvPicPr>
                        <pic:blipFill>
                          <a:blip r:embed="rId46"/>
                          <a:stretch>
                            <a:fillRect/>
                          </a:stretch>
                        </pic:blipFill>
                        <pic:spPr>
                          <a:xfrm>
                            <a:off x="0" y="0"/>
                            <a:ext cx="2990215" cy="2242820"/>
                          </a:xfrm>
                          <a:prstGeom prst="rect">
                            <a:avLst/>
                          </a:prstGeom>
                        </pic:spPr>
                      </pic:pic>
                    </a:graphicData>
                  </a:graphic>
                </wp:anchor>
              </w:drawing>
            </w:r>
          </w:p>
        </w:tc>
        <w:tc>
          <w:tcPr>
            <w:tcW w:w="4460" w:type="dxa"/>
          </w:tcPr>
          <w:p>
            <w:pPr>
              <w:tabs>
                <w:tab w:val="left" w:pos="735"/>
              </w:tabs>
              <w:ind w:firstLine="1440" w:firstLineChars="600"/>
              <w:rPr>
                <w:rFonts w:ascii="Times New Roman" w:hAnsi="Times New Roman"/>
              </w:rPr>
            </w:pPr>
            <w:r>
              <w:rPr>
                <w:rFonts w:ascii="Times New Roman" w:hAnsi="Times New Roman"/>
              </w:rPr>
              <w:drawing>
                <wp:anchor distT="0" distB="0" distL="114300" distR="114300" simplePos="0" relativeHeight="251663360" behindDoc="0" locked="0" layoutInCell="1" allowOverlap="1">
                  <wp:simplePos x="0" y="0"/>
                  <wp:positionH relativeFrom="column">
                    <wp:posOffset>39370</wp:posOffset>
                  </wp:positionH>
                  <wp:positionV relativeFrom="paragraph">
                    <wp:posOffset>95885</wp:posOffset>
                  </wp:positionV>
                  <wp:extent cx="2620010" cy="2224405"/>
                  <wp:effectExtent l="0" t="0" r="8890" b="4445"/>
                  <wp:wrapNone/>
                  <wp:docPr id="74" name="图片 74" descr="苏布尔噶边界高压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苏布尔噶边界高压线"/>
                          <pic:cNvPicPr>
                            <a:picLocks noChangeAspect="1"/>
                          </pic:cNvPicPr>
                        </pic:nvPicPr>
                        <pic:blipFill>
                          <a:blip r:embed="rId47"/>
                          <a:stretch>
                            <a:fillRect/>
                          </a:stretch>
                        </pic:blipFill>
                        <pic:spPr>
                          <a:xfrm>
                            <a:off x="0" y="0"/>
                            <a:ext cx="2620010" cy="2224405"/>
                          </a:xfrm>
                          <a:prstGeom prst="rect">
                            <a:avLst/>
                          </a:prstGeom>
                        </pic:spPr>
                      </pic:pic>
                    </a:graphicData>
                  </a:graphic>
                </wp:anchor>
              </w:drawing>
            </w:r>
          </w:p>
        </w:tc>
      </w:tr>
      <w:tr>
        <w:tblPrEx>
          <w:tblCellMar>
            <w:top w:w="0" w:type="dxa"/>
            <w:left w:w="108" w:type="dxa"/>
            <w:bottom w:w="0" w:type="dxa"/>
            <w:right w:w="108" w:type="dxa"/>
          </w:tblCellMar>
        </w:tblPrEx>
        <w:trPr>
          <w:trHeight w:val="396" w:hRule="atLeast"/>
        </w:trPr>
        <w:tc>
          <w:tcPr>
            <w:tcW w:w="4827" w:type="dxa"/>
          </w:tcPr>
          <w:p>
            <w:pPr>
              <w:jc w:val="center"/>
              <w:rPr>
                <w:rFonts w:ascii="Times New Roman" w:hAnsi="Times New Roman"/>
                <w:sz w:val="22"/>
                <w:szCs w:val="18"/>
              </w:rPr>
            </w:pPr>
            <w:r>
              <w:rPr>
                <w:rFonts w:ascii="Times New Roman" w:hAnsi="Times New Roman"/>
                <w:sz w:val="22"/>
                <w:szCs w:val="18"/>
              </w:rPr>
              <w:t>柒活线110kv输电线路（东乌铁路牵引线）</w:t>
            </w:r>
          </w:p>
        </w:tc>
        <w:tc>
          <w:tcPr>
            <w:tcW w:w="4460" w:type="dxa"/>
          </w:tcPr>
          <w:p>
            <w:pPr>
              <w:tabs>
                <w:tab w:val="left" w:pos="735"/>
              </w:tabs>
              <w:ind w:firstLine="880" w:firstLineChars="400"/>
              <w:rPr>
                <w:rFonts w:ascii="Times New Roman" w:hAnsi="Times New Roman"/>
                <w:sz w:val="22"/>
                <w:szCs w:val="18"/>
              </w:rPr>
            </w:pPr>
            <w:r>
              <w:rPr>
                <w:rFonts w:ascii="Times New Roman" w:hAnsi="Times New Roman"/>
                <w:sz w:val="22"/>
                <w:szCs w:val="18"/>
              </w:rPr>
              <w:t>布乌Ⅱ回500kv输电线路</w:t>
            </w:r>
          </w:p>
        </w:tc>
      </w:tr>
      <w:tr>
        <w:tblPrEx>
          <w:tblCellMar>
            <w:top w:w="0" w:type="dxa"/>
            <w:left w:w="108" w:type="dxa"/>
            <w:bottom w:w="0" w:type="dxa"/>
            <w:right w:w="108" w:type="dxa"/>
          </w:tblCellMar>
        </w:tblPrEx>
        <w:trPr>
          <w:trHeight w:val="3683" w:hRule="atLeast"/>
        </w:trPr>
        <w:tc>
          <w:tcPr>
            <w:tcW w:w="4827" w:type="dxa"/>
          </w:tcPr>
          <w:p>
            <w:pPr>
              <w:ind w:firstLine="1440" w:firstLineChars="600"/>
              <w:rPr>
                <w:rFonts w:ascii="Times New Roman" w:hAnsi="Times New Roman"/>
              </w:rPr>
            </w:pPr>
            <w:r>
              <w:rPr>
                <w:rFonts w:ascii="Times New Roman" w:hAnsi="Times New Roman"/>
              </w:rPr>
              <w:drawing>
                <wp:anchor distT="0" distB="0" distL="114300" distR="114300" simplePos="0" relativeHeight="251664384" behindDoc="0" locked="0" layoutInCell="1" allowOverlap="1">
                  <wp:simplePos x="0" y="0"/>
                  <wp:positionH relativeFrom="column">
                    <wp:posOffset>45720</wp:posOffset>
                  </wp:positionH>
                  <wp:positionV relativeFrom="paragraph">
                    <wp:posOffset>57785</wp:posOffset>
                  </wp:positionV>
                  <wp:extent cx="2923540" cy="2192655"/>
                  <wp:effectExtent l="0" t="0" r="10160" b="17145"/>
                  <wp:wrapNone/>
                  <wp:docPr id="75" name="图片 75" descr="微信图片_2020081717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微信图片_20200817171202"/>
                          <pic:cNvPicPr>
                            <a:picLocks noChangeAspect="1"/>
                          </pic:cNvPicPr>
                        </pic:nvPicPr>
                        <pic:blipFill>
                          <a:blip r:embed="rId48"/>
                          <a:stretch>
                            <a:fillRect/>
                          </a:stretch>
                        </pic:blipFill>
                        <pic:spPr>
                          <a:xfrm>
                            <a:off x="0" y="0"/>
                            <a:ext cx="2923540" cy="2192655"/>
                          </a:xfrm>
                          <a:prstGeom prst="rect">
                            <a:avLst/>
                          </a:prstGeom>
                        </pic:spPr>
                      </pic:pic>
                    </a:graphicData>
                  </a:graphic>
                </wp:anchor>
              </w:drawing>
            </w:r>
          </w:p>
        </w:tc>
        <w:tc>
          <w:tcPr>
            <w:tcW w:w="4460" w:type="dxa"/>
          </w:tcPr>
          <w:p>
            <w:pPr>
              <w:tabs>
                <w:tab w:val="left" w:pos="735"/>
              </w:tabs>
              <w:ind w:firstLine="960" w:firstLineChars="400"/>
              <w:rPr>
                <w:rFonts w:ascii="Times New Roman" w:hAnsi="Times New Roman"/>
              </w:rPr>
            </w:pPr>
            <w:r>
              <w:rPr>
                <w:rFonts w:ascii="Times New Roman" w:hAnsi="Times New Roman"/>
              </w:rPr>
              <w:drawing>
                <wp:anchor distT="0" distB="0" distL="114300" distR="114300" simplePos="0" relativeHeight="251665408" behindDoc="0" locked="0" layoutInCell="1" allowOverlap="1">
                  <wp:simplePos x="0" y="0"/>
                  <wp:positionH relativeFrom="column">
                    <wp:posOffset>-5080</wp:posOffset>
                  </wp:positionH>
                  <wp:positionV relativeFrom="paragraph">
                    <wp:posOffset>34925</wp:posOffset>
                  </wp:positionV>
                  <wp:extent cx="2620010" cy="2215515"/>
                  <wp:effectExtent l="0" t="0" r="8890" b="13335"/>
                  <wp:wrapNone/>
                  <wp:docPr id="76" name="图片 76" descr="微信图片_2020081717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微信图片_20200817171217"/>
                          <pic:cNvPicPr>
                            <a:picLocks noChangeAspect="1"/>
                          </pic:cNvPicPr>
                        </pic:nvPicPr>
                        <pic:blipFill>
                          <a:blip r:embed="rId49"/>
                          <a:stretch>
                            <a:fillRect/>
                          </a:stretch>
                        </pic:blipFill>
                        <pic:spPr>
                          <a:xfrm>
                            <a:off x="0" y="0"/>
                            <a:ext cx="2620010" cy="2215515"/>
                          </a:xfrm>
                          <a:prstGeom prst="rect">
                            <a:avLst/>
                          </a:prstGeom>
                        </pic:spPr>
                      </pic:pic>
                    </a:graphicData>
                  </a:graphic>
                </wp:anchor>
              </w:drawing>
            </w:r>
          </w:p>
        </w:tc>
      </w:tr>
      <w:tr>
        <w:tblPrEx>
          <w:tblCellMar>
            <w:top w:w="0" w:type="dxa"/>
            <w:left w:w="108" w:type="dxa"/>
            <w:bottom w:w="0" w:type="dxa"/>
            <w:right w:w="108" w:type="dxa"/>
          </w:tblCellMar>
        </w:tblPrEx>
        <w:trPr>
          <w:trHeight w:val="396" w:hRule="atLeast"/>
        </w:trPr>
        <w:tc>
          <w:tcPr>
            <w:tcW w:w="4827" w:type="dxa"/>
          </w:tcPr>
          <w:p>
            <w:pPr>
              <w:ind w:firstLine="1100" w:firstLineChars="500"/>
              <w:rPr>
                <w:rFonts w:ascii="Times New Roman" w:hAnsi="Times New Roman"/>
                <w:sz w:val="22"/>
                <w:szCs w:val="18"/>
              </w:rPr>
            </w:pPr>
            <w:r>
              <w:rPr>
                <w:rFonts w:ascii="Times New Roman" w:hAnsi="Times New Roman"/>
                <w:sz w:val="22"/>
                <w:szCs w:val="18"/>
              </w:rPr>
              <w:t>查干苏卜日格庙</w:t>
            </w:r>
          </w:p>
        </w:tc>
        <w:tc>
          <w:tcPr>
            <w:tcW w:w="4460" w:type="dxa"/>
          </w:tcPr>
          <w:p>
            <w:pPr>
              <w:tabs>
                <w:tab w:val="left" w:pos="735"/>
              </w:tabs>
              <w:ind w:firstLine="1100" w:firstLineChars="500"/>
              <w:rPr>
                <w:rFonts w:ascii="Times New Roman" w:hAnsi="Times New Roman"/>
                <w:sz w:val="22"/>
                <w:szCs w:val="18"/>
              </w:rPr>
            </w:pPr>
            <w:r>
              <w:rPr>
                <w:rFonts w:ascii="Times New Roman" w:hAnsi="Times New Roman"/>
                <w:sz w:val="22"/>
                <w:szCs w:val="18"/>
              </w:rPr>
              <w:t>查干苏卜日格庙</w:t>
            </w:r>
          </w:p>
        </w:tc>
      </w:tr>
      <w:tr>
        <w:tblPrEx>
          <w:tblCellMar>
            <w:top w:w="0" w:type="dxa"/>
            <w:left w:w="108" w:type="dxa"/>
            <w:bottom w:w="0" w:type="dxa"/>
            <w:right w:w="108" w:type="dxa"/>
          </w:tblCellMar>
        </w:tblPrEx>
        <w:trPr>
          <w:trHeight w:val="3683" w:hRule="atLeast"/>
        </w:trPr>
        <w:tc>
          <w:tcPr>
            <w:tcW w:w="4827" w:type="dxa"/>
          </w:tcPr>
          <w:p>
            <w:pPr>
              <w:ind w:firstLine="1440" w:firstLineChars="600"/>
              <w:rPr>
                <w:rFonts w:ascii="Times New Roman" w:hAnsi="Times New Roman"/>
              </w:rPr>
            </w:pPr>
            <w:r>
              <w:rPr>
                <w:rFonts w:ascii="Times New Roman" w:hAnsi="Times New Roman"/>
              </w:rPr>
              <w:drawing>
                <wp:anchor distT="0" distB="0" distL="114300" distR="114300" simplePos="0" relativeHeight="251672576" behindDoc="0" locked="0" layoutInCell="1" allowOverlap="1">
                  <wp:simplePos x="0" y="0"/>
                  <wp:positionH relativeFrom="column">
                    <wp:posOffset>38100</wp:posOffset>
                  </wp:positionH>
                  <wp:positionV relativeFrom="paragraph">
                    <wp:posOffset>38100</wp:posOffset>
                  </wp:positionV>
                  <wp:extent cx="2921635" cy="2191385"/>
                  <wp:effectExtent l="0" t="0" r="12065" b="18415"/>
                  <wp:wrapNone/>
                  <wp:docPr id="85" name="图片 85" descr="红庆河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红庆河镇"/>
                          <pic:cNvPicPr>
                            <a:picLocks noChangeAspect="1"/>
                          </pic:cNvPicPr>
                        </pic:nvPicPr>
                        <pic:blipFill>
                          <a:blip r:embed="rId50"/>
                          <a:stretch>
                            <a:fillRect/>
                          </a:stretch>
                        </pic:blipFill>
                        <pic:spPr>
                          <a:xfrm>
                            <a:off x="0" y="0"/>
                            <a:ext cx="2921635" cy="2191385"/>
                          </a:xfrm>
                          <a:prstGeom prst="rect">
                            <a:avLst/>
                          </a:prstGeom>
                        </pic:spPr>
                      </pic:pic>
                    </a:graphicData>
                  </a:graphic>
                </wp:anchor>
              </w:drawing>
            </w:r>
          </w:p>
        </w:tc>
        <w:tc>
          <w:tcPr>
            <w:tcW w:w="4460" w:type="dxa"/>
          </w:tcPr>
          <w:p>
            <w:pPr>
              <w:tabs>
                <w:tab w:val="left" w:pos="735"/>
              </w:tabs>
              <w:ind w:firstLine="960" w:firstLineChars="400"/>
              <w:rPr>
                <w:rFonts w:ascii="Times New Roman" w:hAnsi="Times New Roman"/>
              </w:rPr>
            </w:pPr>
            <w:r>
              <w:rPr>
                <w:rFonts w:ascii="Times New Roman" w:hAnsi="Times New Roman"/>
              </w:rPr>
              <w:drawing>
                <wp:anchor distT="0" distB="0" distL="114300" distR="114300" simplePos="0" relativeHeight="251673600" behindDoc="0" locked="0" layoutInCell="1" allowOverlap="1">
                  <wp:simplePos x="0" y="0"/>
                  <wp:positionH relativeFrom="column">
                    <wp:posOffset>19050</wp:posOffset>
                  </wp:positionH>
                  <wp:positionV relativeFrom="paragraph">
                    <wp:posOffset>57785</wp:posOffset>
                  </wp:positionV>
                  <wp:extent cx="2662555" cy="2158365"/>
                  <wp:effectExtent l="0" t="0" r="4445" b="13335"/>
                  <wp:wrapNone/>
                  <wp:docPr id="86" name="图片 86" descr="苏布尔噶嘎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苏布尔噶嘎查"/>
                          <pic:cNvPicPr>
                            <a:picLocks noChangeAspect="1"/>
                          </pic:cNvPicPr>
                        </pic:nvPicPr>
                        <pic:blipFill>
                          <a:blip r:embed="rId51"/>
                          <a:stretch>
                            <a:fillRect/>
                          </a:stretch>
                        </pic:blipFill>
                        <pic:spPr>
                          <a:xfrm>
                            <a:off x="0" y="0"/>
                            <a:ext cx="2662555" cy="2158365"/>
                          </a:xfrm>
                          <a:prstGeom prst="rect">
                            <a:avLst/>
                          </a:prstGeom>
                        </pic:spPr>
                      </pic:pic>
                    </a:graphicData>
                  </a:graphic>
                </wp:anchor>
              </w:drawing>
            </w:r>
          </w:p>
        </w:tc>
      </w:tr>
      <w:tr>
        <w:tblPrEx>
          <w:tblCellMar>
            <w:top w:w="0" w:type="dxa"/>
            <w:left w:w="108" w:type="dxa"/>
            <w:bottom w:w="0" w:type="dxa"/>
            <w:right w:w="108" w:type="dxa"/>
          </w:tblCellMar>
        </w:tblPrEx>
        <w:trPr>
          <w:trHeight w:val="396" w:hRule="atLeast"/>
        </w:trPr>
        <w:tc>
          <w:tcPr>
            <w:tcW w:w="4827" w:type="dxa"/>
          </w:tcPr>
          <w:p>
            <w:pPr>
              <w:ind w:firstLine="1540" w:firstLineChars="700"/>
              <w:rPr>
                <w:rFonts w:ascii="Times New Roman" w:hAnsi="Times New Roman"/>
                <w:sz w:val="22"/>
                <w:szCs w:val="18"/>
              </w:rPr>
            </w:pPr>
            <w:r>
              <w:rPr>
                <w:rFonts w:ascii="Times New Roman" w:hAnsi="Times New Roman"/>
                <w:sz w:val="22"/>
                <w:szCs w:val="18"/>
              </w:rPr>
              <w:t>红庆河镇</w:t>
            </w:r>
          </w:p>
        </w:tc>
        <w:tc>
          <w:tcPr>
            <w:tcW w:w="4460" w:type="dxa"/>
          </w:tcPr>
          <w:p>
            <w:pPr>
              <w:tabs>
                <w:tab w:val="left" w:pos="735"/>
              </w:tabs>
              <w:ind w:firstLine="1320" w:firstLineChars="600"/>
              <w:rPr>
                <w:rFonts w:ascii="Times New Roman" w:hAnsi="Times New Roman"/>
                <w:sz w:val="22"/>
                <w:szCs w:val="18"/>
              </w:rPr>
            </w:pPr>
            <w:r>
              <w:rPr>
                <w:rFonts w:ascii="Times New Roman" w:hAnsi="Times New Roman"/>
                <w:sz w:val="22"/>
                <w:szCs w:val="18"/>
              </w:rPr>
              <w:t>苏布尔噶嘎查</w:t>
            </w:r>
          </w:p>
        </w:tc>
      </w:tr>
      <w:tr>
        <w:tblPrEx>
          <w:tblCellMar>
            <w:top w:w="0" w:type="dxa"/>
            <w:left w:w="108" w:type="dxa"/>
            <w:bottom w:w="0" w:type="dxa"/>
            <w:right w:w="108" w:type="dxa"/>
          </w:tblCellMar>
        </w:tblPrEx>
        <w:trPr>
          <w:trHeight w:val="3683" w:hRule="atLeast"/>
        </w:trPr>
        <w:tc>
          <w:tcPr>
            <w:tcW w:w="4827" w:type="dxa"/>
          </w:tcPr>
          <w:p>
            <w:pPr>
              <w:ind w:firstLine="1440" w:firstLineChars="600"/>
              <w:rPr>
                <w:rFonts w:ascii="Times New Roman" w:hAnsi="Times New Roman"/>
              </w:rPr>
            </w:pPr>
            <w:r>
              <w:rPr>
                <w:rFonts w:ascii="Times New Roman" w:hAnsi="Times New Roman"/>
              </w:rPr>
              <w:drawing>
                <wp:anchor distT="0" distB="0" distL="114300" distR="114300" simplePos="0" relativeHeight="251674624" behindDoc="0" locked="0" layoutInCell="1" allowOverlap="1">
                  <wp:simplePos x="0" y="0"/>
                  <wp:positionH relativeFrom="column">
                    <wp:posOffset>-12065</wp:posOffset>
                  </wp:positionH>
                  <wp:positionV relativeFrom="paragraph">
                    <wp:posOffset>104140</wp:posOffset>
                  </wp:positionV>
                  <wp:extent cx="2921635" cy="2191385"/>
                  <wp:effectExtent l="0" t="0" r="12065" b="18415"/>
                  <wp:wrapNone/>
                  <wp:docPr id="87" name="图片 87" descr="微信图片_2020081715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微信图片_20200817152117"/>
                          <pic:cNvPicPr>
                            <a:picLocks noChangeAspect="1"/>
                          </pic:cNvPicPr>
                        </pic:nvPicPr>
                        <pic:blipFill>
                          <a:blip r:embed="rId52"/>
                          <a:stretch>
                            <a:fillRect/>
                          </a:stretch>
                        </pic:blipFill>
                        <pic:spPr>
                          <a:xfrm>
                            <a:off x="0" y="0"/>
                            <a:ext cx="2921635" cy="2191385"/>
                          </a:xfrm>
                          <a:prstGeom prst="rect">
                            <a:avLst/>
                          </a:prstGeom>
                        </pic:spPr>
                      </pic:pic>
                    </a:graphicData>
                  </a:graphic>
                </wp:anchor>
              </w:drawing>
            </w:r>
          </w:p>
        </w:tc>
        <w:tc>
          <w:tcPr>
            <w:tcW w:w="4460" w:type="dxa"/>
          </w:tcPr>
          <w:p>
            <w:pPr>
              <w:tabs>
                <w:tab w:val="left" w:pos="735"/>
              </w:tabs>
              <w:ind w:firstLine="960" w:firstLineChars="400"/>
              <w:rPr>
                <w:rFonts w:ascii="Times New Roman" w:hAnsi="Times New Roman"/>
              </w:rPr>
            </w:pPr>
            <w:r>
              <w:rPr>
                <w:rFonts w:ascii="Times New Roman" w:hAnsi="Times New Roman"/>
              </w:rPr>
              <w:drawing>
                <wp:anchor distT="0" distB="0" distL="114300" distR="114300" simplePos="0" relativeHeight="251675648" behindDoc="0" locked="0" layoutInCell="1" allowOverlap="1">
                  <wp:simplePos x="0" y="0"/>
                  <wp:positionH relativeFrom="column">
                    <wp:posOffset>12065</wp:posOffset>
                  </wp:positionH>
                  <wp:positionV relativeFrom="paragraph">
                    <wp:posOffset>96520</wp:posOffset>
                  </wp:positionV>
                  <wp:extent cx="2662555" cy="2160905"/>
                  <wp:effectExtent l="0" t="0" r="4445" b="10795"/>
                  <wp:wrapNone/>
                  <wp:docPr id="88" name="图片 88" descr="微信图片_2020081811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微信图片_20200818111712"/>
                          <pic:cNvPicPr>
                            <a:picLocks noChangeAspect="1"/>
                          </pic:cNvPicPr>
                        </pic:nvPicPr>
                        <pic:blipFill>
                          <a:blip r:embed="rId53"/>
                          <a:stretch>
                            <a:fillRect/>
                          </a:stretch>
                        </pic:blipFill>
                        <pic:spPr>
                          <a:xfrm>
                            <a:off x="0" y="0"/>
                            <a:ext cx="2662555" cy="2160905"/>
                          </a:xfrm>
                          <a:prstGeom prst="rect">
                            <a:avLst/>
                          </a:prstGeom>
                        </pic:spPr>
                      </pic:pic>
                    </a:graphicData>
                  </a:graphic>
                </wp:anchor>
              </w:drawing>
            </w:r>
          </w:p>
        </w:tc>
      </w:tr>
      <w:tr>
        <w:tblPrEx>
          <w:tblCellMar>
            <w:top w:w="0" w:type="dxa"/>
            <w:left w:w="108" w:type="dxa"/>
            <w:bottom w:w="0" w:type="dxa"/>
            <w:right w:w="108" w:type="dxa"/>
          </w:tblCellMar>
        </w:tblPrEx>
        <w:trPr>
          <w:trHeight w:val="396" w:hRule="atLeast"/>
        </w:trPr>
        <w:tc>
          <w:tcPr>
            <w:tcW w:w="4827" w:type="dxa"/>
          </w:tcPr>
          <w:p>
            <w:pPr>
              <w:ind w:firstLine="660" w:firstLineChars="300"/>
              <w:rPr>
                <w:rFonts w:ascii="Times New Roman" w:hAnsi="Times New Roman"/>
                <w:sz w:val="22"/>
                <w:szCs w:val="18"/>
              </w:rPr>
            </w:pPr>
            <w:r>
              <w:rPr>
                <w:rFonts w:ascii="Times New Roman" w:hAnsi="Times New Roman"/>
                <w:sz w:val="22"/>
                <w:szCs w:val="18"/>
              </w:rPr>
              <w:t>伊和日淖尔（苏布尔噶井田）</w:t>
            </w:r>
          </w:p>
        </w:tc>
        <w:tc>
          <w:tcPr>
            <w:tcW w:w="4460" w:type="dxa"/>
          </w:tcPr>
          <w:p>
            <w:pPr>
              <w:tabs>
                <w:tab w:val="left" w:pos="735"/>
              </w:tabs>
              <w:ind w:firstLine="660" w:firstLineChars="300"/>
              <w:rPr>
                <w:rFonts w:ascii="Times New Roman" w:hAnsi="Times New Roman"/>
                <w:sz w:val="22"/>
                <w:szCs w:val="18"/>
              </w:rPr>
            </w:pPr>
            <w:r>
              <w:rPr>
                <w:rFonts w:ascii="Times New Roman" w:hAnsi="Times New Roman"/>
                <w:sz w:val="22"/>
                <w:szCs w:val="18"/>
              </w:rPr>
              <w:t>哈塔图淖尔（奎腾沟井田）</w:t>
            </w:r>
          </w:p>
        </w:tc>
      </w:tr>
      <w:tr>
        <w:tblPrEx>
          <w:tblCellMar>
            <w:top w:w="0" w:type="dxa"/>
            <w:left w:w="108" w:type="dxa"/>
            <w:bottom w:w="0" w:type="dxa"/>
            <w:right w:w="108" w:type="dxa"/>
          </w:tblCellMar>
        </w:tblPrEx>
        <w:trPr>
          <w:trHeight w:val="3683" w:hRule="atLeast"/>
        </w:trPr>
        <w:tc>
          <w:tcPr>
            <w:tcW w:w="4827" w:type="dxa"/>
          </w:tcPr>
          <w:p>
            <w:pPr>
              <w:ind w:firstLine="1440" w:firstLineChars="600"/>
              <w:rPr>
                <w:rFonts w:ascii="Times New Roman" w:hAnsi="Times New Roman"/>
              </w:rPr>
            </w:pPr>
            <w:r>
              <w:rPr>
                <w:rFonts w:ascii="Times New Roman" w:hAnsi="Times New Roman"/>
              </w:rPr>
              <w:drawing>
                <wp:anchor distT="0" distB="0" distL="114300" distR="114300" simplePos="0" relativeHeight="251667456" behindDoc="0" locked="0" layoutInCell="1" allowOverlap="1">
                  <wp:simplePos x="0" y="0"/>
                  <wp:positionH relativeFrom="column">
                    <wp:posOffset>0</wp:posOffset>
                  </wp:positionH>
                  <wp:positionV relativeFrom="paragraph">
                    <wp:posOffset>104775</wp:posOffset>
                  </wp:positionV>
                  <wp:extent cx="2918460" cy="2089150"/>
                  <wp:effectExtent l="0" t="0" r="15240" b="6350"/>
                  <wp:wrapNone/>
                  <wp:docPr id="81" name="图片 81" descr="微信图片_2020081814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微信图片_20200818141432"/>
                          <pic:cNvPicPr>
                            <a:picLocks noChangeAspect="1"/>
                          </pic:cNvPicPr>
                        </pic:nvPicPr>
                        <pic:blipFill>
                          <a:blip r:embed="rId54"/>
                          <a:stretch>
                            <a:fillRect/>
                          </a:stretch>
                        </pic:blipFill>
                        <pic:spPr>
                          <a:xfrm>
                            <a:off x="0" y="0"/>
                            <a:ext cx="2918460" cy="2089150"/>
                          </a:xfrm>
                          <a:prstGeom prst="rect">
                            <a:avLst/>
                          </a:prstGeom>
                        </pic:spPr>
                      </pic:pic>
                    </a:graphicData>
                  </a:graphic>
                </wp:anchor>
              </w:drawing>
            </w:r>
          </w:p>
        </w:tc>
        <w:tc>
          <w:tcPr>
            <w:tcW w:w="4460" w:type="dxa"/>
          </w:tcPr>
          <w:p>
            <w:pPr>
              <w:tabs>
                <w:tab w:val="left" w:pos="735"/>
              </w:tabs>
              <w:ind w:firstLine="960" w:firstLineChars="400"/>
              <w:rPr>
                <w:rFonts w:ascii="Times New Roman" w:hAnsi="Times New Roman"/>
              </w:rPr>
            </w:pPr>
            <w:r>
              <w:rPr>
                <w:rFonts w:ascii="Times New Roman" w:hAnsi="Times New Roman"/>
              </w:rPr>
              <w:drawing>
                <wp:anchor distT="0" distB="0" distL="114300" distR="114300" simplePos="0" relativeHeight="251676672" behindDoc="0" locked="0" layoutInCell="1" allowOverlap="1">
                  <wp:simplePos x="0" y="0"/>
                  <wp:positionH relativeFrom="column">
                    <wp:posOffset>-5080</wp:posOffset>
                  </wp:positionH>
                  <wp:positionV relativeFrom="paragraph">
                    <wp:posOffset>104775</wp:posOffset>
                  </wp:positionV>
                  <wp:extent cx="2688590" cy="2059305"/>
                  <wp:effectExtent l="0" t="0" r="16510" b="17145"/>
                  <wp:wrapNone/>
                  <wp:docPr id="89" name="图片 89" descr="微信图片_2020081811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微信图片_20200818114726"/>
                          <pic:cNvPicPr>
                            <a:picLocks noChangeAspect="1"/>
                          </pic:cNvPicPr>
                        </pic:nvPicPr>
                        <pic:blipFill>
                          <a:blip r:embed="rId55"/>
                          <a:stretch>
                            <a:fillRect/>
                          </a:stretch>
                        </pic:blipFill>
                        <pic:spPr>
                          <a:xfrm>
                            <a:off x="0" y="0"/>
                            <a:ext cx="2688590" cy="2059305"/>
                          </a:xfrm>
                          <a:prstGeom prst="rect">
                            <a:avLst/>
                          </a:prstGeom>
                        </pic:spPr>
                      </pic:pic>
                    </a:graphicData>
                  </a:graphic>
                </wp:anchor>
              </w:drawing>
            </w:r>
          </w:p>
        </w:tc>
      </w:tr>
      <w:tr>
        <w:tblPrEx>
          <w:tblCellMar>
            <w:top w:w="0" w:type="dxa"/>
            <w:left w:w="108" w:type="dxa"/>
            <w:bottom w:w="0" w:type="dxa"/>
            <w:right w:w="108" w:type="dxa"/>
          </w:tblCellMar>
        </w:tblPrEx>
        <w:trPr>
          <w:trHeight w:val="396" w:hRule="atLeast"/>
        </w:trPr>
        <w:tc>
          <w:tcPr>
            <w:tcW w:w="4827" w:type="dxa"/>
          </w:tcPr>
          <w:p>
            <w:pPr>
              <w:jc w:val="center"/>
              <w:rPr>
                <w:rFonts w:ascii="Times New Roman" w:hAnsi="Times New Roman"/>
                <w:sz w:val="22"/>
                <w:szCs w:val="18"/>
              </w:rPr>
            </w:pPr>
            <w:r>
              <w:rPr>
                <w:rFonts w:ascii="Times New Roman" w:hAnsi="Times New Roman"/>
                <w:sz w:val="22"/>
                <w:szCs w:val="18"/>
              </w:rPr>
              <w:t>哈达图淖尔（纳林希里井田）</w:t>
            </w:r>
          </w:p>
        </w:tc>
        <w:tc>
          <w:tcPr>
            <w:tcW w:w="4460" w:type="dxa"/>
          </w:tcPr>
          <w:p>
            <w:pPr>
              <w:tabs>
                <w:tab w:val="left" w:pos="735"/>
              </w:tabs>
              <w:jc w:val="center"/>
              <w:rPr>
                <w:rFonts w:ascii="Times New Roman" w:hAnsi="Times New Roman"/>
                <w:sz w:val="22"/>
                <w:szCs w:val="18"/>
              </w:rPr>
            </w:pPr>
            <w:r>
              <w:rPr>
                <w:rFonts w:ascii="Times New Roman" w:hAnsi="Times New Roman"/>
                <w:sz w:val="22"/>
                <w:szCs w:val="18"/>
              </w:rPr>
              <w:t>光明淖尔（壕赖苏井田）</w:t>
            </w:r>
          </w:p>
        </w:tc>
      </w:tr>
    </w:tbl>
    <w:p>
      <w:pPr>
        <w:pStyle w:val="345"/>
        <w:adjustRightInd w:val="0"/>
        <w:spacing w:line="440" w:lineRule="exact"/>
        <w:jc w:val="center"/>
        <w:rPr>
          <w:rFonts w:ascii="Times New Roman" w:hAnsi="Times New Roman" w:cs="Times New Roman"/>
          <w:kern w:val="0"/>
        </w:rPr>
        <w:sectPr>
          <w:headerReference r:id="rId3" w:type="default"/>
          <w:footerReference r:id="rId4" w:type="default"/>
          <w:pgSz w:w="11907" w:h="16840"/>
          <w:pgMar w:top="1701" w:right="1418" w:bottom="1134" w:left="1418" w:header="1134" w:footer="851" w:gutter="0"/>
          <w:pgNumType w:start="1"/>
          <w:cols w:space="720" w:num="1"/>
        </w:sectPr>
      </w:pPr>
      <w:r>
        <w:rPr>
          <w:rFonts w:ascii="Times New Roman" w:hAnsi="Times New Roman" w:cs="Times New Roman"/>
          <w:kern w:val="0"/>
        </w:rPr>
        <w:t>图1.5-6 矿区内部分环保目标现状图</w:t>
      </w:r>
    </w:p>
    <w:p>
      <w:pPr>
        <w:pStyle w:val="345"/>
        <w:adjustRightInd w:val="0"/>
        <w:spacing w:line="440" w:lineRule="exact"/>
        <w:jc w:val="center"/>
        <w:rPr>
          <w:rFonts w:ascii="Times New Roman" w:hAnsi="Times New Roman" w:cs="Times New Roman"/>
          <w:kern w:val="0"/>
          <w:szCs w:val="20"/>
        </w:rPr>
      </w:pPr>
      <w:r>
        <w:rPr>
          <w:rFonts w:ascii="Times New Roman" w:hAnsi="Times New Roman" w:cs="Times New Roman"/>
          <w:kern w:val="0"/>
        </w:rPr>
        <w:t>矿区主要环境保护目标一览表</w:t>
      </w:r>
    </w:p>
    <w:p>
      <w:pPr>
        <w:pStyle w:val="331"/>
        <w:spacing w:line="440" w:lineRule="exact"/>
        <w:ind w:firstLine="120" w:firstLineChars="50"/>
        <w:rPr>
          <w:rFonts w:ascii="Times New Roman" w:hAnsi="Times New Roman" w:cs="Times New Roman"/>
          <w:kern w:val="0"/>
        </w:rPr>
      </w:pPr>
      <w:r>
        <w:rPr>
          <w:rFonts w:ascii="Times New Roman" w:hAnsi="Times New Roman" w:cs="Times New Roman"/>
        </w:rPr>
        <w:t>表1.5-1</w:t>
      </w:r>
    </w:p>
    <w:tbl>
      <w:tblPr>
        <w:tblStyle w:val="59"/>
        <w:tblW w:w="142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1082"/>
        <w:gridCol w:w="2752"/>
        <w:gridCol w:w="4741"/>
        <w:gridCol w:w="40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tblHeader/>
          <w:jc w:val="center"/>
        </w:trPr>
        <w:tc>
          <w:tcPr>
            <w:tcW w:w="166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环境要素</w:t>
            </w: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保护目标</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与矿区关系</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ind w:right="-329" w:rightChars="-137"/>
              <w:jc w:val="center"/>
              <w:rPr>
                <w:rFonts w:ascii="Times New Roman" w:hAnsi="Times New Roman"/>
                <w:snapToGrid w:val="0"/>
                <w:kern w:val="0"/>
                <w:sz w:val="21"/>
                <w:szCs w:val="21"/>
              </w:rPr>
            </w:pPr>
            <w:r>
              <w:rPr>
                <w:rFonts w:ascii="Times New Roman" w:hAnsi="Times New Roman"/>
                <w:snapToGrid w:val="0"/>
                <w:kern w:val="0"/>
                <w:sz w:val="21"/>
                <w:szCs w:val="21"/>
              </w:rPr>
              <w:t>保护要求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661"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生态环境</w:t>
            </w:r>
          </w:p>
        </w:tc>
        <w:tc>
          <w:tcPr>
            <w:tcW w:w="3834" w:type="dxa"/>
            <w:gridSpan w:val="2"/>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color w:val="FF0000"/>
                <w:kern w:val="0"/>
                <w:sz w:val="21"/>
                <w:szCs w:val="21"/>
              </w:rPr>
            </w:pPr>
            <w:r>
              <w:rPr>
                <w:rFonts w:ascii="Times New Roman" w:hAnsi="Times New Roman"/>
                <w:snapToGrid w:val="0"/>
                <w:color w:val="FF0000"/>
                <w:kern w:val="0"/>
                <w:sz w:val="21"/>
                <w:szCs w:val="21"/>
              </w:rPr>
              <w:t>勘查区内</w:t>
            </w:r>
            <w:r>
              <w:rPr>
                <w:rFonts w:hint="eastAsia" w:ascii="Times New Roman" w:hAnsi="Times New Roman"/>
                <w:snapToGrid w:val="0"/>
                <w:color w:val="FF0000"/>
                <w:kern w:val="0"/>
                <w:sz w:val="21"/>
                <w:szCs w:val="21"/>
              </w:rPr>
              <w:t>生态保护</w:t>
            </w:r>
            <w:r>
              <w:rPr>
                <w:rFonts w:ascii="Times New Roman" w:hAnsi="Times New Roman"/>
                <w:snapToGrid w:val="0"/>
                <w:color w:val="FF0000"/>
                <w:kern w:val="0"/>
                <w:sz w:val="21"/>
                <w:szCs w:val="21"/>
              </w:rPr>
              <w:t>红线区</w:t>
            </w:r>
          </w:p>
          <w:p>
            <w:pPr>
              <w:pStyle w:val="2"/>
              <w:ind w:firstLine="210" w:firstLineChars="100"/>
            </w:pPr>
            <w:r>
              <w:rPr>
                <w:rFonts w:hint="eastAsia" w:ascii="Times New Roman" w:eastAsia="宋体"/>
                <w:snapToGrid w:val="0"/>
                <w:color w:val="FF0000"/>
                <w:sz w:val="21"/>
                <w:szCs w:val="21"/>
              </w:rPr>
              <w:t>矿区东侧边界外生态保护红线区</w:t>
            </w:r>
          </w:p>
        </w:tc>
        <w:tc>
          <w:tcPr>
            <w:tcW w:w="4741" w:type="dxa"/>
            <w:tcBorders>
              <w:top w:val="single" w:color="auto" w:sz="4" w:space="0"/>
              <w:left w:val="single" w:color="auto" w:sz="4" w:space="0"/>
              <w:right w:val="single" w:color="auto" w:sz="4" w:space="0"/>
            </w:tcBorders>
            <w:vAlign w:val="center"/>
          </w:tcPr>
          <w:p>
            <w:pPr>
              <w:adjustRightInd w:val="0"/>
              <w:snapToGrid w:val="0"/>
              <w:spacing w:line="320" w:lineRule="exact"/>
              <w:rPr>
                <w:rFonts w:ascii="Times New Roman" w:hAnsi="Times New Roman"/>
                <w:snapToGrid w:val="0"/>
                <w:color w:val="FF0000"/>
                <w:kern w:val="0"/>
                <w:sz w:val="21"/>
                <w:szCs w:val="21"/>
              </w:rPr>
            </w:pPr>
            <w:bookmarkStart w:id="43" w:name="_Hlk119072383"/>
            <w:r>
              <w:rPr>
                <w:rFonts w:ascii="Times New Roman" w:hAnsi="Times New Roman"/>
                <w:snapToGrid w:val="0"/>
                <w:color w:val="FF0000"/>
                <w:kern w:val="0"/>
                <w:sz w:val="21"/>
                <w:szCs w:val="21"/>
              </w:rPr>
              <w:t>位于矿区内西部勘查区内，面积28.47km</w:t>
            </w:r>
            <w:r>
              <w:rPr>
                <w:rFonts w:ascii="Times New Roman" w:hAnsi="Times New Roman"/>
                <w:snapToGrid w:val="0"/>
                <w:color w:val="FF0000"/>
                <w:kern w:val="0"/>
                <w:sz w:val="21"/>
                <w:szCs w:val="21"/>
                <w:vertAlign w:val="superscript"/>
              </w:rPr>
              <w:t>2</w:t>
            </w:r>
            <w:r>
              <w:rPr>
                <w:rFonts w:hint="eastAsia" w:ascii="Times New Roman" w:hAnsi="Times New Roman"/>
                <w:snapToGrid w:val="0"/>
                <w:color w:val="FF0000"/>
                <w:kern w:val="0"/>
                <w:sz w:val="21"/>
                <w:szCs w:val="21"/>
              </w:rPr>
              <w:t>；</w:t>
            </w:r>
          </w:p>
          <w:bookmarkEnd w:id="43"/>
          <w:p>
            <w:pPr>
              <w:pStyle w:val="2"/>
            </w:pPr>
            <w:r>
              <w:rPr>
                <w:rFonts w:hint="eastAsia" w:ascii="Times New Roman" w:eastAsia="宋体"/>
                <w:snapToGrid w:val="0"/>
                <w:color w:val="FF0000"/>
                <w:sz w:val="21"/>
                <w:szCs w:val="21"/>
              </w:rPr>
              <w:t>矿区苏布尔嘎井田东侧分布有一处生态红线区，面积约2</w:t>
            </w:r>
            <w:r>
              <w:rPr>
                <w:rFonts w:ascii="Times New Roman" w:eastAsia="宋体"/>
                <w:snapToGrid w:val="0"/>
                <w:color w:val="FF0000"/>
                <w:sz w:val="21"/>
                <w:szCs w:val="21"/>
              </w:rPr>
              <w:t>4</w:t>
            </w:r>
            <w:r>
              <w:rPr>
                <w:rFonts w:ascii="Times New Roman"/>
                <w:snapToGrid w:val="0"/>
                <w:color w:val="FF0000"/>
                <w:sz w:val="21"/>
                <w:szCs w:val="21"/>
              </w:rPr>
              <w:t xml:space="preserve"> km</w:t>
            </w:r>
            <w:r>
              <w:rPr>
                <w:rFonts w:ascii="Times New Roman"/>
                <w:snapToGrid w:val="0"/>
                <w:color w:val="FF0000"/>
                <w:sz w:val="21"/>
                <w:szCs w:val="21"/>
                <w:vertAlign w:val="superscript"/>
              </w:rPr>
              <w:t>2</w:t>
            </w:r>
            <w:r>
              <w:rPr>
                <w:rFonts w:hint="eastAsia" w:ascii="Times New Roman"/>
                <w:snapToGrid w:val="0"/>
                <w:color w:val="FF0000"/>
                <w:sz w:val="21"/>
                <w:szCs w:val="21"/>
              </w:rPr>
              <w:t>。</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color w:val="FF0000"/>
                <w:kern w:val="0"/>
                <w:sz w:val="21"/>
                <w:szCs w:val="21"/>
              </w:rPr>
            </w:pPr>
            <w:r>
              <w:rPr>
                <w:rFonts w:ascii="Times New Roman" w:hAnsi="Times New Roman"/>
                <w:snapToGrid w:val="0"/>
                <w:color w:val="FF0000"/>
                <w:kern w:val="0"/>
                <w:sz w:val="21"/>
                <w:szCs w:val="21"/>
              </w:rPr>
              <w:t>不受矿区开发影响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rPr>
            </w:pPr>
            <w:r>
              <w:rPr>
                <w:rFonts w:ascii="Times New Roman" w:hAnsi="Times New Roman"/>
                <w:snapToGrid w:val="0"/>
                <w:kern w:val="0"/>
                <w:sz w:val="21"/>
                <w:szCs w:val="21"/>
              </w:rPr>
              <w:t>草原</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80" w:lineRule="exact"/>
              <w:rPr>
                <w:rFonts w:ascii="Times New Roman" w:hAnsi="Times New Roman"/>
                <w:sz w:val="21"/>
                <w:szCs w:val="21"/>
              </w:rPr>
            </w:pPr>
            <w:r>
              <w:rPr>
                <w:rFonts w:ascii="Times New Roman" w:hAnsi="Times New Roman"/>
                <w:snapToGrid w:val="0"/>
                <w:kern w:val="0"/>
                <w:sz w:val="21"/>
                <w:szCs w:val="21"/>
              </w:rPr>
              <w:t>评价区内基本草原面积267.37km</w:t>
            </w:r>
            <w:r>
              <w:rPr>
                <w:rFonts w:ascii="Times New Roman" w:hAnsi="Times New Roman"/>
                <w:snapToGrid w:val="0"/>
                <w:kern w:val="0"/>
                <w:sz w:val="21"/>
                <w:szCs w:val="21"/>
                <w:vertAlign w:val="superscript"/>
              </w:rPr>
              <w:t>2</w:t>
            </w:r>
            <w:r>
              <w:rPr>
                <w:rFonts w:ascii="Times New Roman" w:hAnsi="Times New Roman"/>
                <w:snapToGrid w:val="0"/>
                <w:kern w:val="0"/>
                <w:sz w:val="21"/>
                <w:szCs w:val="21"/>
              </w:rPr>
              <w:t>，矿区内基本草原面积184.83km</w:t>
            </w:r>
            <w:r>
              <w:rPr>
                <w:rFonts w:ascii="Times New Roman" w:hAnsi="Times New Roman"/>
                <w:snapToGrid w:val="0"/>
                <w:kern w:val="0"/>
                <w:sz w:val="21"/>
                <w:szCs w:val="21"/>
                <w:vertAlign w:val="superscript"/>
              </w:rPr>
              <w:t>2</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80" w:lineRule="exact"/>
              <w:rPr>
                <w:rFonts w:ascii="Times New Roman" w:hAnsi="Times New Roman"/>
                <w:sz w:val="21"/>
                <w:szCs w:val="21"/>
              </w:rPr>
            </w:pPr>
            <w:r>
              <w:rPr>
                <w:rFonts w:ascii="Times New Roman" w:hAnsi="Times New Roman"/>
                <w:sz w:val="21"/>
                <w:szCs w:val="21"/>
              </w:rPr>
              <w:t>将矿区开发草地、土壤等的破坏降至最低，对已破坏区域实施土地复垦和生态恢复与修复，保证区域生态功能不退化。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永久基本农田</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评价区内永久基本农田面积36.07km</w:t>
            </w:r>
            <w:r>
              <w:rPr>
                <w:rFonts w:ascii="Times New Roman" w:hAnsi="Times New Roman"/>
                <w:snapToGrid w:val="0"/>
                <w:kern w:val="0"/>
                <w:sz w:val="21"/>
                <w:szCs w:val="21"/>
                <w:vertAlign w:val="superscript"/>
              </w:rPr>
              <w:t>2</w:t>
            </w:r>
            <w:r>
              <w:rPr>
                <w:rFonts w:ascii="Times New Roman" w:hAnsi="Times New Roman"/>
                <w:snapToGrid w:val="0"/>
                <w:kern w:val="0"/>
                <w:sz w:val="21"/>
                <w:szCs w:val="21"/>
              </w:rPr>
              <w:t>，矿区内永久基本农田面积28.85km</w:t>
            </w:r>
            <w:r>
              <w:rPr>
                <w:rFonts w:ascii="Times New Roman" w:hAnsi="Times New Roman"/>
                <w:snapToGrid w:val="0"/>
                <w:kern w:val="0"/>
                <w:sz w:val="21"/>
                <w:szCs w:val="21"/>
                <w:vertAlign w:val="superscript"/>
              </w:rPr>
              <w:t>2</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z w:val="21"/>
                <w:szCs w:val="21"/>
              </w:rPr>
              <w:t>保护基本农田正常耕作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z w:val="21"/>
                <w:szCs w:val="21"/>
              </w:rPr>
            </w:pPr>
            <w:r>
              <w:rPr>
                <w:rFonts w:ascii="Times New Roman" w:hAnsi="Times New Roman"/>
                <w:snapToGrid w:val="0"/>
                <w:kern w:val="0"/>
                <w:sz w:val="21"/>
                <w:szCs w:val="21"/>
              </w:rPr>
              <w:t>公益林</w:t>
            </w: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一级国家级公益林</w:t>
            </w:r>
          </w:p>
        </w:tc>
        <w:tc>
          <w:tcPr>
            <w:tcW w:w="4741" w:type="dxa"/>
            <w:tcBorders>
              <w:top w:val="single" w:color="auto" w:sz="4" w:space="0"/>
              <w:left w:val="single" w:color="auto" w:sz="4" w:space="0"/>
              <w:right w:val="single" w:color="auto" w:sz="4" w:space="0"/>
            </w:tcBorders>
            <w:vAlign w:val="center"/>
          </w:tcPr>
          <w:p>
            <w:pPr>
              <w:adjustRightInd w:val="0"/>
              <w:snapToGrid w:val="0"/>
              <w:spacing w:line="280" w:lineRule="exact"/>
              <w:rPr>
                <w:rFonts w:ascii="Times New Roman" w:hAnsi="Times New Roman"/>
                <w:snapToGrid w:val="0"/>
                <w:kern w:val="0"/>
                <w:sz w:val="21"/>
                <w:szCs w:val="21"/>
              </w:rPr>
            </w:pPr>
            <w:r>
              <w:rPr>
                <w:rFonts w:ascii="Times New Roman" w:hAnsi="Times New Roman"/>
                <w:bCs/>
                <w:kern w:val="0"/>
                <w:sz w:val="21"/>
                <w:szCs w:val="21"/>
              </w:rPr>
              <w:t>评价区内一级国家级公益林9.98km</w:t>
            </w:r>
            <w:r>
              <w:rPr>
                <w:rFonts w:ascii="Times New Roman" w:hAnsi="Times New Roman"/>
                <w:bCs/>
                <w:kern w:val="0"/>
                <w:sz w:val="21"/>
                <w:szCs w:val="21"/>
                <w:vertAlign w:val="superscript"/>
              </w:rPr>
              <w:t>2</w:t>
            </w:r>
            <w:r>
              <w:rPr>
                <w:rFonts w:ascii="Times New Roman" w:hAnsi="Times New Roman"/>
                <w:bCs/>
                <w:kern w:val="0"/>
                <w:sz w:val="21"/>
                <w:szCs w:val="21"/>
              </w:rPr>
              <w:t>，矿区内无一级国家级公益林</w:t>
            </w:r>
          </w:p>
        </w:tc>
        <w:tc>
          <w:tcPr>
            <w:tcW w:w="4042" w:type="dxa"/>
            <w:vMerge w:val="restart"/>
            <w:tcBorders>
              <w:top w:val="single" w:color="auto" w:sz="4" w:space="0"/>
              <w:left w:val="single" w:color="auto" w:sz="4" w:space="0"/>
              <w:right w:val="single" w:color="auto" w:sz="4" w:space="0"/>
            </w:tcBorders>
            <w:vAlign w:val="center"/>
          </w:tcPr>
          <w:p>
            <w:pPr>
              <w:adjustRightInd w:val="0"/>
              <w:snapToGrid w:val="0"/>
              <w:spacing w:line="280" w:lineRule="exact"/>
              <w:rPr>
                <w:rFonts w:ascii="Times New Roman" w:hAnsi="Times New Roman"/>
                <w:sz w:val="21"/>
                <w:szCs w:val="21"/>
              </w:rPr>
            </w:pPr>
            <w:r>
              <w:rPr>
                <w:rFonts w:ascii="Times New Roman" w:hAnsi="Times New Roman"/>
                <w:sz w:val="21"/>
                <w:szCs w:val="21"/>
              </w:rPr>
              <w:t>矿区建设优先采取避让和保护公益林措施，确保其防风固沙功能不受矿区开发影响。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661"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rPr>
            </w:pPr>
          </w:p>
        </w:tc>
        <w:tc>
          <w:tcPr>
            <w:tcW w:w="1082"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rPr>
            </w:pP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二级国家级公益林</w:t>
            </w:r>
          </w:p>
        </w:tc>
        <w:tc>
          <w:tcPr>
            <w:tcW w:w="4741" w:type="dxa"/>
            <w:tcBorders>
              <w:left w:val="single" w:color="auto" w:sz="4" w:space="0"/>
              <w:bottom w:val="single" w:color="auto" w:sz="4" w:space="0"/>
              <w:right w:val="single" w:color="auto" w:sz="4" w:space="0"/>
            </w:tcBorders>
            <w:vAlign w:val="center"/>
          </w:tcPr>
          <w:p>
            <w:pPr>
              <w:adjustRightInd w:val="0"/>
              <w:snapToGrid w:val="0"/>
              <w:spacing w:line="280" w:lineRule="exact"/>
              <w:jc w:val="left"/>
              <w:rPr>
                <w:rFonts w:ascii="Times New Roman" w:hAnsi="Times New Roman"/>
                <w:snapToGrid w:val="0"/>
                <w:kern w:val="0"/>
                <w:sz w:val="21"/>
                <w:szCs w:val="21"/>
              </w:rPr>
            </w:pPr>
            <w:r>
              <w:rPr>
                <w:rFonts w:ascii="Times New Roman" w:hAnsi="Times New Roman"/>
                <w:snapToGrid w:val="0"/>
                <w:kern w:val="0"/>
                <w:sz w:val="21"/>
                <w:szCs w:val="21"/>
              </w:rPr>
              <w:t>评价区内二级国家级公益林294.62km</w:t>
            </w:r>
            <w:r>
              <w:rPr>
                <w:rFonts w:ascii="Times New Roman" w:hAnsi="Times New Roman"/>
                <w:snapToGrid w:val="0"/>
                <w:kern w:val="0"/>
                <w:sz w:val="21"/>
                <w:szCs w:val="21"/>
                <w:vertAlign w:val="superscript"/>
              </w:rPr>
              <w:t>2</w:t>
            </w:r>
            <w:r>
              <w:rPr>
                <w:rFonts w:ascii="Times New Roman" w:hAnsi="Times New Roman"/>
                <w:snapToGrid w:val="0"/>
                <w:kern w:val="0"/>
                <w:sz w:val="21"/>
                <w:szCs w:val="21"/>
              </w:rPr>
              <w:t>，矿区内国家级公益林面积191.29km</w:t>
            </w:r>
            <w:r>
              <w:rPr>
                <w:rFonts w:ascii="Times New Roman" w:hAnsi="Times New Roman"/>
                <w:snapToGrid w:val="0"/>
                <w:kern w:val="0"/>
                <w:sz w:val="21"/>
                <w:szCs w:val="21"/>
                <w:vertAlign w:val="superscript"/>
              </w:rPr>
              <w:t>2</w:t>
            </w:r>
            <w:r>
              <w:rPr>
                <w:rFonts w:ascii="Times New Roman" w:hAnsi="Times New Roman"/>
                <w:snapToGrid w:val="0"/>
                <w:kern w:val="0"/>
                <w:sz w:val="21"/>
                <w:szCs w:val="21"/>
              </w:rPr>
              <w:t>，全部为二级国家级公益林</w:t>
            </w:r>
          </w:p>
        </w:tc>
        <w:tc>
          <w:tcPr>
            <w:tcW w:w="4042" w:type="dxa"/>
            <w:vMerge w:val="continue"/>
            <w:tcBorders>
              <w:left w:val="single" w:color="auto" w:sz="4" w:space="0"/>
              <w:bottom w:val="single" w:color="auto" w:sz="4" w:space="0"/>
              <w:right w:val="single" w:color="auto" w:sz="4" w:space="0"/>
            </w:tcBorders>
            <w:vAlign w:val="center"/>
          </w:tcPr>
          <w:p>
            <w:pPr>
              <w:adjustRightInd w:val="0"/>
              <w:snapToGrid w:val="0"/>
              <w:spacing w:line="280" w:lineRule="exact"/>
              <w:jc w:val="center"/>
              <w:rPr>
                <w:rFonts w:ascii="Times New Roman" w:hAnsi="Times New Roman"/>
                <w:snapToGrid w:val="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地表水</w:t>
            </w:r>
          </w:p>
        </w:tc>
        <w:tc>
          <w:tcPr>
            <w:tcW w:w="1082"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湖泊（淖尔）</w:t>
            </w: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z w:val="21"/>
                <w:szCs w:val="21"/>
              </w:rPr>
            </w:pPr>
            <w:r>
              <w:rPr>
                <w:rFonts w:ascii="Times New Roman" w:hAnsi="Times New Roman"/>
                <w:sz w:val="21"/>
                <w:szCs w:val="21"/>
                <w:shd w:val="clear" w:color="auto" w:fill="FFFFFF"/>
              </w:rPr>
              <w:t>伊和日淖尔</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napToGrid w:val="0"/>
                <w:kern w:val="0"/>
                <w:sz w:val="21"/>
                <w:szCs w:val="21"/>
              </w:rPr>
              <w:t>位于矿区规划的苏布尔嘎井田内，面积约2.18km</w:t>
            </w:r>
            <w:r>
              <w:rPr>
                <w:rFonts w:ascii="Times New Roman" w:hAnsi="Times New Roman"/>
                <w:snapToGrid w:val="0"/>
                <w:kern w:val="0"/>
                <w:sz w:val="21"/>
                <w:szCs w:val="21"/>
                <w:vertAlign w:val="superscript"/>
              </w:rPr>
              <w:t>2</w:t>
            </w:r>
          </w:p>
        </w:tc>
        <w:tc>
          <w:tcPr>
            <w:tcW w:w="4042"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z w:val="21"/>
                <w:szCs w:val="21"/>
              </w:rPr>
              <w:t>不影响淖尔现有水域功能。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z w:val="21"/>
                <w:szCs w:val="21"/>
              </w:rPr>
            </w:pPr>
            <w:r>
              <w:rPr>
                <w:rFonts w:ascii="Times New Roman" w:hAnsi="Times New Roman"/>
                <w:snapToGrid w:val="0"/>
                <w:kern w:val="0"/>
                <w:sz w:val="21"/>
                <w:szCs w:val="21"/>
              </w:rPr>
              <w:t>哈塔图淖尔</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napToGrid w:val="0"/>
                <w:kern w:val="0"/>
                <w:sz w:val="21"/>
                <w:szCs w:val="21"/>
              </w:rPr>
              <w:t>位于矿区规划的壕赖苏井田内，面积约6.54km</w:t>
            </w:r>
            <w:r>
              <w:rPr>
                <w:rFonts w:ascii="Times New Roman" w:hAnsi="Times New Roman"/>
                <w:snapToGrid w:val="0"/>
                <w:kern w:val="0"/>
                <w:sz w:val="21"/>
                <w:szCs w:val="21"/>
                <w:vertAlign w:val="superscript"/>
              </w:rPr>
              <w:t>2</w:t>
            </w:r>
          </w:p>
        </w:tc>
        <w:tc>
          <w:tcPr>
            <w:tcW w:w="4042" w:type="dxa"/>
            <w:vMerge w:val="continue"/>
            <w:tcBorders>
              <w:left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z w:val="21"/>
                <w:szCs w:val="21"/>
              </w:rPr>
            </w:pPr>
            <w:r>
              <w:rPr>
                <w:rFonts w:ascii="Times New Roman" w:hAnsi="Times New Roman"/>
                <w:snapToGrid w:val="0"/>
                <w:kern w:val="0"/>
                <w:sz w:val="21"/>
                <w:szCs w:val="21"/>
              </w:rPr>
              <w:t>光明淖尔</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napToGrid w:val="0"/>
                <w:kern w:val="0"/>
                <w:sz w:val="21"/>
                <w:szCs w:val="21"/>
              </w:rPr>
              <w:t>位于矿区规划的壕赖苏井田内</w:t>
            </w:r>
            <w:r>
              <w:rPr>
                <w:rStyle w:val="74"/>
                <w:rFonts w:ascii="Times New Roman" w:hAnsi="Times New Roman"/>
              </w:rPr>
              <w:t>，面积约1.35</w:t>
            </w:r>
            <w:r>
              <w:rPr>
                <w:rFonts w:ascii="Times New Roman" w:hAnsi="Times New Roman"/>
                <w:snapToGrid w:val="0"/>
                <w:kern w:val="0"/>
                <w:sz w:val="21"/>
                <w:szCs w:val="21"/>
              </w:rPr>
              <w:t>km</w:t>
            </w:r>
            <w:r>
              <w:rPr>
                <w:rFonts w:ascii="Times New Roman" w:hAnsi="Times New Roman"/>
                <w:snapToGrid w:val="0"/>
                <w:kern w:val="0"/>
                <w:sz w:val="21"/>
                <w:szCs w:val="21"/>
                <w:vertAlign w:val="superscript"/>
              </w:rPr>
              <w:t>2</w:t>
            </w:r>
          </w:p>
        </w:tc>
        <w:tc>
          <w:tcPr>
            <w:tcW w:w="4042" w:type="dxa"/>
            <w:vMerge w:val="continue"/>
            <w:tcBorders>
              <w:left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z w:val="21"/>
                <w:szCs w:val="21"/>
              </w:rPr>
            </w:pPr>
            <w:r>
              <w:rPr>
                <w:rFonts w:ascii="Times New Roman" w:hAnsi="Times New Roman"/>
                <w:snapToGrid w:val="0"/>
                <w:kern w:val="0"/>
                <w:sz w:val="21"/>
                <w:szCs w:val="21"/>
              </w:rPr>
              <w:t>哈达图淖尔</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napToGrid w:val="0"/>
                <w:kern w:val="0"/>
                <w:sz w:val="21"/>
                <w:szCs w:val="21"/>
              </w:rPr>
              <w:t>位于矿区规划的纳林希里井田内，面积约1.34km</w:t>
            </w:r>
            <w:r>
              <w:rPr>
                <w:rFonts w:ascii="Times New Roman" w:hAnsi="Times New Roman"/>
                <w:snapToGrid w:val="0"/>
                <w:kern w:val="0"/>
                <w:sz w:val="21"/>
                <w:szCs w:val="21"/>
                <w:vertAlign w:val="superscript"/>
              </w:rPr>
              <w:t>2</w:t>
            </w:r>
          </w:p>
        </w:tc>
        <w:tc>
          <w:tcPr>
            <w:tcW w:w="4042" w:type="dxa"/>
            <w:vMerge w:val="continue"/>
            <w:tcBorders>
              <w:left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z w:val="21"/>
                <w:szCs w:val="21"/>
              </w:rPr>
            </w:pPr>
            <w:r>
              <w:rPr>
                <w:rFonts w:ascii="Times New Roman" w:hAnsi="Times New Roman"/>
                <w:snapToGrid w:val="0"/>
                <w:kern w:val="0"/>
                <w:sz w:val="21"/>
                <w:szCs w:val="21"/>
              </w:rPr>
              <w:t>乌兰淖尔</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napToGrid w:val="0"/>
                <w:kern w:val="0"/>
                <w:sz w:val="21"/>
                <w:szCs w:val="21"/>
              </w:rPr>
              <w:t>位于矿区规划的勘查区内，面积约0.55km</w:t>
            </w:r>
            <w:r>
              <w:rPr>
                <w:rFonts w:ascii="Times New Roman" w:hAnsi="Times New Roman"/>
                <w:snapToGrid w:val="0"/>
                <w:kern w:val="0"/>
                <w:sz w:val="21"/>
                <w:szCs w:val="21"/>
                <w:vertAlign w:val="superscript"/>
              </w:rPr>
              <w:t>2</w:t>
            </w:r>
          </w:p>
        </w:tc>
        <w:tc>
          <w:tcPr>
            <w:tcW w:w="4042" w:type="dxa"/>
            <w:vMerge w:val="continue"/>
            <w:tcBorders>
              <w:left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z w:val="21"/>
                <w:szCs w:val="21"/>
              </w:rPr>
            </w:pPr>
            <w:r>
              <w:rPr>
                <w:rFonts w:ascii="Times New Roman" w:hAnsi="Times New Roman"/>
                <w:snapToGrid w:val="0"/>
                <w:kern w:val="0"/>
                <w:sz w:val="21"/>
                <w:szCs w:val="21"/>
              </w:rPr>
              <w:t>其和淖尔</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napToGrid w:val="0"/>
                <w:kern w:val="0"/>
                <w:sz w:val="21"/>
                <w:szCs w:val="21"/>
              </w:rPr>
              <w:t>位于矿区外，距南部边界约0.5km，面积约3.21km</w:t>
            </w:r>
            <w:r>
              <w:rPr>
                <w:rFonts w:ascii="Times New Roman" w:hAnsi="Times New Roman"/>
                <w:snapToGrid w:val="0"/>
                <w:kern w:val="0"/>
                <w:sz w:val="21"/>
                <w:szCs w:val="21"/>
                <w:vertAlign w:val="superscript"/>
              </w:rPr>
              <w:t>2</w:t>
            </w:r>
          </w:p>
        </w:tc>
        <w:tc>
          <w:tcPr>
            <w:tcW w:w="4042"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地下水</w:t>
            </w:r>
          </w:p>
        </w:tc>
        <w:tc>
          <w:tcPr>
            <w:tcW w:w="108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水井</w:t>
            </w: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z w:val="21"/>
                <w:szCs w:val="21"/>
              </w:rPr>
              <w:t>矿区及周边地下水资源</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z w:val="21"/>
                <w:szCs w:val="21"/>
              </w:rPr>
              <w:t>矿区范围及地下水补径排关系密切的区域</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z w:val="21"/>
                <w:szCs w:val="21"/>
              </w:rPr>
              <w:t>居民点取水井不受矿区采煤沉陷影响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水源地</w:t>
            </w: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z w:val="21"/>
                <w:szCs w:val="21"/>
              </w:rPr>
            </w:pPr>
            <w:r>
              <w:rPr>
                <w:rFonts w:ascii="Times New Roman" w:hAnsi="Times New Roman"/>
                <w:sz w:val="21"/>
                <w:szCs w:val="21"/>
              </w:rPr>
              <w:t>红庆河镇乌兰淖水源地</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80" w:lineRule="exact"/>
              <w:rPr>
                <w:rFonts w:ascii="Times New Roman" w:hAnsi="Times New Roman"/>
                <w:sz w:val="21"/>
                <w:szCs w:val="21"/>
              </w:rPr>
            </w:pPr>
            <w:r>
              <w:rPr>
                <w:rFonts w:ascii="Times New Roman" w:hAnsi="Times New Roman"/>
                <w:sz w:val="21"/>
                <w:szCs w:val="21"/>
              </w:rPr>
              <w:t>碎屑岩类裂隙孔隙承压水型水源地，已建成水源井13眼，一级保护区总面积0.13</w:t>
            </w:r>
            <w:r>
              <w:rPr>
                <w:rFonts w:ascii="Times New Roman" w:hAnsi="Times New Roman"/>
                <w:snapToGrid w:val="0"/>
                <w:kern w:val="0"/>
                <w:sz w:val="21"/>
                <w:szCs w:val="21"/>
              </w:rPr>
              <w:t>km</w:t>
            </w:r>
            <w:r>
              <w:rPr>
                <w:rFonts w:ascii="Times New Roman" w:hAnsi="Times New Roman"/>
                <w:snapToGrid w:val="0"/>
                <w:kern w:val="0"/>
                <w:sz w:val="21"/>
                <w:szCs w:val="21"/>
                <w:vertAlign w:val="superscript"/>
              </w:rPr>
              <w:t>2</w:t>
            </w:r>
          </w:p>
        </w:tc>
        <w:tc>
          <w:tcPr>
            <w:tcW w:w="4042"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napToGrid w:val="0"/>
                <w:kern w:val="0"/>
                <w:sz w:val="21"/>
                <w:szCs w:val="21"/>
              </w:rPr>
              <w:t>确保水源地水质水量不受矿区开发影响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1" w:hRule="atLeast"/>
          <w:jc w:val="center"/>
        </w:trPr>
        <w:tc>
          <w:tcPr>
            <w:tcW w:w="1661"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80" w:lineRule="exact"/>
              <w:jc w:val="center"/>
              <w:rPr>
                <w:rFonts w:ascii="Times New Roman" w:hAnsi="Times New Roman"/>
                <w:sz w:val="21"/>
                <w:szCs w:val="21"/>
              </w:rPr>
            </w:pPr>
            <w:r>
              <w:rPr>
                <w:rFonts w:ascii="Times New Roman" w:hAnsi="Times New Roman"/>
                <w:sz w:val="21"/>
                <w:szCs w:val="21"/>
              </w:rPr>
              <w:t>红庆河镇哈达图淖尔水源地</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80" w:lineRule="exact"/>
              <w:rPr>
                <w:rFonts w:ascii="Times New Roman" w:hAnsi="Times New Roman"/>
                <w:sz w:val="21"/>
                <w:szCs w:val="21"/>
              </w:rPr>
            </w:pPr>
            <w:r>
              <w:rPr>
                <w:rFonts w:ascii="Times New Roman" w:hAnsi="Times New Roman"/>
                <w:sz w:val="21"/>
                <w:szCs w:val="21"/>
              </w:rPr>
              <w:t>供水含水层属白垩系下统志丹群碎屑岩类第二、三、四岩段碎屑岩裂隙孔隙承压水，水源井2眼，一级保护区面积0.0072</w:t>
            </w:r>
            <w:r>
              <w:rPr>
                <w:rFonts w:ascii="Times New Roman" w:hAnsi="Times New Roman"/>
                <w:snapToGrid w:val="0"/>
                <w:kern w:val="0"/>
                <w:sz w:val="21"/>
                <w:szCs w:val="21"/>
              </w:rPr>
              <w:t>km</w:t>
            </w:r>
            <w:r>
              <w:rPr>
                <w:rFonts w:ascii="Times New Roman" w:hAnsi="Times New Roman"/>
                <w:snapToGrid w:val="0"/>
                <w:kern w:val="0"/>
                <w:sz w:val="21"/>
                <w:szCs w:val="21"/>
                <w:vertAlign w:val="superscript"/>
              </w:rPr>
              <w:t>2</w:t>
            </w:r>
          </w:p>
        </w:tc>
        <w:tc>
          <w:tcPr>
            <w:tcW w:w="4042"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环境空气</w:t>
            </w: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红庆河镇、苏布尔噶嘎查等矿区村庄居民点、草地植被</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矿区范围及周边</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z w:val="21"/>
                <w:szCs w:val="21"/>
              </w:rPr>
              <w:t>满足环境空气功能区要求，保证草地植物正常生长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声环境</w:t>
            </w: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公路、铁路专用线两侧200m居民等环境敏感点、厂界及矿区范围内居民点</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各矿井工业场地、风井场地、公路、铁路专用线周边200m范围内</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z w:val="21"/>
                <w:szCs w:val="21"/>
              </w:rPr>
            </w:pPr>
            <w:r>
              <w:rPr>
                <w:rFonts w:ascii="Times New Roman" w:hAnsi="Times New Roman"/>
                <w:snapToGrid w:val="0"/>
                <w:kern w:val="0"/>
                <w:sz w:val="21"/>
                <w:szCs w:val="21"/>
              </w:rPr>
              <w:t>矿区周围及交通道路沿线声环境达到相应功能区标准，不因矿区开发造成噪声超标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土壤环境</w:t>
            </w: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土壤</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矿区范围及周边可能影响区域</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及时进行土地复垦和生态恢复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重要地面设施</w:t>
            </w:r>
          </w:p>
        </w:tc>
        <w:tc>
          <w:tcPr>
            <w:tcW w:w="1082" w:type="dxa"/>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铁路</w:t>
            </w:r>
          </w:p>
        </w:tc>
        <w:tc>
          <w:tcPr>
            <w:tcW w:w="2752" w:type="dxa"/>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东乌铁路</w:t>
            </w:r>
          </w:p>
        </w:tc>
        <w:tc>
          <w:tcPr>
            <w:tcW w:w="4741" w:type="dxa"/>
            <w:tcBorders>
              <w:top w:val="single" w:color="auto" w:sz="4" w:space="0"/>
              <w:left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矿区内紧邻南边界，东西走向，穿过纳林希里井田，矿区内长度21.459km</w:t>
            </w:r>
          </w:p>
        </w:tc>
        <w:tc>
          <w:tcPr>
            <w:tcW w:w="4042"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确保道路交通正常通行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公路</w:t>
            </w: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G18荣乌高速公路</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东西走向，在矿区北部穿过奎腾沟井田，矿区内长度8.58km</w:t>
            </w:r>
          </w:p>
        </w:tc>
        <w:tc>
          <w:tcPr>
            <w:tcW w:w="4042" w:type="dxa"/>
            <w:vMerge w:val="continue"/>
            <w:tcBorders>
              <w:left w:val="single" w:color="auto" w:sz="4" w:space="0"/>
              <w:bottom w:val="single" w:color="auto" w:sz="4" w:space="0"/>
              <w:right w:val="single" w:color="auto" w:sz="4" w:space="0"/>
            </w:tcBorders>
            <w:vAlign w:val="center"/>
          </w:tcPr>
          <w:p>
            <w:pPr>
              <w:widowControl/>
              <w:rPr>
                <w:rFonts w:ascii="Times New Roman" w:hAnsi="Times New Roman"/>
                <w:snapToGrid w:val="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输电线路</w:t>
            </w: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110kv柒活线</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东乌铁路牵引线</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不受采煤沉陷影响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1082"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z w:val="21"/>
                <w:szCs w:val="21"/>
              </w:rPr>
              <w:t>布乌Ⅱ回</w:t>
            </w:r>
            <w:r>
              <w:rPr>
                <w:rFonts w:ascii="Times New Roman" w:hAnsi="Times New Roman"/>
                <w:snapToGrid w:val="0"/>
                <w:kern w:val="0"/>
                <w:sz w:val="21"/>
                <w:szCs w:val="21"/>
              </w:rPr>
              <w:t>500kv输电线路</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z w:val="21"/>
                <w:szCs w:val="21"/>
              </w:rPr>
              <w:t>布乌Ⅱ回</w:t>
            </w:r>
            <w:r>
              <w:rPr>
                <w:rFonts w:ascii="Times New Roman" w:hAnsi="Times New Roman"/>
                <w:snapToGrid w:val="0"/>
                <w:kern w:val="0"/>
                <w:sz w:val="21"/>
                <w:szCs w:val="21"/>
              </w:rPr>
              <w:t>500kv输电线路</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不受采煤沉陷影响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vMerge w:val="continue"/>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bookmarkStart w:id="44" w:name="_Toc163440979"/>
          </w:p>
        </w:tc>
        <w:tc>
          <w:tcPr>
            <w:tcW w:w="1082" w:type="dxa"/>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输气管线</w:t>
            </w:r>
          </w:p>
        </w:tc>
        <w:tc>
          <w:tcPr>
            <w:tcW w:w="275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z w:val="21"/>
                <w:szCs w:val="21"/>
              </w:rPr>
            </w:pPr>
            <w:r>
              <w:rPr>
                <w:rFonts w:ascii="Times New Roman" w:hAnsi="Times New Roman"/>
                <w:sz w:val="21"/>
                <w:szCs w:val="21"/>
              </w:rPr>
              <w:t>长呼</w:t>
            </w:r>
            <w:r>
              <w:rPr>
                <w:rFonts w:hint="eastAsia" w:ascii="Times New Roman" w:hAnsi="Times New Roman"/>
                <w:sz w:val="21"/>
                <w:szCs w:val="21"/>
              </w:rPr>
              <w:t>天然</w:t>
            </w:r>
            <w:r>
              <w:rPr>
                <w:rFonts w:ascii="Times New Roman" w:hAnsi="Times New Roman"/>
                <w:sz w:val="21"/>
                <w:szCs w:val="21"/>
              </w:rPr>
              <w:t>气管道</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长</w:t>
            </w:r>
            <w:r>
              <w:rPr>
                <w:rFonts w:hint="eastAsia" w:ascii="Times New Roman" w:hAnsi="Times New Roman"/>
                <w:snapToGrid w:val="0"/>
                <w:kern w:val="0"/>
                <w:sz w:val="21"/>
                <w:szCs w:val="21"/>
              </w:rPr>
              <w:t>呼输气管道</w:t>
            </w:r>
            <w:r>
              <w:rPr>
                <w:rFonts w:ascii="Times New Roman" w:hAnsi="Times New Roman"/>
                <w:snapToGrid w:val="0"/>
                <w:kern w:val="0"/>
                <w:sz w:val="21"/>
                <w:szCs w:val="21"/>
              </w:rPr>
              <w:t>穿过矿区南侧纳林希里井田，矿区内长度17.24km</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不受采煤沉陷影响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鄂尔多斯遗鸥国家级自然保护区</w:t>
            </w: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包括实验区、核心区、缓冲区</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矿区北部边界外，紧靠规划的奎腾沟井田边界，面积147.7km</w:t>
            </w:r>
            <w:r>
              <w:rPr>
                <w:rFonts w:ascii="Times New Roman" w:hAnsi="Times New Roman"/>
                <w:snapToGrid w:val="0"/>
                <w:kern w:val="0"/>
                <w:sz w:val="21"/>
                <w:szCs w:val="21"/>
                <w:vertAlign w:val="superscript"/>
              </w:rPr>
              <w:t>2</w:t>
            </w:r>
            <w:r>
              <w:rPr>
                <w:rFonts w:hint="eastAsia" w:ascii="Times New Roman" w:hAnsi="Times New Roman"/>
                <w:snapToGrid w:val="0"/>
                <w:kern w:val="0"/>
                <w:sz w:val="21"/>
                <w:szCs w:val="21"/>
              </w:rPr>
              <w:t>，现已划定为生态保护红线区。</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参照《自然保护区条例》进行保护，确保不受矿区开发影响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hint="eastAsia" w:ascii="Times New Roman" w:hAnsi="Times New Roman"/>
                <w:snapToGrid w:val="0"/>
                <w:color w:val="FF0000"/>
                <w:kern w:val="0"/>
                <w:sz w:val="21"/>
                <w:szCs w:val="21"/>
                <w:highlight w:val="yellow"/>
              </w:rPr>
              <w:t>红庆河镇</w:t>
            </w: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hint="eastAsia" w:ascii="Times New Roman" w:hAnsi="Times New Roman"/>
                <w:snapToGrid w:val="0"/>
                <w:color w:val="FF0000"/>
                <w:kern w:val="0"/>
                <w:sz w:val="21"/>
                <w:szCs w:val="21"/>
                <w:highlight w:val="yellow"/>
              </w:rPr>
              <w:t>根据伊金霍洛旗红庆河镇总体规划（</w:t>
            </w:r>
            <w:r>
              <w:rPr>
                <w:rFonts w:ascii="Times New Roman" w:hAnsi="Times New Roman"/>
                <w:snapToGrid w:val="0"/>
                <w:color w:val="FF0000"/>
                <w:kern w:val="0"/>
                <w:sz w:val="21"/>
                <w:szCs w:val="21"/>
                <w:highlight w:val="yellow"/>
              </w:rPr>
              <w:t>2013-2020</w:t>
            </w:r>
            <w:r>
              <w:rPr>
                <w:rFonts w:hint="eastAsia" w:ascii="Times New Roman" w:hAnsi="Times New Roman"/>
                <w:snapToGrid w:val="0"/>
                <w:color w:val="FF0000"/>
                <w:kern w:val="0"/>
                <w:sz w:val="21"/>
                <w:szCs w:val="21"/>
                <w:highlight w:val="yellow"/>
              </w:rPr>
              <w:t>），城镇规划区面积2</w:t>
            </w:r>
            <w:r>
              <w:rPr>
                <w:rFonts w:ascii="Times New Roman" w:hAnsi="Times New Roman"/>
                <w:snapToGrid w:val="0"/>
                <w:color w:val="FF0000"/>
                <w:kern w:val="0"/>
                <w:sz w:val="21"/>
                <w:szCs w:val="21"/>
                <w:highlight w:val="yellow"/>
              </w:rPr>
              <w:t>.77 km</w:t>
            </w:r>
            <w:r>
              <w:rPr>
                <w:rFonts w:ascii="Times New Roman" w:hAnsi="Times New Roman"/>
                <w:snapToGrid w:val="0"/>
                <w:color w:val="FF0000"/>
                <w:kern w:val="0"/>
                <w:sz w:val="21"/>
                <w:szCs w:val="21"/>
                <w:highlight w:val="yellow"/>
                <w:vertAlign w:val="superscript"/>
              </w:rPr>
              <w:t>2</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color w:val="FF0000"/>
                <w:kern w:val="0"/>
                <w:sz w:val="21"/>
                <w:szCs w:val="21"/>
                <w:highlight w:val="yellow"/>
              </w:rPr>
            </w:pPr>
            <w:r>
              <w:rPr>
                <w:rFonts w:hint="eastAsia" w:ascii="Times New Roman" w:hAnsi="Times New Roman"/>
                <w:snapToGrid w:val="0"/>
                <w:color w:val="FF0000"/>
                <w:kern w:val="0"/>
                <w:sz w:val="21"/>
                <w:szCs w:val="21"/>
                <w:highlight w:val="yellow"/>
              </w:rPr>
              <w:t>位于矿区纳林希里井田内。</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color w:val="FF0000"/>
                <w:kern w:val="0"/>
                <w:sz w:val="21"/>
                <w:szCs w:val="21"/>
                <w:highlight w:val="yellow"/>
              </w:rPr>
            </w:pPr>
            <w:r>
              <w:rPr>
                <w:rFonts w:hint="eastAsia" w:ascii="Times New Roman" w:hAnsi="Times New Roman"/>
                <w:snapToGrid w:val="0"/>
                <w:color w:val="FF0000"/>
                <w:kern w:val="0"/>
                <w:sz w:val="21"/>
                <w:szCs w:val="21"/>
                <w:highlight w:val="yellow"/>
              </w:rPr>
              <w:t>不受采煤沉陷影响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atLeast"/>
          <w:jc w:val="center"/>
        </w:trPr>
        <w:tc>
          <w:tcPr>
            <w:tcW w:w="1661" w:type="dxa"/>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重要文物</w:t>
            </w: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乌兰敖包城址</w:t>
            </w:r>
          </w:p>
        </w:tc>
        <w:tc>
          <w:tcPr>
            <w:tcW w:w="474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矿区范围内及周边涉及26处文物，其中仅乌兰敖包城址等级较高，为市级文物，位于矿区西侧勘查区</w:t>
            </w:r>
          </w:p>
        </w:tc>
        <w:tc>
          <w:tcPr>
            <w:tcW w:w="40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不受采煤沉陷影响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4" w:hRule="atLeast"/>
          <w:jc w:val="center"/>
        </w:trPr>
        <w:tc>
          <w:tcPr>
            <w:tcW w:w="1661" w:type="dxa"/>
            <w:vMerge w:val="restart"/>
            <w:tcBorders>
              <w:left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天然气井</w:t>
            </w: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东胜气田</w:t>
            </w:r>
          </w:p>
        </w:tc>
        <w:tc>
          <w:tcPr>
            <w:tcW w:w="4741" w:type="dxa"/>
            <w:tcBorders>
              <w:top w:val="single" w:color="auto" w:sz="4" w:space="0"/>
              <w:left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与苏布尔噶井田范围部分重叠，预留2处天然气勘查区域</w:t>
            </w:r>
          </w:p>
        </w:tc>
        <w:tc>
          <w:tcPr>
            <w:tcW w:w="4042" w:type="dxa"/>
            <w:vMerge w:val="restart"/>
            <w:tcBorders>
              <w:top w:val="single" w:color="auto" w:sz="4" w:space="0"/>
              <w:left w:val="single" w:color="auto" w:sz="4" w:space="0"/>
              <w:right w:val="single" w:color="auto" w:sz="4" w:space="0"/>
            </w:tcBorders>
            <w:vAlign w:val="center"/>
          </w:tcPr>
          <w:p>
            <w:pPr>
              <w:adjustRightInd w:val="0"/>
              <w:snapToGrid w:val="0"/>
              <w:spacing w:line="320" w:lineRule="exact"/>
              <w:rPr>
                <w:rFonts w:ascii="Times New Roman" w:hAnsi="Times New Roman"/>
              </w:rPr>
            </w:pPr>
            <w:r>
              <w:rPr>
                <w:rFonts w:ascii="Times New Roman" w:hAnsi="Times New Roman"/>
                <w:snapToGrid w:val="0"/>
                <w:kern w:val="0"/>
                <w:sz w:val="21"/>
                <w:szCs w:val="21"/>
              </w:rPr>
              <w:t>确保气田内钻井、管道及地面设施等不受开采沉陷影响，确保天然气开采不受影响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4" w:hRule="atLeast"/>
          <w:jc w:val="center"/>
        </w:trPr>
        <w:tc>
          <w:tcPr>
            <w:tcW w:w="1661"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rPr>
            </w:pPr>
          </w:p>
        </w:tc>
        <w:tc>
          <w:tcPr>
            <w:tcW w:w="383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r>
              <w:rPr>
                <w:rFonts w:ascii="Times New Roman" w:hAnsi="Times New Roman"/>
                <w:snapToGrid w:val="0"/>
                <w:kern w:val="0"/>
                <w:sz w:val="21"/>
                <w:szCs w:val="21"/>
              </w:rPr>
              <w:t>苏里格气田</w:t>
            </w:r>
          </w:p>
        </w:tc>
        <w:tc>
          <w:tcPr>
            <w:tcW w:w="4741" w:type="dxa"/>
            <w:tcBorders>
              <w:left w:val="single" w:color="auto" w:sz="4" w:space="0"/>
              <w:bottom w:val="single" w:color="auto" w:sz="4" w:space="0"/>
              <w:right w:val="single" w:color="auto" w:sz="4" w:space="0"/>
            </w:tcBorders>
            <w:vAlign w:val="center"/>
          </w:tcPr>
          <w:p>
            <w:pPr>
              <w:adjustRightInd w:val="0"/>
              <w:snapToGrid w:val="0"/>
              <w:spacing w:line="320" w:lineRule="exact"/>
              <w:rPr>
                <w:rFonts w:ascii="Times New Roman" w:hAnsi="Times New Roman"/>
                <w:snapToGrid w:val="0"/>
                <w:kern w:val="0"/>
                <w:sz w:val="21"/>
                <w:szCs w:val="21"/>
              </w:rPr>
            </w:pPr>
            <w:r>
              <w:rPr>
                <w:rFonts w:ascii="Times New Roman" w:hAnsi="Times New Roman"/>
                <w:snapToGrid w:val="0"/>
                <w:kern w:val="0"/>
                <w:sz w:val="21"/>
                <w:szCs w:val="21"/>
              </w:rPr>
              <w:t>纳林希里井田内涉及10处天然气井井口</w:t>
            </w:r>
          </w:p>
        </w:tc>
        <w:tc>
          <w:tcPr>
            <w:tcW w:w="4042" w:type="dxa"/>
            <w:vMerge w:val="continue"/>
            <w:tcBorders>
              <w:left w:val="single" w:color="auto" w:sz="4" w:space="0"/>
              <w:bottom w:val="single" w:color="auto" w:sz="4" w:space="0"/>
              <w:right w:val="single" w:color="auto" w:sz="4" w:space="0"/>
            </w:tcBorders>
            <w:vAlign w:val="center"/>
          </w:tcPr>
          <w:p>
            <w:pPr>
              <w:adjustRightInd w:val="0"/>
              <w:snapToGrid w:val="0"/>
              <w:spacing w:line="320" w:lineRule="exact"/>
              <w:jc w:val="center"/>
              <w:rPr>
                <w:rFonts w:ascii="Times New Roman" w:hAnsi="Times New Roman"/>
                <w:snapToGrid w:val="0"/>
                <w:kern w:val="0"/>
                <w:sz w:val="21"/>
                <w:szCs w:val="21"/>
              </w:rPr>
            </w:pPr>
          </w:p>
        </w:tc>
      </w:tr>
    </w:tbl>
    <w:p>
      <w:pPr>
        <w:pStyle w:val="5"/>
        <w:spacing w:before="120" w:after="120" w:line="440" w:lineRule="exact"/>
        <w:rPr>
          <w:sz w:val="24"/>
        </w:rPr>
        <w:sectPr>
          <w:headerReference r:id="rId5" w:type="default"/>
          <w:pgSz w:w="16840" w:h="11907" w:orient="landscape"/>
          <w:pgMar w:top="1588" w:right="1474" w:bottom="1418" w:left="1304" w:header="1134" w:footer="851" w:gutter="0"/>
          <w:cols w:space="720" w:num="1"/>
        </w:sectPr>
      </w:pPr>
    </w:p>
    <w:p>
      <w:pPr>
        <w:pStyle w:val="5"/>
        <w:spacing w:before="120" w:after="120" w:line="440" w:lineRule="exact"/>
        <w:rPr>
          <w:sz w:val="24"/>
        </w:rPr>
      </w:pPr>
      <w:r>
        <w:rPr>
          <w:sz w:val="24"/>
        </w:rPr>
        <w:t>1.5.1 鄂尔多斯遗鸥国家级自然保护区</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鄂尔多斯遗鸥国家级自然保护区位于内蒙古自治区鄂尔多斯中部，保护区始建于1998年4月，同年5月经自治区政府批准为自治区级自然保护区，2001年6月经国务院批准为国家级自然保护区。保护区主要保护对象是遗鸥鄂尔多斯种群及其栖息地，特别是繁殖区、觅食区和活动区的天然湿地生态系统。鄂尔多斯遗鸥国家级自然保护区，占地面积147.7km</w:t>
      </w:r>
      <w:r>
        <w:rPr>
          <w:rFonts w:ascii="Times New Roman" w:hAnsi="Times New Roman" w:eastAsia="宋体" w:cs="Times New Roman"/>
          <w:vertAlign w:val="superscript"/>
        </w:rPr>
        <w:t>2</w:t>
      </w:r>
      <w:r>
        <w:rPr>
          <w:rFonts w:ascii="Times New Roman" w:hAnsi="Times New Roman" w:eastAsia="宋体" w:cs="Times New Roman"/>
        </w:rPr>
        <w:t>，湖面面积10.2km</w:t>
      </w:r>
      <w:r>
        <w:rPr>
          <w:rFonts w:ascii="Times New Roman" w:hAnsi="Times New Roman" w:eastAsia="宋体" w:cs="Times New Roman"/>
          <w:vertAlign w:val="superscript"/>
        </w:rPr>
        <w:t>2</w:t>
      </w:r>
      <w:r>
        <w:rPr>
          <w:rFonts w:ascii="Times New Roman" w:hAnsi="Times New Roman" w:eastAsia="宋体" w:cs="Times New Roman"/>
        </w:rPr>
        <w:t>，保护区位于纳林希里矿区北侧，与奎腾沟井田北侧边界相接。</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保护区划分为核心区、缓冲区和实验区三部分，核心区分为两处，总面积为4753hm</w:t>
      </w:r>
      <w:r>
        <w:rPr>
          <w:rFonts w:ascii="Times New Roman" w:hAnsi="Times New Roman" w:eastAsia="宋体" w:cs="Times New Roman"/>
          <w:vertAlign w:val="superscript"/>
        </w:rPr>
        <w:t>2</w:t>
      </w:r>
      <w:r>
        <w:rPr>
          <w:rFonts w:ascii="Times New Roman" w:hAnsi="Times New Roman" w:eastAsia="宋体" w:cs="Times New Roman"/>
        </w:rPr>
        <w:t>，占保护区面积的32.16%，核心区的主要生境类型为湖泊湿地和草地，分别占保护区面积的12.54%和21.49%。缓冲区位于核心区的四周，是核心区与实验区的过渡地带，其范围是在核心区外围的300m区域，总面积1627hm</w:t>
      </w:r>
      <w:r>
        <w:rPr>
          <w:rFonts w:ascii="Times New Roman" w:hAnsi="Times New Roman" w:eastAsia="宋体" w:cs="Times New Roman"/>
          <w:vertAlign w:val="superscript"/>
        </w:rPr>
        <w:t>2</w:t>
      </w:r>
      <w:r>
        <w:rPr>
          <w:rFonts w:ascii="Times New Roman" w:hAnsi="Times New Roman" w:eastAsia="宋体" w:cs="Times New Roman"/>
        </w:rPr>
        <w:t>，占保护区面积的11.02%。实验区面积8397hm</w:t>
      </w:r>
      <w:r>
        <w:rPr>
          <w:rFonts w:ascii="Times New Roman" w:hAnsi="Times New Roman" w:eastAsia="宋体" w:cs="Times New Roman"/>
          <w:vertAlign w:val="superscript"/>
        </w:rPr>
        <w:t>2</w:t>
      </w:r>
      <w:r>
        <w:rPr>
          <w:rFonts w:ascii="Times New Roman" w:hAnsi="Times New Roman" w:eastAsia="宋体" w:cs="Times New Roman"/>
        </w:rPr>
        <w:t>，占保护区面积的56.82%。飞地为少量遗鸥的觅食地。</w:t>
      </w:r>
    </w:p>
    <w:p>
      <w:pPr>
        <w:pStyle w:val="5"/>
        <w:spacing w:before="120" w:after="120" w:line="440" w:lineRule="exact"/>
        <w:rPr>
          <w:sz w:val="24"/>
        </w:rPr>
      </w:pPr>
      <w:r>
        <w:rPr>
          <w:sz w:val="24"/>
        </w:rPr>
        <w:t>1.5.2 水源地</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纳林希里矿区范围内涉及的水源地有两个：伊金霍洛旗红庆河镇乌兰淖水源地以及伊金霍洛旗红庆河镇哈达图淖尔水源地。</w:t>
      </w:r>
    </w:p>
    <w:p>
      <w:pPr>
        <w:pStyle w:val="573"/>
        <w:numPr>
          <w:ilvl w:val="0"/>
          <w:numId w:val="6"/>
        </w:numPr>
        <w:spacing w:line="440" w:lineRule="exact"/>
        <w:ind w:firstLine="482"/>
        <w:jc w:val="both"/>
        <w:rPr>
          <w:rFonts w:ascii="Times New Roman" w:hAnsi="Times New Roman" w:eastAsia="宋体" w:cs="Times New Roman"/>
          <w:b/>
          <w:bCs w:val="0"/>
        </w:rPr>
      </w:pPr>
      <w:r>
        <w:rPr>
          <w:rFonts w:ascii="Times New Roman" w:hAnsi="Times New Roman" w:eastAsia="宋体" w:cs="Times New Roman"/>
          <w:b/>
          <w:bCs w:val="0"/>
        </w:rPr>
        <w:t>伊金霍洛旗红庆河镇乌兰淖水源地</w:t>
      </w:r>
    </w:p>
    <w:p>
      <w:pPr>
        <w:pStyle w:val="573"/>
        <w:numPr>
          <w:ilvl w:val="255"/>
          <w:numId w:val="0"/>
        </w:numPr>
        <w:spacing w:line="440" w:lineRule="exact"/>
        <w:ind w:firstLine="480"/>
        <w:jc w:val="both"/>
        <w:rPr>
          <w:rFonts w:ascii="Times New Roman" w:hAnsi="Times New Roman" w:eastAsia="宋体" w:cs="Times New Roman"/>
        </w:rPr>
      </w:pPr>
      <w:r>
        <w:rPr>
          <w:rFonts w:ascii="Times New Roman" w:hAnsi="Times New Roman" w:eastAsia="宋体" w:cs="Times New Roman"/>
        </w:rPr>
        <w:t>1）基本情况</w:t>
      </w:r>
    </w:p>
    <w:p>
      <w:pPr>
        <w:pStyle w:val="573"/>
        <w:numPr>
          <w:ilvl w:val="255"/>
          <w:numId w:val="0"/>
        </w:numPr>
        <w:spacing w:line="440" w:lineRule="exact"/>
        <w:ind w:firstLine="480"/>
        <w:jc w:val="both"/>
        <w:rPr>
          <w:rFonts w:ascii="Times New Roman" w:hAnsi="Times New Roman" w:eastAsia="宋体" w:cs="Times New Roman"/>
        </w:rPr>
      </w:pPr>
      <w:r>
        <w:rPr>
          <w:rFonts w:ascii="Times New Roman" w:hAnsi="Times New Roman" w:eastAsia="宋体" w:cs="Times New Roman"/>
        </w:rPr>
        <w:t>红庆河镇乌兰淖水源地位于伊金霍洛旗红庆河镇镇区西南部，已建成水源井13眼，其中12眼井位于矿区勘查区，1眼井位于纳林希里井田内西部边界附近，管道及其他配套工程尚未完成，现正在建设中。该水源地拟服务区域为红庆河镇，用水结构为生活用水和其他用水。设计取水量365万m</w:t>
      </w:r>
      <w:r>
        <w:rPr>
          <w:rFonts w:ascii="Times New Roman" w:hAnsi="Times New Roman" w:eastAsia="宋体" w:cs="Times New Roman"/>
          <w:vertAlign w:val="superscript"/>
        </w:rPr>
        <w:t>3</w:t>
      </w:r>
      <w:r>
        <w:rPr>
          <w:rFonts w:ascii="Times New Roman" w:hAnsi="Times New Roman" w:eastAsia="宋体" w:cs="Times New Roman"/>
        </w:rPr>
        <w:t>/a，供水量为1万m</w:t>
      </w:r>
      <w:r>
        <w:rPr>
          <w:rFonts w:ascii="Times New Roman" w:hAnsi="Times New Roman" w:eastAsia="宋体" w:cs="Times New Roman"/>
          <w:vertAlign w:val="superscript"/>
        </w:rPr>
        <w:t>3</w:t>
      </w:r>
      <w:r>
        <w:rPr>
          <w:rFonts w:ascii="Times New Roman" w:hAnsi="Times New Roman" w:eastAsia="宋体" w:cs="Times New Roman"/>
        </w:rPr>
        <w:t>/d，工程规模为中型，目前无供水，设计服务人口约3000人。</w:t>
      </w:r>
    </w:p>
    <w:p>
      <w:pPr>
        <w:pStyle w:val="573"/>
        <w:numPr>
          <w:ilvl w:val="0"/>
          <w:numId w:val="7"/>
        </w:numPr>
        <w:spacing w:line="440" w:lineRule="exact"/>
        <w:ind w:firstLine="480"/>
        <w:jc w:val="both"/>
        <w:rPr>
          <w:rFonts w:ascii="Times New Roman" w:hAnsi="Times New Roman" w:eastAsia="宋体" w:cs="Times New Roman"/>
        </w:rPr>
      </w:pPr>
      <w:r>
        <w:rPr>
          <w:rFonts w:ascii="Times New Roman" w:hAnsi="Times New Roman" w:eastAsia="宋体" w:cs="Times New Roman"/>
        </w:rPr>
        <w:t>保护区划定方案</w:t>
      </w:r>
    </w:p>
    <w:p>
      <w:pPr>
        <w:spacing w:line="440" w:lineRule="exact"/>
        <w:ind w:firstLine="480" w:firstLineChars="200"/>
        <w:rPr>
          <w:rFonts w:ascii="Times New Roman" w:hAnsi="Times New Roman"/>
          <w:szCs w:val="24"/>
        </w:rPr>
      </w:pPr>
      <w:r>
        <w:rPr>
          <w:rFonts w:ascii="Times New Roman" w:hAnsi="Times New Roman"/>
          <w:szCs w:val="24"/>
        </w:rPr>
        <w:t>一级保护区：分别以水源井为圆心，50m为半径的圆的外切线所形成的13个正方形区域。保护区总面积0.13km</w:t>
      </w:r>
      <w:r>
        <w:rPr>
          <w:rFonts w:ascii="Times New Roman" w:hAnsi="Times New Roman"/>
          <w:szCs w:val="24"/>
          <w:vertAlign w:val="superscript"/>
        </w:rPr>
        <w:t>2</w:t>
      </w:r>
      <w:r>
        <w:rPr>
          <w:rFonts w:ascii="Times New Roman" w:hAnsi="Times New Roman"/>
          <w:szCs w:val="24"/>
        </w:rPr>
        <w:t>。</w:t>
      </w:r>
    </w:p>
    <w:p>
      <w:pPr>
        <w:pStyle w:val="573"/>
        <w:numPr>
          <w:ilvl w:val="0"/>
          <w:numId w:val="6"/>
        </w:numPr>
        <w:spacing w:line="440" w:lineRule="exact"/>
        <w:ind w:firstLine="482"/>
        <w:jc w:val="both"/>
        <w:rPr>
          <w:rFonts w:ascii="Times New Roman" w:hAnsi="Times New Roman" w:eastAsia="宋体" w:cs="Times New Roman"/>
          <w:b/>
          <w:bCs w:val="0"/>
        </w:rPr>
      </w:pPr>
      <w:r>
        <w:rPr>
          <w:rFonts w:ascii="Times New Roman" w:hAnsi="Times New Roman" w:eastAsia="宋体" w:cs="Times New Roman"/>
          <w:b/>
          <w:bCs w:val="0"/>
        </w:rPr>
        <w:t>伊金霍洛旗红庆河镇哈达图淖尔水源地</w:t>
      </w:r>
    </w:p>
    <w:p>
      <w:pPr>
        <w:pStyle w:val="573"/>
        <w:numPr>
          <w:ilvl w:val="255"/>
          <w:numId w:val="0"/>
        </w:numPr>
        <w:spacing w:line="440" w:lineRule="exact"/>
        <w:ind w:firstLine="480" w:firstLineChars="200"/>
        <w:jc w:val="both"/>
        <w:rPr>
          <w:rFonts w:ascii="Times New Roman" w:hAnsi="Times New Roman" w:eastAsia="宋体" w:cs="Times New Roman"/>
        </w:rPr>
      </w:pPr>
      <w:r>
        <w:rPr>
          <w:rFonts w:ascii="Times New Roman" w:hAnsi="Times New Roman" w:eastAsia="宋体" w:cs="Times New Roman"/>
        </w:rPr>
        <w:t>1）基本情况</w:t>
      </w:r>
    </w:p>
    <w:p>
      <w:pPr>
        <w:pStyle w:val="336"/>
        <w:tabs>
          <w:tab w:val="left" w:pos="1080"/>
        </w:tabs>
        <w:spacing w:line="440" w:lineRule="exact"/>
        <w:ind w:firstLine="480"/>
        <w:rPr>
          <w:rFonts w:ascii="Times New Roman" w:hAnsi="Times New Roman"/>
          <w:bCs/>
          <w:sz w:val="24"/>
          <w:szCs w:val="24"/>
        </w:rPr>
      </w:pPr>
      <w:r>
        <w:rPr>
          <w:rFonts w:ascii="Times New Roman" w:hAnsi="Times New Roman"/>
          <w:bCs/>
          <w:sz w:val="24"/>
          <w:szCs w:val="24"/>
        </w:rPr>
        <w:t>红庆河镇哈达图淖尔水源地位于伊金霍洛旗红庆河镇哈达图淖尔村，水源地供水人口约2000人，主要为</w:t>
      </w:r>
      <w:r>
        <w:rPr>
          <w:rFonts w:ascii="Times New Roman" w:hAnsi="Times New Roman"/>
          <w:sz w:val="24"/>
          <w:szCs w:val="24"/>
        </w:rPr>
        <w:t>红庆河镇集镇区、黑</w:t>
      </w:r>
      <w:r>
        <w:rPr>
          <w:rFonts w:ascii="Times New Roman" w:hAnsi="Times New Roman"/>
          <w:bCs/>
          <w:sz w:val="24"/>
          <w:szCs w:val="24"/>
        </w:rPr>
        <w:t>炭</w:t>
      </w:r>
      <w:r>
        <w:rPr>
          <w:rFonts w:ascii="Times New Roman" w:hAnsi="Times New Roman"/>
          <w:sz w:val="24"/>
          <w:szCs w:val="24"/>
        </w:rPr>
        <w:t>淖尔村、乌兰淖尔村</w:t>
      </w:r>
      <w:r>
        <w:rPr>
          <w:rFonts w:ascii="Times New Roman" w:hAnsi="Times New Roman"/>
          <w:bCs/>
          <w:sz w:val="24"/>
          <w:szCs w:val="24"/>
        </w:rPr>
        <w:t>供水，采用潜水泵进行提水，通过地下管网输送到各用户</w:t>
      </w:r>
      <w:r>
        <w:rPr>
          <w:rFonts w:ascii="Times New Roman" w:hAnsi="Times New Roman"/>
          <w:sz w:val="24"/>
          <w:szCs w:val="24"/>
        </w:rPr>
        <w:t>。</w:t>
      </w:r>
      <w:r>
        <w:rPr>
          <w:rFonts w:ascii="Times New Roman" w:hAnsi="Times New Roman"/>
          <w:bCs/>
          <w:sz w:val="24"/>
          <w:szCs w:val="24"/>
        </w:rPr>
        <w:t>水源地建成于2018年5月并正式开始供水，</w:t>
      </w:r>
      <w:r>
        <w:rPr>
          <w:rFonts w:ascii="Times New Roman" w:hAnsi="Times New Roman"/>
          <w:sz w:val="24"/>
          <w:szCs w:val="24"/>
        </w:rPr>
        <w:t>设计供水量9.78万m</w:t>
      </w:r>
      <w:r>
        <w:rPr>
          <w:rFonts w:ascii="Times New Roman" w:hAnsi="Times New Roman"/>
          <w:sz w:val="24"/>
          <w:szCs w:val="24"/>
          <w:vertAlign w:val="superscript"/>
        </w:rPr>
        <w:t>3</w:t>
      </w:r>
      <w:r>
        <w:rPr>
          <w:rFonts w:ascii="Times New Roman" w:hAnsi="Times New Roman"/>
          <w:sz w:val="24"/>
          <w:szCs w:val="24"/>
        </w:rPr>
        <w:t>/a</w:t>
      </w:r>
      <w:r>
        <w:rPr>
          <w:rFonts w:ascii="Times New Roman" w:hAnsi="Times New Roman"/>
          <w:bCs/>
          <w:sz w:val="24"/>
          <w:szCs w:val="24"/>
        </w:rPr>
        <w:t>。水源地共有</w:t>
      </w:r>
      <w:r>
        <w:rPr>
          <w:rFonts w:ascii="Times New Roman" w:hAnsi="Times New Roman"/>
          <w:sz w:val="24"/>
          <w:szCs w:val="24"/>
        </w:rPr>
        <w:t>水源井</w:t>
      </w:r>
      <w:r>
        <w:rPr>
          <w:rFonts w:ascii="Times New Roman" w:hAnsi="Times New Roman"/>
          <w:bCs/>
          <w:sz w:val="24"/>
          <w:szCs w:val="24"/>
        </w:rPr>
        <w:t>2眼，均位于纳林希里井田内，井深350m，</w:t>
      </w:r>
      <w:r>
        <w:rPr>
          <w:rFonts w:ascii="Times New Roman" w:hAnsi="Times New Roman"/>
          <w:sz w:val="24"/>
          <w:szCs w:val="24"/>
        </w:rPr>
        <w:t>取水方式为水源水直接通过加压泵加压送至黑炭淖尔水厂，再经输水管道输自流送至</w:t>
      </w:r>
      <w:r>
        <w:rPr>
          <w:rFonts w:ascii="Times New Roman" w:hAnsi="Times New Roman"/>
          <w:bCs/>
          <w:sz w:val="24"/>
          <w:szCs w:val="24"/>
        </w:rPr>
        <w:t>红庆河镇区及黑炭淖尔、乌兰淖尔村</w:t>
      </w:r>
      <w:r>
        <w:rPr>
          <w:rFonts w:ascii="Times New Roman" w:hAnsi="Times New Roman"/>
          <w:sz w:val="24"/>
          <w:szCs w:val="24"/>
        </w:rPr>
        <w:t>用水户。</w:t>
      </w:r>
    </w:p>
    <w:p>
      <w:pPr>
        <w:pStyle w:val="573"/>
        <w:numPr>
          <w:ilvl w:val="255"/>
          <w:numId w:val="0"/>
        </w:numPr>
        <w:spacing w:line="440" w:lineRule="exact"/>
        <w:ind w:firstLine="480"/>
        <w:jc w:val="both"/>
        <w:rPr>
          <w:rFonts w:ascii="Times New Roman" w:hAnsi="Times New Roman" w:eastAsia="宋体" w:cs="Times New Roman"/>
        </w:rPr>
      </w:pPr>
      <w:r>
        <w:rPr>
          <w:rFonts w:ascii="Times New Roman" w:hAnsi="Times New Roman" w:eastAsia="宋体" w:cs="Times New Roman"/>
        </w:rPr>
        <w:t>2）保护区划定方案</w:t>
      </w:r>
    </w:p>
    <w:p>
      <w:pPr>
        <w:spacing w:line="440" w:lineRule="exact"/>
        <w:ind w:firstLine="480"/>
        <w:rPr>
          <w:rFonts w:ascii="Times New Roman" w:hAnsi="Times New Roman"/>
        </w:rPr>
      </w:pPr>
      <w:r>
        <w:rPr>
          <w:rFonts w:ascii="Times New Roman" w:hAnsi="Times New Roman"/>
          <w:szCs w:val="24"/>
        </w:rPr>
        <w:t>红庆河镇哈达图淖尔水源地属中小型水源地，一级保护区分别以各水源井为圆心，30m为半径圆的外切线所形成的2个正方形区域，一级保护区面积：0.0072km</w:t>
      </w:r>
      <w:r>
        <w:rPr>
          <w:rFonts w:ascii="Times New Roman" w:hAnsi="Times New Roman"/>
          <w:szCs w:val="24"/>
          <w:vertAlign w:val="superscript"/>
        </w:rPr>
        <w:t>2</w:t>
      </w:r>
      <w:r>
        <w:rPr>
          <w:rFonts w:ascii="Times New Roman" w:hAnsi="Times New Roman"/>
          <w:szCs w:val="24"/>
        </w:rPr>
        <w:t>。</w:t>
      </w:r>
    </w:p>
    <w:p>
      <w:pPr>
        <w:pStyle w:val="5"/>
        <w:spacing w:before="120" w:after="120" w:line="440" w:lineRule="exact"/>
        <w:rPr>
          <w:sz w:val="24"/>
        </w:rPr>
      </w:pPr>
      <w:r>
        <w:rPr>
          <w:sz w:val="24"/>
        </w:rPr>
        <w:t>1.5.3公益林</w:t>
      </w:r>
    </w:p>
    <w:p>
      <w:pPr>
        <w:spacing w:line="440" w:lineRule="exact"/>
        <w:ind w:firstLine="480" w:firstLineChars="200"/>
        <w:rPr>
          <w:rFonts w:ascii="Times New Roman" w:hAnsi="Times New Roman"/>
        </w:rPr>
      </w:pPr>
      <w:r>
        <w:rPr>
          <w:rFonts w:ascii="Times New Roman" w:hAnsi="Times New Roman"/>
          <w:bCs/>
          <w:kern w:val="0"/>
        </w:rPr>
        <w:t>评价区内国家级公益林面积304.60km</w:t>
      </w:r>
      <w:r>
        <w:rPr>
          <w:rFonts w:ascii="Times New Roman" w:hAnsi="Times New Roman"/>
          <w:bCs/>
          <w:kern w:val="0"/>
          <w:vertAlign w:val="superscript"/>
        </w:rPr>
        <w:t>2</w:t>
      </w:r>
      <w:r>
        <w:rPr>
          <w:rFonts w:ascii="Times New Roman" w:hAnsi="Times New Roman"/>
          <w:bCs/>
          <w:kern w:val="0"/>
        </w:rPr>
        <w:t>，其中一级国家级公益林9.98km</w:t>
      </w:r>
      <w:r>
        <w:rPr>
          <w:rFonts w:ascii="Times New Roman" w:hAnsi="Times New Roman"/>
          <w:bCs/>
          <w:kern w:val="0"/>
          <w:vertAlign w:val="superscript"/>
        </w:rPr>
        <w:t>2</w:t>
      </w:r>
      <w:r>
        <w:rPr>
          <w:rFonts w:ascii="Times New Roman" w:hAnsi="Times New Roman"/>
          <w:bCs/>
          <w:kern w:val="0"/>
        </w:rPr>
        <w:t>，二级国家级公益林294.62km</w:t>
      </w:r>
      <w:r>
        <w:rPr>
          <w:rFonts w:ascii="Times New Roman" w:hAnsi="Times New Roman"/>
          <w:bCs/>
          <w:kern w:val="0"/>
          <w:vertAlign w:val="superscript"/>
        </w:rPr>
        <w:t>2</w:t>
      </w:r>
      <w:r>
        <w:rPr>
          <w:rFonts w:ascii="Times New Roman" w:hAnsi="Times New Roman"/>
          <w:bCs/>
          <w:kern w:val="0"/>
        </w:rPr>
        <w:t>。矿区内国家级公益林面积191.29km</w:t>
      </w:r>
      <w:r>
        <w:rPr>
          <w:rFonts w:ascii="Times New Roman" w:hAnsi="Times New Roman"/>
          <w:bCs/>
          <w:kern w:val="0"/>
          <w:vertAlign w:val="superscript"/>
        </w:rPr>
        <w:t>2</w:t>
      </w:r>
      <w:r>
        <w:rPr>
          <w:rFonts w:ascii="Times New Roman" w:hAnsi="Times New Roman"/>
          <w:bCs/>
          <w:kern w:val="0"/>
        </w:rPr>
        <w:t>，全部为二级国家级公益林。各井田公益林分布情况详见3.5.4.2节。</w:t>
      </w:r>
    </w:p>
    <w:p>
      <w:pPr>
        <w:pStyle w:val="5"/>
        <w:spacing w:before="120" w:after="120" w:line="440" w:lineRule="exact"/>
        <w:rPr>
          <w:sz w:val="24"/>
        </w:rPr>
      </w:pPr>
      <w:r>
        <w:rPr>
          <w:sz w:val="24"/>
        </w:rPr>
        <w:t>1.5.4基本草原</w:t>
      </w:r>
    </w:p>
    <w:p>
      <w:pPr>
        <w:spacing w:line="440" w:lineRule="exact"/>
        <w:ind w:firstLine="480" w:firstLineChars="200"/>
        <w:rPr>
          <w:rFonts w:ascii="Times New Roman" w:hAnsi="Times New Roman"/>
        </w:rPr>
      </w:pPr>
      <w:r>
        <w:rPr>
          <w:rFonts w:ascii="Times New Roman" w:hAnsi="Times New Roman"/>
          <w:bCs/>
          <w:kern w:val="0"/>
        </w:rPr>
        <w:t>根据本次评价从鄂尔多斯市林草局收集到的基本草原资料，评价区内基本草原面积267.37km</w:t>
      </w:r>
      <w:r>
        <w:rPr>
          <w:rFonts w:ascii="Times New Roman" w:hAnsi="Times New Roman"/>
          <w:bCs/>
          <w:kern w:val="0"/>
          <w:vertAlign w:val="superscript"/>
        </w:rPr>
        <w:t>2</w:t>
      </w:r>
      <w:r>
        <w:rPr>
          <w:rFonts w:ascii="Times New Roman" w:hAnsi="Times New Roman"/>
          <w:bCs/>
          <w:kern w:val="0"/>
        </w:rPr>
        <w:t>，矿区内基本草原面积184.83km</w:t>
      </w:r>
      <w:r>
        <w:rPr>
          <w:rFonts w:ascii="Times New Roman" w:hAnsi="Times New Roman"/>
          <w:bCs/>
          <w:kern w:val="0"/>
          <w:vertAlign w:val="superscript"/>
        </w:rPr>
        <w:t>2</w:t>
      </w:r>
      <w:r>
        <w:rPr>
          <w:rFonts w:ascii="Times New Roman" w:hAnsi="Times New Roman"/>
          <w:bCs/>
          <w:kern w:val="0"/>
        </w:rPr>
        <w:t>。各井田基本草原分布情况详见3.5.4.3节。</w:t>
      </w:r>
    </w:p>
    <w:p>
      <w:pPr>
        <w:pStyle w:val="5"/>
        <w:spacing w:before="120" w:after="120" w:line="440" w:lineRule="exact"/>
        <w:rPr>
          <w:sz w:val="24"/>
        </w:rPr>
      </w:pPr>
      <w:r>
        <w:rPr>
          <w:sz w:val="24"/>
        </w:rPr>
        <w:t>1.5.5永久基本农田</w:t>
      </w:r>
    </w:p>
    <w:p>
      <w:pPr>
        <w:spacing w:line="440" w:lineRule="exact"/>
        <w:ind w:firstLine="480" w:firstLineChars="200"/>
        <w:rPr>
          <w:rFonts w:ascii="Times New Roman" w:hAnsi="Times New Roman"/>
          <w:bCs/>
          <w:kern w:val="0"/>
        </w:rPr>
      </w:pPr>
      <w:r>
        <w:rPr>
          <w:rFonts w:ascii="Times New Roman" w:hAnsi="Times New Roman"/>
          <w:bCs/>
          <w:kern w:val="0"/>
        </w:rPr>
        <w:t>根据国土局收集的土地利用总体规划，评价区内永久基本农田面积34.10km</w:t>
      </w:r>
      <w:r>
        <w:rPr>
          <w:rFonts w:ascii="Times New Roman" w:hAnsi="Times New Roman"/>
          <w:bCs/>
          <w:kern w:val="0"/>
          <w:vertAlign w:val="superscript"/>
        </w:rPr>
        <w:t>2</w:t>
      </w:r>
      <w:r>
        <w:rPr>
          <w:rFonts w:ascii="Times New Roman" w:hAnsi="Times New Roman"/>
          <w:bCs/>
          <w:kern w:val="0"/>
        </w:rPr>
        <w:t>，矿区内永久基本农田面积27.18km</w:t>
      </w:r>
      <w:r>
        <w:rPr>
          <w:rFonts w:ascii="Times New Roman" w:hAnsi="Times New Roman"/>
          <w:bCs/>
          <w:kern w:val="0"/>
          <w:vertAlign w:val="superscript"/>
        </w:rPr>
        <w:t>2</w:t>
      </w:r>
      <w:r>
        <w:rPr>
          <w:rFonts w:ascii="Times New Roman" w:hAnsi="Times New Roman"/>
          <w:bCs/>
          <w:kern w:val="0"/>
        </w:rPr>
        <w:t>。各井田永久基本农田分布情况详见3.5.4.1节。</w:t>
      </w:r>
    </w:p>
    <w:p>
      <w:pPr>
        <w:pStyle w:val="5"/>
        <w:spacing w:before="120" w:after="120" w:line="440" w:lineRule="exact"/>
        <w:rPr>
          <w:sz w:val="24"/>
        </w:rPr>
      </w:pPr>
      <w:r>
        <w:rPr>
          <w:sz w:val="24"/>
        </w:rPr>
        <w:t>1.5.6文物</w:t>
      </w:r>
    </w:p>
    <w:p>
      <w:pPr>
        <w:spacing w:line="440" w:lineRule="exact"/>
        <w:ind w:firstLine="480" w:firstLineChars="200"/>
        <w:rPr>
          <w:rFonts w:ascii="Times New Roman" w:hAnsi="Times New Roman"/>
          <w:bCs/>
          <w:kern w:val="0"/>
        </w:rPr>
      </w:pPr>
      <w:r>
        <w:rPr>
          <w:rFonts w:ascii="Times New Roman" w:hAnsi="Times New Roman"/>
          <w:bCs/>
          <w:kern w:val="0"/>
        </w:rPr>
        <w:t>根据《鄂尔多斯市文化和旅游局关于纳林希里矿区选址范围内有关文物保护的函》，本矿区规划范围及周边涉及26处文物遗迹，见表1.5-2，图1.5-3，其中乌兰敖包城址为市级重点文物保护单位。</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spacing w:line="440" w:lineRule="exact"/>
        <w:jc w:val="center"/>
        <w:rPr>
          <w:rFonts w:ascii="Times New Roman" w:hAnsi="Times New Roman"/>
          <w:b/>
          <w:kern w:val="0"/>
        </w:rPr>
      </w:pPr>
      <w:r>
        <w:rPr>
          <w:rFonts w:ascii="Times New Roman" w:hAnsi="Times New Roman"/>
          <w:b/>
          <w:kern w:val="0"/>
        </w:rPr>
        <w:t>矿区涉及文物一揽表</w:t>
      </w:r>
    </w:p>
    <w:p>
      <w:pPr>
        <w:spacing w:line="440" w:lineRule="exact"/>
        <w:rPr>
          <w:rFonts w:ascii="Times New Roman" w:hAnsi="Times New Roman"/>
          <w:bCs/>
          <w:kern w:val="0"/>
        </w:rPr>
      </w:pPr>
      <w:r>
        <w:rPr>
          <w:rFonts w:ascii="Times New Roman" w:hAnsi="Times New Roman"/>
          <w:bCs/>
          <w:kern w:val="0"/>
        </w:rPr>
        <w:t>表1.5-2</w:t>
      </w:r>
    </w:p>
    <w:tbl>
      <w:tblPr>
        <w:tblStyle w:val="60"/>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8"/>
        <w:gridCol w:w="2376"/>
        <w:gridCol w:w="1857"/>
        <w:gridCol w:w="1858"/>
        <w:gridCol w:w="1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8" w:type="dxa"/>
            <w:vMerge w:val="restart"/>
            <w:vAlign w:val="center"/>
          </w:tcPr>
          <w:p>
            <w:pPr>
              <w:jc w:val="center"/>
              <w:rPr>
                <w:rFonts w:ascii="Times New Roman" w:hAnsi="Times New Roman"/>
                <w:bCs/>
                <w:kern w:val="0"/>
                <w:sz w:val="21"/>
                <w:szCs w:val="21"/>
              </w:rPr>
            </w:pPr>
            <w:r>
              <w:rPr>
                <w:rFonts w:ascii="Times New Roman" w:hAnsi="Times New Roman"/>
                <w:bCs/>
                <w:kern w:val="0"/>
                <w:sz w:val="21"/>
                <w:szCs w:val="21"/>
              </w:rPr>
              <w:t>序号</w:t>
            </w:r>
          </w:p>
        </w:tc>
        <w:tc>
          <w:tcPr>
            <w:tcW w:w="2376" w:type="dxa"/>
            <w:vMerge w:val="restart"/>
            <w:vAlign w:val="center"/>
          </w:tcPr>
          <w:p>
            <w:pPr>
              <w:jc w:val="center"/>
              <w:rPr>
                <w:rFonts w:ascii="Times New Roman" w:hAnsi="Times New Roman"/>
                <w:bCs/>
                <w:kern w:val="0"/>
                <w:sz w:val="21"/>
                <w:szCs w:val="21"/>
              </w:rPr>
            </w:pPr>
            <w:r>
              <w:rPr>
                <w:rFonts w:ascii="Times New Roman" w:hAnsi="Times New Roman"/>
                <w:bCs/>
                <w:kern w:val="0"/>
                <w:sz w:val="21"/>
                <w:szCs w:val="21"/>
              </w:rPr>
              <w:t>名称</w:t>
            </w:r>
          </w:p>
        </w:tc>
        <w:tc>
          <w:tcPr>
            <w:tcW w:w="1857" w:type="dxa"/>
            <w:vMerge w:val="restart"/>
            <w:vAlign w:val="center"/>
          </w:tcPr>
          <w:p>
            <w:pPr>
              <w:jc w:val="center"/>
              <w:rPr>
                <w:rFonts w:ascii="Times New Roman" w:hAnsi="Times New Roman"/>
                <w:bCs/>
                <w:kern w:val="0"/>
                <w:sz w:val="21"/>
                <w:szCs w:val="21"/>
              </w:rPr>
            </w:pPr>
            <w:r>
              <w:rPr>
                <w:rFonts w:ascii="Times New Roman" w:hAnsi="Times New Roman"/>
                <w:bCs/>
                <w:kern w:val="0"/>
                <w:sz w:val="21"/>
                <w:szCs w:val="21"/>
              </w:rPr>
              <w:t>所属井田</w:t>
            </w:r>
          </w:p>
        </w:tc>
        <w:tc>
          <w:tcPr>
            <w:tcW w:w="3716" w:type="dxa"/>
            <w:gridSpan w:val="2"/>
            <w:vAlign w:val="center"/>
          </w:tcPr>
          <w:p>
            <w:pPr>
              <w:jc w:val="center"/>
              <w:rPr>
                <w:rFonts w:ascii="Times New Roman" w:hAnsi="Times New Roman"/>
                <w:bCs/>
                <w:kern w:val="0"/>
                <w:sz w:val="21"/>
                <w:szCs w:val="21"/>
              </w:rPr>
            </w:pPr>
            <w:r>
              <w:rPr>
                <w:rFonts w:ascii="Times New Roman" w:hAnsi="Times New Roman"/>
                <w:bCs/>
                <w:kern w:val="0"/>
                <w:sz w:val="21"/>
                <w:szCs w:val="21"/>
              </w:rPr>
              <w:t>中心点坐标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vMerge w:val="continue"/>
            <w:vAlign w:val="center"/>
          </w:tcPr>
          <w:p>
            <w:pPr>
              <w:jc w:val="center"/>
              <w:rPr>
                <w:rFonts w:ascii="Times New Roman" w:hAnsi="Times New Roman"/>
                <w:bCs/>
                <w:kern w:val="0"/>
                <w:sz w:val="21"/>
                <w:szCs w:val="21"/>
              </w:rPr>
            </w:pPr>
          </w:p>
        </w:tc>
        <w:tc>
          <w:tcPr>
            <w:tcW w:w="2376" w:type="dxa"/>
            <w:vMerge w:val="continue"/>
            <w:vAlign w:val="center"/>
          </w:tcPr>
          <w:p>
            <w:pPr>
              <w:jc w:val="center"/>
              <w:rPr>
                <w:rFonts w:ascii="Times New Roman" w:hAnsi="Times New Roman"/>
                <w:bCs/>
                <w:kern w:val="0"/>
                <w:sz w:val="21"/>
                <w:szCs w:val="21"/>
              </w:rPr>
            </w:pPr>
          </w:p>
        </w:tc>
        <w:tc>
          <w:tcPr>
            <w:tcW w:w="1857" w:type="dxa"/>
            <w:vMerge w:val="continue"/>
            <w:vAlign w:val="center"/>
          </w:tcPr>
          <w:p>
            <w:pPr>
              <w:jc w:val="center"/>
              <w:rPr>
                <w:rFonts w:ascii="Times New Roman" w:hAnsi="Times New Roman"/>
                <w:bCs/>
                <w:kern w:val="0"/>
                <w:sz w:val="21"/>
                <w:szCs w:val="21"/>
              </w:rPr>
            </w:pPr>
          </w:p>
        </w:tc>
        <w:tc>
          <w:tcPr>
            <w:tcW w:w="1858" w:type="dxa"/>
            <w:vAlign w:val="center"/>
          </w:tcPr>
          <w:p>
            <w:pPr>
              <w:jc w:val="center"/>
              <w:rPr>
                <w:rFonts w:ascii="Times New Roman" w:hAnsi="Times New Roman"/>
                <w:bCs/>
                <w:kern w:val="0"/>
                <w:sz w:val="21"/>
                <w:szCs w:val="21"/>
              </w:rPr>
            </w:pPr>
            <w:r>
              <w:rPr>
                <w:rFonts w:ascii="Times New Roman" w:hAnsi="Times New Roman"/>
                <w:bCs/>
                <w:kern w:val="0"/>
                <w:sz w:val="21"/>
                <w:szCs w:val="21"/>
              </w:rPr>
              <w:t>东经</w:t>
            </w:r>
          </w:p>
        </w:tc>
        <w:tc>
          <w:tcPr>
            <w:tcW w:w="1858" w:type="dxa"/>
            <w:vAlign w:val="center"/>
          </w:tcPr>
          <w:p>
            <w:pPr>
              <w:jc w:val="center"/>
              <w:rPr>
                <w:rFonts w:ascii="Times New Roman" w:hAnsi="Times New Roman"/>
                <w:bCs/>
                <w:kern w:val="0"/>
                <w:sz w:val="21"/>
                <w:szCs w:val="21"/>
              </w:rPr>
            </w:pPr>
            <w:r>
              <w:rPr>
                <w:rFonts w:ascii="Times New Roman" w:hAnsi="Times New Roman"/>
                <w:bCs/>
                <w:kern w:val="0"/>
                <w:sz w:val="21"/>
                <w:szCs w:val="21"/>
              </w:rPr>
              <w:t>北纬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其日嘎墓群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109.17045</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39.70945278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2</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小乌兰敖包遗址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109.2643056</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39.58019444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3</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敏盖四社墓群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壕赖苏井田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109.3546944</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39.54861111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4</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诺干布拉格遗址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壕赖苏井田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109.3938056</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39.45719444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5</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乌素家坝墓群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矿区边界东侧</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109.3443333</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39.70411111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6</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尖山墓群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矿区边界东侧</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109.3546944</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39.70269444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7</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公苏壕墓群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109.2076944</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39.66580556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8</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西沙梁墓群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109.292</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39.65230556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9</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色拉圪台北墓群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奎腾沟井田、苏布尔噶井田交界处</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109.2768056</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39.648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10</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色拉圪台南墓群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奎腾沟井田、苏布尔噶井田交界处</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109.2755</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39.64719444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11</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苏勒德敖包</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苏布尔噶井田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109.3183056</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39.62569444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12</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苏泊汗大队旧址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苏布尔噶井田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109.317</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39.62097222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13</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查干苏卜日格庙</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苏布尔噶井田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109.3135</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39.6175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14</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红石头梁墓群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矿区边界东侧</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109.4246111</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39.62719444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15</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乌兰敖包</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109.2086944</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39.56969444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16</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乌兰敖包二社圪旦遗址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109.2551111</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39.5675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17</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乌兰敖包三社遗址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109.2628889</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39.55180556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18</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乌兰敖包城址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109.2266111</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39.55138889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19</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袁家坡墓群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109.2068056</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39.52088889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20</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敏盖敖包墓群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壕赖苏井田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109.3946111</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39.49188889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21</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谢家坡墓群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109.2611944</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39.47011111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22</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社房圪台墓群</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109.1878056</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39.437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23</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塌土崖遗址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109.1953889</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39.42669444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24</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沙圪旦遗址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109.2118889</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39.42011111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25</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乌兰淖遗址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纳林希里井田</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109.283</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39.42569444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38" w:type="dxa"/>
            <w:vAlign w:val="center"/>
          </w:tcPr>
          <w:p>
            <w:pPr>
              <w:jc w:val="center"/>
              <w:rPr>
                <w:rFonts w:ascii="Times New Roman" w:hAnsi="Times New Roman"/>
                <w:bCs/>
                <w:kern w:val="0"/>
                <w:sz w:val="21"/>
                <w:szCs w:val="21"/>
              </w:rPr>
            </w:pPr>
            <w:r>
              <w:rPr>
                <w:rFonts w:ascii="Times New Roman" w:hAnsi="Times New Roman"/>
                <w:bCs/>
                <w:kern w:val="0"/>
                <w:sz w:val="21"/>
                <w:szCs w:val="21"/>
              </w:rPr>
              <w:t>26</w:t>
            </w:r>
          </w:p>
        </w:tc>
        <w:tc>
          <w:tcPr>
            <w:tcW w:w="237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杨滩遗址</w:t>
            </w:r>
          </w:p>
        </w:tc>
        <w:tc>
          <w:tcPr>
            <w:tcW w:w="1857"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109.2688056</w:t>
            </w:r>
          </w:p>
        </w:tc>
        <w:tc>
          <w:tcPr>
            <w:tcW w:w="1858"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39.41963889</w:t>
            </w:r>
          </w:p>
        </w:tc>
      </w:tr>
    </w:tbl>
    <w:p>
      <w:pPr>
        <w:pStyle w:val="5"/>
        <w:spacing w:before="120" w:after="120" w:line="440" w:lineRule="exact"/>
        <w:rPr>
          <w:sz w:val="24"/>
        </w:rPr>
      </w:pPr>
      <w:bookmarkStart w:id="45" w:name="_Toc10541"/>
      <w:bookmarkStart w:id="46" w:name="_Toc23519321"/>
      <w:bookmarkStart w:id="47" w:name="_Toc2531"/>
      <w:bookmarkStart w:id="48" w:name="_Toc437006586"/>
      <w:r>
        <w:rPr>
          <w:sz w:val="24"/>
        </w:rPr>
        <w:t>1.5.7天然气井</w:t>
      </w:r>
    </w:p>
    <w:p>
      <w:pPr>
        <w:spacing w:line="440" w:lineRule="exact"/>
        <w:ind w:firstLine="480" w:firstLineChars="200"/>
        <w:rPr>
          <w:rFonts w:ascii="Times New Roman" w:hAnsi="Times New Roman"/>
        </w:rPr>
      </w:pPr>
      <w:bookmarkStart w:id="49" w:name="_Hlk124759826"/>
      <w:r>
        <w:rPr>
          <w:rFonts w:ascii="Times New Roman" w:hAnsi="Times New Roman"/>
        </w:rPr>
        <w:t>纳林希里矿区范围涉及两块气田，分别为东胜气田及苏格里气田。其中苏布尔噶井田范围与东胜气田2处</w:t>
      </w:r>
      <w:r>
        <w:rPr>
          <w:rFonts w:hint="eastAsia" w:ascii="Times New Roman" w:hAnsi="Times New Roman"/>
        </w:rPr>
        <w:t>预留</w:t>
      </w:r>
      <w:r>
        <w:rPr>
          <w:rFonts w:ascii="Times New Roman" w:hAnsi="Times New Roman"/>
        </w:rPr>
        <w:t>天然气勘查区域范围部分重叠（见图1.5-4），北侧重叠区域面积为6.16km</w:t>
      </w:r>
      <w:r>
        <w:rPr>
          <w:rFonts w:ascii="Times New Roman" w:hAnsi="Times New Roman"/>
          <w:vertAlign w:val="superscript"/>
        </w:rPr>
        <w:t>2</w:t>
      </w:r>
      <w:r>
        <w:rPr>
          <w:rFonts w:ascii="Times New Roman" w:hAnsi="Times New Roman"/>
        </w:rPr>
        <w:t>，南侧重叠区域面积6.93km</w:t>
      </w:r>
      <w:r>
        <w:rPr>
          <w:rFonts w:ascii="Times New Roman" w:hAnsi="Times New Roman"/>
          <w:vertAlign w:val="superscript"/>
        </w:rPr>
        <w:t>2</w:t>
      </w:r>
      <w:r>
        <w:rPr>
          <w:rFonts w:hint="eastAsia" w:ascii="Times New Roman" w:hAnsi="Times New Roman"/>
        </w:rPr>
        <w:t>，涉及3眼勘探井，目前尚未进行开采工作。</w:t>
      </w:r>
      <w:r>
        <w:rPr>
          <w:rFonts w:ascii="Times New Roman" w:hAnsi="Times New Roman"/>
        </w:rPr>
        <w:t>东胜气田所属建设单位为中国石油化工股份有限公司华北油气分公司，现双方已签订《关于东胜气田采矿权与鄂尔多斯市东胜煤田纳林希里矿区苏布尔噶井田探矿权范围重叠的安全生产和权益保护协议》。</w:t>
      </w:r>
    </w:p>
    <w:p>
      <w:pPr>
        <w:spacing w:line="440" w:lineRule="exact"/>
        <w:ind w:firstLine="480" w:firstLineChars="200"/>
        <w:rPr>
          <w:rFonts w:ascii="Times New Roman" w:hAnsi="Times New Roman"/>
        </w:rPr>
      </w:pPr>
      <w:r>
        <w:rPr>
          <w:rFonts w:ascii="Times New Roman" w:hAnsi="Times New Roman"/>
        </w:rPr>
        <w:t>纳林希里井田范围在苏里格气田范围内，涉及10处天然气井井口，</w:t>
      </w:r>
      <w:r>
        <w:rPr>
          <w:rFonts w:hint="eastAsia" w:ascii="Times New Roman" w:hAnsi="Times New Roman"/>
        </w:rPr>
        <w:t>正在开发，</w:t>
      </w:r>
      <w:r>
        <w:rPr>
          <w:rFonts w:ascii="Times New Roman" w:hAnsi="Times New Roman"/>
        </w:rPr>
        <w:t>苏里格气田所属开发建设单位为中国石油长庆油田分公司，目前双方已签订《矿权重叠区域资源勘查互不影响和权益保护协议》。</w:t>
      </w:r>
    </w:p>
    <w:bookmarkEnd w:id="49"/>
    <w:p>
      <w:pPr>
        <w:pStyle w:val="4"/>
        <w:snapToGrid w:val="0"/>
        <w:spacing w:line="440" w:lineRule="exact"/>
        <w:jc w:val="left"/>
        <w:rPr>
          <w:rFonts w:ascii="Times New Roman" w:hAnsi="Times New Roman" w:eastAsia="宋体"/>
          <w:sz w:val="28"/>
        </w:rPr>
      </w:pPr>
      <w:bookmarkStart w:id="50" w:name="_Toc7215"/>
      <w:r>
        <w:rPr>
          <w:rFonts w:ascii="Times New Roman" w:hAnsi="Times New Roman" w:eastAsia="宋体"/>
          <w:sz w:val="28"/>
        </w:rPr>
        <w:t>1.6 评价重点</w:t>
      </w:r>
      <w:bookmarkEnd w:id="50"/>
    </w:p>
    <w:bookmarkEnd w:id="44"/>
    <w:bookmarkEnd w:id="45"/>
    <w:bookmarkEnd w:id="46"/>
    <w:bookmarkEnd w:id="47"/>
    <w:bookmarkEnd w:id="48"/>
    <w:p>
      <w:pPr>
        <w:spacing w:line="440" w:lineRule="exact"/>
        <w:ind w:firstLine="480" w:firstLineChars="200"/>
        <w:rPr>
          <w:rFonts w:ascii="Times New Roman" w:hAnsi="Times New Roman"/>
          <w:szCs w:val="24"/>
        </w:rPr>
      </w:pPr>
      <w:r>
        <w:rPr>
          <w:rFonts w:ascii="Times New Roman" w:hAnsi="Times New Roman"/>
          <w:szCs w:val="24"/>
        </w:rPr>
        <w:t>结合本规划内容和区域环境特征，确定本评价重点如下：</w:t>
      </w:r>
    </w:p>
    <w:p>
      <w:pPr>
        <w:numPr>
          <w:ilvl w:val="0"/>
          <w:numId w:val="8"/>
        </w:num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矿区及其周边分布有鄂尔多斯遗鸥国家级自然保护区、生态保护红线区，</w:t>
      </w:r>
      <w:r>
        <w:rPr>
          <w:rFonts w:ascii="Times New Roman" w:hAnsi="Times New Roman"/>
          <w:snapToGrid w:val="0"/>
          <w:szCs w:val="24"/>
        </w:rPr>
        <w:t>矿区内具有供水意义的地下水含水层、草原生态系统</w:t>
      </w:r>
      <w:r>
        <w:rPr>
          <w:rFonts w:ascii="Times New Roman" w:hAnsi="Times New Roman"/>
          <w:szCs w:val="24"/>
        </w:rPr>
        <w:t>等重要环境保护目标，是矿区开发的制约因子，评价从矿区整体开发的角度，分析矿区规划实施对草原生态系统等环保目标的影响，并提出相应的优化调整建议、环境保护措施以及要求；</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（2）矿区属</w:t>
      </w:r>
      <w:r>
        <w:rPr>
          <w:rFonts w:ascii="Times New Roman" w:hAnsi="Times New Roman"/>
        </w:rPr>
        <w:t>鄂尔多斯高原典型草原沙漠化控制生态功能区</w:t>
      </w:r>
      <w:r>
        <w:rPr>
          <w:rFonts w:ascii="Times New Roman" w:hAnsi="Times New Roman"/>
          <w:szCs w:val="24"/>
        </w:rPr>
        <w:t>，评价重点分析规划开采区对当地生态环境、水环境、大气环境的影响，并根据当地水资源、生态环境以及大气环境对矿区规划实施的实际承载力，预测规划实施的累积性、整体性、宏观性和长远性影响，提出有针对性的预防或减轻不良环境影响的对策措施及跟踪评价计划；</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3）对规划方案的规模、开发时序、产业结构及布局进行环境可行性综合论证，通过规划合理性分析和环境资源承载能力的分析，对矿区总体规划提出的建设规模、布局结构、阶段和实施计划提出合理的建议；对资源综合利用及减缓矿区开发对各类环境要素的影响提出具体的要求和建议。</w:t>
      </w:r>
    </w:p>
    <w:p>
      <w:pPr>
        <w:pStyle w:val="4"/>
        <w:snapToGrid w:val="0"/>
        <w:spacing w:line="440" w:lineRule="exact"/>
        <w:rPr>
          <w:rFonts w:ascii="Times New Roman" w:hAnsi="Times New Roman" w:eastAsia="宋体"/>
          <w:sz w:val="28"/>
        </w:rPr>
      </w:pPr>
      <w:bookmarkStart w:id="51" w:name="_Toc173641302"/>
      <w:bookmarkStart w:id="52" w:name="_Toc10513"/>
      <w:bookmarkStart w:id="53" w:name="_Toc173988814"/>
      <w:bookmarkStart w:id="54" w:name="_Toc21863"/>
      <w:bookmarkStart w:id="55" w:name="_Toc23519322"/>
      <w:bookmarkStart w:id="56" w:name="_Toc10239"/>
      <w:bookmarkStart w:id="57" w:name="_Toc437006587"/>
      <w:bookmarkStart w:id="58" w:name="_Toc163440980"/>
      <w:r>
        <w:rPr>
          <w:rFonts w:ascii="Times New Roman" w:hAnsi="Times New Roman" w:eastAsia="宋体"/>
          <w:sz w:val="28"/>
        </w:rPr>
        <w:t>1.7 评价方法</w:t>
      </w:r>
      <w:bookmarkEnd w:id="51"/>
      <w:bookmarkEnd w:id="52"/>
      <w:bookmarkEnd w:id="53"/>
      <w:bookmarkEnd w:id="54"/>
      <w:bookmarkEnd w:id="55"/>
      <w:bookmarkEnd w:id="56"/>
      <w:bookmarkEnd w:id="57"/>
    </w:p>
    <w:p>
      <w:pPr>
        <w:adjustRightInd w:val="0"/>
        <w:snapToGrid w:val="0"/>
        <w:spacing w:line="440" w:lineRule="exact"/>
        <w:ind w:firstLine="482"/>
        <w:rPr>
          <w:rFonts w:ascii="Times New Roman" w:hAnsi="Times New Roman"/>
        </w:rPr>
      </w:pPr>
      <w:r>
        <w:rPr>
          <w:rFonts w:ascii="Times New Roman" w:hAnsi="Times New Roman"/>
        </w:rPr>
        <w:t>结合本次规划环评的评价重点，拟采用现场调查与监测法、资料分析法、类比分析法、模型法、情景分析法、生态系统分析法、景观生态学及生态风险分析法、环境承载力分析法等方法开展环评工作。主要评价环节和要素的评价方法见表1.7-1。</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345"/>
        <w:adjustRightInd w:val="0"/>
        <w:spacing w:line="440" w:lineRule="exact"/>
        <w:jc w:val="center"/>
        <w:rPr>
          <w:rFonts w:ascii="Times New Roman" w:hAnsi="Times New Roman" w:cs="Times New Roman"/>
          <w:b w:val="0"/>
          <w:kern w:val="0"/>
        </w:rPr>
      </w:pPr>
      <w:r>
        <w:rPr>
          <w:rFonts w:ascii="Times New Roman" w:hAnsi="Times New Roman" w:cs="Times New Roman"/>
          <w:kern w:val="0"/>
        </w:rPr>
        <w:t>采用的评价方法一览表</w:t>
      </w:r>
    </w:p>
    <w:p>
      <w:pPr>
        <w:pStyle w:val="331"/>
        <w:spacing w:line="440" w:lineRule="exact"/>
        <w:rPr>
          <w:rFonts w:ascii="Times New Roman" w:hAnsi="Times New Roman" w:cs="Times New Roman"/>
        </w:rPr>
      </w:pPr>
      <w:r>
        <w:rPr>
          <w:rFonts w:ascii="Times New Roman" w:hAnsi="Times New Roman" w:cs="Times New Roman"/>
        </w:rPr>
        <w:t>表1.7-1</w:t>
      </w:r>
    </w:p>
    <w:tbl>
      <w:tblPr>
        <w:tblStyle w:val="59"/>
        <w:tblW w:w="9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9"/>
        <w:gridCol w:w="3759"/>
        <w:gridCol w:w="3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88"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jc w:val="center"/>
              <w:rPr>
                <w:rFonts w:ascii="Times New Roman" w:hAnsi="Times New Roman"/>
                <w:kern w:val="0"/>
                <w:sz w:val="21"/>
              </w:rPr>
            </w:pPr>
            <w:bookmarkStart w:id="59" w:name="RANGE!D88"/>
            <w:r>
              <w:rPr>
                <w:rFonts w:ascii="Times New Roman" w:hAnsi="Times New Roman"/>
                <w:kern w:val="0"/>
                <w:sz w:val="21"/>
              </w:rPr>
              <w:t>评价环节及环境要素</w:t>
            </w:r>
            <w:bookmarkEnd w:id="59"/>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jc w:val="center"/>
              <w:rPr>
                <w:rFonts w:ascii="Times New Roman" w:hAnsi="Times New Roman"/>
                <w:kern w:val="0"/>
                <w:sz w:val="21"/>
              </w:rPr>
            </w:pPr>
            <w:bookmarkStart w:id="60" w:name="RANGE!F88"/>
            <w:r>
              <w:rPr>
                <w:rFonts w:ascii="Times New Roman" w:hAnsi="Times New Roman"/>
                <w:kern w:val="0"/>
                <w:sz w:val="21"/>
              </w:rPr>
              <w:t>评价方法</w:t>
            </w:r>
            <w:bookmarkEnd w:id="6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88"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61" w:name="RANGE!D89"/>
            <w:r>
              <w:rPr>
                <w:rFonts w:ascii="Times New Roman" w:hAnsi="Times New Roman"/>
                <w:kern w:val="0"/>
                <w:sz w:val="21"/>
              </w:rPr>
              <w:t>规划概述与分析</w:t>
            </w:r>
            <w:bookmarkEnd w:id="61"/>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62" w:name="RANGE!F89"/>
            <w:r>
              <w:rPr>
                <w:rFonts w:ascii="Times New Roman" w:hAnsi="Times New Roman"/>
                <w:kern w:val="0"/>
                <w:sz w:val="21"/>
              </w:rPr>
              <w:t>现场调查法、资料分析法</w:t>
            </w:r>
            <w:bookmarkEnd w:id="6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9"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63" w:name="RANGE!D90"/>
            <w:r>
              <w:rPr>
                <w:rFonts w:ascii="Times New Roman" w:hAnsi="Times New Roman"/>
                <w:kern w:val="0"/>
                <w:sz w:val="21"/>
              </w:rPr>
              <w:t>现状调查、分析与评价</w:t>
            </w:r>
            <w:bookmarkEnd w:id="63"/>
          </w:p>
        </w:tc>
        <w:tc>
          <w:tcPr>
            <w:tcW w:w="3759"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64" w:name="RANGE!E90"/>
            <w:r>
              <w:rPr>
                <w:rFonts w:ascii="Times New Roman" w:hAnsi="Times New Roman"/>
                <w:kern w:val="0"/>
                <w:sz w:val="21"/>
              </w:rPr>
              <w:t>水、气、声、土壤环境现状</w:t>
            </w:r>
            <w:bookmarkEnd w:id="64"/>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65" w:name="RANGE!F90"/>
            <w:r>
              <w:rPr>
                <w:rFonts w:ascii="Times New Roman" w:hAnsi="Times New Roman"/>
                <w:kern w:val="0"/>
                <w:sz w:val="21"/>
              </w:rPr>
              <w:t>资料收集法、现场调查法、现状监测法</w:t>
            </w:r>
            <w:bookmarkEnd w:id="65"/>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rPr>
            </w:pPr>
          </w:p>
        </w:tc>
        <w:tc>
          <w:tcPr>
            <w:tcW w:w="3759"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66" w:name="RANGE!E91"/>
            <w:r>
              <w:rPr>
                <w:rFonts w:ascii="Times New Roman" w:hAnsi="Times New Roman"/>
                <w:kern w:val="0"/>
                <w:sz w:val="21"/>
              </w:rPr>
              <w:t>生态环境现状</w:t>
            </w:r>
            <w:bookmarkEnd w:id="66"/>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r>
              <w:rPr>
                <w:rFonts w:ascii="Times New Roman" w:hAnsi="Times New Roman"/>
                <w:kern w:val="0"/>
                <w:sz w:val="21"/>
              </w:rPr>
              <w:t>现场调查法、资料分析法、基于卫星遥感解译和地理信息系统相结合的生态系统分析法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88"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67" w:name="RANGE!D92"/>
            <w:r>
              <w:rPr>
                <w:rFonts w:ascii="Times New Roman" w:hAnsi="Times New Roman"/>
                <w:kern w:val="0"/>
                <w:sz w:val="21"/>
              </w:rPr>
              <w:t>环境影响识别</w:t>
            </w:r>
            <w:bookmarkEnd w:id="67"/>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68" w:name="RANGE!F92"/>
            <w:r>
              <w:rPr>
                <w:rFonts w:ascii="Times New Roman" w:hAnsi="Times New Roman"/>
                <w:kern w:val="0"/>
                <w:sz w:val="21"/>
              </w:rPr>
              <w:t>矩阵法、专业判断法、层次分析法</w:t>
            </w:r>
            <w:bookmarkEnd w:id="6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9"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69" w:name="RANGE!D93"/>
            <w:r>
              <w:rPr>
                <w:rFonts w:ascii="Times New Roman" w:hAnsi="Times New Roman"/>
                <w:kern w:val="0"/>
                <w:sz w:val="21"/>
              </w:rPr>
              <w:t>规划实施环境影响预测</w:t>
            </w:r>
            <w:bookmarkEnd w:id="69"/>
          </w:p>
        </w:tc>
        <w:tc>
          <w:tcPr>
            <w:tcW w:w="3759"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0" w:name="RANGE!E93"/>
            <w:r>
              <w:rPr>
                <w:rFonts w:ascii="Times New Roman" w:hAnsi="Times New Roman"/>
                <w:kern w:val="0"/>
                <w:sz w:val="21"/>
              </w:rPr>
              <w:t>水、气、声及固废环境影响预测</w:t>
            </w:r>
            <w:bookmarkEnd w:id="70"/>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1" w:name="RANGE!F93"/>
            <w:r>
              <w:rPr>
                <w:rFonts w:ascii="Times New Roman" w:hAnsi="Times New Roman"/>
                <w:kern w:val="0"/>
                <w:sz w:val="21"/>
              </w:rPr>
              <w:t>模型分析法、类比分析法、典型案例法、资料分析法</w:t>
            </w:r>
            <w:bookmarkEnd w:id="7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rPr>
            </w:pPr>
          </w:p>
        </w:tc>
        <w:tc>
          <w:tcPr>
            <w:tcW w:w="3759"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2" w:name="RANGE!E94"/>
            <w:r>
              <w:rPr>
                <w:rFonts w:ascii="Times New Roman" w:hAnsi="Times New Roman"/>
                <w:kern w:val="0"/>
                <w:sz w:val="21"/>
              </w:rPr>
              <w:t>生态环境影响预测</w:t>
            </w:r>
            <w:bookmarkEnd w:id="72"/>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3" w:name="RANGE!F94"/>
            <w:r>
              <w:rPr>
                <w:rFonts w:ascii="Times New Roman" w:hAnsi="Times New Roman"/>
                <w:kern w:val="0"/>
                <w:sz w:val="21"/>
              </w:rPr>
              <w:t>生态环境状况指数分析法</w:t>
            </w:r>
            <w:bookmarkEnd w:id="7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9"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4" w:name="RANGE!D95"/>
            <w:r>
              <w:rPr>
                <w:rFonts w:ascii="Times New Roman" w:hAnsi="Times New Roman"/>
                <w:kern w:val="0"/>
                <w:sz w:val="21"/>
              </w:rPr>
              <w:t>资源、环境承载力分析</w:t>
            </w:r>
            <w:bookmarkEnd w:id="74"/>
          </w:p>
        </w:tc>
        <w:tc>
          <w:tcPr>
            <w:tcW w:w="3759"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5" w:name="RANGE!E95"/>
            <w:r>
              <w:rPr>
                <w:rFonts w:ascii="Times New Roman" w:hAnsi="Times New Roman"/>
                <w:kern w:val="0"/>
                <w:sz w:val="21"/>
              </w:rPr>
              <w:t>大气、地表水环境承载力</w:t>
            </w:r>
            <w:bookmarkEnd w:id="75"/>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6" w:name="RANGE!F95"/>
            <w:r>
              <w:rPr>
                <w:rFonts w:ascii="Times New Roman" w:hAnsi="Times New Roman"/>
                <w:kern w:val="0"/>
                <w:sz w:val="21"/>
              </w:rPr>
              <w:t>容量、总量分析法、</w:t>
            </w:r>
            <w:bookmarkEnd w:id="7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rPr>
            </w:pPr>
          </w:p>
        </w:tc>
        <w:tc>
          <w:tcPr>
            <w:tcW w:w="3759"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7" w:name="RANGE!E96"/>
            <w:r>
              <w:rPr>
                <w:rFonts w:ascii="Times New Roman" w:hAnsi="Times New Roman"/>
                <w:kern w:val="0"/>
                <w:sz w:val="21"/>
              </w:rPr>
              <w:t>水资源承载力</w:t>
            </w:r>
            <w:bookmarkEnd w:id="77"/>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8" w:name="RANGE!F96"/>
            <w:r>
              <w:rPr>
                <w:rFonts w:ascii="Times New Roman" w:hAnsi="Times New Roman"/>
                <w:kern w:val="0"/>
                <w:sz w:val="21"/>
              </w:rPr>
              <w:t>水资源供需平衡分析法</w:t>
            </w:r>
            <w:bookmarkEnd w:id="7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rPr>
            </w:pPr>
          </w:p>
        </w:tc>
        <w:tc>
          <w:tcPr>
            <w:tcW w:w="3759"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79" w:name="RANGE!E97"/>
            <w:r>
              <w:rPr>
                <w:rFonts w:ascii="Times New Roman" w:hAnsi="Times New Roman"/>
                <w:kern w:val="0"/>
                <w:sz w:val="21"/>
              </w:rPr>
              <w:t>生态承载力</w:t>
            </w:r>
            <w:bookmarkEnd w:id="79"/>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80" w:name="RANGE!F97"/>
            <w:r>
              <w:rPr>
                <w:rFonts w:ascii="Times New Roman" w:hAnsi="Times New Roman"/>
                <w:kern w:val="0"/>
                <w:sz w:val="21"/>
              </w:rPr>
              <w:t>景观生态学及生态足迹分析法</w:t>
            </w:r>
            <w:bookmarkEnd w:id="8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88"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81" w:name="RANGE!D98"/>
            <w:r>
              <w:rPr>
                <w:rFonts w:ascii="Times New Roman" w:hAnsi="Times New Roman"/>
                <w:kern w:val="0"/>
                <w:sz w:val="21"/>
              </w:rPr>
              <w:t>公众参与</w:t>
            </w:r>
            <w:bookmarkEnd w:id="81"/>
          </w:p>
        </w:tc>
        <w:tc>
          <w:tcPr>
            <w:tcW w:w="3966" w:type="dxa"/>
            <w:tcBorders>
              <w:top w:val="single" w:color="auto" w:sz="4" w:space="0"/>
              <w:left w:val="single" w:color="auto" w:sz="4" w:space="0"/>
              <w:bottom w:val="single" w:color="auto" w:sz="4" w:space="0"/>
              <w:right w:val="single" w:color="auto" w:sz="4" w:space="0"/>
            </w:tcBorders>
            <w:vAlign w:val="center"/>
          </w:tcPr>
          <w:p>
            <w:pPr>
              <w:widowControl/>
              <w:adjustRightInd w:val="0"/>
              <w:rPr>
                <w:rFonts w:ascii="Times New Roman" w:hAnsi="Times New Roman"/>
                <w:kern w:val="0"/>
                <w:sz w:val="21"/>
              </w:rPr>
            </w:pPr>
            <w:bookmarkStart w:id="82" w:name="RANGE!F98"/>
            <w:r>
              <w:rPr>
                <w:rFonts w:ascii="Times New Roman" w:hAnsi="Times New Roman"/>
                <w:kern w:val="0"/>
                <w:sz w:val="21"/>
              </w:rPr>
              <w:t>问卷调查、媒体公告法</w:t>
            </w:r>
            <w:bookmarkEnd w:id="82"/>
          </w:p>
        </w:tc>
      </w:tr>
    </w:tbl>
    <w:p>
      <w:pPr>
        <w:pStyle w:val="4"/>
        <w:snapToGrid w:val="0"/>
        <w:spacing w:before="480" w:line="440" w:lineRule="exact"/>
        <w:rPr>
          <w:rFonts w:ascii="Times New Roman" w:hAnsi="Times New Roman" w:eastAsia="宋体"/>
          <w:sz w:val="28"/>
        </w:rPr>
      </w:pPr>
      <w:bookmarkStart w:id="83" w:name="_Toc6791"/>
      <w:bookmarkStart w:id="84" w:name="_Toc16806"/>
      <w:bookmarkStart w:id="85" w:name="_Toc9451"/>
      <w:bookmarkStart w:id="86" w:name="_Toc437006588"/>
      <w:bookmarkStart w:id="87" w:name="_Toc23519323"/>
      <w:r>
        <w:rPr>
          <w:rFonts w:ascii="Times New Roman" w:hAnsi="Times New Roman" w:eastAsia="宋体"/>
          <w:sz w:val="28"/>
        </w:rPr>
        <w:t>1.8 评价工作程序</w:t>
      </w:r>
      <w:bookmarkEnd w:id="58"/>
      <w:bookmarkEnd w:id="83"/>
      <w:bookmarkEnd w:id="84"/>
      <w:bookmarkEnd w:id="85"/>
      <w:bookmarkEnd w:id="86"/>
      <w:bookmarkEnd w:id="87"/>
    </w:p>
    <w:p>
      <w:pPr>
        <w:spacing w:line="440" w:lineRule="exact"/>
        <w:ind w:firstLine="480" w:firstLineChars="200"/>
        <w:rPr>
          <w:rFonts w:ascii="Times New Roman" w:hAnsi="Times New Roman"/>
        </w:rPr>
      </w:pPr>
      <w:r>
        <w:rPr>
          <w:rFonts w:ascii="Times New Roman" w:hAnsi="Times New Roman"/>
        </w:rPr>
        <w:t>本次评价工作程序见下图1.8-1。</w:t>
      </w:r>
    </w:p>
    <w:p>
      <w:pPr>
        <w:jc w:val="center"/>
        <w:rPr>
          <w:rFonts w:ascii="Times New Roman" w:hAnsi="Times New Roman"/>
        </w:rPr>
        <w:sectPr>
          <w:headerReference r:id="rId6" w:type="default"/>
          <w:pgSz w:w="11907" w:h="16840"/>
          <w:pgMar w:top="1701" w:right="1418" w:bottom="1134" w:left="1418" w:header="1134" w:footer="851" w:gutter="0"/>
          <w:cols w:space="720" w:num="1"/>
        </w:sectPr>
      </w:pPr>
    </w:p>
    <w:p>
      <w:pPr>
        <w:jc w:val="center"/>
        <w:rPr>
          <w:rFonts w:ascii="Times New Roman" w:hAnsi="Times New Roman"/>
        </w:rPr>
      </w:pPr>
    </w:p>
    <w:p>
      <w:pPr>
        <w:jc w:val="center"/>
        <w:rPr>
          <w:rFonts w:ascii="Times New Roman" w:hAnsi="Times New Roman"/>
        </w:rPr>
      </w:pPr>
      <w:r>
        <w:rPr>
          <w:rFonts w:ascii="Times New Roman" w:hAnsi="Times New Roman"/>
        </w:rPr>
        <w:drawing>
          <wp:inline distT="0" distB="0" distL="114300" distR="114300">
            <wp:extent cx="6102350" cy="6858000"/>
            <wp:effectExtent l="0" t="0" r="0" b="0"/>
            <wp:docPr id="92" name="图片 54" descr="规划环评技术导则——总纲2019（替代2014版）_页面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4" descr="规划环评技术导则——总纲2019（替代2014版）_页面_07"/>
                    <pic:cNvPicPr>
                      <a:picLocks noChangeAspect="1"/>
                    </pic:cNvPicPr>
                  </pic:nvPicPr>
                  <pic:blipFill>
                    <a:blip r:embed="rId56"/>
                    <a:srcRect l="12599" t="8691" r="12766" b="32219"/>
                    <a:stretch>
                      <a:fillRect/>
                    </a:stretch>
                  </pic:blipFill>
                  <pic:spPr>
                    <a:xfrm>
                      <a:off x="0" y="0"/>
                      <a:ext cx="6108471" cy="6864540"/>
                    </a:xfrm>
                    <a:prstGeom prst="rect">
                      <a:avLst/>
                    </a:prstGeom>
                    <a:noFill/>
                    <a:ln>
                      <a:noFill/>
                    </a:ln>
                  </pic:spPr>
                </pic:pic>
              </a:graphicData>
            </a:graphic>
          </wp:inline>
        </w:drawing>
      </w:r>
    </w:p>
    <w:p>
      <w:pPr>
        <w:spacing w:before="240" w:beforeLines="100" w:line="440" w:lineRule="exact"/>
        <w:jc w:val="center"/>
        <w:rPr>
          <w:rFonts w:ascii="Times New Roman" w:hAnsi="Times New Roman"/>
          <w:b/>
        </w:rPr>
      </w:pPr>
      <w:r>
        <w:rPr>
          <w:rFonts w:ascii="Times New Roman" w:hAnsi="Times New Roman"/>
          <w:b/>
        </w:rPr>
        <w:t>图1.8-1 本次环评工作技术路线图</w:t>
      </w:r>
    </w:p>
    <w:p>
      <w:pPr>
        <w:widowControl/>
        <w:jc w:val="left"/>
        <w:rPr>
          <w:rFonts w:ascii="Times New Roman" w:hAnsi="Times New Roman"/>
        </w:rPr>
        <w:sectPr>
          <w:pgSz w:w="11907" w:h="16840"/>
          <w:pgMar w:top="1701" w:right="1418" w:bottom="1134" w:left="1418" w:header="1134" w:footer="851" w:gutter="0"/>
          <w:cols w:space="720" w:num="1"/>
        </w:sectPr>
      </w:pPr>
    </w:p>
    <w:p>
      <w:pPr>
        <w:pStyle w:val="3"/>
        <w:spacing w:before="360" w:after="360" w:line="440" w:lineRule="exact"/>
        <w:jc w:val="center"/>
        <w:rPr>
          <w:sz w:val="32"/>
          <w:szCs w:val="32"/>
        </w:rPr>
      </w:pPr>
      <w:bookmarkStart w:id="88" w:name="_Toc26263"/>
      <w:bookmarkStart w:id="89" w:name="_Toc437006589"/>
      <w:bookmarkStart w:id="90" w:name="_Toc163440981"/>
      <w:bookmarkStart w:id="91" w:name="_Toc6102"/>
      <w:bookmarkStart w:id="92" w:name="_Toc23519324"/>
      <w:bookmarkStart w:id="93" w:name="_Toc16503"/>
      <w:r>
        <w:rPr>
          <w:sz w:val="32"/>
          <w:szCs w:val="32"/>
        </w:rPr>
        <w:t>2 规划方案概述及分析</w:t>
      </w:r>
      <w:bookmarkEnd w:id="88"/>
      <w:bookmarkEnd w:id="89"/>
      <w:bookmarkEnd w:id="90"/>
      <w:bookmarkEnd w:id="91"/>
      <w:bookmarkEnd w:id="92"/>
      <w:bookmarkEnd w:id="93"/>
    </w:p>
    <w:p>
      <w:pPr>
        <w:pStyle w:val="4"/>
        <w:adjustRightInd w:val="0"/>
        <w:snapToGrid w:val="0"/>
        <w:spacing w:before="320" w:after="320" w:line="440" w:lineRule="exact"/>
        <w:rPr>
          <w:rFonts w:ascii="Times New Roman" w:hAnsi="Times New Roman" w:eastAsia="宋体"/>
          <w:b w:val="0"/>
          <w:sz w:val="28"/>
        </w:rPr>
      </w:pPr>
      <w:bookmarkStart w:id="94" w:name="_Toc11977"/>
      <w:bookmarkStart w:id="95" w:name="_Toc437006590"/>
      <w:bookmarkStart w:id="96" w:name="_Toc31606"/>
      <w:bookmarkStart w:id="97" w:name="_Toc23519325"/>
      <w:bookmarkStart w:id="98" w:name="_Toc26242"/>
      <w:bookmarkStart w:id="99" w:name="_Toc353093898"/>
      <w:bookmarkStart w:id="100" w:name="_Toc163440982"/>
      <w:r>
        <w:rPr>
          <w:rFonts w:ascii="Times New Roman" w:hAnsi="Times New Roman" w:eastAsia="宋体"/>
          <w:sz w:val="28"/>
        </w:rPr>
        <w:t xml:space="preserve">2.1 </w:t>
      </w:r>
      <w:bookmarkEnd w:id="94"/>
      <w:bookmarkEnd w:id="95"/>
      <w:bookmarkEnd w:id="96"/>
      <w:bookmarkEnd w:id="97"/>
      <w:r>
        <w:rPr>
          <w:rFonts w:ascii="Times New Roman" w:hAnsi="Times New Roman" w:eastAsia="宋体"/>
          <w:sz w:val="28"/>
        </w:rPr>
        <w:t>规划概述</w:t>
      </w:r>
      <w:bookmarkEnd w:id="98"/>
    </w:p>
    <w:p>
      <w:pPr>
        <w:pStyle w:val="5"/>
        <w:spacing w:before="120" w:after="120" w:line="440" w:lineRule="exact"/>
        <w:rPr>
          <w:sz w:val="24"/>
          <w:szCs w:val="22"/>
        </w:rPr>
      </w:pPr>
      <w:bookmarkStart w:id="101" w:name="_Toc18159"/>
      <w:r>
        <w:rPr>
          <w:sz w:val="24"/>
          <w:szCs w:val="22"/>
        </w:rPr>
        <w:t>2.1.1矿区位置与范围</w:t>
      </w:r>
      <w:bookmarkEnd w:id="101"/>
    </w:p>
    <w:p>
      <w:pPr>
        <w:adjustRightInd w:val="0"/>
        <w:snapToGrid w:val="0"/>
        <w:spacing w:line="440" w:lineRule="exact"/>
        <w:ind w:firstLine="482" w:firstLineChars="200"/>
        <w:rPr>
          <w:rFonts w:ascii="Times New Roman" w:hAnsi="Times New Roman"/>
          <w:b/>
          <w:szCs w:val="24"/>
        </w:rPr>
      </w:pPr>
      <w:r>
        <w:rPr>
          <w:rFonts w:ascii="Times New Roman" w:hAnsi="Times New Roman"/>
          <w:b/>
          <w:szCs w:val="24"/>
        </w:rPr>
        <w:t>（1）矿区位置及交通</w:t>
      </w:r>
    </w:p>
    <w:p>
      <w:pPr>
        <w:adjustRightInd w:val="0"/>
        <w:spacing w:line="440" w:lineRule="exact"/>
        <w:ind w:firstLine="480" w:firstLineChars="200"/>
        <w:rPr>
          <w:rFonts w:ascii="Times New Roman" w:hAnsi="Times New Roman"/>
          <w:szCs w:val="24"/>
        </w:rPr>
      </w:pPr>
      <w:r>
        <w:rPr>
          <w:rFonts w:ascii="Times New Roman" w:hAnsi="Times New Roman"/>
          <w:szCs w:val="24"/>
        </w:rPr>
        <w:t>纳林希里矿区位于内蒙古自治区鄂尔多斯市境内，行政区划隶属于内蒙古自治区鄂尔多斯市伊金霍洛旗苏布尔噶镇、红庆河镇及杭锦旗锡尼镇管辖。矿区地理坐标为：东经109°09′49″～109°25′02″；北纬39°21′11″～39°44′51″，西距杭锦旗旗政府所在地锡尼镇约60km，东距伊金霍洛旗旗政府所在地阿勒腾席热镇约40km，距鄂尔多斯市东胜区约70km。</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荣（荣城）-乌（乌海）高速公路从矿区北部境内东西向穿过，东（东胜）-乌（乌海）铁路从矿区南部自西向东通过。矿区西侧有建设中的蒙西华中铁路和规划的乌（拉山）-乌（审旗）的地方铁路，距离矿区西界约40km。国道G210从矿区东侧通过，阿乌公路从矿区南部境内东西向穿过，途径红庆河镇，东接国道G210，西接阿小公路和省道S215；阿四公路位于阿乌公路北侧，从矿区中部境内东西向穿过，东接国道G210和阿勒腾席热镇，西接阿小公路和省道S215。总之，矿区内外铁路、公路畅通，交通十分便利。</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矿区交通地理位置见图2.1-1。</w:t>
      </w:r>
    </w:p>
    <w:p>
      <w:pPr>
        <w:adjustRightInd w:val="0"/>
        <w:snapToGrid w:val="0"/>
        <w:spacing w:line="440" w:lineRule="exact"/>
        <w:ind w:firstLine="482" w:firstLineChars="200"/>
        <w:rPr>
          <w:rFonts w:ascii="Times New Roman" w:hAnsi="Times New Roman"/>
          <w:b/>
          <w:szCs w:val="24"/>
        </w:rPr>
      </w:pPr>
      <w:r>
        <w:rPr>
          <w:rFonts w:ascii="Times New Roman" w:hAnsi="Times New Roman"/>
          <w:b/>
          <w:szCs w:val="24"/>
        </w:rPr>
        <w:t>（2）规划范围</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由北向南共划分4个井田（奎腾沟井田8.00Mt/a、苏布尔嘎井田8.00Mt/a、壕赖苏井田8.00Mt/a、纳林希里井田8.00Mt/a），矿区西部普查区划分为1个勘查区。四个井田总规模32.00Mt/a，即矿区规划总规模为32.00Mt/a。矿区总面积708.16km</w:t>
      </w:r>
      <w:r>
        <w:rPr>
          <w:rFonts w:ascii="Times New Roman" w:hAnsi="Times New Roman"/>
          <w:szCs w:val="24"/>
          <w:vertAlign w:val="superscript"/>
        </w:rPr>
        <w:t>2</w:t>
      </w:r>
      <w:r>
        <w:rPr>
          <w:rFonts w:ascii="Times New Roman" w:hAnsi="Times New Roman"/>
          <w:szCs w:val="24"/>
        </w:rPr>
        <w:t>。</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规划矿区范围拐点坐标表见表2.1-1。</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规划矿区范围见图2.1-2。</w:t>
      </w:r>
    </w:p>
    <w:p>
      <w:pPr>
        <w:widowControl/>
        <w:jc w:val="left"/>
        <w:rPr>
          <w:rFonts w:ascii="Times New Roman" w:hAnsi="Times New Roman"/>
          <w:szCs w:val="24"/>
        </w:rPr>
        <w:sectPr>
          <w:headerReference r:id="rId7" w:type="default"/>
          <w:pgSz w:w="11907" w:h="16840"/>
          <w:pgMar w:top="1701" w:right="1418" w:bottom="1134" w:left="1418" w:header="1134" w:footer="851" w:gutter="0"/>
          <w:cols w:space="720" w:num="1"/>
        </w:sectPr>
      </w:pPr>
    </w:p>
    <w:p>
      <w:pPr>
        <w:adjustRightInd w:val="0"/>
        <w:snapToGrid w:val="0"/>
        <w:spacing w:line="440" w:lineRule="exact"/>
        <w:jc w:val="center"/>
        <w:rPr>
          <w:rFonts w:ascii="Times New Roman" w:hAnsi="Times New Roman"/>
          <w:b/>
          <w:szCs w:val="24"/>
        </w:rPr>
      </w:pPr>
      <w:r>
        <w:rPr>
          <w:rFonts w:ascii="Times New Roman" w:hAnsi="Times New Roman"/>
          <w:b/>
          <w:szCs w:val="24"/>
        </w:rPr>
        <w:t>纳林希里矿区范围拐点坐标表（2000国家大地坐标系3°带）</w:t>
      </w:r>
    </w:p>
    <w:p>
      <w:pPr>
        <w:adjustRightInd w:val="0"/>
        <w:snapToGrid w:val="0"/>
        <w:spacing w:line="440" w:lineRule="exact"/>
        <w:jc w:val="left"/>
        <w:rPr>
          <w:rFonts w:ascii="Times New Roman" w:hAnsi="Times New Roman"/>
        </w:rPr>
      </w:pPr>
      <w:r>
        <w:rPr>
          <w:rFonts w:ascii="Times New Roman" w:hAnsi="Times New Roman"/>
        </w:rPr>
        <w:t>表2.1-1</w:t>
      </w:r>
    </w:p>
    <w:tbl>
      <w:tblPr>
        <w:tblStyle w:val="59"/>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4"/>
        <w:gridCol w:w="1725"/>
        <w:gridCol w:w="1729"/>
        <w:gridCol w:w="994"/>
        <w:gridCol w:w="1911"/>
        <w:gridCol w:w="20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Merge w:val="restart"/>
            <w:vAlign w:val="center"/>
          </w:tcPr>
          <w:p>
            <w:pPr>
              <w:adjustRightInd w:val="0"/>
              <w:snapToGrid w:val="0"/>
              <w:jc w:val="center"/>
              <w:rPr>
                <w:rFonts w:ascii="Times New Roman" w:hAnsi="Times New Roman"/>
                <w:sz w:val="21"/>
                <w:szCs w:val="21"/>
              </w:rPr>
            </w:pPr>
            <w:bookmarkStart w:id="102" w:name="_Hlk86846912"/>
            <w:r>
              <w:rPr>
                <w:rFonts w:ascii="Times New Roman" w:hAnsi="Times New Roman"/>
                <w:sz w:val="21"/>
                <w:szCs w:val="21"/>
              </w:rPr>
              <w:t>拐点</w:t>
            </w:r>
          </w:p>
          <w:p>
            <w:pPr>
              <w:adjustRightInd w:val="0"/>
              <w:snapToGrid w:val="0"/>
              <w:jc w:val="center"/>
              <w:rPr>
                <w:rFonts w:ascii="Times New Roman" w:hAnsi="Times New Roman"/>
                <w:sz w:val="21"/>
                <w:szCs w:val="21"/>
              </w:rPr>
            </w:pPr>
            <w:r>
              <w:rPr>
                <w:rFonts w:ascii="Times New Roman" w:hAnsi="Times New Roman"/>
                <w:sz w:val="21"/>
                <w:szCs w:val="21"/>
              </w:rPr>
              <w:t>编号</w:t>
            </w:r>
          </w:p>
        </w:tc>
        <w:tc>
          <w:tcPr>
            <w:tcW w:w="3454" w:type="dxa"/>
            <w:gridSpan w:val="2"/>
            <w:vAlign w:val="center"/>
          </w:tcPr>
          <w:p>
            <w:pPr>
              <w:adjustRightInd w:val="0"/>
              <w:snapToGrid w:val="0"/>
              <w:jc w:val="center"/>
              <w:rPr>
                <w:rFonts w:ascii="Times New Roman" w:hAnsi="Times New Roman"/>
                <w:sz w:val="21"/>
                <w:szCs w:val="21"/>
              </w:rPr>
            </w:pPr>
            <w:r>
              <w:rPr>
                <w:rFonts w:ascii="Times New Roman" w:hAnsi="Times New Roman"/>
                <w:sz w:val="21"/>
                <w:szCs w:val="21"/>
              </w:rPr>
              <w:t>拐点坐标</w:t>
            </w:r>
          </w:p>
        </w:tc>
        <w:tc>
          <w:tcPr>
            <w:tcW w:w="994" w:type="dxa"/>
            <w:vMerge w:val="restart"/>
            <w:vAlign w:val="center"/>
          </w:tcPr>
          <w:p>
            <w:pPr>
              <w:adjustRightInd w:val="0"/>
              <w:snapToGrid w:val="0"/>
              <w:jc w:val="center"/>
              <w:rPr>
                <w:rFonts w:ascii="Times New Roman" w:hAnsi="Times New Roman"/>
                <w:sz w:val="21"/>
                <w:szCs w:val="21"/>
              </w:rPr>
            </w:pPr>
            <w:r>
              <w:rPr>
                <w:rFonts w:ascii="Times New Roman" w:hAnsi="Times New Roman"/>
                <w:sz w:val="21"/>
                <w:szCs w:val="21"/>
              </w:rPr>
              <w:t>拐点</w:t>
            </w:r>
          </w:p>
          <w:p>
            <w:pPr>
              <w:adjustRightInd w:val="0"/>
              <w:snapToGrid w:val="0"/>
              <w:jc w:val="center"/>
              <w:rPr>
                <w:rFonts w:ascii="Times New Roman" w:hAnsi="Times New Roman"/>
                <w:sz w:val="21"/>
                <w:szCs w:val="21"/>
              </w:rPr>
            </w:pPr>
            <w:r>
              <w:rPr>
                <w:rFonts w:ascii="Times New Roman" w:hAnsi="Times New Roman"/>
                <w:sz w:val="21"/>
                <w:szCs w:val="21"/>
              </w:rPr>
              <w:t>编号</w:t>
            </w:r>
          </w:p>
        </w:tc>
        <w:tc>
          <w:tcPr>
            <w:tcW w:w="3934" w:type="dxa"/>
            <w:gridSpan w:val="2"/>
            <w:vAlign w:val="center"/>
          </w:tcPr>
          <w:p>
            <w:pPr>
              <w:adjustRightInd w:val="0"/>
              <w:snapToGrid w:val="0"/>
              <w:jc w:val="center"/>
              <w:rPr>
                <w:rFonts w:ascii="Times New Roman" w:hAnsi="Times New Roman"/>
                <w:sz w:val="21"/>
                <w:szCs w:val="21"/>
              </w:rPr>
            </w:pPr>
            <w:r>
              <w:rPr>
                <w:rFonts w:ascii="Times New Roman" w:hAnsi="Times New Roman"/>
                <w:sz w:val="21"/>
                <w:szCs w:val="21"/>
              </w:rPr>
              <w:t>拐点坐标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Merge w:val="continue"/>
            <w:vAlign w:val="center"/>
          </w:tcPr>
          <w:p>
            <w:pPr>
              <w:adjustRightInd w:val="0"/>
              <w:snapToGrid w:val="0"/>
              <w:spacing w:line="200" w:lineRule="exact"/>
              <w:jc w:val="center"/>
              <w:rPr>
                <w:rFonts w:ascii="Times New Roman" w:hAnsi="Times New Roman"/>
                <w:sz w:val="21"/>
                <w:szCs w:val="21"/>
              </w:rPr>
            </w:pPr>
          </w:p>
        </w:tc>
        <w:tc>
          <w:tcPr>
            <w:tcW w:w="1725"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经距（Y）</w:t>
            </w:r>
          </w:p>
        </w:tc>
        <w:tc>
          <w:tcPr>
            <w:tcW w:w="172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纬距（X）</w:t>
            </w:r>
          </w:p>
        </w:tc>
        <w:tc>
          <w:tcPr>
            <w:tcW w:w="994" w:type="dxa"/>
            <w:vMerge w:val="continue"/>
            <w:vAlign w:val="center"/>
          </w:tcPr>
          <w:p>
            <w:pPr>
              <w:adjustRightInd w:val="0"/>
              <w:snapToGrid w:val="0"/>
              <w:jc w:val="center"/>
              <w:rPr>
                <w:rFonts w:ascii="Times New Roman" w:hAnsi="Times New Roman"/>
                <w:sz w:val="21"/>
                <w:szCs w:val="21"/>
              </w:rPr>
            </w:pPr>
          </w:p>
        </w:tc>
        <w:tc>
          <w:tcPr>
            <w:tcW w:w="19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经距（Y）</w:t>
            </w:r>
          </w:p>
        </w:tc>
        <w:tc>
          <w:tcPr>
            <w:tcW w:w="202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纬距（X）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36599766.126</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4398993.350</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15</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36612844.063</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4398965.455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36607271.396</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4399244.599</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16</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36614453.273</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4398610.383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36607134.408</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4402255.170</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17</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36622010.201</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4367607.576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36609392.820</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4401225.871</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18</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36620544.582</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4361555.158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5</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36609779.842</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4400863.697</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19</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36620487.946</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4361542.771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6</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36609276.468</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4400782.947</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20</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36612538.943</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4358712.447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7</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36609173.699</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4400548.941</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21</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36611257.977</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4358518.787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8</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36609640.098</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4400362.257</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22</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36610422.253</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4358627.016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9</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36610224.433</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4400384.481</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23</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36607488.245</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4360172.497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10</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36610216.639</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4399940.824</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24</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36601938.195</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4358954.398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11</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36610494.875</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4399776.752</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25</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36601202.671</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4358933.985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12</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36610825.906</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4399648.166</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26</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36600591.381</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4359049.529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13</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36611244.759</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4399179.415</w:t>
            </w:r>
          </w:p>
        </w:tc>
        <w:tc>
          <w:tcPr>
            <w:tcW w:w="99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27</w:t>
            </w:r>
          </w:p>
        </w:tc>
        <w:tc>
          <w:tcPr>
            <w:tcW w:w="1911"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36600268.862</w:t>
            </w:r>
          </w:p>
        </w:tc>
        <w:tc>
          <w:tcPr>
            <w:tcW w:w="2023"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4383954.153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14</w:t>
            </w:r>
          </w:p>
        </w:tc>
        <w:tc>
          <w:tcPr>
            <w:tcW w:w="1725"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36611464.965</w:t>
            </w:r>
          </w:p>
        </w:tc>
        <w:tc>
          <w:tcPr>
            <w:tcW w:w="1729" w:type="dxa"/>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4398599.993</w:t>
            </w:r>
          </w:p>
        </w:tc>
        <w:tc>
          <w:tcPr>
            <w:tcW w:w="994" w:type="dxa"/>
            <w:vAlign w:val="center"/>
          </w:tcPr>
          <w:p>
            <w:pPr>
              <w:adjustRightInd w:val="0"/>
              <w:snapToGrid w:val="0"/>
              <w:spacing w:line="200" w:lineRule="exact"/>
              <w:jc w:val="center"/>
              <w:rPr>
                <w:rFonts w:ascii="Times New Roman" w:hAnsi="Times New Roman"/>
                <w:sz w:val="21"/>
                <w:szCs w:val="21"/>
              </w:rPr>
            </w:pPr>
          </w:p>
        </w:tc>
        <w:tc>
          <w:tcPr>
            <w:tcW w:w="1911" w:type="dxa"/>
            <w:vAlign w:val="center"/>
          </w:tcPr>
          <w:p>
            <w:pPr>
              <w:adjustRightInd w:val="0"/>
              <w:snapToGrid w:val="0"/>
              <w:spacing w:line="200" w:lineRule="exact"/>
              <w:jc w:val="center"/>
              <w:rPr>
                <w:rFonts w:ascii="Times New Roman" w:hAnsi="Times New Roman"/>
                <w:sz w:val="21"/>
                <w:szCs w:val="21"/>
              </w:rPr>
            </w:pPr>
          </w:p>
        </w:tc>
        <w:tc>
          <w:tcPr>
            <w:tcW w:w="2023" w:type="dxa"/>
            <w:vAlign w:val="center"/>
          </w:tcPr>
          <w:p>
            <w:pPr>
              <w:adjustRightInd w:val="0"/>
              <w:snapToGrid w:val="0"/>
              <w:spacing w:line="200" w:lineRule="exac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7" w:hRule="atLeast"/>
          <w:jc w:val="center"/>
        </w:trPr>
        <w:tc>
          <w:tcPr>
            <w:tcW w:w="9286" w:type="dxa"/>
            <w:gridSpan w:val="6"/>
            <w:vAlign w:val="center"/>
          </w:tcPr>
          <w:p>
            <w:pPr>
              <w:adjustRightInd w:val="0"/>
              <w:snapToGrid w:val="0"/>
              <w:jc w:val="center"/>
              <w:rPr>
                <w:rFonts w:ascii="Times New Roman" w:hAnsi="Times New Roman"/>
                <w:sz w:val="21"/>
                <w:szCs w:val="21"/>
              </w:rPr>
            </w:pPr>
            <w:r>
              <w:rPr>
                <w:rFonts w:ascii="Times New Roman" w:hAnsi="Times New Roman"/>
                <w:b/>
                <w:bCs/>
                <w:sz w:val="21"/>
                <w:szCs w:val="21"/>
              </w:rPr>
              <w:t>剔除区（勘查区内生态保护红线区）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28</w:t>
            </w:r>
          </w:p>
        </w:tc>
        <w:tc>
          <w:tcPr>
            <w:tcW w:w="172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36603857.300</w:t>
            </w:r>
          </w:p>
        </w:tc>
        <w:tc>
          <w:tcPr>
            <w:tcW w:w="1729"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4389517.681</w:t>
            </w:r>
          </w:p>
        </w:tc>
        <w:tc>
          <w:tcPr>
            <w:tcW w:w="99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35</w:t>
            </w:r>
          </w:p>
        </w:tc>
        <w:tc>
          <w:tcPr>
            <w:tcW w:w="191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36606603.375</w:t>
            </w:r>
          </w:p>
        </w:tc>
        <w:tc>
          <w:tcPr>
            <w:tcW w:w="2023"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4382920.071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29</w:t>
            </w:r>
          </w:p>
        </w:tc>
        <w:tc>
          <w:tcPr>
            <w:tcW w:w="1725"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36606579.106</w:t>
            </w:r>
          </w:p>
        </w:tc>
        <w:tc>
          <w:tcPr>
            <w:tcW w:w="1729"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4387799.340</w:t>
            </w:r>
          </w:p>
        </w:tc>
        <w:tc>
          <w:tcPr>
            <w:tcW w:w="99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w:t>
            </w:r>
          </w:p>
        </w:tc>
        <w:tc>
          <w:tcPr>
            <w:tcW w:w="1911"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36604307.909</w:t>
            </w:r>
          </w:p>
        </w:tc>
        <w:tc>
          <w:tcPr>
            <w:tcW w:w="2023"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4383622.487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30</w:t>
            </w:r>
          </w:p>
        </w:tc>
        <w:tc>
          <w:tcPr>
            <w:tcW w:w="1725"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36607515.975</w:t>
            </w:r>
          </w:p>
        </w:tc>
        <w:tc>
          <w:tcPr>
            <w:tcW w:w="1729"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4388200.961</w:t>
            </w:r>
          </w:p>
        </w:tc>
        <w:tc>
          <w:tcPr>
            <w:tcW w:w="99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37</w:t>
            </w:r>
          </w:p>
        </w:tc>
        <w:tc>
          <w:tcPr>
            <w:tcW w:w="1911"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36602341.910</w:t>
            </w:r>
          </w:p>
        </w:tc>
        <w:tc>
          <w:tcPr>
            <w:tcW w:w="2023"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4384388.473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31</w:t>
            </w:r>
          </w:p>
        </w:tc>
        <w:tc>
          <w:tcPr>
            <w:tcW w:w="1725"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36609035.543</w:t>
            </w:r>
          </w:p>
        </w:tc>
        <w:tc>
          <w:tcPr>
            <w:tcW w:w="1729"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4388644.256</w:t>
            </w:r>
          </w:p>
        </w:tc>
        <w:tc>
          <w:tcPr>
            <w:tcW w:w="99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38</w:t>
            </w:r>
          </w:p>
        </w:tc>
        <w:tc>
          <w:tcPr>
            <w:tcW w:w="1911"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36603418.891</w:t>
            </w:r>
          </w:p>
        </w:tc>
        <w:tc>
          <w:tcPr>
            <w:tcW w:w="2023"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4384425.281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32</w:t>
            </w:r>
          </w:p>
        </w:tc>
        <w:tc>
          <w:tcPr>
            <w:tcW w:w="1725"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36609202.929</w:t>
            </w:r>
          </w:p>
        </w:tc>
        <w:tc>
          <w:tcPr>
            <w:tcW w:w="1729"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4383493.519</w:t>
            </w:r>
          </w:p>
        </w:tc>
        <w:tc>
          <w:tcPr>
            <w:tcW w:w="99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39</w:t>
            </w:r>
          </w:p>
        </w:tc>
        <w:tc>
          <w:tcPr>
            <w:tcW w:w="1911"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36604114.175</w:t>
            </w:r>
          </w:p>
        </w:tc>
        <w:tc>
          <w:tcPr>
            <w:tcW w:w="2023"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4385923.370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33</w:t>
            </w:r>
          </w:p>
        </w:tc>
        <w:tc>
          <w:tcPr>
            <w:tcW w:w="1725"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36608475.543</w:t>
            </w:r>
          </w:p>
        </w:tc>
        <w:tc>
          <w:tcPr>
            <w:tcW w:w="1729"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4382666.488</w:t>
            </w:r>
          </w:p>
        </w:tc>
        <w:tc>
          <w:tcPr>
            <w:tcW w:w="99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40</w:t>
            </w:r>
          </w:p>
        </w:tc>
        <w:tc>
          <w:tcPr>
            <w:tcW w:w="1911"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36603836.632</w:t>
            </w:r>
          </w:p>
        </w:tc>
        <w:tc>
          <w:tcPr>
            <w:tcW w:w="2023"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4387191.347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904" w:type="dxa"/>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34</w:t>
            </w:r>
          </w:p>
        </w:tc>
        <w:tc>
          <w:tcPr>
            <w:tcW w:w="1725"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36607358.098</w:t>
            </w:r>
          </w:p>
        </w:tc>
        <w:tc>
          <w:tcPr>
            <w:tcW w:w="1729"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spacing w:line="200" w:lineRule="exact"/>
              <w:jc w:val="center"/>
              <w:rPr>
                <w:rFonts w:ascii="Times New Roman" w:hAnsi="Times New Roman"/>
                <w:sz w:val="21"/>
                <w:szCs w:val="21"/>
              </w:rPr>
            </w:pPr>
            <w:r>
              <w:rPr>
                <w:rFonts w:ascii="Times New Roman" w:hAnsi="Times New Roman"/>
                <w:sz w:val="21"/>
                <w:szCs w:val="21"/>
              </w:rPr>
              <w:t>4383093.505</w:t>
            </w:r>
          </w:p>
        </w:tc>
        <w:tc>
          <w:tcPr>
            <w:tcW w:w="994" w:type="dxa"/>
            <w:vAlign w:val="center"/>
          </w:tcPr>
          <w:p>
            <w:pPr>
              <w:adjustRightInd w:val="0"/>
              <w:snapToGrid w:val="0"/>
              <w:spacing w:line="200" w:lineRule="exact"/>
              <w:jc w:val="center"/>
              <w:rPr>
                <w:rFonts w:ascii="Times New Roman" w:hAnsi="Times New Roman"/>
                <w:sz w:val="21"/>
                <w:szCs w:val="21"/>
              </w:rPr>
            </w:pPr>
          </w:p>
        </w:tc>
        <w:tc>
          <w:tcPr>
            <w:tcW w:w="1911" w:type="dxa"/>
            <w:vAlign w:val="center"/>
          </w:tcPr>
          <w:p>
            <w:pPr>
              <w:adjustRightInd w:val="0"/>
              <w:snapToGrid w:val="0"/>
              <w:spacing w:line="200" w:lineRule="exact"/>
              <w:jc w:val="center"/>
              <w:rPr>
                <w:rFonts w:ascii="Times New Roman" w:hAnsi="Times New Roman"/>
                <w:sz w:val="21"/>
                <w:szCs w:val="21"/>
              </w:rPr>
            </w:pPr>
          </w:p>
        </w:tc>
        <w:tc>
          <w:tcPr>
            <w:tcW w:w="2023" w:type="dxa"/>
            <w:vAlign w:val="center"/>
          </w:tcPr>
          <w:p>
            <w:pPr>
              <w:adjustRightInd w:val="0"/>
              <w:snapToGrid w:val="0"/>
              <w:spacing w:line="200" w:lineRule="exact"/>
              <w:jc w:val="center"/>
              <w:rPr>
                <w:rFonts w:ascii="Times New Roman" w:hAnsi="Times New Roman"/>
                <w:sz w:val="21"/>
                <w:szCs w:val="21"/>
              </w:rPr>
            </w:pPr>
          </w:p>
        </w:tc>
      </w:tr>
      <w:bookmarkEnd w:id="102"/>
    </w:tbl>
    <w:p>
      <w:pPr>
        <w:pStyle w:val="5"/>
        <w:spacing w:before="120" w:after="120" w:line="440" w:lineRule="exact"/>
        <w:rPr>
          <w:sz w:val="24"/>
          <w:szCs w:val="22"/>
        </w:rPr>
      </w:pPr>
      <w:r>
        <w:rPr>
          <w:sz w:val="24"/>
          <w:szCs w:val="22"/>
        </w:rPr>
        <w:t>2.1.2矿区和国家大型煤炭基地的关系</w:t>
      </w:r>
    </w:p>
    <w:p>
      <w:pPr>
        <w:adjustRightInd w:val="0"/>
        <w:spacing w:line="440" w:lineRule="exact"/>
        <w:ind w:firstLine="480" w:firstLineChars="200"/>
        <w:jc w:val="left"/>
        <w:rPr>
          <w:rFonts w:ascii="Times New Roman" w:hAnsi="Times New Roman"/>
          <w:szCs w:val="24"/>
        </w:rPr>
      </w:pPr>
      <w:r>
        <w:rPr>
          <w:rFonts w:ascii="Times New Roman" w:hAnsi="Times New Roman"/>
          <w:szCs w:val="24"/>
        </w:rPr>
        <w:t>矿区东界与高头窑矿区相接，南界与呼吉尔特矿区相接，北界与塔然高勒矿区及生态红线相接。</w:t>
      </w:r>
      <w:r>
        <w:rPr>
          <w:rFonts w:hint="eastAsia" w:ascii="Times New Roman" w:hAnsi="Times New Roman"/>
          <w:szCs w:val="24"/>
        </w:rPr>
        <w:t>（各矿区位置关系见图2</w:t>
      </w:r>
      <w:r>
        <w:rPr>
          <w:rFonts w:ascii="Times New Roman" w:hAnsi="Times New Roman"/>
          <w:szCs w:val="24"/>
        </w:rPr>
        <w:t>.1-3</w:t>
      </w:r>
      <w:r>
        <w:rPr>
          <w:rFonts w:hint="eastAsia" w:ascii="Times New Roman" w:hAnsi="Times New Roman"/>
          <w:szCs w:val="24"/>
        </w:rPr>
        <w:t>，由于周边众多矿区现正在进行规划修编，本图仅作为位置关系参考）。</w:t>
      </w:r>
    </w:p>
    <w:p>
      <w:pPr>
        <w:pStyle w:val="428"/>
        <w:spacing w:line="440" w:lineRule="exact"/>
        <w:ind w:firstLine="480"/>
        <w:rPr>
          <w:rFonts w:ascii="Times New Roman" w:hAnsi="Times New Roman" w:eastAsia="宋体" w:cs="Times New Roman"/>
        </w:rPr>
      </w:pPr>
      <w:r>
        <w:rPr>
          <w:rFonts w:ascii="Times New Roman" w:hAnsi="Times New Roman" w:eastAsia="宋体" w:cs="Times New Roman"/>
        </w:rPr>
        <w:t>上述煤田均为国家规划矿区，本矿区不从属周边任何国家规划矿区，作为一个独立矿区进行规划。</w:t>
      </w:r>
    </w:p>
    <w:p>
      <w:pPr>
        <w:keepNext/>
        <w:keepLines/>
        <w:spacing w:line="440" w:lineRule="exact"/>
        <w:outlineLvl w:val="3"/>
        <w:rPr>
          <w:rFonts w:ascii="Times New Roman" w:hAnsi="Times New Roman"/>
          <w:b/>
          <w:szCs w:val="22"/>
        </w:rPr>
      </w:pPr>
      <w:r>
        <w:rPr>
          <w:rFonts w:ascii="Times New Roman" w:hAnsi="Times New Roman"/>
          <w:b/>
          <w:szCs w:val="22"/>
        </w:rPr>
        <w:t>2.1.2.1矿区南部的呼吉尔特矿区</w:t>
      </w:r>
    </w:p>
    <w:p>
      <w:pPr>
        <w:pStyle w:val="428"/>
        <w:numPr>
          <w:ilvl w:val="0"/>
          <w:numId w:val="9"/>
        </w:numPr>
        <w:spacing w:line="440" w:lineRule="exact"/>
        <w:ind w:firstLine="480"/>
        <w:rPr>
          <w:rFonts w:ascii="Times New Roman" w:hAnsi="Times New Roman" w:eastAsia="宋体" w:cs="Times New Roman"/>
          <w:bCs w:val="0"/>
          <w:kern w:val="2"/>
        </w:rPr>
      </w:pPr>
      <w:r>
        <w:rPr>
          <w:rFonts w:ascii="Times New Roman" w:hAnsi="Times New Roman" w:eastAsia="宋体" w:cs="Times New Roman"/>
          <w:bCs w:val="0"/>
          <w:kern w:val="2"/>
        </w:rPr>
        <w:t>总规及规划环评情况</w:t>
      </w:r>
    </w:p>
    <w:p>
      <w:pPr>
        <w:pStyle w:val="428"/>
        <w:spacing w:line="440" w:lineRule="exact"/>
        <w:ind w:firstLine="480"/>
        <w:rPr>
          <w:rFonts w:ascii="Times New Roman" w:hAnsi="Times New Roman" w:eastAsia="宋体" w:cs="Times New Roman"/>
          <w:bCs w:val="0"/>
          <w:kern w:val="2"/>
        </w:rPr>
      </w:pPr>
      <w:r>
        <w:rPr>
          <w:rFonts w:ascii="Times New Roman" w:hAnsi="Times New Roman" w:eastAsia="宋体" w:cs="Times New Roman"/>
          <w:bCs w:val="0"/>
          <w:kern w:val="2"/>
        </w:rPr>
        <w:t>2008年2月，国家发展及改革委员会以“发改能源[2008]504号文对“内蒙古自治区鄂尔多斯呼吉尔特矿区总体规划进行了批复，矿区规划范围3331.7km</w:t>
      </w:r>
      <w:r>
        <w:rPr>
          <w:rFonts w:ascii="Times New Roman" w:hAnsi="Times New Roman" w:eastAsia="宋体" w:cs="Times New Roman"/>
          <w:bCs w:val="0"/>
          <w:kern w:val="2"/>
          <w:vertAlign w:val="superscript"/>
        </w:rPr>
        <w:t>2</w:t>
      </w:r>
      <w:r>
        <w:rPr>
          <w:rFonts w:ascii="Times New Roman" w:hAnsi="Times New Roman" w:eastAsia="宋体" w:cs="Times New Roman"/>
          <w:bCs w:val="0"/>
          <w:kern w:val="2"/>
        </w:rPr>
        <w:t>，划分为7个井田、2个勘查区和1个远景区，建设总规模63.0Mt/a，7个井田为：梅林庙井田10.0Mt/a，门克庆井田12.0Mt/a”，沙拉吉达井田8.0Mt/a、母杜柴登井田6.0Mt/a、巴彦高勒井田4.0Mt/a、石拉乌素井田10.0Mt/a、葫芦素井田13.0Mt/a。</w:t>
      </w:r>
    </w:p>
    <w:p>
      <w:pPr>
        <w:pStyle w:val="428"/>
        <w:numPr>
          <w:ilvl w:val="0"/>
          <w:numId w:val="9"/>
        </w:numPr>
        <w:spacing w:line="440" w:lineRule="exact"/>
        <w:ind w:firstLine="480"/>
        <w:rPr>
          <w:rFonts w:ascii="Times New Roman" w:hAnsi="Times New Roman" w:eastAsia="宋体" w:cs="Times New Roman"/>
          <w:bCs w:val="0"/>
          <w:kern w:val="2"/>
        </w:rPr>
      </w:pPr>
      <w:r>
        <w:rPr>
          <w:rFonts w:ascii="Times New Roman" w:hAnsi="Times New Roman" w:eastAsia="宋体" w:cs="Times New Roman"/>
          <w:bCs w:val="0"/>
          <w:kern w:val="2"/>
        </w:rPr>
        <w:t>矿区内项目环评及项目情况</w:t>
      </w:r>
    </w:p>
    <w:p>
      <w:pPr>
        <w:pStyle w:val="428"/>
        <w:spacing w:line="440" w:lineRule="exact"/>
        <w:ind w:left="480" w:leftChars="200" w:firstLine="0" w:firstLineChars="0"/>
        <w:rPr>
          <w:rFonts w:ascii="Times New Roman" w:hAnsi="Times New Roman" w:eastAsia="宋体" w:cs="Times New Roman"/>
          <w:bCs w:val="0"/>
          <w:kern w:val="2"/>
        </w:rPr>
      </w:pPr>
      <w:r>
        <w:rPr>
          <w:rFonts w:ascii="Times New Roman" w:hAnsi="Times New Roman" w:eastAsia="宋体" w:cs="Times New Roman"/>
          <w:bCs w:val="0"/>
          <w:kern w:val="2"/>
        </w:rPr>
        <w:t>呼吉尔特矿区总体规划及规划环评批复后，规划各项目开始陆续实施，原有批复的</w:t>
      </w:r>
    </w:p>
    <w:p>
      <w:pPr>
        <w:pStyle w:val="428"/>
        <w:spacing w:line="440" w:lineRule="exact"/>
        <w:ind w:firstLine="0" w:firstLineChars="0"/>
        <w:rPr>
          <w:rFonts w:ascii="Times New Roman" w:hAnsi="Times New Roman" w:eastAsia="宋体" w:cs="Times New Roman"/>
          <w:bCs w:val="0"/>
          <w:kern w:val="2"/>
        </w:rPr>
      </w:pPr>
      <w:r>
        <w:rPr>
          <w:rFonts w:ascii="Times New Roman" w:hAnsi="Times New Roman" w:eastAsia="宋体" w:cs="Times New Roman"/>
          <w:bCs w:val="0"/>
          <w:kern w:val="2"/>
        </w:rPr>
        <w:t>7座井田中，门克庆、母杜柴登、巴彦高勒、石拉乌素和葫芦素这5座矿井都已建成投产，沙拉吉达矿井未建，梅林庙矿井处于停建状态，主要是由于这两座井田都位于鄂尔多斯市新划定的哈头才当水源地保护区范围内。</w:t>
      </w:r>
    </w:p>
    <w:p>
      <w:pPr>
        <w:pStyle w:val="428"/>
        <w:spacing w:line="440" w:lineRule="exact"/>
        <w:ind w:firstLine="480"/>
        <w:rPr>
          <w:rFonts w:ascii="Times New Roman" w:hAnsi="Times New Roman" w:eastAsia="宋体" w:cs="Times New Roman"/>
          <w:bCs w:val="0"/>
          <w:kern w:val="2"/>
        </w:rPr>
      </w:pPr>
      <w:r>
        <w:rPr>
          <w:rFonts w:ascii="Times New Roman" w:hAnsi="Times New Roman" w:eastAsia="宋体" w:cs="Times New Roman"/>
          <w:bCs w:val="0"/>
          <w:kern w:val="2"/>
        </w:rPr>
        <w:t>目前呼吉尔特矿区的勘探程度已发生较大变化，新增有纳林才登详查区、通格朗详查区和巴彦淖勘探区、乌拉素详查区及乌审召煤炭资源普查区（共4个）等。组织规划编制的发改部门提出在原呼吉尔特矿区北部一号勘查区内，以纳林才登详查区为基础，在原呼吉尔特矿区东北部新规划一个矿区，即呼吉尔特纳林才登矿区。中煤科工集团北京华宇工程有限公司于2018年6月编制完成了《内蒙古自治区鄂尔多斯呼吉尔特纳林才登矿区总体规划》。</w:t>
      </w:r>
    </w:p>
    <w:p>
      <w:pPr>
        <w:keepNext/>
        <w:keepLines/>
        <w:spacing w:line="440" w:lineRule="exact"/>
        <w:outlineLvl w:val="3"/>
        <w:rPr>
          <w:rFonts w:ascii="Times New Roman" w:hAnsi="Times New Roman"/>
          <w:b/>
          <w:szCs w:val="22"/>
        </w:rPr>
      </w:pPr>
      <w:r>
        <w:rPr>
          <w:rFonts w:ascii="Times New Roman" w:hAnsi="Times New Roman"/>
          <w:b/>
          <w:szCs w:val="22"/>
        </w:rPr>
        <w:t>2.1.2.2矿区北部的塔然高勒矿区</w:t>
      </w:r>
    </w:p>
    <w:p>
      <w:pPr>
        <w:spacing w:line="440" w:lineRule="exact"/>
        <w:ind w:firstLine="480" w:firstLineChars="200"/>
        <w:rPr>
          <w:rFonts w:ascii="Times New Roman" w:hAnsi="Times New Roman"/>
          <w:szCs w:val="24"/>
        </w:rPr>
      </w:pPr>
      <w:r>
        <w:rPr>
          <w:rFonts w:ascii="Times New Roman" w:hAnsi="Times New Roman"/>
          <w:szCs w:val="24"/>
        </w:rPr>
        <w:t>2008年6月，中煤科工集团北京华宇工程有限公司编制完成《内蒙古自治区鄂尔多斯塔然高勒矿区总体规划环境影响报告书》，塔然高勒矿区属于国家规划矿区中东胜矿区的组成部分之一。规划矿区东西长约64km，南北宽约37km，总面积约2379.38km</w:t>
      </w:r>
      <w:r>
        <w:rPr>
          <w:rFonts w:ascii="Times New Roman" w:hAnsi="Times New Roman"/>
          <w:szCs w:val="24"/>
          <w:vertAlign w:val="superscript"/>
        </w:rPr>
        <w:t>2</w:t>
      </w:r>
      <w:r>
        <w:rPr>
          <w:rFonts w:ascii="Times New Roman" w:hAnsi="Times New Roman"/>
          <w:szCs w:val="24"/>
        </w:rPr>
        <w:t>，煤炭资源储量达16113.9Mt；矿区中东部规划了5个井田，规划面积为1053.87km</w:t>
      </w:r>
      <w:r>
        <w:rPr>
          <w:rFonts w:ascii="Times New Roman" w:hAnsi="Times New Roman"/>
          <w:szCs w:val="24"/>
          <w:vertAlign w:val="superscript"/>
        </w:rPr>
        <w:t>2</w:t>
      </w:r>
      <w:r>
        <w:rPr>
          <w:rFonts w:ascii="Times New Roman" w:hAnsi="Times New Roman"/>
          <w:szCs w:val="24"/>
        </w:rPr>
        <w:t>，矿区生产规模26.0Mt/a，矿区西南部规划了一个西南部勘查区，勘查区面积1325.51km</w:t>
      </w:r>
      <w:r>
        <w:rPr>
          <w:rFonts w:ascii="Times New Roman" w:hAnsi="Times New Roman"/>
          <w:szCs w:val="24"/>
          <w:vertAlign w:val="superscript"/>
        </w:rPr>
        <w:t>2</w:t>
      </w:r>
      <w:r>
        <w:rPr>
          <w:rFonts w:ascii="Times New Roman" w:hAnsi="Times New Roman"/>
          <w:szCs w:val="24"/>
        </w:rPr>
        <w:t>，估计地质储量达9018.45Mt。5个井田分别为：</w:t>
      </w:r>
    </w:p>
    <w:p>
      <w:pPr>
        <w:spacing w:line="440" w:lineRule="exact"/>
        <w:ind w:firstLine="480" w:firstLineChars="200"/>
        <w:rPr>
          <w:rFonts w:ascii="Times New Roman" w:hAnsi="Times New Roman"/>
        </w:rPr>
      </w:pPr>
      <w:r>
        <w:rPr>
          <w:rFonts w:ascii="Times New Roman" w:hAnsi="Times New Roman"/>
        </w:rPr>
        <w:t>塔然高勒井田：东部与呼斯梁井田为邻，南部与油房壕井田及西南部勘查区为界，西部与西南部勘查区为界，北部以推断煤层隐伏露头线为界。井田东西长25.2km，南北宽16.0km，面积492.65km</w:t>
      </w:r>
      <w:r>
        <w:rPr>
          <w:rFonts w:ascii="Times New Roman" w:hAnsi="Times New Roman"/>
          <w:vertAlign w:val="superscript"/>
        </w:rPr>
        <w:t>2</w:t>
      </w:r>
      <w:r>
        <w:rPr>
          <w:rFonts w:ascii="Times New Roman" w:hAnsi="Times New Roman"/>
        </w:rPr>
        <w:t>。主要开采3-1、4-1和4-2煤层。估算井田地质储量2640.83Mt，可采储量1188.00Mt。设计生产能力10.00Mt/a，服务年限79.2a。</w:t>
      </w:r>
    </w:p>
    <w:p>
      <w:pPr>
        <w:spacing w:line="440" w:lineRule="exact"/>
        <w:ind w:firstLine="480" w:firstLineChars="200"/>
        <w:rPr>
          <w:rFonts w:ascii="Times New Roman" w:hAnsi="Times New Roman"/>
        </w:rPr>
      </w:pPr>
      <w:r>
        <w:rPr>
          <w:rFonts w:ascii="Times New Roman" w:hAnsi="Times New Roman"/>
        </w:rPr>
        <w:t>泊江海子井田：北部与油房壕井田为邻，东部及南部与高头窑矿区相接，西部与西南部勘查区相接。井田东西长20.0km，南北宽5.8km，面积115.64km</w:t>
      </w:r>
      <w:r>
        <w:rPr>
          <w:rFonts w:ascii="Times New Roman" w:hAnsi="Times New Roman"/>
          <w:vertAlign w:val="superscript"/>
        </w:rPr>
        <w:t>2</w:t>
      </w:r>
      <w:r>
        <w:rPr>
          <w:rFonts w:ascii="Times New Roman" w:hAnsi="Times New Roman"/>
        </w:rPr>
        <w:t>。主要开采3-1、4-1、4-2煤层。估算井田地质储量1251.87Mt，可采储量438.00Mt。设计生产能力3.0Mt/a，服务年限97.3a。</w:t>
      </w:r>
    </w:p>
    <w:p>
      <w:pPr>
        <w:spacing w:line="440" w:lineRule="exact"/>
        <w:ind w:firstLine="480" w:firstLineChars="200"/>
        <w:rPr>
          <w:rFonts w:ascii="Times New Roman" w:hAnsi="Times New Roman"/>
        </w:rPr>
      </w:pPr>
      <w:r>
        <w:rPr>
          <w:rFonts w:ascii="Times New Roman" w:hAnsi="Times New Roman"/>
        </w:rPr>
        <w:t>红庆梁井田：北部以推断煤层隐伏露头线为界，西部与呼斯梁井田相邻，南部与油房壕井田及高头窑矿区为邻，东部与高头窑矿区青达门井田相接。井田南北长15.8km，东西宽8.8km，面积142.10km</w:t>
      </w:r>
      <w:r>
        <w:rPr>
          <w:rFonts w:ascii="Times New Roman" w:hAnsi="Times New Roman"/>
          <w:vertAlign w:val="superscript"/>
        </w:rPr>
        <w:t>2</w:t>
      </w:r>
      <w:r>
        <w:rPr>
          <w:rFonts w:ascii="Times New Roman" w:hAnsi="Times New Roman"/>
        </w:rPr>
        <w:t>。主要开采3-1、4-1、4-2煤层。估算井田地质储量1270.35Mt，可采储量843.00Mt。设计生产能力6.00Mt/a，服务年限93.7a。</w:t>
      </w:r>
    </w:p>
    <w:p>
      <w:pPr>
        <w:spacing w:line="440" w:lineRule="exact"/>
        <w:ind w:firstLine="480" w:firstLineChars="200"/>
        <w:rPr>
          <w:rFonts w:ascii="Times New Roman" w:hAnsi="Times New Roman"/>
        </w:rPr>
      </w:pPr>
      <w:r>
        <w:rPr>
          <w:rFonts w:ascii="Times New Roman" w:hAnsi="Times New Roman"/>
        </w:rPr>
        <w:t>油房壕井田：北部与塔然高勒、呼斯梁、红庆梁井田为邻，东部与高头窑矿区相接，南部与泊江海子井田相邻，西部与西南部勘查区为界。井田东西长20.8km，南北宽6.2km，面积125.58km</w:t>
      </w:r>
      <w:r>
        <w:rPr>
          <w:rFonts w:ascii="Times New Roman" w:hAnsi="Times New Roman"/>
          <w:vertAlign w:val="superscript"/>
        </w:rPr>
        <w:t>2</w:t>
      </w:r>
      <w:r>
        <w:rPr>
          <w:rFonts w:ascii="Times New Roman" w:hAnsi="Times New Roman"/>
        </w:rPr>
        <w:t>。主要开采3-1、4-1和4-2煤层。估算井田地质储量1152.83Mt，可采储量403.00Mt。设计生产能力3.00Mt/a，服务年限89.6a。</w:t>
      </w:r>
    </w:p>
    <w:p>
      <w:pPr>
        <w:spacing w:line="440" w:lineRule="exact"/>
        <w:ind w:firstLine="480" w:firstLineChars="200"/>
        <w:rPr>
          <w:rFonts w:ascii="Times New Roman" w:hAnsi="Times New Roman"/>
        </w:rPr>
      </w:pPr>
      <w:r>
        <w:rPr>
          <w:rFonts w:ascii="Times New Roman" w:hAnsi="Times New Roman"/>
        </w:rPr>
        <w:t>呼斯梁井田：北部以推断煤层隐伏露头线为界，东、南、西部分别与红庆梁、油房壕、塔然高勒井田相邻。井田南北长17.8km，东西宽9.9km，面积177.90km</w:t>
      </w:r>
      <w:r>
        <w:rPr>
          <w:rFonts w:ascii="Times New Roman" w:hAnsi="Times New Roman"/>
          <w:vertAlign w:val="superscript"/>
        </w:rPr>
        <w:t>2</w:t>
      </w:r>
      <w:r>
        <w:rPr>
          <w:rFonts w:ascii="Times New Roman" w:hAnsi="Times New Roman"/>
        </w:rPr>
        <w:t>。主要开采3-1、4-2煤层。估算井田地质储量779.58Mt，可采储量390.00Mt。设计生产能力4.00Mt/a，服务年限65.0a。</w:t>
      </w:r>
    </w:p>
    <w:p>
      <w:pPr>
        <w:keepNext/>
        <w:keepLines/>
        <w:spacing w:line="440" w:lineRule="exact"/>
        <w:outlineLvl w:val="3"/>
        <w:rPr>
          <w:rFonts w:ascii="Times New Roman" w:hAnsi="Times New Roman"/>
          <w:b/>
          <w:szCs w:val="22"/>
        </w:rPr>
      </w:pPr>
      <w:r>
        <w:rPr>
          <w:rFonts w:ascii="Times New Roman" w:hAnsi="Times New Roman"/>
          <w:b/>
          <w:szCs w:val="22"/>
        </w:rPr>
        <w:t>2.1.2.4矿区东部的高头窑矿区</w:t>
      </w:r>
    </w:p>
    <w:p>
      <w:pPr>
        <w:spacing w:line="440" w:lineRule="exact"/>
        <w:ind w:firstLine="480" w:firstLineChars="200"/>
        <w:rPr>
          <w:rFonts w:ascii="Times New Roman" w:hAnsi="Times New Roman"/>
        </w:rPr>
      </w:pPr>
      <w:r>
        <w:rPr>
          <w:rFonts w:ascii="Times New Roman" w:hAnsi="Times New Roman"/>
        </w:rPr>
        <w:t>《内蒙古鄂尔多斯高头窑矿区总体规划》于2009年3月由北京华宇工程有限公司编制完成，国家发展和改革委员会以发改能源[2010]1525号予以批复。矿区南北长81.9公里，面积3110平方公里，可供规划的资源储量约115.41亿吨。矿区划分4个井田、2个小井开采区、3个勘查区、2个保护区和1个待规划区，建设规模为2300万吨/年。其中4个井田产生能力分别为：高头窑矿井800万吨/年、色连一号矿井500万吨/年、色连二号矿井400万吨/年、城梁矿井600万吨/年。</w:t>
      </w:r>
    </w:p>
    <w:p>
      <w:pPr>
        <w:spacing w:line="440" w:lineRule="exact"/>
        <w:ind w:firstLine="480" w:firstLineChars="200"/>
        <w:rPr>
          <w:rFonts w:ascii="Times New Roman" w:hAnsi="Times New Roman"/>
        </w:rPr>
      </w:pPr>
      <w:r>
        <w:rPr>
          <w:rFonts w:ascii="Times New Roman" w:hAnsi="Times New Roman"/>
        </w:rPr>
        <w:t>高头窑矿区位于东胜煤田的中北部，矿区北部煤层露头附近，煤层埋藏浅，煤层赋存条件较差，分布着一些乡镇小煤矿。鄂尔多斯市人民政府先后三次下发地方煤矿资源整合工作有关情况的函（鄂政函[2005]201号、鄂政函[2005]381号、鄂政函[2005]385号），对高头窑矿区北部地方煤矿进行了整合，整合后共有10个小煤矿。其中东侧纳林沟区由5个地方煤矿，分别为亿宏煤矿、江木图南井、兴旺、江木图北井、金运煤矿；西侧水多湖川区有5个地方煤矿，分别为李五兴、黑塔沟瑞光、张美厚、高头窑、羊场，地方煤矿整合后生产能力约为6.00Mt/a。</w:t>
      </w:r>
    </w:p>
    <w:p>
      <w:pPr>
        <w:spacing w:line="440" w:lineRule="exact"/>
        <w:ind w:firstLine="480" w:firstLineChars="200"/>
        <w:rPr>
          <w:rFonts w:ascii="Times New Roman" w:hAnsi="Times New Roman"/>
        </w:rPr>
      </w:pPr>
      <w:r>
        <w:rPr>
          <w:rFonts w:ascii="Times New Roman" w:hAnsi="Times New Roman"/>
        </w:rPr>
        <w:t>目前矿区深部井田，如高头窑井田、色连一号井田、色连二号井田均已生产，高头窑矿区总体规划及总体规划环评正在修编。</w:t>
      </w:r>
    </w:p>
    <w:p>
      <w:pPr>
        <w:pStyle w:val="5"/>
        <w:spacing w:before="120" w:after="120" w:line="440" w:lineRule="exact"/>
        <w:rPr>
          <w:sz w:val="24"/>
          <w:szCs w:val="22"/>
        </w:rPr>
      </w:pPr>
      <w:r>
        <w:rPr>
          <w:sz w:val="24"/>
          <w:szCs w:val="22"/>
        </w:rPr>
        <w:t>2.1.3矿区开发历史与生产现状</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szCs w:val="28"/>
        </w:rPr>
        <w:t>本矿区为国家大型煤炭基地东胜煤田神东煤炭基地西（深）部，大型基地规划中未对该区进行开发规划。目前处于矿区总体规划阶段，区内煤炭资源未进行开发，无在建及生产煤矿，亦无关闭煤矿及老窑。</w:t>
      </w:r>
    </w:p>
    <w:bookmarkEnd w:id="99"/>
    <w:bookmarkEnd w:id="100"/>
    <w:p>
      <w:pPr>
        <w:pStyle w:val="5"/>
        <w:spacing w:before="120" w:after="120" w:line="440" w:lineRule="exact"/>
        <w:rPr>
          <w:sz w:val="24"/>
        </w:rPr>
      </w:pPr>
      <w:r>
        <w:rPr>
          <w:sz w:val="24"/>
        </w:rPr>
        <w:t>2.1.4 矿区规划目标</w:t>
      </w:r>
    </w:p>
    <w:p>
      <w:pPr>
        <w:adjustRightInd w:val="0"/>
        <w:snapToGrid w:val="0"/>
        <w:spacing w:line="440" w:lineRule="exact"/>
        <w:ind w:firstLine="241" w:firstLineChars="100"/>
        <w:rPr>
          <w:rFonts w:ascii="Times New Roman" w:hAnsi="Times New Roman"/>
          <w:b/>
        </w:rPr>
      </w:pPr>
      <w:r>
        <w:rPr>
          <w:rFonts w:ascii="Times New Roman" w:hAnsi="Times New Roman"/>
          <w:b/>
        </w:rPr>
        <w:t>（1）矿区总体发展规模</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1）矿区产能规划</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矿区规划4个井田，矿区规划总规模为32.00Mt/a。</w:t>
      </w:r>
    </w:p>
    <w:p>
      <w:pPr>
        <w:adjustRightInd w:val="0"/>
        <w:snapToGrid w:val="0"/>
        <w:spacing w:line="440" w:lineRule="exact"/>
        <w:ind w:firstLine="422" w:firstLineChars="176"/>
        <w:rPr>
          <w:rFonts w:ascii="Times New Roman" w:hAnsi="Times New Roman"/>
          <w:bCs/>
          <w:szCs w:val="24"/>
        </w:rPr>
      </w:pPr>
      <w:r>
        <w:rPr>
          <w:rFonts w:ascii="Times New Roman" w:hAnsi="Times New Roman"/>
          <w:szCs w:val="24"/>
        </w:rPr>
        <w:t>2）煤炭</w:t>
      </w:r>
      <w:r>
        <w:rPr>
          <w:rFonts w:ascii="Times New Roman" w:hAnsi="Times New Roman"/>
          <w:bCs/>
          <w:szCs w:val="24"/>
        </w:rPr>
        <w:t>洗选加工规划</w:t>
      </w:r>
    </w:p>
    <w:p>
      <w:pPr>
        <w:pStyle w:val="573"/>
        <w:ind w:firstLine="480"/>
        <w:jc w:val="both"/>
        <w:rPr>
          <w:rFonts w:ascii="Times New Roman" w:hAnsi="Times New Roman" w:eastAsia="宋体" w:cs="Times New Roman"/>
          <w:kern w:val="0"/>
        </w:rPr>
      </w:pPr>
      <w:r>
        <w:rPr>
          <w:rFonts w:ascii="Times New Roman" w:hAnsi="Times New Roman" w:eastAsia="宋体" w:cs="Times New Roman"/>
        </w:rPr>
        <w:t>矿区内各矿井单独配套建设同等规模选煤厂，选煤厂规划总规模为32.00Mt/a。</w:t>
      </w:r>
    </w:p>
    <w:p>
      <w:pPr>
        <w:spacing w:line="500" w:lineRule="exact"/>
        <w:ind w:firstLine="482" w:firstLineChars="200"/>
        <w:rPr>
          <w:rFonts w:ascii="Times New Roman" w:hAnsi="Times New Roman"/>
          <w:b/>
          <w:szCs w:val="24"/>
        </w:rPr>
      </w:pPr>
      <w:r>
        <w:rPr>
          <w:rFonts w:ascii="Times New Roman" w:hAnsi="Times New Roman"/>
          <w:b/>
          <w:szCs w:val="24"/>
        </w:rPr>
        <w:t>（2）煤炭产品目标市场</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1）就地转化，供应当地煤化工、电厂及其他工业作燃料煤及原料煤；</w:t>
      </w:r>
    </w:p>
    <w:p>
      <w:pPr>
        <w:adjustRightInd w:val="0"/>
        <w:snapToGrid w:val="0"/>
        <w:spacing w:line="440" w:lineRule="exact"/>
        <w:ind w:firstLine="720" w:firstLineChars="300"/>
        <w:rPr>
          <w:rFonts w:ascii="Times New Roman" w:hAnsi="Times New Roman"/>
          <w:szCs w:val="24"/>
        </w:rPr>
      </w:pPr>
      <w:r>
        <w:rPr>
          <w:rFonts w:hint="eastAsia" w:cs="宋体"/>
          <w:szCs w:val="24"/>
        </w:rPr>
        <w:t>①</w:t>
      </w:r>
      <w:r>
        <w:rPr>
          <w:rFonts w:ascii="Times New Roman" w:hAnsi="Times New Roman"/>
          <w:szCs w:val="24"/>
        </w:rPr>
        <w:t>内蒙古巴彦淖尔市临河工业园区</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四川化工控股（集团）有限责任公司内蒙煤化工基地，新建1.00Mt/a二甲醚、1.00Mt/a烯烃等项目，该基地原料煤及燃料煤总耗煤量为20.00Mt/a。</w:t>
      </w:r>
    </w:p>
    <w:p>
      <w:pPr>
        <w:adjustRightInd w:val="0"/>
        <w:snapToGrid w:val="0"/>
        <w:spacing w:line="440" w:lineRule="exact"/>
        <w:ind w:firstLine="720" w:firstLineChars="300"/>
        <w:rPr>
          <w:rFonts w:ascii="Times New Roman" w:hAnsi="Times New Roman"/>
          <w:szCs w:val="24"/>
        </w:rPr>
      </w:pPr>
      <w:r>
        <w:rPr>
          <w:rFonts w:hint="eastAsia" w:cs="宋体"/>
          <w:szCs w:val="24"/>
        </w:rPr>
        <w:t>②</w:t>
      </w:r>
      <w:r>
        <w:rPr>
          <w:rFonts w:ascii="Times New Roman" w:hAnsi="Times New Roman"/>
          <w:szCs w:val="24"/>
        </w:rPr>
        <w:t>内蒙古巴彦淖尔市</w:t>
      </w:r>
      <w:r>
        <w:rPr>
          <w:rFonts w:ascii="Times New Roman" w:hAnsi="Times New Roman"/>
          <w:kern w:val="0"/>
          <w:szCs w:val="21"/>
        </w:rPr>
        <w:t>磴口化工园区</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磴口工业园区年需要煤炭资源20Mt，五原工业园区年需要煤炭资源10Mt，本矿区规划年向两个工业园区共提供煤炭资源2～5Mt。</w:t>
      </w:r>
    </w:p>
    <w:p>
      <w:pPr>
        <w:adjustRightInd w:val="0"/>
        <w:snapToGrid w:val="0"/>
        <w:spacing w:line="440" w:lineRule="exact"/>
        <w:ind w:firstLine="720" w:firstLineChars="300"/>
        <w:rPr>
          <w:rFonts w:ascii="Times New Roman" w:hAnsi="Times New Roman"/>
          <w:szCs w:val="24"/>
        </w:rPr>
      </w:pPr>
      <w:r>
        <w:rPr>
          <w:rFonts w:hint="eastAsia" w:cs="宋体"/>
          <w:szCs w:val="24"/>
        </w:rPr>
        <w:t>③</w:t>
      </w:r>
      <w:r>
        <w:rPr>
          <w:rFonts w:ascii="Times New Roman" w:hAnsi="Times New Roman"/>
          <w:szCs w:val="24"/>
        </w:rPr>
        <w:t>纳林希里2*1000MW煤电一体化项目</w:t>
      </w:r>
    </w:p>
    <w:p>
      <w:pPr>
        <w:adjustRightInd w:val="0"/>
        <w:snapToGrid w:val="0"/>
        <w:spacing w:line="440" w:lineRule="exact"/>
        <w:ind w:firstLine="720" w:firstLineChars="300"/>
        <w:rPr>
          <w:rFonts w:ascii="Times New Roman" w:hAnsi="Times New Roman"/>
          <w:szCs w:val="24"/>
        </w:rPr>
      </w:pPr>
      <w:r>
        <w:rPr>
          <w:rFonts w:hint="eastAsia" w:ascii="Times New Roman" w:hAnsi="Times New Roman"/>
          <w:szCs w:val="24"/>
        </w:rPr>
        <w:t>内蒙古能源发电投资集团有限公司产业开发分公司拟在伊金霍洛旗建设2</w:t>
      </w:r>
      <w:r>
        <w:rPr>
          <w:rFonts w:hint="eastAsia" w:ascii="Segoe UI Emoji" w:hAnsi="Segoe UI Emoji" w:cs="Segoe UI Emoji"/>
          <w:szCs w:val="24"/>
        </w:rPr>
        <w:t>*</w:t>
      </w:r>
      <w:r>
        <w:rPr>
          <w:rFonts w:ascii="Times New Roman" w:hAnsi="Times New Roman"/>
          <w:szCs w:val="24"/>
        </w:rPr>
        <w:t>1000MW煤电一体化项目</w:t>
      </w:r>
      <w:r>
        <w:rPr>
          <w:rFonts w:hint="eastAsia" w:ascii="Times New Roman" w:hAnsi="Times New Roman"/>
          <w:szCs w:val="24"/>
        </w:rPr>
        <w:t>，该项目已完成了《可行性研究报告（初稿）》、《地质灾害评价报告（初稿）》、《环境影响评价报告（初稿）》、《水土保持方案（初稿）》、《建设项目用地勘测定界报告（初稿）》的编制工作，并确定了建厂厂址、灰场、煤源、水源等外部条件。完成了生活用水、石灰石供应、尿素供应等1</w:t>
      </w:r>
      <w:r>
        <w:rPr>
          <w:rFonts w:ascii="Times New Roman" w:hAnsi="Times New Roman"/>
          <w:szCs w:val="24"/>
        </w:rPr>
        <w:t>0</w:t>
      </w:r>
      <w:r>
        <w:rPr>
          <w:rFonts w:hint="eastAsia" w:ascii="Times New Roman" w:hAnsi="Times New Roman"/>
          <w:szCs w:val="24"/>
        </w:rPr>
        <w:t>项协议的签订工作（详见7</w:t>
      </w:r>
      <w:r>
        <w:rPr>
          <w:rFonts w:ascii="Times New Roman" w:hAnsi="Times New Roman"/>
          <w:szCs w:val="24"/>
        </w:rPr>
        <w:t>.1.3</w:t>
      </w:r>
      <w:r>
        <w:rPr>
          <w:rFonts w:hint="eastAsia" w:ascii="Times New Roman" w:hAnsi="Times New Roman"/>
          <w:szCs w:val="24"/>
        </w:rPr>
        <w:t>小节</w:t>
      </w:r>
      <w:r>
        <w:rPr>
          <w:rFonts w:ascii="Times New Roman" w:hAnsi="Times New Roman"/>
          <w:szCs w:val="24"/>
        </w:rPr>
        <w:t>-</w:t>
      </w:r>
      <w:r>
        <w:rPr>
          <w:rFonts w:hint="eastAsia" w:ascii="Times New Roman" w:hAnsi="Times New Roman"/>
          <w:szCs w:val="24"/>
        </w:rPr>
        <w:t>规划规模合理性分析）。</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2）作为“西北至华中”的煤源地之一，通过铁路及公路外运，供华中地区用户作燃料用煤。</w:t>
      </w:r>
    </w:p>
    <w:p>
      <w:pPr>
        <w:pStyle w:val="5"/>
        <w:spacing w:before="120" w:after="120" w:line="440" w:lineRule="exact"/>
        <w:rPr>
          <w:sz w:val="24"/>
        </w:rPr>
      </w:pPr>
      <w:r>
        <w:rPr>
          <w:sz w:val="24"/>
        </w:rPr>
        <w:t>2.1.5 矿区资源条件</w:t>
      </w:r>
    </w:p>
    <w:p>
      <w:pPr>
        <w:keepNext/>
        <w:keepLines/>
        <w:spacing w:line="440" w:lineRule="exact"/>
        <w:outlineLvl w:val="3"/>
        <w:rPr>
          <w:rFonts w:ascii="Times New Roman" w:hAnsi="Times New Roman"/>
          <w:b/>
        </w:rPr>
      </w:pPr>
      <w:r>
        <w:rPr>
          <w:rFonts w:ascii="Times New Roman" w:hAnsi="Times New Roman"/>
          <w:b/>
        </w:rPr>
        <w:t>2.1.5.1 区域地层</w:t>
      </w:r>
    </w:p>
    <w:p>
      <w:pPr>
        <w:spacing w:line="420" w:lineRule="exact"/>
        <w:ind w:firstLine="482"/>
        <w:rPr>
          <w:rFonts w:ascii="Times New Roman" w:hAnsi="Times New Roman"/>
          <w:szCs w:val="24"/>
        </w:rPr>
      </w:pPr>
      <w:r>
        <w:rPr>
          <w:rFonts w:ascii="Times New Roman" w:hAnsi="Times New Roman"/>
          <w:kern w:val="0"/>
          <w:szCs w:val="18"/>
        </w:rPr>
        <w:t>区内</w:t>
      </w:r>
      <w:r>
        <w:rPr>
          <w:rFonts w:ascii="Times New Roman" w:hAnsi="Times New Roman"/>
          <w:kern w:val="0"/>
          <w:szCs w:val="18"/>
          <w:lang w:bidi="en-US"/>
        </w:rPr>
        <w:t>中、新生代地层区划属于陕甘宁地层区(3)，鄂尔多斯分区(31)。</w:t>
      </w:r>
      <w:r>
        <w:rPr>
          <w:rFonts w:ascii="Times New Roman" w:hAnsi="Times New Roman"/>
          <w:kern w:val="0"/>
          <w:szCs w:val="18"/>
        </w:rPr>
        <w:t>区内大部地段被风积沙及黄土层覆盖，</w:t>
      </w:r>
      <w:r>
        <w:rPr>
          <w:rFonts w:ascii="Times New Roman" w:hAnsi="Times New Roman"/>
          <w:kern w:val="0"/>
          <w:szCs w:val="18"/>
          <w:lang w:bidi="en-US"/>
        </w:rPr>
        <w:t>白垩系下统志丹群广泛发育，侏罗系中下统延安组和侏罗系中统直罗组在东胜煤田的东部大面积出露，多分布在较大沟谷、沟坡及周边。根据钻探揭露，区域地层由老至新依次为：</w:t>
      </w:r>
      <w:r>
        <w:rPr>
          <w:rFonts w:ascii="Times New Roman" w:hAnsi="Times New Roman"/>
          <w:kern w:val="0"/>
          <w:szCs w:val="18"/>
        </w:rPr>
        <w:t>三叠系中统二马营组（T2er），三叠系上统延长组（T3y），侏罗系下统富县组（J1f），侏罗系中下统延安组（J1-2y），侏罗系中统直罗组（J2z）、安定组（J2a），白垩系下统志丹群（K1zh），新近系（N）及第四系（Q）</w:t>
      </w:r>
      <w:r>
        <w:rPr>
          <w:rFonts w:ascii="Times New Roman" w:hAnsi="Times New Roman"/>
          <w:kern w:val="0"/>
          <w:szCs w:val="18"/>
          <w:lang w:bidi="en-US"/>
        </w:rPr>
        <w:t>。</w:t>
      </w:r>
      <w:r>
        <w:rPr>
          <w:rFonts w:ascii="Times New Roman" w:hAnsi="Times New Roman"/>
          <w:szCs w:val="24"/>
        </w:rPr>
        <w:t>详见表2.1-2。</w:t>
      </w:r>
    </w:p>
    <w:p>
      <w:pPr>
        <w:spacing w:line="420" w:lineRule="exact"/>
        <w:jc w:val="center"/>
        <w:rPr>
          <w:rFonts w:ascii="Times New Roman" w:hAnsi="Times New Roman"/>
          <w:b/>
          <w:kern w:val="0"/>
          <w:szCs w:val="24"/>
        </w:rPr>
      </w:pPr>
      <w:r>
        <w:rPr>
          <w:rFonts w:ascii="Times New Roman" w:hAnsi="Times New Roman"/>
          <w:b/>
          <w:kern w:val="0"/>
          <w:szCs w:val="24"/>
        </w:rPr>
        <w:t>区域地层特征表</w:t>
      </w:r>
    </w:p>
    <w:p>
      <w:pPr>
        <w:spacing w:line="440" w:lineRule="exact"/>
        <w:jc w:val="left"/>
        <w:rPr>
          <w:rFonts w:ascii="Times New Roman" w:hAnsi="Times New Roman"/>
          <w:kern w:val="0"/>
          <w:szCs w:val="24"/>
        </w:rPr>
      </w:pPr>
      <w:r>
        <w:rPr>
          <w:rFonts w:ascii="Times New Roman" w:hAnsi="Times New Roman"/>
          <w:kern w:val="0"/>
          <w:szCs w:val="24"/>
        </w:rPr>
        <w:t xml:space="preserve">表2.1-2   </w:t>
      </w:r>
    </w:p>
    <w:tbl>
      <w:tblPr>
        <w:tblStyle w:val="59"/>
        <w:tblpPr w:leftFromText="180" w:rightFromText="180" w:vertAnchor="text" w:horzAnchor="margin" w:tblpXSpec="center" w:tblpY="2"/>
        <w:tblW w:w="9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78"/>
        <w:gridCol w:w="487"/>
        <w:gridCol w:w="487"/>
        <w:gridCol w:w="1347"/>
        <w:gridCol w:w="1520"/>
        <w:gridCol w:w="5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8" w:hRule="atLeast"/>
          <w:jc w:val="center"/>
        </w:trPr>
        <w:tc>
          <w:tcPr>
            <w:tcW w:w="4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界</w:t>
            </w:r>
          </w:p>
        </w:tc>
        <w:tc>
          <w:tcPr>
            <w:tcW w:w="48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系</w:t>
            </w:r>
          </w:p>
        </w:tc>
        <w:tc>
          <w:tcPr>
            <w:tcW w:w="48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组（群）</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厚度（m）</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最小-最大</w:t>
            </w: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岩   性   描   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03" w:hRule="atLeast"/>
          <w:jc w:val="center"/>
        </w:trPr>
        <w:tc>
          <w:tcPr>
            <w:tcW w:w="478"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新</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生</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界</w:t>
            </w:r>
          </w:p>
        </w:tc>
        <w:tc>
          <w:tcPr>
            <w:tcW w:w="487"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第</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四</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系</w:t>
            </w:r>
          </w:p>
        </w:tc>
        <w:tc>
          <w:tcPr>
            <w:tcW w:w="487"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全</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新</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洪冲积砂</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（Q</w:t>
            </w:r>
            <w:r>
              <w:rPr>
                <w:rFonts w:ascii="Times New Roman" w:hAnsi="Times New Roman"/>
                <w:sz w:val="21"/>
                <w:szCs w:val="21"/>
                <w:vertAlign w:val="subscript"/>
              </w:rPr>
              <w:t>4</w:t>
            </w:r>
            <w:r>
              <w:rPr>
                <w:rFonts w:ascii="Times New Roman" w:hAnsi="Times New Roman"/>
                <w:sz w:val="21"/>
                <w:szCs w:val="21"/>
                <w:vertAlign w:val="superscript"/>
              </w:rPr>
              <w:t>al+pl</w:t>
            </w:r>
            <w:r>
              <w:rPr>
                <w:rFonts w:ascii="Times New Roman" w:hAnsi="Times New Roman"/>
                <w:sz w:val="21"/>
                <w:szCs w:val="21"/>
              </w:rPr>
              <w:t>）</w:t>
            </w:r>
          </w:p>
        </w:tc>
        <w:tc>
          <w:tcPr>
            <w:tcW w:w="1520"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＜200</w:t>
            </w: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ind w:firstLine="210"/>
              <w:rPr>
                <w:rFonts w:ascii="Times New Roman" w:hAnsi="Times New Roman"/>
                <w:sz w:val="21"/>
                <w:szCs w:val="21"/>
              </w:rPr>
            </w:pPr>
            <w:r>
              <w:rPr>
                <w:rFonts w:ascii="Times New Roman" w:hAnsi="Times New Roman"/>
                <w:sz w:val="21"/>
                <w:szCs w:val="21"/>
              </w:rPr>
              <w:t>淡黄褐、黄色中细粒砂及粉砂。为湖泊相沉积层、冲洪积层和风积层。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1"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风积层</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（Q</w:t>
            </w:r>
            <w:r>
              <w:rPr>
                <w:rFonts w:ascii="Times New Roman" w:hAnsi="Times New Roman"/>
                <w:sz w:val="21"/>
                <w:szCs w:val="21"/>
                <w:vertAlign w:val="subscript"/>
              </w:rPr>
              <w:t>4</w:t>
            </w:r>
            <w:r>
              <w:rPr>
                <w:rFonts w:ascii="Times New Roman" w:hAnsi="Times New Roman"/>
                <w:sz w:val="21"/>
                <w:szCs w:val="21"/>
                <w:vertAlign w:val="superscript"/>
              </w:rPr>
              <w:t>eol</w:t>
            </w:r>
            <w:r>
              <w:rPr>
                <w:rFonts w:ascii="Times New Roman" w:hAnsi="Times New Roman"/>
                <w:sz w:val="21"/>
                <w:szCs w:val="21"/>
              </w:rPr>
              <w:t>）</w:t>
            </w:r>
          </w:p>
        </w:tc>
        <w:tc>
          <w:tcPr>
            <w:tcW w:w="15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5035" w:type="dxa"/>
            <w:tcBorders>
              <w:top w:val="single" w:color="auto" w:sz="4" w:space="0"/>
              <w:left w:val="single" w:color="auto" w:sz="4" w:space="0"/>
              <w:bottom w:val="single" w:color="auto" w:sz="4" w:space="0"/>
              <w:right w:val="single" w:color="auto" w:sz="4" w:space="0"/>
            </w:tcBorders>
            <w:vAlign w:val="center"/>
          </w:tcPr>
          <w:p>
            <w:pPr>
              <w:pStyle w:val="32"/>
              <w:adjustRightInd w:val="0"/>
              <w:snapToGrid w:val="0"/>
              <w:spacing w:line="240" w:lineRule="exact"/>
              <w:ind w:firstLine="420"/>
              <w:rPr>
                <w:rFonts w:ascii="Times New Roman" w:hAnsi="Times New Roman"/>
                <w:sz w:val="21"/>
                <w:szCs w:val="21"/>
              </w:rPr>
            </w:pPr>
            <w:r>
              <w:rPr>
                <w:rFonts w:ascii="Times New Roman" w:hAnsi="Times New Roman"/>
                <w:sz w:val="21"/>
                <w:szCs w:val="21"/>
              </w:rPr>
              <w:t>棕色砾石、灰黄色各粒级的砂及粉砂。西部沙漠地区沙层厚度0～180m。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0"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278765</wp:posOffset>
                      </wp:positionH>
                      <wp:positionV relativeFrom="paragraph">
                        <wp:posOffset>1905</wp:posOffset>
                      </wp:positionV>
                      <wp:extent cx="0" cy="0"/>
                      <wp:effectExtent l="12065" t="11430" r="6985" b="7620"/>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1.95pt;margin-top:0.15pt;height:0pt;width:0pt;z-index:251660288;mso-width-relative:page;mso-height-relative:page;" filled="f" stroked="t" coordsize="21600,21600" o:gfxdata="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OTtCtAAAAADAQAADwAAAAAAAAABACAA&#10;AAAiAAAAZHJzL2Rvd25yZXYueG1sUEsBAhQAFAAAAAgAh07iQDLobtXcAQAApAMAAA4AAAAAAAAA&#10;AQAgAAAAHwEAAGRycy9lMm9Eb2MueG1sUEsFBgAAAAAGAAYAWQEAAG0FAAAAAA==&#10;">
                      <v:fill on="f" focussize="0,0"/>
                      <v:stroke color="#000000" joinstyle="round"/>
                      <v:imagedata o:title=""/>
                      <o:lock v:ext="edit" aspectratio="f"/>
                    </v:line>
                  </w:pict>
                </mc:Fallback>
              </mc:AlternateContent>
            </w:r>
            <w:r>
              <w:rPr>
                <w:rFonts w:ascii="Times New Roman" w:hAnsi="Times New Roman"/>
                <w:sz w:val="21"/>
                <w:szCs w:val="21"/>
              </w:rPr>
              <w:t>上</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更</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新</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马兰组</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（Q</w:t>
            </w:r>
            <w:r>
              <w:rPr>
                <w:rFonts w:ascii="Times New Roman" w:hAnsi="Times New Roman"/>
                <w:sz w:val="21"/>
                <w:szCs w:val="21"/>
                <w:vertAlign w:val="subscript"/>
              </w:rPr>
              <w:t>3</w:t>
            </w:r>
            <w:r>
              <w:rPr>
                <w:rFonts w:ascii="Times New Roman" w:hAnsi="Times New Roman"/>
                <w:i/>
                <w:iCs/>
                <w:sz w:val="21"/>
                <w:szCs w:val="21"/>
              </w:rPr>
              <w:t>m</w:t>
            </w:r>
            <w:r>
              <w:rPr>
                <w:rFonts w:ascii="Times New Roman" w:hAnsi="Times New Roman"/>
                <w:sz w:val="21"/>
                <w:szCs w:val="21"/>
              </w:rPr>
              <w:t>）</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0-40</w:t>
            </w:r>
          </w:p>
        </w:tc>
        <w:tc>
          <w:tcPr>
            <w:tcW w:w="5035" w:type="dxa"/>
            <w:tcBorders>
              <w:top w:val="single" w:color="auto" w:sz="4" w:space="0"/>
              <w:left w:val="single" w:color="auto" w:sz="4" w:space="0"/>
              <w:bottom w:val="single" w:color="auto" w:sz="4" w:space="0"/>
              <w:right w:val="single" w:color="auto" w:sz="4" w:space="0"/>
            </w:tcBorders>
            <w:vAlign w:val="center"/>
          </w:tcPr>
          <w:p>
            <w:pPr>
              <w:pStyle w:val="32"/>
              <w:adjustRightInd w:val="0"/>
              <w:snapToGrid w:val="0"/>
              <w:spacing w:line="240" w:lineRule="exact"/>
              <w:ind w:firstLine="420"/>
              <w:rPr>
                <w:rFonts w:ascii="Times New Roman" w:hAnsi="Times New Roman"/>
                <w:sz w:val="21"/>
                <w:szCs w:val="21"/>
              </w:rPr>
            </w:pPr>
            <w:r>
              <w:rPr>
                <w:rFonts w:ascii="Times New Roman" w:hAnsi="Times New Roman"/>
                <w:sz w:val="21"/>
                <w:szCs w:val="21"/>
              </w:rPr>
              <w:t>浅黄色含砂黄土，含钙质结核，具柱状节理，不整合于一切老地层之上。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7"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新</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近</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系</w:t>
            </w:r>
          </w:p>
        </w:tc>
        <w:tc>
          <w:tcPr>
            <w:tcW w:w="48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上</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新</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（N</w:t>
            </w:r>
            <w:r>
              <w:rPr>
                <w:rFonts w:ascii="Times New Roman" w:hAnsi="Times New Roman"/>
                <w:sz w:val="21"/>
                <w:szCs w:val="21"/>
                <w:vertAlign w:val="subscript"/>
              </w:rPr>
              <w:t>2</w:t>
            </w:r>
            <w:r>
              <w:rPr>
                <w:rFonts w:ascii="Times New Roman" w:hAnsi="Times New Roman"/>
                <w:sz w:val="21"/>
                <w:szCs w:val="21"/>
              </w:rPr>
              <w:t>）</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0-100</w:t>
            </w: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ind w:firstLine="210"/>
              <w:rPr>
                <w:rFonts w:ascii="Times New Roman" w:hAnsi="Times New Roman"/>
                <w:sz w:val="21"/>
                <w:szCs w:val="21"/>
              </w:rPr>
            </w:pPr>
            <w:r>
              <w:rPr>
                <w:rFonts w:ascii="Times New Roman" w:hAnsi="Times New Roman"/>
                <w:sz w:val="21"/>
                <w:szCs w:val="21"/>
              </w:rPr>
              <w:t>上部为红色、土黄色粘土及其胶结疏松的砂岩；下部为灰黄、棕红、绿黄色砂砾岩、砾岩，中夹砂岩透镜，不整合于一切老地层之上。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61" w:hRule="atLeast"/>
          <w:jc w:val="center"/>
        </w:trPr>
        <w:tc>
          <w:tcPr>
            <w:tcW w:w="478"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中</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生</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界</w:t>
            </w:r>
          </w:p>
        </w:tc>
        <w:tc>
          <w:tcPr>
            <w:tcW w:w="487"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白</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垩</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系</w:t>
            </w:r>
          </w:p>
          <w:p>
            <w:pPr>
              <w:autoSpaceDE w:val="0"/>
              <w:autoSpaceDN w:val="0"/>
              <w:adjustRightInd w:val="0"/>
              <w:snapToGrid w:val="0"/>
              <w:spacing w:line="240" w:lineRule="exact"/>
              <w:jc w:val="center"/>
              <w:rPr>
                <w:rFonts w:ascii="Times New Roman" w:hAnsi="Times New Roman"/>
                <w:sz w:val="21"/>
                <w:szCs w:val="21"/>
              </w:rPr>
            </w:pPr>
          </w:p>
        </w:tc>
        <w:tc>
          <w:tcPr>
            <w:tcW w:w="487"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下</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p>
            <w:pPr>
              <w:autoSpaceDE w:val="0"/>
              <w:autoSpaceDN w:val="0"/>
              <w:adjustRightInd w:val="0"/>
              <w:snapToGrid w:val="0"/>
              <w:spacing w:line="240" w:lineRule="exact"/>
              <w:jc w:val="center"/>
              <w:rPr>
                <w:rFonts w:ascii="Times New Roman" w:hAnsi="Times New Roman"/>
                <w:sz w:val="21"/>
                <w:szCs w:val="21"/>
              </w:rPr>
            </w:pPr>
          </w:p>
        </w:tc>
        <w:tc>
          <w:tcPr>
            <w:tcW w:w="1347"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志丹群</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（K</w:t>
            </w:r>
            <w:r>
              <w:rPr>
                <w:rFonts w:ascii="Times New Roman" w:hAnsi="Times New Roman"/>
                <w:sz w:val="21"/>
                <w:szCs w:val="21"/>
                <w:vertAlign w:val="subscript"/>
              </w:rPr>
              <w:t>1</w:t>
            </w:r>
            <w:r>
              <w:rPr>
                <w:rFonts w:ascii="Times New Roman" w:hAnsi="Times New Roman"/>
                <w:i/>
                <w:iCs/>
                <w:sz w:val="21"/>
                <w:szCs w:val="21"/>
              </w:rPr>
              <w:t>zh</w:t>
            </w:r>
            <w:r>
              <w:rPr>
                <w:rFonts w:ascii="Times New Roman" w:hAnsi="Times New Roman"/>
                <w:sz w:val="21"/>
                <w:szCs w:val="21"/>
              </w:rPr>
              <w:t>）</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40-420</w:t>
            </w:r>
          </w:p>
          <w:p>
            <w:pPr>
              <w:autoSpaceDE w:val="0"/>
              <w:autoSpaceDN w:val="0"/>
              <w:adjustRightInd w:val="0"/>
              <w:snapToGrid w:val="0"/>
              <w:spacing w:line="240" w:lineRule="exact"/>
              <w:jc w:val="center"/>
              <w:rPr>
                <w:rFonts w:ascii="Times New Roman" w:hAnsi="Times New Roman"/>
                <w:sz w:val="21"/>
                <w:szCs w:val="21"/>
              </w:rPr>
            </w:pP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ind w:firstLine="210"/>
              <w:rPr>
                <w:rFonts w:ascii="Times New Roman" w:hAnsi="Times New Roman"/>
                <w:sz w:val="21"/>
                <w:szCs w:val="21"/>
              </w:rPr>
            </w:pPr>
            <w:r>
              <w:rPr>
                <w:rFonts w:ascii="Times New Roman" w:hAnsi="Times New Roman"/>
                <w:sz w:val="21"/>
                <w:szCs w:val="21"/>
              </w:rPr>
              <w:t>上部为浅灰、灰紫、灰黄、黄、紫红色泥岩、粉砂岩、细砂岩、砂砾岩泥岩砂泥岩互层，夹薄层泥质灰岩。交错层理较发育。底部常见大型交错层理及河道迁移大型切割面和冲刷面。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9"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134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30-280</w:t>
            </w:r>
          </w:p>
          <w:p>
            <w:pPr>
              <w:autoSpaceDE w:val="0"/>
              <w:autoSpaceDN w:val="0"/>
              <w:adjustRightInd w:val="0"/>
              <w:snapToGrid w:val="0"/>
              <w:spacing w:line="240" w:lineRule="exact"/>
              <w:jc w:val="center"/>
              <w:rPr>
                <w:rFonts w:ascii="Times New Roman" w:hAnsi="Times New Roman"/>
                <w:sz w:val="21"/>
                <w:szCs w:val="21"/>
              </w:rPr>
            </w:pP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ind w:firstLine="210"/>
              <w:rPr>
                <w:rFonts w:ascii="Times New Roman" w:hAnsi="Times New Roman"/>
                <w:sz w:val="21"/>
                <w:szCs w:val="21"/>
              </w:rPr>
            </w:pPr>
            <w:r>
              <w:rPr>
                <w:rFonts w:ascii="Times New Roman" w:hAnsi="Times New Roman"/>
                <w:sz w:val="21"/>
                <w:szCs w:val="21"/>
              </w:rPr>
              <w:t>下部为浅灰、灰绿、棕红、灰紫色泥岩、粉砂岩、砂质泥岩和各种粒级砂岩、砾岩，中夹薄层钙质细砂岩。泥质胶结，较疏松，斜层理发育。底部常见大型交错层理。与下伏地层呈角度不整合接触。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侏</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罗</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系</w:t>
            </w:r>
          </w:p>
        </w:tc>
        <w:tc>
          <w:tcPr>
            <w:tcW w:w="487"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中</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安定组</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（J</w:t>
            </w:r>
            <w:r>
              <w:rPr>
                <w:rFonts w:ascii="Times New Roman" w:hAnsi="Times New Roman"/>
                <w:sz w:val="21"/>
                <w:szCs w:val="21"/>
                <w:vertAlign w:val="subscript"/>
              </w:rPr>
              <w:t>2</w:t>
            </w:r>
            <w:r>
              <w:rPr>
                <w:rFonts w:ascii="Times New Roman" w:hAnsi="Times New Roman"/>
                <w:i/>
                <w:sz w:val="21"/>
                <w:szCs w:val="21"/>
              </w:rPr>
              <w:t>a</w:t>
            </w:r>
            <w:r>
              <w:rPr>
                <w:rFonts w:ascii="Times New Roman" w:hAnsi="Times New Roman"/>
                <w:sz w:val="21"/>
                <w:szCs w:val="21"/>
              </w:rPr>
              <w:t>）</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10-152</w:t>
            </w:r>
          </w:p>
        </w:tc>
        <w:tc>
          <w:tcPr>
            <w:tcW w:w="5035" w:type="dxa"/>
            <w:tcBorders>
              <w:top w:val="single" w:color="auto" w:sz="4" w:space="0"/>
              <w:left w:val="single" w:color="auto" w:sz="4" w:space="0"/>
              <w:bottom w:val="single" w:color="auto" w:sz="4" w:space="0"/>
              <w:right w:val="single" w:color="auto" w:sz="4" w:space="0"/>
            </w:tcBorders>
            <w:vAlign w:val="center"/>
          </w:tcPr>
          <w:p>
            <w:pPr>
              <w:pStyle w:val="32"/>
              <w:adjustRightInd w:val="0"/>
              <w:snapToGrid w:val="0"/>
              <w:spacing w:line="240" w:lineRule="exact"/>
              <w:ind w:firstLine="420"/>
              <w:rPr>
                <w:rFonts w:ascii="Times New Roman" w:hAnsi="Times New Roman"/>
                <w:sz w:val="21"/>
                <w:szCs w:val="21"/>
              </w:rPr>
            </w:pPr>
            <w:r>
              <w:rPr>
                <w:rFonts w:ascii="Times New Roman" w:hAnsi="Times New Roman"/>
                <w:sz w:val="21"/>
                <w:szCs w:val="21"/>
              </w:rPr>
              <w:t>浅灰、灰绿、黄紫褐色泥岩、砂质泥岩、中砂岩。含钙质结核和泥质团块，具平行层理和交错层理。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88"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直罗组</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（J</w:t>
            </w:r>
            <w:r>
              <w:rPr>
                <w:rFonts w:ascii="Times New Roman" w:hAnsi="Times New Roman"/>
                <w:sz w:val="21"/>
                <w:szCs w:val="21"/>
                <w:vertAlign w:val="subscript"/>
              </w:rPr>
              <w:t>2</w:t>
            </w:r>
            <w:r>
              <w:rPr>
                <w:rFonts w:ascii="Times New Roman" w:hAnsi="Times New Roman"/>
                <w:i/>
                <w:sz w:val="21"/>
                <w:szCs w:val="21"/>
              </w:rPr>
              <w:t>z</w:t>
            </w:r>
            <w:r>
              <w:rPr>
                <w:rFonts w:ascii="Times New Roman" w:hAnsi="Times New Roman"/>
                <w:sz w:val="21"/>
                <w:szCs w:val="21"/>
              </w:rPr>
              <w:t>）</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10-400</w:t>
            </w: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ind w:firstLine="210"/>
              <w:rPr>
                <w:rFonts w:ascii="Times New Roman" w:hAnsi="Times New Roman"/>
                <w:sz w:val="21"/>
                <w:szCs w:val="21"/>
              </w:rPr>
            </w:pPr>
            <w:r>
              <w:rPr>
                <w:rFonts w:ascii="Times New Roman" w:hAnsi="Times New Roman"/>
                <w:sz w:val="21"/>
                <w:szCs w:val="21"/>
              </w:rPr>
              <w:t>灰白、灰黄、灰绿、紫红色泥岩、砂质泥岩、细砂岩、中砂岩和粗砂岩，具交错层理和波状层理。下部夹薄煤层及油页岩，含1煤组。含煤1～3层。与下伏地层呈平行不整合接触。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76"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中</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下</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延安组(J</w:t>
            </w:r>
            <w:r>
              <w:rPr>
                <w:rFonts w:ascii="Times New Roman" w:hAnsi="Times New Roman"/>
                <w:sz w:val="21"/>
                <w:szCs w:val="21"/>
                <w:vertAlign w:val="subscript"/>
              </w:rPr>
              <w:t>1-2</w:t>
            </w:r>
            <w:r>
              <w:rPr>
                <w:rFonts w:ascii="Times New Roman" w:hAnsi="Times New Roman"/>
                <w:i/>
                <w:sz w:val="21"/>
                <w:szCs w:val="21"/>
              </w:rPr>
              <w:t>y</w:t>
            </w:r>
            <w:r>
              <w:rPr>
                <w:rFonts w:ascii="Times New Roman" w:hAnsi="Times New Roman"/>
                <w:sz w:val="21"/>
                <w:szCs w:val="21"/>
              </w:rPr>
              <w:t>)</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78-500</w:t>
            </w: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ind w:firstLine="210"/>
              <w:rPr>
                <w:rFonts w:ascii="Times New Roman" w:hAnsi="Times New Roman"/>
                <w:sz w:val="21"/>
                <w:szCs w:val="21"/>
              </w:rPr>
            </w:pPr>
            <w:r>
              <w:rPr>
                <w:rFonts w:ascii="Times New Roman" w:hAnsi="Times New Roman"/>
                <w:sz w:val="21"/>
                <w:szCs w:val="21"/>
              </w:rPr>
              <w:t>灰～灰白色各种粒级的砂岩与深灰色、灰黑色砂质泥岩和泥岩互层；中夹具工业开采价值的煤层。共含2、3、4、5、6、7煤组，27层煤；其中主要可采煤层为2-2中、3-1、4-1、4-2中、5-1、6-1中、6-2。与下伏地层呈平行不整合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96"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下</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富县组</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（J</w:t>
            </w:r>
            <w:r>
              <w:rPr>
                <w:rFonts w:ascii="Times New Roman" w:hAnsi="Times New Roman"/>
                <w:sz w:val="21"/>
                <w:szCs w:val="21"/>
                <w:vertAlign w:val="subscript"/>
              </w:rPr>
              <w:t>1</w:t>
            </w:r>
            <w:r>
              <w:rPr>
                <w:rFonts w:ascii="Times New Roman" w:hAnsi="Times New Roman"/>
                <w:i/>
                <w:sz w:val="21"/>
                <w:szCs w:val="21"/>
              </w:rPr>
              <w:t>f</w:t>
            </w:r>
            <w:r>
              <w:rPr>
                <w:rFonts w:ascii="Times New Roman" w:hAnsi="Times New Roman"/>
                <w:sz w:val="21"/>
                <w:szCs w:val="21"/>
              </w:rPr>
              <w:t>）</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0-110</w:t>
            </w: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rPr>
                <w:rFonts w:ascii="Times New Roman" w:hAnsi="Times New Roman"/>
                <w:sz w:val="21"/>
                <w:szCs w:val="21"/>
              </w:rPr>
            </w:pPr>
            <w:r>
              <w:rPr>
                <w:rFonts w:ascii="Times New Roman" w:hAnsi="Times New Roman"/>
                <w:sz w:val="21"/>
                <w:szCs w:val="21"/>
              </w:rPr>
              <w:t>上部为浅黄、灰绿、紫红色泥岩，夹砂岩；下部以砂岩为主，局部为砂岩和泥岩互层；底部为浅黄色砾岩。与下伏地层呈平行不整合接触。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restart"/>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三</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叠</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系</w:t>
            </w:r>
          </w:p>
        </w:tc>
        <w:tc>
          <w:tcPr>
            <w:tcW w:w="48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上</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延长组</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（T</w:t>
            </w:r>
            <w:r>
              <w:rPr>
                <w:rFonts w:ascii="Times New Roman" w:hAnsi="Times New Roman"/>
                <w:sz w:val="21"/>
                <w:szCs w:val="21"/>
                <w:vertAlign w:val="subscript"/>
              </w:rPr>
              <w:t>3</w:t>
            </w:r>
            <w:r>
              <w:rPr>
                <w:rFonts w:ascii="Times New Roman" w:hAnsi="Times New Roman"/>
                <w:i/>
                <w:sz w:val="21"/>
                <w:szCs w:val="21"/>
              </w:rPr>
              <w:t>y</w:t>
            </w:r>
            <w:r>
              <w:rPr>
                <w:rFonts w:ascii="Times New Roman" w:hAnsi="Times New Roman"/>
                <w:sz w:val="21"/>
                <w:szCs w:val="21"/>
              </w:rPr>
              <w:t>）</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35-312</w:t>
            </w: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rPr>
                <w:rFonts w:ascii="Times New Roman" w:hAnsi="Times New Roman"/>
                <w:sz w:val="21"/>
                <w:szCs w:val="21"/>
              </w:rPr>
            </w:pPr>
            <w:r>
              <w:rPr>
                <w:rFonts w:ascii="Times New Roman" w:hAnsi="Times New Roman"/>
                <w:sz w:val="21"/>
                <w:szCs w:val="21"/>
              </w:rPr>
              <w:t>灰绿、黄、紫、灰黑色块状粗、中砂岩，局部含细砾，夹泥岩、粉砂岩及煤线。与下伏地层呈平行不整合接触。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47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48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中</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347"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二马营组</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（T</w:t>
            </w:r>
            <w:r>
              <w:rPr>
                <w:rFonts w:ascii="Times New Roman" w:hAnsi="Times New Roman"/>
                <w:sz w:val="21"/>
                <w:szCs w:val="21"/>
                <w:vertAlign w:val="subscript"/>
              </w:rPr>
              <w:t>2</w:t>
            </w:r>
            <w:r>
              <w:rPr>
                <w:rFonts w:ascii="Times New Roman" w:hAnsi="Times New Roman"/>
                <w:i/>
                <w:sz w:val="21"/>
                <w:szCs w:val="21"/>
              </w:rPr>
              <w:t>y</w:t>
            </w:r>
            <w:r>
              <w:rPr>
                <w:rFonts w:ascii="Times New Roman" w:hAnsi="Times New Roman"/>
                <w:sz w:val="21"/>
                <w:szCs w:val="21"/>
              </w:rPr>
              <w:t>）</w:t>
            </w:r>
          </w:p>
        </w:tc>
        <w:tc>
          <w:tcPr>
            <w:tcW w:w="15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87-367</w:t>
            </w:r>
          </w:p>
        </w:tc>
        <w:tc>
          <w:tcPr>
            <w:tcW w:w="503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exact"/>
              <w:rPr>
                <w:rFonts w:ascii="Times New Roman" w:hAnsi="Times New Roman"/>
                <w:sz w:val="21"/>
                <w:szCs w:val="21"/>
              </w:rPr>
            </w:pPr>
            <w:r>
              <w:rPr>
                <w:rFonts w:ascii="Times New Roman" w:hAnsi="Times New Roman"/>
                <w:sz w:val="21"/>
                <w:szCs w:val="21"/>
              </w:rPr>
              <w:t>以灰绿色含砂砾岩、砾岩，紫色泥岩和粉砂岩为主。</w:t>
            </w:r>
          </w:p>
        </w:tc>
      </w:tr>
    </w:tbl>
    <w:p>
      <w:pPr>
        <w:spacing w:line="440" w:lineRule="exact"/>
        <w:rPr>
          <w:rFonts w:ascii="Times New Roman" w:hAnsi="Times New Roman"/>
          <w:sz w:val="21"/>
          <w:szCs w:val="21"/>
        </w:rPr>
      </w:pPr>
      <w:r>
        <w:rPr>
          <w:rFonts w:ascii="Times New Roman" w:hAnsi="Times New Roman"/>
          <w:spacing w:val="-6"/>
          <w:sz w:val="18"/>
          <w:szCs w:val="18"/>
        </w:rPr>
        <w:t>注：</w:t>
      </w:r>
      <w:r>
        <w:rPr>
          <w:rFonts w:ascii="Times New Roman" w:hAnsi="Times New Roman"/>
          <w:sz w:val="21"/>
          <w:szCs w:val="21"/>
        </w:rPr>
        <w:t>依据内蒙古煤田地质局117队1990年编制的东胜煤田地质图资料编制。</w:t>
      </w:r>
    </w:p>
    <w:p>
      <w:pPr>
        <w:keepNext/>
        <w:keepLines/>
        <w:spacing w:line="440" w:lineRule="exact"/>
        <w:outlineLvl w:val="3"/>
        <w:rPr>
          <w:rFonts w:ascii="Times New Roman" w:hAnsi="Times New Roman"/>
          <w:b/>
        </w:rPr>
      </w:pPr>
      <w:r>
        <w:rPr>
          <w:rFonts w:ascii="Times New Roman" w:hAnsi="Times New Roman"/>
          <w:b/>
        </w:rPr>
        <w:t>2.1.5.2 矿区地层与构造</w:t>
      </w:r>
    </w:p>
    <w:p>
      <w:pPr>
        <w:spacing w:line="440" w:lineRule="exact"/>
        <w:ind w:firstLine="480" w:firstLineChars="200"/>
        <w:rPr>
          <w:rFonts w:ascii="Times New Roman" w:hAnsi="Times New Roman"/>
          <w:szCs w:val="24"/>
        </w:rPr>
      </w:pPr>
      <w:r>
        <w:rPr>
          <w:rFonts w:ascii="Times New Roman" w:hAnsi="Times New Roman"/>
          <w:szCs w:val="24"/>
        </w:rPr>
        <w:t>（1）地层</w:t>
      </w:r>
    </w:p>
    <w:p>
      <w:pPr>
        <w:spacing w:line="440" w:lineRule="exact"/>
        <w:ind w:firstLine="480" w:firstLineChars="200"/>
        <w:rPr>
          <w:rFonts w:ascii="Times New Roman" w:hAnsi="Times New Roman"/>
          <w:szCs w:val="24"/>
        </w:rPr>
      </w:pPr>
      <w:r>
        <w:rPr>
          <w:rFonts w:ascii="Times New Roman" w:hAnsi="Times New Roman"/>
        </w:rPr>
        <w:t>矿区位于东胜煤田西部的深部区，地表大部被第四系（Q）覆盖，仅在沟谷两侧及较高的高包、高坡出露有白垩系下统志丹群(K1zh)地层。区内钻孔揭露的地层由老至新依次有：三叠系上统延长组（T</w:t>
      </w:r>
      <w:r>
        <w:rPr>
          <w:rFonts w:ascii="Times New Roman" w:hAnsi="Times New Roman"/>
          <w:vertAlign w:val="subscript"/>
        </w:rPr>
        <w:t>3</w:t>
      </w:r>
      <w:r>
        <w:rPr>
          <w:rFonts w:ascii="Times New Roman" w:hAnsi="Times New Roman"/>
          <w:i/>
        </w:rPr>
        <w:t>y</w:t>
      </w:r>
      <w:r>
        <w:rPr>
          <w:rFonts w:ascii="Times New Roman" w:hAnsi="Times New Roman"/>
        </w:rPr>
        <w:t>）、侏罗系中下统延安组（J</w:t>
      </w:r>
      <w:r>
        <w:rPr>
          <w:rFonts w:ascii="Times New Roman" w:hAnsi="Times New Roman"/>
          <w:vertAlign w:val="subscript"/>
        </w:rPr>
        <w:t>1-2</w:t>
      </w:r>
      <w:r>
        <w:rPr>
          <w:rFonts w:ascii="Times New Roman" w:hAnsi="Times New Roman"/>
          <w:i/>
        </w:rPr>
        <w:t>y</w:t>
      </w:r>
      <w:r>
        <w:rPr>
          <w:rFonts w:ascii="Times New Roman" w:hAnsi="Times New Roman"/>
        </w:rPr>
        <w:t>）、中统直罗组（J</w:t>
      </w:r>
      <w:r>
        <w:rPr>
          <w:rFonts w:ascii="Times New Roman" w:hAnsi="Times New Roman"/>
          <w:vertAlign w:val="subscript"/>
        </w:rPr>
        <w:t>2</w:t>
      </w:r>
      <w:r>
        <w:rPr>
          <w:rFonts w:ascii="Times New Roman" w:hAnsi="Times New Roman"/>
          <w:i/>
        </w:rPr>
        <w:t>z</w:t>
      </w:r>
      <w:r>
        <w:rPr>
          <w:rFonts w:ascii="Times New Roman" w:hAnsi="Times New Roman"/>
        </w:rPr>
        <w:t>）、安定组（J</w:t>
      </w:r>
      <w:r>
        <w:rPr>
          <w:rFonts w:ascii="Times New Roman" w:hAnsi="Times New Roman"/>
          <w:vertAlign w:val="subscript"/>
        </w:rPr>
        <w:t>2</w:t>
      </w:r>
      <w:r>
        <w:rPr>
          <w:rFonts w:ascii="Times New Roman" w:hAnsi="Times New Roman"/>
          <w:i/>
        </w:rPr>
        <w:t>a</w:t>
      </w:r>
      <w:r>
        <w:rPr>
          <w:rFonts w:ascii="Times New Roman" w:hAnsi="Times New Roman"/>
        </w:rPr>
        <w:t>）、白垩系下统志丹群（K</w:t>
      </w:r>
      <w:r>
        <w:rPr>
          <w:rFonts w:ascii="Times New Roman" w:hAnsi="Times New Roman"/>
          <w:vertAlign w:val="subscript"/>
        </w:rPr>
        <w:t>1</w:t>
      </w:r>
      <w:r>
        <w:rPr>
          <w:rFonts w:ascii="Times New Roman" w:hAnsi="Times New Roman"/>
          <w:i/>
        </w:rPr>
        <w:t>zh</w:t>
      </w:r>
      <w:r>
        <w:rPr>
          <w:rFonts w:ascii="Times New Roman" w:hAnsi="Times New Roman"/>
        </w:rPr>
        <w:t>）以及第四系（Q）地层。</w:t>
      </w:r>
    </w:p>
    <w:p>
      <w:pPr>
        <w:spacing w:line="440" w:lineRule="exact"/>
        <w:ind w:firstLine="480" w:firstLineChars="200"/>
        <w:rPr>
          <w:rFonts w:ascii="Times New Roman" w:hAnsi="Times New Roman"/>
          <w:szCs w:val="24"/>
        </w:rPr>
      </w:pPr>
      <w:r>
        <w:rPr>
          <w:rFonts w:ascii="Times New Roman" w:hAnsi="Times New Roman"/>
          <w:szCs w:val="24"/>
        </w:rPr>
        <w:t>（2）构造</w:t>
      </w:r>
    </w:p>
    <w:p>
      <w:pPr>
        <w:spacing w:line="440" w:lineRule="exact"/>
        <w:ind w:firstLine="480" w:firstLineChars="200"/>
        <w:rPr>
          <w:rFonts w:ascii="Times New Roman" w:hAnsi="Times New Roman"/>
          <w:szCs w:val="21"/>
        </w:rPr>
      </w:pPr>
      <w:r>
        <w:rPr>
          <w:rFonts w:ascii="Times New Roman" w:hAnsi="Times New Roman"/>
        </w:rPr>
        <w:t>矿区位于东胜煤田的中西部，其构造形态与区域构造形态基本一致，总体为一向西倾斜的单斜构造，倾向240～290°，倾角一般1～3°左右，地层沿走向及倾向发育有波状起伏。东部起伏较大，西部较小，全区东西两端煤层底板高差140m左右。根据二维地震解释，在矿区共解释落差＜30m断点18个（奎腾沟详查区5个、壕赖苏勘查区10个，纳林希里勘查区3个），但均为独立断点，对各可采煤层未起到连续切割的作用。纳林希里矿区构造复杂程度总体评定为简单。</w:t>
      </w:r>
    </w:p>
    <w:p>
      <w:pPr>
        <w:spacing w:line="440" w:lineRule="exact"/>
        <w:ind w:firstLine="480" w:firstLineChars="200"/>
        <w:rPr>
          <w:rFonts w:ascii="Times New Roman" w:hAnsi="Times New Roman"/>
          <w:szCs w:val="24"/>
        </w:rPr>
      </w:pPr>
      <w:r>
        <w:rPr>
          <w:rFonts w:ascii="Times New Roman" w:hAnsi="Times New Roman"/>
          <w:szCs w:val="24"/>
        </w:rPr>
        <w:t>（3）岩浆岩</w:t>
      </w:r>
    </w:p>
    <w:p>
      <w:pPr>
        <w:spacing w:line="440" w:lineRule="exact"/>
        <w:ind w:firstLine="480" w:firstLineChars="200"/>
        <w:jc w:val="left"/>
        <w:rPr>
          <w:rFonts w:ascii="Times New Roman" w:hAnsi="Times New Roman"/>
          <w:szCs w:val="24"/>
        </w:rPr>
      </w:pPr>
      <w:r>
        <w:rPr>
          <w:rFonts w:ascii="Times New Roman" w:hAnsi="Times New Roman"/>
          <w:szCs w:val="24"/>
        </w:rPr>
        <w:t>矿区范围内未发现岩浆岩。</w:t>
      </w:r>
    </w:p>
    <w:p>
      <w:pPr>
        <w:keepNext/>
        <w:keepLines/>
        <w:spacing w:line="440" w:lineRule="exact"/>
        <w:outlineLvl w:val="3"/>
        <w:rPr>
          <w:rFonts w:ascii="Times New Roman" w:hAnsi="Times New Roman"/>
          <w:b/>
        </w:rPr>
      </w:pPr>
      <w:r>
        <w:rPr>
          <w:rFonts w:ascii="Times New Roman" w:hAnsi="Times New Roman"/>
          <w:b/>
        </w:rPr>
        <w:t>2.1.5.3煤层及煤质</w:t>
      </w:r>
    </w:p>
    <w:p>
      <w:pPr>
        <w:adjustRightInd w:val="0"/>
        <w:snapToGrid w:val="0"/>
        <w:spacing w:line="440" w:lineRule="exact"/>
        <w:ind w:firstLine="482" w:firstLineChars="200"/>
        <w:rPr>
          <w:rFonts w:ascii="Times New Roman" w:hAnsi="Times New Roman"/>
          <w:b/>
          <w:szCs w:val="24"/>
        </w:rPr>
      </w:pPr>
      <w:r>
        <w:rPr>
          <w:rFonts w:ascii="Times New Roman" w:hAnsi="Times New Roman"/>
          <w:b/>
          <w:szCs w:val="24"/>
        </w:rPr>
        <w:t>（1）煤层</w:t>
      </w:r>
    </w:p>
    <w:p>
      <w:pPr>
        <w:spacing w:line="440" w:lineRule="exact"/>
        <w:ind w:firstLine="480" w:firstLineChars="200"/>
        <w:rPr>
          <w:rFonts w:ascii="Times New Roman" w:hAnsi="Times New Roman"/>
        </w:rPr>
      </w:pPr>
      <w:r>
        <w:rPr>
          <w:rFonts w:ascii="Times New Roman" w:hAnsi="Times New Roman"/>
        </w:rPr>
        <w:t>矿区含煤地层为侏罗系中下统延安组（J</w:t>
      </w:r>
      <w:r>
        <w:rPr>
          <w:rFonts w:ascii="Times New Roman" w:hAnsi="Times New Roman"/>
          <w:vertAlign w:val="subscript"/>
        </w:rPr>
        <w:t>1-2y</w:t>
      </w:r>
      <w:r>
        <w:rPr>
          <w:rFonts w:ascii="Times New Roman" w:hAnsi="Times New Roman"/>
        </w:rPr>
        <w:t>），地层总厚度为175.80～367.17m，平均248.67m。含2、3、4、5、6共五个煤组，共含煤层18层，编号由上至下依次为2-1上、2-1、2-1下、2-2上、2-2、2-2下、3-1、3-2、4-1上、4-1、4-1下、4-2上、4-2、5-1、5-2、6-1、6-2、6-2下。其中6-1煤层、6-2下煤层为不可采煤层，其余16个煤层均为可采煤层。可采煤层平均总厚度16.61m，含煤系数平均6.68%。矿区煤田综合柱状图见图2.1-4。</w:t>
      </w:r>
    </w:p>
    <w:p>
      <w:pPr>
        <w:spacing w:line="440" w:lineRule="exact"/>
        <w:ind w:firstLine="480" w:firstLineChars="200"/>
        <w:rPr>
          <w:rFonts w:ascii="Times New Roman" w:hAnsi="Times New Roman"/>
        </w:rPr>
      </w:pPr>
      <w:r>
        <w:rPr>
          <w:rFonts w:ascii="Times New Roman" w:hAnsi="Times New Roman"/>
        </w:rPr>
        <w:t>矿区内共有16个可采煤层，其中全区可采煤层1层（4-1），大部可采煤层7层（2-2、3-1、3-2、4-2上、4-2、5-1、6-2）；局部可采煤层8层（2-1上、2-1、2-1下、2-2上、2-2下、4-1上、4-1下、5-2）。矿区可采煤层特征详见表2.1-3。</w:t>
      </w:r>
      <w:r>
        <w:rPr>
          <w:rFonts w:hint="eastAsia" w:ascii="Times New Roman" w:hAnsi="Times New Roman"/>
        </w:rPr>
        <w:t>各可采煤层厚度图见图2</w:t>
      </w:r>
      <w:r>
        <w:rPr>
          <w:rFonts w:ascii="Times New Roman" w:hAnsi="Times New Roman"/>
        </w:rPr>
        <w:t>.1-5</w:t>
      </w:r>
      <w:r>
        <w:rPr>
          <w:rFonts w:hint="eastAsia" w:ascii="Times New Roman" w:hAnsi="Times New Roman"/>
        </w:rPr>
        <w:t>。</w:t>
      </w:r>
    </w:p>
    <w:p>
      <w:pPr>
        <w:adjustRightInd w:val="0"/>
        <w:snapToGrid w:val="0"/>
        <w:spacing w:line="440" w:lineRule="exact"/>
        <w:jc w:val="center"/>
        <w:rPr>
          <w:rFonts w:ascii="Times New Roman" w:hAnsi="Times New Roman"/>
          <w:b/>
          <w:szCs w:val="24"/>
        </w:rPr>
      </w:pPr>
      <w:r>
        <w:rPr>
          <w:rFonts w:ascii="Times New Roman" w:hAnsi="Times New Roman"/>
          <w:b/>
          <w:szCs w:val="24"/>
        </w:rPr>
        <w:t>矿区可采煤层特征一览表</w:t>
      </w:r>
    </w:p>
    <w:p>
      <w:pPr>
        <w:adjustRightInd w:val="0"/>
        <w:snapToGrid w:val="0"/>
        <w:spacing w:line="440" w:lineRule="exact"/>
        <w:jc w:val="left"/>
        <w:rPr>
          <w:rFonts w:ascii="Times New Roman" w:hAnsi="Times New Roman"/>
          <w:szCs w:val="24"/>
        </w:rPr>
      </w:pPr>
      <w:r>
        <w:rPr>
          <w:rFonts w:ascii="Times New Roman" w:hAnsi="Times New Roman"/>
          <w:szCs w:val="24"/>
        </w:rPr>
        <w:t xml:space="preserve">表2.1-3 </w:t>
      </w:r>
    </w:p>
    <w:tbl>
      <w:tblPr>
        <w:tblStyle w:val="59"/>
        <w:tblW w:w="92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
        <w:gridCol w:w="1530"/>
        <w:gridCol w:w="1233"/>
        <w:gridCol w:w="1233"/>
        <w:gridCol w:w="1233"/>
        <w:gridCol w:w="1289"/>
        <w:gridCol w:w="753"/>
        <w:gridCol w:w="589"/>
        <w:gridCol w:w="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22" w:leftChars="-51" w:right="-106" w:rightChars="-44"/>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煤层</w:t>
            </w:r>
          </w:p>
          <w:p>
            <w:pPr>
              <w:widowControl/>
              <w:spacing w:line="240" w:lineRule="atLeast"/>
              <w:ind w:left="-122" w:leftChars="-51" w:right="-106" w:rightChars="-44"/>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编号</w:t>
            </w:r>
          </w:p>
        </w:tc>
        <w:tc>
          <w:tcPr>
            <w:tcW w:w="1530" w:type="dxa"/>
            <w:vAlign w:val="center"/>
          </w:tcPr>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埋藏深度(m)</w:t>
            </w:r>
          </w:p>
        </w:tc>
        <w:tc>
          <w:tcPr>
            <w:tcW w:w="1233" w:type="dxa"/>
            <w:vAlign w:val="center"/>
          </w:tcPr>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自然厚度(m)</w:t>
            </w:r>
          </w:p>
        </w:tc>
        <w:tc>
          <w:tcPr>
            <w:tcW w:w="1233" w:type="dxa"/>
            <w:vAlign w:val="center"/>
          </w:tcPr>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采用厚度(m)</w:t>
            </w:r>
          </w:p>
        </w:tc>
        <w:tc>
          <w:tcPr>
            <w:tcW w:w="1233" w:type="dxa"/>
            <w:vAlign w:val="center"/>
          </w:tcPr>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可采厚度(m)</w:t>
            </w:r>
          </w:p>
        </w:tc>
        <w:tc>
          <w:tcPr>
            <w:tcW w:w="1289" w:type="dxa"/>
            <w:vAlign w:val="center"/>
          </w:tcPr>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层间距 (m)</w:t>
            </w:r>
          </w:p>
        </w:tc>
        <w:tc>
          <w:tcPr>
            <w:tcW w:w="753" w:type="dxa"/>
            <w:vMerge w:val="restart"/>
            <w:vAlign w:val="center"/>
          </w:tcPr>
          <w:p>
            <w:pPr>
              <w:widowControl/>
              <w:spacing w:line="240" w:lineRule="atLeast"/>
              <w:ind w:left="-62" w:leftChars="-86" w:right="-163" w:rightChars="-68" w:hanging="144" w:hangingChars="86"/>
              <w:jc w:val="center"/>
              <w:rPr>
                <w:rFonts w:ascii="Times New Roman" w:hAnsi="Times New Roman"/>
                <w:spacing w:val="-6"/>
                <w:kern w:val="0"/>
                <w:sz w:val="18"/>
                <w:szCs w:val="21"/>
                <w:lang w:bidi="en-US"/>
              </w:rPr>
            </w:pPr>
            <w:r>
              <w:rPr>
                <w:rFonts w:ascii="Times New Roman" w:hAnsi="Times New Roman"/>
                <w:spacing w:val="-6"/>
                <w:kern w:val="0"/>
                <w:sz w:val="18"/>
                <w:szCs w:val="18"/>
                <w:lang w:eastAsia="en-US" w:bidi="en-US"/>
              </w:rPr>
              <w:t>可采</w:t>
            </w:r>
          </w:p>
          <w:p>
            <w:pPr>
              <w:widowControl/>
              <w:spacing w:line="240" w:lineRule="atLeast"/>
              <w:ind w:left="-62" w:leftChars="-86" w:right="-163" w:rightChars="-68" w:hanging="144" w:hangingChars="86"/>
              <w:jc w:val="center"/>
              <w:rPr>
                <w:rFonts w:ascii="Times New Roman" w:hAnsi="Times New Roman"/>
                <w:spacing w:val="-6"/>
                <w:kern w:val="0"/>
                <w:sz w:val="18"/>
                <w:szCs w:val="21"/>
                <w:lang w:bidi="en-US"/>
              </w:rPr>
            </w:pPr>
            <w:r>
              <w:rPr>
                <w:rFonts w:ascii="Times New Roman" w:hAnsi="Times New Roman"/>
                <w:spacing w:val="-6"/>
                <w:kern w:val="0"/>
                <w:sz w:val="18"/>
                <w:szCs w:val="18"/>
                <w:lang w:eastAsia="en-US" w:bidi="en-US"/>
              </w:rPr>
              <w:t>面积</w:t>
            </w:r>
          </w:p>
          <w:p>
            <w:pPr>
              <w:widowControl/>
              <w:spacing w:line="240" w:lineRule="atLeast"/>
              <w:ind w:left="-62" w:leftChars="-86" w:right="-163" w:rightChars="-68" w:hanging="144" w:hangingChars="86"/>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km</w:t>
            </w:r>
            <w:r>
              <w:rPr>
                <w:rFonts w:ascii="Times New Roman" w:hAnsi="Times New Roman"/>
                <w:spacing w:val="-6"/>
                <w:kern w:val="0"/>
                <w:sz w:val="18"/>
                <w:szCs w:val="18"/>
                <w:vertAlign w:val="superscript"/>
                <w:lang w:bidi="en-US"/>
              </w:rPr>
              <w:t>2</w:t>
            </w:r>
          </w:p>
        </w:tc>
        <w:tc>
          <w:tcPr>
            <w:tcW w:w="589" w:type="dxa"/>
            <w:vMerge w:val="restart"/>
            <w:vAlign w:val="center"/>
          </w:tcPr>
          <w:p>
            <w:pPr>
              <w:widowControl/>
              <w:spacing w:line="240" w:lineRule="atLeast"/>
              <w:ind w:left="-62" w:leftChars="-86" w:right="-163" w:rightChars="-68" w:hanging="144" w:hangingChars="86"/>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面积</w:t>
            </w:r>
          </w:p>
          <w:p>
            <w:pPr>
              <w:widowControl/>
              <w:spacing w:line="240" w:lineRule="atLeast"/>
              <w:ind w:left="-62" w:leftChars="-86" w:right="-163" w:rightChars="-68" w:hanging="144" w:hangingChars="86"/>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p>
            <w:pPr>
              <w:widowControl/>
              <w:spacing w:line="240" w:lineRule="atLeast"/>
              <w:ind w:left="-62" w:leftChars="-86" w:right="-163" w:rightChars="-68" w:hanging="144" w:hangingChars="86"/>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系数</w:t>
            </w:r>
          </w:p>
          <w:p>
            <w:pPr>
              <w:widowControl/>
              <w:spacing w:line="240" w:lineRule="atLeast"/>
              <w:ind w:left="-122" w:leftChars="-51" w:right="-127" w:rightChars="-5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w:t>
            </w:r>
          </w:p>
        </w:tc>
        <w:tc>
          <w:tcPr>
            <w:tcW w:w="605" w:type="dxa"/>
            <w:vMerge w:val="restart"/>
            <w:vAlign w:val="center"/>
          </w:tcPr>
          <w:p>
            <w:pPr>
              <w:widowControl/>
              <w:spacing w:line="240" w:lineRule="atLeast"/>
              <w:ind w:left="-122" w:leftChars="-51" w:right="-127" w:rightChars="-5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p>
            <w:pPr>
              <w:widowControl/>
              <w:spacing w:line="240" w:lineRule="atLeast"/>
              <w:ind w:left="-122" w:leftChars="-51" w:right="-127" w:rightChars="-5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1530" w:type="dxa"/>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最小～最大</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平均（点数）</w:t>
            </w:r>
          </w:p>
        </w:tc>
        <w:tc>
          <w:tcPr>
            <w:tcW w:w="1233" w:type="dxa"/>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最小～最大</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平均（点数）</w:t>
            </w:r>
          </w:p>
        </w:tc>
        <w:tc>
          <w:tcPr>
            <w:tcW w:w="1233" w:type="dxa"/>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最小～最大</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平均（点数）</w:t>
            </w:r>
          </w:p>
        </w:tc>
        <w:tc>
          <w:tcPr>
            <w:tcW w:w="1233" w:type="dxa"/>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最小～最大</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平均（点数）</w:t>
            </w:r>
          </w:p>
        </w:tc>
        <w:tc>
          <w:tcPr>
            <w:tcW w:w="1289" w:type="dxa"/>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最小～最大</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平均（点数）</w:t>
            </w:r>
          </w:p>
        </w:tc>
        <w:tc>
          <w:tcPr>
            <w:tcW w:w="753" w:type="dxa"/>
            <w:vMerge w:val="continue"/>
            <w:vAlign w:val="center"/>
          </w:tcPr>
          <w:p>
            <w:pPr>
              <w:widowControl/>
              <w:spacing w:line="240" w:lineRule="atLeast"/>
              <w:ind w:left="-122" w:leftChars="-51" w:right="-127" w:rightChars="-53"/>
              <w:jc w:val="center"/>
              <w:rPr>
                <w:rFonts w:ascii="Times New Roman" w:hAnsi="Times New Roman"/>
                <w:spacing w:val="-6"/>
                <w:kern w:val="0"/>
                <w:sz w:val="18"/>
                <w:szCs w:val="21"/>
                <w:lang w:bidi="en-US"/>
              </w:rPr>
            </w:pPr>
          </w:p>
        </w:tc>
        <w:tc>
          <w:tcPr>
            <w:tcW w:w="589" w:type="dxa"/>
            <w:vMerge w:val="continue"/>
            <w:vAlign w:val="center"/>
          </w:tcPr>
          <w:p>
            <w:pPr>
              <w:widowControl/>
              <w:spacing w:line="240" w:lineRule="atLeast"/>
              <w:ind w:left="-122" w:leftChars="-51" w:right="-127" w:rightChars="-53"/>
              <w:jc w:val="center"/>
              <w:rPr>
                <w:rFonts w:ascii="Times New Roman" w:hAnsi="Times New Roman"/>
                <w:spacing w:val="-6"/>
                <w:kern w:val="0"/>
                <w:sz w:val="18"/>
                <w:szCs w:val="21"/>
                <w:lang w:bidi="en-US"/>
              </w:rPr>
            </w:pPr>
          </w:p>
        </w:tc>
        <w:tc>
          <w:tcPr>
            <w:tcW w:w="605" w:type="dxa"/>
            <w:vMerge w:val="continue"/>
            <w:vAlign w:val="center"/>
          </w:tcPr>
          <w:p>
            <w:pPr>
              <w:widowControl/>
              <w:spacing w:line="240" w:lineRule="atLeast"/>
              <w:ind w:left="-122" w:leftChars="-51" w:right="-127" w:rightChars="-53"/>
              <w:jc w:val="center"/>
              <w:rPr>
                <w:rFonts w:ascii="Times New Roman" w:hAnsi="Times New Roman"/>
                <w:spacing w:val="-6"/>
                <w:kern w:val="0"/>
                <w:sz w:val="18"/>
                <w:szCs w:val="21"/>
                <w:lang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789" w:type="dxa"/>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2-1上</w:t>
            </w:r>
          </w:p>
        </w:tc>
        <w:tc>
          <w:tcPr>
            <w:tcW w:w="1530" w:type="dxa"/>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889.65</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979.50</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929.84（89）</w:t>
            </w:r>
          </w:p>
        </w:tc>
        <w:tc>
          <w:tcPr>
            <w:tcW w:w="1233" w:type="dxa"/>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0.43</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3.99</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1.59（89）</w:t>
            </w:r>
          </w:p>
        </w:tc>
        <w:tc>
          <w:tcPr>
            <w:tcW w:w="1233" w:type="dxa"/>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0.11</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3.57</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1.36（89）</w:t>
            </w:r>
          </w:p>
        </w:tc>
        <w:tc>
          <w:tcPr>
            <w:tcW w:w="1233" w:type="dxa"/>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0.81</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3.57</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1.88（59）</w:t>
            </w: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0.90～10.98</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4.67（80）</w:t>
            </w:r>
          </w:p>
        </w:tc>
        <w:tc>
          <w:tcPr>
            <w:tcW w:w="753" w:type="dxa"/>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41.28</w:t>
            </w:r>
          </w:p>
        </w:tc>
        <w:tc>
          <w:tcPr>
            <w:tcW w:w="589" w:type="dxa"/>
            <w:vAlign w:val="center"/>
          </w:tcPr>
          <w:p>
            <w:pPr>
              <w:widowControl/>
              <w:spacing w:line="240" w:lineRule="atLeast"/>
              <w:ind w:left="-62" w:leftChars="-86" w:right="-163" w:rightChars="-68" w:hanging="144" w:hangingChars="86"/>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5.57</w:t>
            </w:r>
          </w:p>
        </w:tc>
        <w:tc>
          <w:tcPr>
            <w:tcW w:w="605" w:type="dxa"/>
            <w:vAlign w:val="center"/>
          </w:tcPr>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局部</w:t>
            </w:r>
          </w:p>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2-1</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720.47</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1048.92</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840.65（237）</w:t>
            </w:r>
          </w:p>
        </w:tc>
        <w:tc>
          <w:tcPr>
            <w:tcW w:w="1233" w:type="dxa"/>
            <w:vMerge w:val="restart"/>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0.23</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6.04</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1.50（237）</w:t>
            </w:r>
          </w:p>
        </w:tc>
        <w:tc>
          <w:tcPr>
            <w:tcW w:w="1233" w:type="dxa"/>
            <w:vMerge w:val="restart"/>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0.08</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5.34</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1.47（237）</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0.80～</w:t>
            </w:r>
            <w:r>
              <w:rPr>
                <w:rFonts w:ascii="Times New Roman" w:hAnsi="Times New Roman"/>
                <w:kern w:val="0"/>
                <w:sz w:val="18"/>
                <w:szCs w:val="18"/>
                <w:u w:val="single"/>
                <w:lang w:bidi="en-US"/>
              </w:rPr>
              <w:t>5.34</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eastAsia="en-US" w:bidi="en-US"/>
              </w:rPr>
              <w:t>2</w:t>
            </w:r>
            <w:r>
              <w:rPr>
                <w:rFonts w:ascii="Times New Roman" w:hAnsi="Times New Roman"/>
                <w:kern w:val="0"/>
                <w:sz w:val="18"/>
                <w:szCs w:val="18"/>
                <w:lang w:bidi="en-US"/>
              </w:rPr>
              <w:t>.00（171）</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286.05</w:t>
            </w:r>
          </w:p>
        </w:tc>
        <w:tc>
          <w:tcPr>
            <w:tcW w:w="589" w:type="dxa"/>
            <w:vMerge w:val="restart"/>
            <w:vAlign w:val="center"/>
          </w:tcPr>
          <w:p>
            <w:pPr>
              <w:widowControl/>
              <w:spacing w:line="240" w:lineRule="atLeast"/>
              <w:ind w:left="-62" w:leftChars="-86" w:right="-163" w:rightChars="-68" w:hanging="144" w:hangingChars="86"/>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38.60</w:t>
            </w:r>
          </w:p>
        </w:tc>
        <w:tc>
          <w:tcPr>
            <w:tcW w:w="605" w:type="dxa"/>
            <w:vMerge w:val="restart"/>
            <w:vAlign w:val="center"/>
          </w:tcPr>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局部</w:t>
            </w:r>
          </w:p>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6"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0.23～26.45</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10.26（194）</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27" w:rightChars="-53"/>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125" w:rightChars="-52"/>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2-1下</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eastAsia="en-US" w:bidi="en-US"/>
              </w:rPr>
              <w:t>737.28～</w:t>
            </w:r>
            <w:r>
              <w:rPr>
                <w:rFonts w:ascii="Times New Roman" w:hAnsi="Times New Roman"/>
                <w:spacing w:val="-6"/>
                <w:kern w:val="0"/>
                <w:sz w:val="18"/>
                <w:szCs w:val="18"/>
                <w:u w:val="single"/>
                <w:lang w:bidi="en-US"/>
              </w:rPr>
              <w:t>1054.35</w:t>
            </w:r>
          </w:p>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lang w:eastAsia="en-US" w:bidi="en-US"/>
              </w:rPr>
              <w:t>8</w:t>
            </w:r>
            <w:r>
              <w:rPr>
                <w:rFonts w:ascii="Times New Roman" w:hAnsi="Times New Roman"/>
                <w:spacing w:val="-6"/>
                <w:kern w:val="0"/>
                <w:sz w:val="18"/>
                <w:szCs w:val="18"/>
                <w:lang w:bidi="en-US"/>
              </w:rPr>
              <w:t>7</w:t>
            </w:r>
            <w:r>
              <w:rPr>
                <w:rFonts w:ascii="Times New Roman" w:hAnsi="Times New Roman"/>
                <w:spacing w:val="-6"/>
                <w:kern w:val="0"/>
                <w:sz w:val="18"/>
                <w:szCs w:val="18"/>
                <w:lang w:eastAsia="en-US" w:bidi="en-US"/>
              </w:rPr>
              <w:t>0.</w:t>
            </w:r>
            <w:r>
              <w:rPr>
                <w:rFonts w:ascii="Times New Roman" w:hAnsi="Times New Roman"/>
                <w:spacing w:val="-6"/>
                <w:kern w:val="0"/>
                <w:sz w:val="18"/>
                <w:szCs w:val="18"/>
                <w:lang w:bidi="en-US"/>
              </w:rPr>
              <w:t>16（279）</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0.2</w:t>
            </w:r>
            <w:r>
              <w:rPr>
                <w:rFonts w:ascii="Times New Roman" w:hAnsi="Times New Roman"/>
                <w:kern w:val="0"/>
                <w:sz w:val="18"/>
                <w:szCs w:val="18"/>
                <w:u w:val="single"/>
                <w:lang w:bidi="en-US"/>
              </w:rPr>
              <w:t>2</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5.80</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1.64（279）</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0.09</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5.80</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1.36（279）</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0.80～</w:t>
            </w:r>
            <w:r>
              <w:rPr>
                <w:rFonts w:ascii="Times New Roman" w:hAnsi="Times New Roman"/>
                <w:kern w:val="0"/>
                <w:sz w:val="18"/>
                <w:szCs w:val="18"/>
                <w:u w:val="single"/>
                <w:lang w:bidi="en-US"/>
              </w:rPr>
              <w:t>5.80</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1.83（183）</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273.87</w:t>
            </w:r>
          </w:p>
        </w:tc>
        <w:tc>
          <w:tcPr>
            <w:tcW w:w="589" w:type="dxa"/>
            <w:vMerge w:val="restart"/>
            <w:vAlign w:val="center"/>
          </w:tcPr>
          <w:p>
            <w:pPr>
              <w:widowControl/>
              <w:spacing w:line="240" w:lineRule="atLeast"/>
              <w:ind w:left="-62" w:leftChars="-86" w:right="-163" w:rightChars="-68" w:hanging="144" w:hangingChars="86"/>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36.96</w:t>
            </w:r>
          </w:p>
        </w:tc>
        <w:tc>
          <w:tcPr>
            <w:tcW w:w="605" w:type="dxa"/>
            <w:vMerge w:val="restart"/>
            <w:vAlign w:val="center"/>
          </w:tcPr>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局部</w:t>
            </w:r>
          </w:p>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5"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3.63～27.48</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14.19（75）</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27" w:rightChars="-53"/>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125" w:rightChars="-52"/>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2-2上</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eastAsia="en-US" w:bidi="en-US"/>
              </w:rPr>
              <w:t>7</w:t>
            </w:r>
            <w:r>
              <w:rPr>
                <w:rFonts w:ascii="Times New Roman" w:hAnsi="Times New Roman"/>
                <w:spacing w:val="-6"/>
                <w:kern w:val="0"/>
                <w:sz w:val="18"/>
                <w:szCs w:val="18"/>
                <w:u w:val="single"/>
                <w:lang w:bidi="en-US"/>
              </w:rPr>
              <w:t>28.21</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1067.35</w:t>
            </w:r>
          </w:p>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lang w:bidi="en-US"/>
              </w:rPr>
              <w:t>866.39（96）</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0.17</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4.70</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0.98（96）</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0.17</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3.13</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0.76（96）</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0.84</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3.13</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1.41（29）</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57.35</w:t>
            </w:r>
          </w:p>
        </w:tc>
        <w:tc>
          <w:tcPr>
            <w:tcW w:w="589" w:type="dxa"/>
            <w:vMerge w:val="restart"/>
            <w:vAlign w:val="center"/>
          </w:tcPr>
          <w:p>
            <w:pPr>
              <w:widowControl/>
              <w:spacing w:line="240" w:lineRule="atLeast"/>
              <w:ind w:left="-122" w:leftChars="-51" w:right="-127" w:rightChars="-5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7.74</w:t>
            </w:r>
          </w:p>
        </w:tc>
        <w:tc>
          <w:tcPr>
            <w:tcW w:w="605" w:type="dxa"/>
            <w:vMerge w:val="restart"/>
            <w:vAlign w:val="center"/>
          </w:tcPr>
          <w:p>
            <w:pPr>
              <w:widowControl/>
              <w:spacing w:line="240" w:lineRule="atLeast"/>
              <w:ind w:left="-120" w:leftChars="-50" w:right="-24" w:rightChars="-10"/>
              <w:jc w:val="center"/>
              <w:rPr>
                <w:rFonts w:ascii="Times New Roman" w:hAnsi="Times New Roman"/>
                <w:spacing w:val="-6"/>
                <w:kern w:val="0"/>
                <w:sz w:val="18"/>
                <w:szCs w:val="18"/>
                <w:lang w:eastAsia="en-US" w:bidi="en-US"/>
              </w:rPr>
            </w:pPr>
            <w:r>
              <w:rPr>
                <w:rFonts w:ascii="Times New Roman" w:hAnsi="Times New Roman"/>
                <w:spacing w:val="-6"/>
                <w:kern w:val="0"/>
                <w:sz w:val="18"/>
                <w:szCs w:val="18"/>
                <w:lang w:eastAsia="en-US" w:bidi="en-US"/>
              </w:rPr>
              <w:t>局部</w:t>
            </w:r>
          </w:p>
          <w:p>
            <w:pPr>
              <w:widowControl/>
              <w:spacing w:line="240" w:lineRule="atLeast"/>
              <w:ind w:left="-120" w:leftChars="-50" w:right="-24" w:rightChars="-10"/>
              <w:jc w:val="center"/>
              <w:rPr>
                <w:rFonts w:ascii="Times New Roman" w:hAnsi="Times New Roman"/>
                <w:spacing w:val="-6"/>
                <w:kern w:val="0"/>
                <w:sz w:val="18"/>
                <w:szCs w:val="18"/>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0"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adjustRightInd w:val="0"/>
              <w:snapToGrid w:val="0"/>
              <w:spacing w:line="240" w:lineRule="atLeast"/>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0.49～29.52</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13.59（81）</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27" w:rightChars="-53"/>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125" w:rightChars="-52"/>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2-2</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738.13</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1091.28</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865.01（400）</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0.15</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7.85</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2.40（400）</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0.15</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5.91</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2.05（400）</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0.85～</w:t>
            </w:r>
            <w:r>
              <w:rPr>
                <w:rFonts w:ascii="Times New Roman" w:hAnsi="Times New Roman"/>
                <w:kern w:val="0"/>
                <w:sz w:val="18"/>
                <w:szCs w:val="18"/>
                <w:u w:val="single"/>
                <w:lang w:bidi="en-US"/>
              </w:rPr>
              <w:t>5.91</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2.26（354）</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627.92</w:t>
            </w:r>
          </w:p>
        </w:tc>
        <w:tc>
          <w:tcPr>
            <w:tcW w:w="589" w:type="dxa"/>
            <w:vMerge w:val="restart"/>
            <w:vAlign w:val="center"/>
          </w:tcPr>
          <w:p>
            <w:pPr>
              <w:widowControl/>
              <w:spacing w:line="240" w:lineRule="atLeast"/>
              <w:ind w:left="-62" w:leftChars="-86" w:right="-163" w:rightChars="-68" w:hanging="144" w:hangingChars="86"/>
              <w:jc w:val="center"/>
              <w:rPr>
                <w:rFonts w:ascii="Times New Roman" w:hAnsi="Times New Roman"/>
                <w:spacing w:val="-6"/>
                <w:kern w:val="0"/>
                <w:sz w:val="18"/>
                <w:szCs w:val="21"/>
                <w:lang w:bidi="en-US"/>
              </w:rPr>
            </w:pPr>
            <w:r>
              <w:rPr>
                <w:rFonts w:ascii="Times New Roman" w:hAnsi="Times New Roman"/>
                <w:spacing w:val="-6"/>
                <w:kern w:val="0"/>
                <w:sz w:val="18"/>
                <w:szCs w:val="18"/>
                <w:lang w:eastAsia="en-US" w:bidi="en-US"/>
              </w:rPr>
              <w:t>8</w:t>
            </w:r>
            <w:r>
              <w:rPr>
                <w:rFonts w:ascii="Times New Roman" w:hAnsi="Times New Roman"/>
                <w:spacing w:val="-6"/>
                <w:kern w:val="0"/>
                <w:sz w:val="18"/>
                <w:szCs w:val="18"/>
                <w:lang w:bidi="en-US"/>
              </w:rPr>
              <w:t>4.74</w:t>
            </w:r>
          </w:p>
        </w:tc>
        <w:tc>
          <w:tcPr>
            <w:tcW w:w="605" w:type="dxa"/>
            <w:vMerge w:val="restart"/>
            <w:vAlign w:val="center"/>
          </w:tcPr>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大部</w:t>
            </w:r>
          </w:p>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3"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adjustRightInd w:val="0"/>
              <w:snapToGrid w:val="0"/>
              <w:spacing w:line="240" w:lineRule="atLeast"/>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0.45～28.94</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8.68（245）</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27" w:rightChars="-53"/>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127" w:rightChars="-53"/>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2-2下</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eastAsia="en-US" w:bidi="en-US"/>
              </w:rPr>
              <w:t>772.31～</w:t>
            </w:r>
            <w:r>
              <w:rPr>
                <w:rFonts w:ascii="Times New Roman" w:hAnsi="Times New Roman"/>
                <w:spacing w:val="-6"/>
                <w:kern w:val="0"/>
                <w:sz w:val="18"/>
                <w:szCs w:val="18"/>
                <w:u w:val="single"/>
                <w:lang w:bidi="en-US"/>
              </w:rPr>
              <w:t>1093.56</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890.47（272）</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0.20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4.00</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1.46（272）</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0.12</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3.12</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1.00（272）</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0.80～</w:t>
            </w:r>
            <w:r>
              <w:rPr>
                <w:rFonts w:ascii="Times New Roman" w:hAnsi="Times New Roman"/>
                <w:kern w:val="0"/>
                <w:sz w:val="18"/>
                <w:szCs w:val="18"/>
                <w:u w:val="single"/>
                <w:lang w:bidi="en-US"/>
              </w:rPr>
              <w:t>3.12</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1.67（128）</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172.83</w:t>
            </w:r>
          </w:p>
        </w:tc>
        <w:tc>
          <w:tcPr>
            <w:tcW w:w="589" w:type="dxa"/>
            <w:vMerge w:val="restart"/>
            <w:vAlign w:val="center"/>
          </w:tcPr>
          <w:p>
            <w:pPr>
              <w:widowControl/>
              <w:spacing w:line="240" w:lineRule="atLeast"/>
              <w:ind w:left="-122" w:leftChars="-51" w:right="-127" w:rightChars="-5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23.32</w:t>
            </w:r>
          </w:p>
        </w:tc>
        <w:tc>
          <w:tcPr>
            <w:tcW w:w="605" w:type="dxa"/>
            <w:vMerge w:val="restart"/>
            <w:vAlign w:val="center"/>
          </w:tcPr>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局部</w:t>
            </w:r>
          </w:p>
          <w:p>
            <w:pPr>
              <w:widowControl/>
              <w:spacing w:line="240" w:lineRule="atLeast"/>
              <w:ind w:left="-120" w:leftChars="-50" w:right="-125" w:rightChars="-52"/>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eastAsia="en-US" w:bidi="en-US"/>
              </w:rPr>
            </w:pPr>
            <w:r>
              <w:rPr>
                <w:rFonts w:ascii="Times New Roman" w:hAnsi="Times New Roman"/>
                <w:kern w:val="0"/>
                <w:sz w:val="18"/>
                <w:szCs w:val="18"/>
                <w:u w:val="single"/>
                <w:lang w:eastAsia="en-US" w:bidi="en-US"/>
              </w:rPr>
              <w:t>6.04～33.95</w:t>
            </w:r>
          </w:p>
          <w:p>
            <w:pPr>
              <w:widowControl/>
              <w:adjustRightInd w:val="0"/>
              <w:snapToGrid w:val="0"/>
              <w:spacing w:line="240" w:lineRule="atLeast"/>
              <w:jc w:val="center"/>
              <w:rPr>
                <w:rFonts w:ascii="Times New Roman" w:hAnsi="Times New Roman"/>
                <w:kern w:val="0"/>
                <w:sz w:val="18"/>
                <w:szCs w:val="21"/>
                <w:lang w:eastAsia="en-US" w:bidi="en-US"/>
              </w:rPr>
            </w:pPr>
            <w:r>
              <w:rPr>
                <w:rFonts w:ascii="Times New Roman" w:hAnsi="Times New Roman"/>
                <w:kern w:val="0"/>
                <w:sz w:val="18"/>
                <w:szCs w:val="18"/>
                <w:lang w:eastAsia="en-US" w:bidi="en-US"/>
              </w:rPr>
              <w:t>19.16（260）</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27" w:rightChars="-53"/>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127" w:rightChars="-53"/>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3-1</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eastAsia="en-US" w:bidi="en-US"/>
              </w:rPr>
              <w:t>7</w:t>
            </w:r>
            <w:r>
              <w:rPr>
                <w:rFonts w:ascii="Times New Roman" w:hAnsi="Times New Roman"/>
                <w:spacing w:val="-6"/>
                <w:kern w:val="0"/>
                <w:sz w:val="18"/>
                <w:szCs w:val="18"/>
                <w:u w:val="single"/>
                <w:lang w:bidi="en-US"/>
              </w:rPr>
              <w:t>84.78</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1109.57</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887.17（421）</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0.16</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10.19</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2.85（421）</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0.16</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8.68</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2.59（421）</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w:t>
            </w:r>
            <w:r>
              <w:rPr>
                <w:rFonts w:ascii="Times New Roman" w:hAnsi="Times New Roman"/>
                <w:kern w:val="0"/>
                <w:sz w:val="18"/>
                <w:szCs w:val="18"/>
                <w:u w:val="single"/>
                <w:lang w:bidi="en-US"/>
              </w:rPr>
              <w:t>80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8.68</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3.03（350）</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588.67</w:t>
            </w:r>
          </w:p>
        </w:tc>
        <w:tc>
          <w:tcPr>
            <w:tcW w:w="589" w:type="dxa"/>
            <w:vMerge w:val="restart"/>
            <w:vAlign w:val="center"/>
          </w:tcPr>
          <w:p>
            <w:pPr>
              <w:widowControl/>
              <w:spacing w:line="240" w:lineRule="atLeast"/>
              <w:ind w:left="-122" w:leftChars="-51" w:right="-127" w:rightChars="-5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79.44</w:t>
            </w:r>
          </w:p>
        </w:tc>
        <w:tc>
          <w:tcPr>
            <w:tcW w:w="605" w:type="dxa"/>
            <w:vMerge w:val="restart"/>
            <w:vAlign w:val="center"/>
          </w:tcPr>
          <w:p>
            <w:pPr>
              <w:widowControl/>
              <w:spacing w:line="240" w:lineRule="atLeast"/>
              <w:ind w:left="24" w:leftChars="-50" w:right="-163" w:rightChars="-68" w:hanging="144" w:hangingChars="86"/>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大部</w:t>
            </w:r>
          </w:p>
          <w:p>
            <w:pPr>
              <w:widowControl/>
              <w:spacing w:line="240" w:lineRule="atLeast"/>
              <w:ind w:left="24" w:leftChars="-50" w:right="-163" w:rightChars="-68" w:hanging="144" w:hangingChars="86"/>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eastAsia="en-US" w:bidi="en-US"/>
              </w:rPr>
            </w:pPr>
            <w:r>
              <w:rPr>
                <w:rFonts w:ascii="Times New Roman" w:hAnsi="Times New Roman"/>
                <w:kern w:val="0"/>
                <w:sz w:val="18"/>
                <w:szCs w:val="18"/>
                <w:u w:val="single"/>
                <w:lang w:eastAsia="en-US" w:bidi="en-US"/>
              </w:rPr>
              <w:t>1.45～38.60</w:t>
            </w:r>
          </w:p>
          <w:p>
            <w:pPr>
              <w:widowControl/>
              <w:adjustRightInd w:val="0"/>
              <w:snapToGrid w:val="0"/>
              <w:spacing w:line="240" w:lineRule="atLeast"/>
              <w:jc w:val="center"/>
              <w:rPr>
                <w:rFonts w:ascii="Times New Roman" w:hAnsi="Times New Roman"/>
                <w:kern w:val="0"/>
                <w:sz w:val="18"/>
                <w:szCs w:val="21"/>
                <w:lang w:eastAsia="en-US" w:bidi="en-US"/>
              </w:rPr>
            </w:pPr>
            <w:r>
              <w:rPr>
                <w:rFonts w:ascii="Times New Roman" w:hAnsi="Times New Roman"/>
                <w:kern w:val="0"/>
                <w:sz w:val="18"/>
                <w:szCs w:val="18"/>
                <w:lang w:eastAsia="en-US" w:bidi="en-US"/>
              </w:rPr>
              <w:t>23.12（251）</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30" w:rightChars="-54"/>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3-2</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812.68</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1144.48</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936.11（255）</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0.2</w:t>
            </w:r>
            <w:r>
              <w:rPr>
                <w:rFonts w:ascii="Times New Roman" w:hAnsi="Times New Roman"/>
                <w:kern w:val="0"/>
                <w:sz w:val="18"/>
                <w:szCs w:val="18"/>
                <w:u w:val="single"/>
                <w:lang w:bidi="en-US"/>
              </w:rPr>
              <w:t>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4.03</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1.84（255）</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0.2</w:t>
            </w:r>
            <w:r>
              <w:rPr>
                <w:rFonts w:ascii="Times New Roman" w:hAnsi="Times New Roman"/>
                <w:kern w:val="0"/>
                <w:sz w:val="18"/>
                <w:szCs w:val="18"/>
                <w:u w:val="single"/>
                <w:lang w:bidi="en-US"/>
              </w:rPr>
              <w:t>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3.31</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1.74（255）</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0.8</w:t>
            </w:r>
            <w:r>
              <w:rPr>
                <w:rFonts w:ascii="Times New Roman" w:hAnsi="Times New Roman"/>
                <w:kern w:val="0"/>
                <w:sz w:val="18"/>
                <w:szCs w:val="18"/>
                <w:u w:val="single"/>
                <w:lang w:bidi="en-US"/>
              </w:rPr>
              <w:t>1</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3.31</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2.08（203）</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304.79</w:t>
            </w:r>
          </w:p>
        </w:tc>
        <w:tc>
          <w:tcPr>
            <w:tcW w:w="589" w:type="dxa"/>
            <w:vMerge w:val="restart"/>
            <w:vAlign w:val="center"/>
          </w:tcPr>
          <w:p>
            <w:pPr>
              <w:widowControl/>
              <w:spacing w:line="240" w:lineRule="atLeast"/>
              <w:ind w:left="-122" w:leftChars="-51" w:right="-130" w:rightChars="-54"/>
              <w:jc w:val="center"/>
              <w:rPr>
                <w:rFonts w:ascii="Times New Roman" w:hAnsi="Times New Roman"/>
                <w:spacing w:val="-6"/>
                <w:kern w:val="0"/>
                <w:sz w:val="18"/>
                <w:szCs w:val="21"/>
                <w:lang w:bidi="en-US"/>
              </w:rPr>
            </w:pPr>
            <w:r>
              <w:rPr>
                <w:rFonts w:ascii="Times New Roman" w:hAnsi="Times New Roman"/>
                <w:spacing w:val="-6"/>
                <w:kern w:val="0"/>
                <w:sz w:val="18"/>
                <w:szCs w:val="18"/>
                <w:lang w:eastAsia="en-US" w:bidi="en-US"/>
              </w:rPr>
              <w:t>41.</w:t>
            </w:r>
            <w:r>
              <w:rPr>
                <w:rFonts w:ascii="Times New Roman" w:hAnsi="Times New Roman"/>
                <w:spacing w:val="-6"/>
                <w:kern w:val="0"/>
                <w:sz w:val="18"/>
                <w:szCs w:val="18"/>
                <w:lang w:bidi="en-US"/>
              </w:rPr>
              <w:t>13</w:t>
            </w:r>
          </w:p>
        </w:tc>
        <w:tc>
          <w:tcPr>
            <w:tcW w:w="605" w:type="dxa"/>
            <w:vMerge w:val="restart"/>
            <w:vAlign w:val="center"/>
          </w:tcPr>
          <w:p>
            <w:pPr>
              <w:widowControl/>
              <w:spacing w:line="240" w:lineRule="atLeast"/>
              <w:ind w:left="24" w:leftChars="-50" w:right="-163" w:rightChars="-68" w:hanging="144" w:hangingChars="86"/>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大部</w:t>
            </w:r>
          </w:p>
          <w:p>
            <w:pPr>
              <w:widowControl/>
              <w:spacing w:line="240" w:lineRule="atLeast"/>
              <w:ind w:left="24" w:leftChars="-50" w:right="-163" w:rightChars="-68" w:hanging="144" w:hangingChars="86"/>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6.77～45.74</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20.39（215）</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30" w:rightChars="-54"/>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4-1上</w:t>
            </w:r>
          </w:p>
        </w:tc>
        <w:tc>
          <w:tcPr>
            <w:tcW w:w="1530" w:type="dxa"/>
            <w:vMerge w:val="restart"/>
            <w:vAlign w:val="center"/>
          </w:tcPr>
          <w:p>
            <w:pPr>
              <w:widowControl/>
              <w:kinsoku w:val="0"/>
              <w:overflowPunct w:val="0"/>
              <w:adjustRightInd w:val="0"/>
              <w:snapToGrid w:val="0"/>
              <w:spacing w:line="240" w:lineRule="atLeast"/>
              <w:ind w:left="-120" w:leftChars="-50" w:right="-120" w:rightChars="-50"/>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835.01</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1078.90</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912.65（293）</w:t>
            </w:r>
          </w:p>
        </w:tc>
        <w:tc>
          <w:tcPr>
            <w:tcW w:w="1233" w:type="dxa"/>
            <w:vMerge w:val="restart"/>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eastAsia="en-US" w:bidi="en-US"/>
              </w:rPr>
            </w:pPr>
            <w:r>
              <w:rPr>
                <w:rFonts w:ascii="Times New Roman" w:hAnsi="Times New Roman"/>
                <w:kern w:val="0"/>
                <w:sz w:val="18"/>
                <w:szCs w:val="18"/>
                <w:u w:val="single"/>
                <w:lang w:eastAsia="en-US" w:bidi="en-US"/>
              </w:rPr>
              <w:t>0.</w:t>
            </w:r>
            <w:r>
              <w:rPr>
                <w:rFonts w:ascii="Times New Roman" w:hAnsi="Times New Roman"/>
                <w:kern w:val="0"/>
                <w:sz w:val="18"/>
                <w:szCs w:val="18"/>
                <w:u w:val="single"/>
                <w:lang w:bidi="en-US"/>
              </w:rPr>
              <w:t>15</w:t>
            </w:r>
            <w:r>
              <w:rPr>
                <w:rFonts w:ascii="Times New Roman" w:hAnsi="Times New Roman"/>
                <w:kern w:val="0"/>
                <w:sz w:val="18"/>
                <w:szCs w:val="18"/>
                <w:u w:val="single"/>
                <w:lang w:eastAsia="en-US" w:bidi="en-US"/>
              </w:rPr>
              <w:t>～4.65</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kern w:val="0"/>
                <w:sz w:val="18"/>
                <w:szCs w:val="18"/>
                <w:lang w:bidi="en-US"/>
              </w:rPr>
              <w:t>1.07（293）</w:t>
            </w:r>
          </w:p>
        </w:tc>
        <w:tc>
          <w:tcPr>
            <w:tcW w:w="1233" w:type="dxa"/>
            <w:vMerge w:val="restart"/>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w:t>
            </w:r>
            <w:r>
              <w:rPr>
                <w:rFonts w:ascii="Times New Roman" w:hAnsi="Times New Roman"/>
                <w:kern w:val="0"/>
                <w:sz w:val="18"/>
                <w:szCs w:val="18"/>
                <w:u w:val="single"/>
                <w:lang w:bidi="en-US"/>
              </w:rPr>
              <w:t>15</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3.39</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kern w:val="0"/>
                <w:sz w:val="18"/>
                <w:szCs w:val="18"/>
                <w:lang w:bidi="en-US"/>
              </w:rPr>
              <w:t>1.04（293）</w:t>
            </w:r>
          </w:p>
        </w:tc>
        <w:tc>
          <w:tcPr>
            <w:tcW w:w="1233" w:type="dxa"/>
            <w:vMerge w:val="restart"/>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w:t>
            </w:r>
            <w:r>
              <w:rPr>
                <w:rFonts w:ascii="Times New Roman" w:hAnsi="Times New Roman"/>
                <w:kern w:val="0"/>
                <w:sz w:val="18"/>
                <w:szCs w:val="18"/>
                <w:u w:val="single"/>
                <w:lang w:bidi="en-US"/>
              </w:rPr>
              <w:t>80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3.39</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1.56（204）</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103.64</w:t>
            </w:r>
          </w:p>
        </w:tc>
        <w:tc>
          <w:tcPr>
            <w:tcW w:w="589" w:type="dxa"/>
            <w:vMerge w:val="restart"/>
            <w:vAlign w:val="center"/>
          </w:tcPr>
          <w:p>
            <w:pPr>
              <w:widowControl/>
              <w:spacing w:line="240" w:lineRule="atLeast"/>
              <w:ind w:left="-122" w:leftChars="-51" w:right="-130" w:rightChars="-54"/>
              <w:jc w:val="center"/>
              <w:rPr>
                <w:rFonts w:ascii="Times New Roman" w:hAnsi="Times New Roman"/>
                <w:spacing w:val="-6"/>
                <w:kern w:val="0"/>
                <w:sz w:val="18"/>
                <w:szCs w:val="21"/>
                <w:lang w:bidi="en-US"/>
              </w:rPr>
            </w:pPr>
            <w:r>
              <w:rPr>
                <w:rFonts w:ascii="Times New Roman" w:hAnsi="Times New Roman"/>
                <w:spacing w:val="-6"/>
                <w:kern w:val="0"/>
                <w:sz w:val="18"/>
                <w:szCs w:val="18"/>
                <w:lang w:eastAsia="en-US" w:bidi="en-US"/>
              </w:rPr>
              <w:t>1</w:t>
            </w:r>
            <w:r>
              <w:rPr>
                <w:rFonts w:ascii="Times New Roman" w:hAnsi="Times New Roman"/>
                <w:spacing w:val="-6"/>
                <w:kern w:val="0"/>
                <w:sz w:val="18"/>
                <w:szCs w:val="18"/>
                <w:lang w:bidi="en-US"/>
              </w:rPr>
              <w:t>6.44</w:t>
            </w:r>
          </w:p>
        </w:tc>
        <w:tc>
          <w:tcPr>
            <w:tcW w:w="605" w:type="dxa"/>
            <w:vMerge w:val="restart"/>
            <w:vAlign w:val="center"/>
          </w:tcPr>
          <w:p>
            <w:pPr>
              <w:widowControl/>
              <w:spacing w:line="240" w:lineRule="atLeast"/>
              <w:ind w:left="-120" w:leftChars="-50" w:right="-24" w:rightChars="-10"/>
              <w:jc w:val="center"/>
              <w:rPr>
                <w:rFonts w:ascii="Times New Roman" w:hAnsi="Times New Roman"/>
                <w:spacing w:val="-6"/>
                <w:kern w:val="0"/>
                <w:sz w:val="18"/>
                <w:szCs w:val="18"/>
                <w:lang w:eastAsia="en-US" w:bidi="en-US"/>
              </w:rPr>
            </w:pPr>
            <w:r>
              <w:rPr>
                <w:rFonts w:ascii="Times New Roman" w:hAnsi="Times New Roman"/>
                <w:spacing w:val="-6"/>
                <w:kern w:val="0"/>
                <w:sz w:val="18"/>
                <w:szCs w:val="18"/>
                <w:lang w:eastAsia="en-US" w:bidi="en-US"/>
              </w:rPr>
              <w:t>局部</w:t>
            </w:r>
          </w:p>
          <w:p>
            <w:pPr>
              <w:widowControl/>
              <w:spacing w:line="240" w:lineRule="atLeast"/>
              <w:ind w:left="-120" w:leftChars="-50" w:right="-24" w:rightChars="-10"/>
              <w:jc w:val="center"/>
              <w:rPr>
                <w:rFonts w:ascii="Times New Roman" w:hAnsi="Times New Roman"/>
                <w:spacing w:val="-6"/>
                <w:kern w:val="0"/>
                <w:sz w:val="18"/>
                <w:szCs w:val="18"/>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1"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0.86～37.66</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13.20（278）</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30" w:rightChars="-54"/>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4-1</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eastAsia="en-US" w:bidi="en-US"/>
              </w:rPr>
              <w:t>83</w:t>
            </w:r>
            <w:r>
              <w:rPr>
                <w:rFonts w:ascii="Times New Roman" w:hAnsi="Times New Roman"/>
                <w:spacing w:val="-6"/>
                <w:kern w:val="0"/>
                <w:sz w:val="18"/>
                <w:szCs w:val="18"/>
                <w:u w:val="single"/>
                <w:lang w:bidi="en-US"/>
              </w:rPr>
              <w:t>0.68</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1164.79</w:t>
            </w:r>
          </w:p>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lang w:bidi="en-US"/>
              </w:rPr>
              <w:t>947.07（432）</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0.17</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5.93</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1.61（432）</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0.17</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5.93</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1.54（432）</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0.82</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5.93</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1.88（359）</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668.71</w:t>
            </w:r>
          </w:p>
        </w:tc>
        <w:tc>
          <w:tcPr>
            <w:tcW w:w="589" w:type="dxa"/>
            <w:vMerge w:val="restart"/>
            <w:vAlign w:val="center"/>
          </w:tcPr>
          <w:p>
            <w:pPr>
              <w:widowControl/>
              <w:spacing w:line="240" w:lineRule="atLeast"/>
              <w:ind w:left="-122" w:leftChars="-51" w:right="-130" w:rightChars="-54"/>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90.24</w:t>
            </w:r>
          </w:p>
        </w:tc>
        <w:tc>
          <w:tcPr>
            <w:tcW w:w="605" w:type="dxa"/>
            <w:vMerge w:val="restart"/>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全区</w:t>
            </w:r>
          </w:p>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kern w:val="0"/>
                <w:sz w:val="18"/>
                <w:szCs w:val="21"/>
                <w:u w:val="single"/>
                <w:lang w:eastAsia="en-US" w:bidi="en-US"/>
              </w:rPr>
            </w:pPr>
            <w:r>
              <w:rPr>
                <w:rFonts w:ascii="Times New Roman" w:hAnsi="Times New Roman"/>
                <w:kern w:val="0"/>
                <w:sz w:val="18"/>
                <w:szCs w:val="18"/>
                <w:u w:val="single"/>
                <w:lang w:eastAsia="en-US" w:bidi="en-US"/>
              </w:rPr>
              <w:t>0.58～20.07</w:t>
            </w:r>
          </w:p>
          <w:p>
            <w:pPr>
              <w:widowControl/>
              <w:spacing w:line="240" w:lineRule="atLeast"/>
              <w:ind w:left="-122" w:leftChars="-51" w:right="-79" w:rightChars="-33"/>
              <w:jc w:val="center"/>
              <w:rPr>
                <w:rFonts w:ascii="Times New Roman" w:hAnsi="Times New Roman"/>
                <w:kern w:val="0"/>
                <w:sz w:val="18"/>
                <w:szCs w:val="21"/>
                <w:lang w:eastAsia="en-US" w:bidi="en-US"/>
              </w:rPr>
            </w:pPr>
            <w:r>
              <w:rPr>
                <w:rFonts w:ascii="Times New Roman" w:hAnsi="Times New Roman"/>
                <w:kern w:val="0"/>
                <w:sz w:val="18"/>
                <w:szCs w:val="18"/>
                <w:lang w:eastAsia="en-US" w:bidi="en-US"/>
              </w:rPr>
              <w:t>8.19（177）</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30" w:rightChars="-54"/>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4-1下</w:t>
            </w:r>
          </w:p>
        </w:tc>
        <w:tc>
          <w:tcPr>
            <w:tcW w:w="1530" w:type="dxa"/>
            <w:vMerge w:val="restart"/>
            <w:vAlign w:val="center"/>
          </w:tcPr>
          <w:p>
            <w:pPr>
              <w:widowControl/>
              <w:kinsoku w:val="0"/>
              <w:overflowPunct w:val="0"/>
              <w:adjustRightInd w:val="0"/>
              <w:snapToGrid w:val="0"/>
              <w:spacing w:line="240" w:lineRule="atLeast"/>
              <w:ind w:left="-120" w:leftChars="-50" w:right="-120" w:rightChars="-50"/>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843.90～</w:t>
            </w:r>
            <w:r>
              <w:rPr>
                <w:rFonts w:ascii="Times New Roman" w:hAnsi="Times New Roman"/>
                <w:kern w:val="0"/>
                <w:sz w:val="18"/>
                <w:szCs w:val="18"/>
                <w:u w:val="single"/>
                <w:lang w:bidi="en-US"/>
              </w:rPr>
              <w:t>1156.55</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977.43（204）</w:t>
            </w:r>
          </w:p>
        </w:tc>
        <w:tc>
          <w:tcPr>
            <w:tcW w:w="1233" w:type="dxa"/>
            <w:vMerge w:val="restart"/>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0.19～</w:t>
            </w:r>
            <w:r>
              <w:rPr>
                <w:rFonts w:ascii="Times New Roman" w:hAnsi="Times New Roman"/>
                <w:kern w:val="0"/>
                <w:sz w:val="18"/>
                <w:szCs w:val="18"/>
                <w:u w:val="single"/>
                <w:lang w:bidi="en-US"/>
              </w:rPr>
              <w:t>2.40</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0.70（204）</w:t>
            </w:r>
          </w:p>
        </w:tc>
        <w:tc>
          <w:tcPr>
            <w:tcW w:w="1233" w:type="dxa"/>
            <w:vMerge w:val="restart"/>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w:t>
            </w:r>
            <w:r>
              <w:rPr>
                <w:rFonts w:ascii="Times New Roman" w:hAnsi="Times New Roman"/>
                <w:kern w:val="0"/>
                <w:sz w:val="18"/>
                <w:szCs w:val="18"/>
                <w:u w:val="single"/>
                <w:lang w:bidi="en-US"/>
              </w:rPr>
              <w:t>08</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1.81</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0.67（204）</w:t>
            </w:r>
          </w:p>
        </w:tc>
        <w:tc>
          <w:tcPr>
            <w:tcW w:w="1233" w:type="dxa"/>
            <w:vMerge w:val="restart"/>
            <w:vAlign w:val="center"/>
          </w:tcPr>
          <w:p>
            <w:pPr>
              <w:widowControl/>
              <w:kinsoku w:val="0"/>
              <w:overflowPunct w:val="0"/>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0.80～</w:t>
            </w:r>
            <w:r>
              <w:rPr>
                <w:rFonts w:ascii="Times New Roman" w:hAnsi="Times New Roman"/>
                <w:kern w:val="0"/>
                <w:sz w:val="18"/>
                <w:szCs w:val="18"/>
                <w:u w:val="single"/>
                <w:lang w:bidi="en-US"/>
              </w:rPr>
              <w:t>1.81</w:t>
            </w:r>
          </w:p>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kern w:val="0"/>
                <w:sz w:val="18"/>
                <w:szCs w:val="18"/>
                <w:lang w:eastAsia="en-US" w:bidi="en-US"/>
              </w:rPr>
              <w:t>0.</w:t>
            </w:r>
            <w:r>
              <w:rPr>
                <w:rFonts w:ascii="Times New Roman" w:hAnsi="Times New Roman"/>
                <w:kern w:val="0"/>
                <w:sz w:val="18"/>
                <w:szCs w:val="18"/>
                <w:lang w:bidi="en-US"/>
              </w:rPr>
              <w:t>97（76）</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62.71</w:t>
            </w:r>
          </w:p>
        </w:tc>
        <w:tc>
          <w:tcPr>
            <w:tcW w:w="589" w:type="dxa"/>
            <w:vMerge w:val="restart"/>
            <w:vAlign w:val="center"/>
          </w:tcPr>
          <w:p>
            <w:pPr>
              <w:widowControl/>
              <w:spacing w:line="240" w:lineRule="atLeast"/>
              <w:ind w:left="-122" w:leftChars="-51" w:right="-130" w:rightChars="-54"/>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8.46</w:t>
            </w:r>
          </w:p>
        </w:tc>
        <w:tc>
          <w:tcPr>
            <w:tcW w:w="605" w:type="dxa"/>
            <w:vMerge w:val="restart"/>
            <w:vAlign w:val="center"/>
          </w:tcPr>
          <w:p>
            <w:pPr>
              <w:widowControl/>
              <w:spacing w:line="240" w:lineRule="atLeast"/>
              <w:ind w:left="-120" w:leftChars="-50" w:right="-24" w:rightChars="-10"/>
              <w:jc w:val="center"/>
              <w:rPr>
                <w:rFonts w:ascii="Times New Roman" w:hAnsi="Times New Roman"/>
                <w:spacing w:val="-6"/>
                <w:kern w:val="0"/>
                <w:sz w:val="18"/>
                <w:szCs w:val="18"/>
                <w:lang w:eastAsia="en-US" w:bidi="en-US"/>
              </w:rPr>
            </w:pPr>
            <w:r>
              <w:rPr>
                <w:rFonts w:ascii="Times New Roman" w:hAnsi="Times New Roman"/>
                <w:spacing w:val="-6"/>
                <w:kern w:val="0"/>
                <w:sz w:val="18"/>
                <w:szCs w:val="18"/>
                <w:lang w:eastAsia="en-US" w:bidi="en-US"/>
              </w:rPr>
              <w:t>局部</w:t>
            </w:r>
          </w:p>
          <w:p>
            <w:pPr>
              <w:widowControl/>
              <w:spacing w:line="240" w:lineRule="atLeast"/>
              <w:ind w:left="-120" w:leftChars="-50" w:right="-24" w:rightChars="-10"/>
              <w:jc w:val="center"/>
              <w:rPr>
                <w:rFonts w:ascii="Times New Roman" w:hAnsi="Times New Roman"/>
                <w:spacing w:val="-6"/>
                <w:kern w:val="0"/>
                <w:sz w:val="18"/>
                <w:szCs w:val="18"/>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0.60～18.28</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5.56（194）</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30" w:rightChars="-54"/>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4-2上</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849.75</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1177.38</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960.17（430）</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0.20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4.79</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1.66（430）</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0.20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4.15</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1.48（430）</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0.8</w:t>
            </w:r>
            <w:r>
              <w:rPr>
                <w:rFonts w:ascii="Times New Roman" w:hAnsi="Times New Roman"/>
                <w:kern w:val="0"/>
                <w:sz w:val="18"/>
                <w:szCs w:val="18"/>
                <w:u w:val="single"/>
                <w:lang w:bidi="en-US"/>
              </w:rPr>
              <w:t>1</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4.15</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1.69（353）</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495.27</w:t>
            </w:r>
          </w:p>
        </w:tc>
        <w:tc>
          <w:tcPr>
            <w:tcW w:w="589" w:type="dxa"/>
            <w:vMerge w:val="restart"/>
            <w:vAlign w:val="center"/>
          </w:tcPr>
          <w:p>
            <w:pPr>
              <w:widowControl/>
              <w:spacing w:line="240" w:lineRule="atLeast"/>
              <w:ind w:left="-122" w:leftChars="-51" w:right="-130" w:rightChars="-54"/>
              <w:jc w:val="center"/>
              <w:rPr>
                <w:rFonts w:ascii="Times New Roman" w:hAnsi="Times New Roman"/>
                <w:spacing w:val="-6"/>
                <w:kern w:val="0"/>
                <w:sz w:val="18"/>
                <w:szCs w:val="21"/>
                <w:lang w:bidi="en-US"/>
              </w:rPr>
            </w:pPr>
            <w:r>
              <w:rPr>
                <w:rFonts w:ascii="Times New Roman" w:hAnsi="Times New Roman"/>
                <w:spacing w:val="-6"/>
                <w:kern w:val="0"/>
                <w:sz w:val="18"/>
                <w:szCs w:val="18"/>
                <w:lang w:eastAsia="en-US" w:bidi="en-US"/>
              </w:rPr>
              <w:t>6</w:t>
            </w:r>
            <w:r>
              <w:rPr>
                <w:rFonts w:ascii="Times New Roman" w:hAnsi="Times New Roman"/>
                <w:spacing w:val="-6"/>
                <w:kern w:val="0"/>
                <w:sz w:val="18"/>
                <w:szCs w:val="18"/>
                <w:lang w:bidi="en-US"/>
              </w:rPr>
              <w:t>6.84</w:t>
            </w:r>
          </w:p>
        </w:tc>
        <w:tc>
          <w:tcPr>
            <w:tcW w:w="605" w:type="dxa"/>
            <w:vMerge w:val="restart"/>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大部</w:t>
            </w:r>
          </w:p>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5"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2.34～40.15</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17.65（411）</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30" w:rightChars="-54"/>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4-2</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873.83</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1199.18</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981.75（444）</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0.2</w:t>
            </w:r>
            <w:r>
              <w:rPr>
                <w:rFonts w:ascii="Times New Roman" w:hAnsi="Times New Roman"/>
                <w:kern w:val="0"/>
                <w:sz w:val="18"/>
                <w:szCs w:val="18"/>
                <w:u w:val="single"/>
                <w:lang w:bidi="en-US"/>
              </w:rPr>
              <w:t>3</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5.33</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1.81（444）</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0.20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5.01</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1.61（444）</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0.80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5.01</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1.73（401）</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578.14</w:t>
            </w:r>
          </w:p>
        </w:tc>
        <w:tc>
          <w:tcPr>
            <w:tcW w:w="589" w:type="dxa"/>
            <w:vMerge w:val="restart"/>
            <w:vAlign w:val="center"/>
          </w:tcPr>
          <w:p>
            <w:pPr>
              <w:widowControl/>
              <w:spacing w:line="240" w:lineRule="atLeast"/>
              <w:ind w:left="-122" w:leftChars="-51" w:right="-130" w:rightChars="-54"/>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78.02</w:t>
            </w:r>
          </w:p>
        </w:tc>
        <w:tc>
          <w:tcPr>
            <w:tcW w:w="605" w:type="dxa"/>
            <w:vMerge w:val="restart"/>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大部</w:t>
            </w:r>
          </w:p>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0.97～42.85</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22.45（420）</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30" w:rightChars="-54"/>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5-1</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894.48</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1219.25</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1002.81（435）</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0.20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6.80</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2.51（435）</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0.20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6.02</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2.23（435）</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0.80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6.02</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2.41（394）</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578.93</w:t>
            </w:r>
          </w:p>
        </w:tc>
        <w:tc>
          <w:tcPr>
            <w:tcW w:w="589" w:type="dxa"/>
            <w:vMerge w:val="restart"/>
            <w:vAlign w:val="center"/>
          </w:tcPr>
          <w:p>
            <w:pPr>
              <w:widowControl/>
              <w:spacing w:line="240" w:lineRule="atLeast"/>
              <w:ind w:left="-122" w:leftChars="-51" w:right="-130" w:rightChars="-54"/>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78.13</w:t>
            </w:r>
          </w:p>
        </w:tc>
        <w:tc>
          <w:tcPr>
            <w:tcW w:w="605" w:type="dxa"/>
            <w:vMerge w:val="restart"/>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大部</w:t>
            </w:r>
          </w:p>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6"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0.85～35.78</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11.70（288）</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30" w:rightChars="-54"/>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789" w:type="dxa"/>
            <w:vMerge w:val="restart"/>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5-2</w:t>
            </w:r>
          </w:p>
        </w:tc>
        <w:tc>
          <w:tcPr>
            <w:tcW w:w="1530"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bidi="en-US"/>
              </w:rPr>
              <w:t>907.00</w:t>
            </w:r>
            <w:r>
              <w:rPr>
                <w:rFonts w:ascii="Times New Roman" w:hAnsi="Times New Roman"/>
                <w:spacing w:val="-6"/>
                <w:kern w:val="0"/>
                <w:sz w:val="18"/>
                <w:szCs w:val="18"/>
                <w:u w:val="single"/>
                <w:lang w:eastAsia="en-US" w:bidi="en-US"/>
              </w:rPr>
              <w:t>～</w:t>
            </w:r>
            <w:r>
              <w:rPr>
                <w:rFonts w:ascii="Times New Roman" w:hAnsi="Times New Roman"/>
                <w:spacing w:val="-6"/>
                <w:kern w:val="0"/>
                <w:sz w:val="18"/>
                <w:szCs w:val="18"/>
                <w:u w:val="single"/>
                <w:lang w:bidi="en-US"/>
              </w:rPr>
              <w:t>1233.55</w:t>
            </w:r>
          </w:p>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lang w:bidi="en-US"/>
              </w:rPr>
              <w:t>1011.31（300）</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w:t>
            </w:r>
            <w:r>
              <w:rPr>
                <w:rFonts w:ascii="Times New Roman" w:hAnsi="Times New Roman"/>
                <w:kern w:val="0"/>
                <w:sz w:val="18"/>
                <w:szCs w:val="18"/>
                <w:u w:val="single"/>
                <w:lang w:bidi="en-US"/>
              </w:rPr>
              <w:t>17</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4.20</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0.99（300）</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w:t>
            </w:r>
            <w:r>
              <w:rPr>
                <w:rFonts w:ascii="Times New Roman" w:hAnsi="Times New Roman"/>
                <w:kern w:val="0"/>
                <w:sz w:val="18"/>
                <w:szCs w:val="18"/>
                <w:u w:val="single"/>
                <w:lang w:bidi="en-US"/>
              </w:rPr>
              <w:t>13</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3.63</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0.92（300）</w:t>
            </w:r>
          </w:p>
        </w:tc>
        <w:tc>
          <w:tcPr>
            <w:tcW w:w="1233" w:type="dxa"/>
            <w:vMerge w:val="restart"/>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0.80～</w:t>
            </w:r>
            <w:r>
              <w:rPr>
                <w:rFonts w:ascii="Times New Roman" w:hAnsi="Times New Roman"/>
                <w:kern w:val="0"/>
                <w:sz w:val="18"/>
                <w:szCs w:val="18"/>
                <w:u w:val="single"/>
                <w:lang w:bidi="en-US"/>
              </w:rPr>
              <w:t>3.63</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1.43（179）</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Merge w:val="restart"/>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170.31</w:t>
            </w:r>
          </w:p>
        </w:tc>
        <w:tc>
          <w:tcPr>
            <w:tcW w:w="589" w:type="dxa"/>
            <w:vMerge w:val="restart"/>
            <w:vAlign w:val="center"/>
          </w:tcPr>
          <w:p>
            <w:pPr>
              <w:widowControl/>
              <w:spacing w:line="240" w:lineRule="atLeast"/>
              <w:ind w:left="-122" w:leftChars="-51" w:right="-130" w:rightChars="-54"/>
              <w:jc w:val="center"/>
              <w:rPr>
                <w:rFonts w:ascii="Times New Roman" w:hAnsi="Times New Roman"/>
                <w:spacing w:val="-6"/>
                <w:kern w:val="0"/>
                <w:sz w:val="18"/>
                <w:szCs w:val="21"/>
                <w:lang w:bidi="en-US"/>
              </w:rPr>
            </w:pPr>
            <w:r>
              <w:rPr>
                <w:rFonts w:ascii="Times New Roman" w:hAnsi="Times New Roman"/>
                <w:spacing w:val="-6"/>
                <w:kern w:val="0"/>
                <w:sz w:val="18"/>
                <w:szCs w:val="18"/>
                <w:lang w:eastAsia="en-US" w:bidi="en-US"/>
              </w:rPr>
              <w:t>22.</w:t>
            </w:r>
            <w:r>
              <w:rPr>
                <w:rFonts w:ascii="Times New Roman" w:hAnsi="Times New Roman"/>
                <w:spacing w:val="-6"/>
                <w:kern w:val="0"/>
                <w:sz w:val="18"/>
                <w:szCs w:val="18"/>
                <w:lang w:bidi="en-US"/>
              </w:rPr>
              <w:t>98</w:t>
            </w:r>
          </w:p>
        </w:tc>
        <w:tc>
          <w:tcPr>
            <w:tcW w:w="605" w:type="dxa"/>
            <w:vMerge w:val="restart"/>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局部</w:t>
            </w:r>
          </w:p>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789" w:type="dxa"/>
            <w:vMerge w:val="continue"/>
            <w:vAlign w:val="center"/>
          </w:tcPr>
          <w:p>
            <w:pPr>
              <w:widowControl/>
              <w:spacing w:line="240" w:lineRule="atLeast"/>
              <w:ind w:left="-137" w:leftChars="-57"/>
              <w:jc w:val="center"/>
              <w:rPr>
                <w:rFonts w:ascii="Times New Roman" w:hAnsi="Times New Roman"/>
                <w:spacing w:val="-6"/>
                <w:kern w:val="0"/>
                <w:sz w:val="18"/>
                <w:szCs w:val="21"/>
                <w:lang w:eastAsia="en-US" w:bidi="en-US"/>
              </w:rPr>
            </w:pPr>
          </w:p>
        </w:tc>
        <w:tc>
          <w:tcPr>
            <w:tcW w:w="1530"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33"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1289" w:type="dxa"/>
            <w:vMerge w:val="restart"/>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r>
              <w:rPr>
                <w:rFonts w:ascii="Times New Roman" w:hAnsi="Times New Roman"/>
                <w:spacing w:val="-6"/>
                <w:kern w:val="0"/>
                <w:sz w:val="18"/>
                <w:szCs w:val="18"/>
                <w:u w:val="single"/>
                <w:lang w:eastAsia="en-US" w:bidi="en-US"/>
              </w:rPr>
              <w:t>2.88～54.93</w:t>
            </w:r>
          </w:p>
          <w:p>
            <w:pPr>
              <w:widowControl/>
              <w:spacing w:line="240" w:lineRule="atLeast"/>
              <w:ind w:left="-122" w:leftChars="-51" w:right="-79" w:rightChars="-33"/>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20.87（274）</w:t>
            </w:r>
          </w:p>
        </w:tc>
        <w:tc>
          <w:tcPr>
            <w:tcW w:w="753" w:type="dxa"/>
            <w:vMerge w:val="continue"/>
            <w:vAlign w:val="center"/>
          </w:tcPr>
          <w:p>
            <w:pPr>
              <w:widowControl/>
              <w:spacing w:line="240" w:lineRule="atLeast"/>
              <w:jc w:val="center"/>
              <w:rPr>
                <w:rFonts w:ascii="Times New Roman" w:hAnsi="Times New Roman"/>
                <w:spacing w:val="-6"/>
                <w:kern w:val="0"/>
                <w:sz w:val="18"/>
                <w:szCs w:val="21"/>
                <w:lang w:eastAsia="en-US" w:bidi="en-US"/>
              </w:rPr>
            </w:pPr>
          </w:p>
        </w:tc>
        <w:tc>
          <w:tcPr>
            <w:tcW w:w="589" w:type="dxa"/>
            <w:vMerge w:val="continue"/>
            <w:vAlign w:val="center"/>
          </w:tcPr>
          <w:p>
            <w:pPr>
              <w:widowControl/>
              <w:spacing w:line="240" w:lineRule="atLeast"/>
              <w:ind w:left="-122" w:leftChars="-51" w:right="-130" w:rightChars="-54"/>
              <w:jc w:val="center"/>
              <w:rPr>
                <w:rFonts w:ascii="Times New Roman" w:hAnsi="Times New Roman"/>
                <w:spacing w:val="-6"/>
                <w:kern w:val="0"/>
                <w:sz w:val="18"/>
                <w:szCs w:val="21"/>
                <w:lang w:eastAsia="en-US" w:bidi="en-US"/>
              </w:rPr>
            </w:pPr>
          </w:p>
        </w:tc>
        <w:tc>
          <w:tcPr>
            <w:tcW w:w="605" w:type="dxa"/>
            <w:vMerge w:val="continue"/>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atLeast"/>
          <w:jc w:val="center"/>
        </w:trPr>
        <w:tc>
          <w:tcPr>
            <w:tcW w:w="789" w:type="dxa"/>
            <w:vAlign w:val="center"/>
          </w:tcPr>
          <w:p>
            <w:pPr>
              <w:widowControl/>
              <w:spacing w:line="240" w:lineRule="atLeast"/>
              <w:ind w:left="-137" w:leftChars="-57"/>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6-2</w:t>
            </w:r>
          </w:p>
        </w:tc>
        <w:tc>
          <w:tcPr>
            <w:tcW w:w="1530" w:type="dxa"/>
            <w:vAlign w:val="center"/>
          </w:tcPr>
          <w:p>
            <w:pPr>
              <w:widowControl/>
              <w:spacing w:line="240" w:lineRule="atLeast"/>
              <w:ind w:left="-122" w:leftChars="-51" w:right="-79" w:rightChars="-33"/>
              <w:jc w:val="center"/>
              <w:rPr>
                <w:rFonts w:ascii="Times New Roman" w:hAnsi="Times New Roman"/>
                <w:spacing w:val="-6"/>
                <w:kern w:val="0"/>
                <w:sz w:val="18"/>
                <w:szCs w:val="21"/>
                <w:u w:val="single"/>
                <w:lang w:bidi="en-US"/>
              </w:rPr>
            </w:pPr>
            <w:r>
              <w:rPr>
                <w:rFonts w:ascii="Times New Roman" w:hAnsi="Times New Roman"/>
                <w:spacing w:val="-6"/>
                <w:kern w:val="0"/>
                <w:sz w:val="18"/>
                <w:szCs w:val="18"/>
                <w:u w:val="single"/>
                <w:lang w:eastAsia="en-US" w:bidi="en-US"/>
              </w:rPr>
              <w:t>933.28～</w:t>
            </w:r>
            <w:r>
              <w:rPr>
                <w:rFonts w:ascii="Times New Roman" w:hAnsi="Times New Roman"/>
                <w:spacing w:val="-6"/>
                <w:kern w:val="0"/>
                <w:sz w:val="18"/>
                <w:szCs w:val="18"/>
                <w:u w:val="single"/>
                <w:lang w:bidi="en-US"/>
              </w:rPr>
              <w:t>1138.61</w:t>
            </w:r>
          </w:p>
          <w:p>
            <w:pPr>
              <w:widowControl/>
              <w:spacing w:line="240" w:lineRule="atLeast"/>
              <w:ind w:left="-122" w:leftChars="-51" w:right="-79" w:rightChars="-33"/>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982.82（324）</w:t>
            </w:r>
          </w:p>
        </w:tc>
        <w:tc>
          <w:tcPr>
            <w:tcW w:w="1233" w:type="dxa"/>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w:t>
            </w:r>
            <w:r>
              <w:rPr>
                <w:rFonts w:ascii="Times New Roman" w:hAnsi="Times New Roman"/>
                <w:kern w:val="0"/>
                <w:sz w:val="18"/>
                <w:szCs w:val="18"/>
                <w:u w:val="single"/>
                <w:lang w:bidi="en-US"/>
              </w:rPr>
              <w:t>18</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6.85</w:t>
            </w:r>
          </w:p>
          <w:p>
            <w:pPr>
              <w:widowControl/>
              <w:adjustRightInd w:val="0"/>
              <w:snapToGrid w:val="0"/>
              <w:spacing w:line="240" w:lineRule="atLeast"/>
              <w:jc w:val="center"/>
              <w:rPr>
                <w:rFonts w:ascii="Times New Roman" w:hAnsi="Times New Roman"/>
                <w:kern w:val="0"/>
                <w:sz w:val="18"/>
                <w:szCs w:val="21"/>
                <w:lang w:eastAsia="en-US" w:bidi="en-US"/>
              </w:rPr>
            </w:pPr>
            <w:r>
              <w:rPr>
                <w:rFonts w:ascii="Times New Roman" w:hAnsi="Times New Roman"/>
                <w:kern w:val="0"/>
                <w:sz w:val="18"/>
                <w:szCs w:val="18"/>
                <w:lang w:bidi="en-US"/>
              </w:rPr>
              <w:t>2.28（324）</w:t>
            </w:r>
          </w:p>
        </w:tc>
        <w:tc>
          <w:tcPr>
            <w:tcW w:w="1233" w:type="dxa"/>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eastAsia="en-US" w:bidi="en-US"/>
              </w:rPr>
              <w:t>0.</w:t>
            </w:r>
            <w:r>
              <w:rPr>
                <w:rFonts w:ascii="Times New Roman" w:hAnsi="Times New Roman"/>
                <w:kern w:val="0"/>
                <w:sz w:val="18"/>
                <w:szCs w:val="18"/>
                <w:u w:val="single"/>
                <w:lang w:bidi="en-US"/>
              </w:rPr>
              <w:t>18</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5.30</w:t>
            </w:r>
          </w:p>
          <w:p>
            <w:pPr>
              <w:widowControl/>
              <w:adjustRightInd w:val="0"/>
              <w:snapToGrid w:val="0"/>
              <w:spacing w:line="240" w:lineRule="atLeast"/>
              <w:jc w:val="center"/>
              <w:rPr>
                <w:rFonts w:ascii="Times New Roman" w:hAnsi="Times New Roman"/>
                <w:kern w:val="0"/>
                <w:sz w:val="18"/>
                <w:szCs w:val="21"/>
                <w:lang w:eastAsia="en-US" w:bidi="en-US"/>
              </w:rPr>
            </w:pPr>
            <w:r>
              <w:rPr>
                <w:rFonts w:ascii="Times New Roman" w:hAnsi="Times New Roman"/>
                <w:kern w:val="0"/>
                <w:sz w:val="18"/>
                <w:szCs w:val="18"/>
                <w:lang w:bidi="en-US"/>
              </w:rPr>
              <w:t>2.04（324）</w:t>
            </w:r>
          </w:p>
        </w:tc>
        <w:tc>
          <w:tcPr>
            <w:tcW w:w="1233" w:type="dxa"/>
            <w:vAlign w:val="center"/>
          </w:tcPr>
          <w:p>
            <w:pPr>
              <w:widowControl/>
              <w:adjustRightInd w:val="0"/>
              <w:snapToGrid w:val="0"/>
              <w:spacing w:line="240" w:lineRule="atLeast"/>
              <w:jc w:val="center"/>
              <w:rPr>
                <w:rFonts w:ascii="Times New Roman" w:hAnsi="Times New Roman"/>
                <w:kern w:val="0"/>
                <w:sz w:val="18"/>
                <w:szCs w:val="21"/>
                <w:u w:val="single"/>
                <w:lang w:bidi="en-US"/>
              </w:rPr>
            </w:pPr>
            <w:r>
              <w:rPr>
                <w:rFonts w:ascii="Times New Roman" w:hAnsi="Times New Roman"/>
                <w:kern w:val="0"/>
                <w:sz w:val="18"/>
                <w:szCs w:val="18"/>
                <w:u w:val="single"/>
                <w:lang w:bidi="en-US"/>
              </w:rPr>
              <w:t>0.80</w:t>
            </w:r>
            <w:r>
              <w:rPr>
                <w:rFonts w:ascii="Times New Roman" w:hAnsi="Times New Roman"/>
                <w:kern w:val="0"/>
                <w:sz w:val="18"/>
                <w:szCs w:val="18"/>
                <w:u w:val="single"/>
                <w:lang w:eastAsia="en-US" w:bidi="en-US"/>
              </w:rPr>
              <w:t>～</w:t>
            </w:r>
            <w:r>
              <w:rPr>
                <w:rFonts w:ascii="Times New Roman" w:hAnsi="Times New Roman"/>
                <w:kern w:val="0"/>
                <w:sz w:val="18"/>
                <w:szCs w:val="18"/>
                <w:u w:val="single"/>
                <w:lang w:bidi="en-US"/>
              </w:rPr>
              <w:t>5.30</w:t>
            </w:r>
          </w:p>
          <w:p>
            <w:pPr>
              <w:widowControl/>
              <w:adjustRightInd w:val="0"/>
              <w:snapToGrid w:val="0"/>
              <w:spacing w:line="240" w:lineRule="atLeast"/>
              <w:jc w:val="center"/>
              <w:rPr>
                <w:rFonts w:ascii="Times New Roman" w:hAnsi="Times New Roman"/>
                <w:kern w:val="0"/>
                <w:sz w:val="18"/>
                <w:szCs w:val="21"/>
                <w:lang w:bidi="en-US"/>
              </w:rPr>
            </w:pPr>
            <w:r>
              <w:rPr>
                <w:rFonts w:ascii="Times New Roman" w:hAnsi="Times New Roman"/>
                <w:kern w:val="0"/>
                <w:sz w:val="18"/>
                <w:szCs w:val="18"/>
                <w:lang w:bidi="en-US"/>
              </w:rPr>
              <w:t>2.47（256）</w:t>
            </w:r>
          </w:p>
        </w:tc>
        <w:tc>
          <w:tcPr>
            <w:tcW w:w="1289" w:type="dxa"/>
            <w:vMerge w:val="continue"/>
            <w:vAlign w:val="center"/>
          </w:tcPr>
          <w:p>
            <w:pPr>
              <w:widowControl/>
              <w:spacing w:line="240" w:lineRule="atLeast"/>
              <w:ind w:left="-122" w:leftChars="-51" w:right="-79" w:rightChars="-33"/>
              <w:jc w:val="center"/>
              <w:rPr>
                <w:rFonts w:ascii="Times New Roman" w:hAnsi="Times New Roman"/>
                <w:spacing w:val="-6"/>
                <w:kern w:val="0"/>
                <w:sz w:val="18"/>
                <w:szCs w:val="21"/>
                <w:u w:val="single"/>
                <w:lang w:eastAsia="en-US" w:bidi="en-US"/>
              </w:rPr>
            </w:pPr>
          </w:p>
        </w:tc>
        <w:tc>
          <w:tcPr>
            <w:tcW w:w="753" w:type="dxa"/>
            <w:vAlign w:val="center"/>
          </w:tcPr>
          <w:p>
            <w:pPr>
              <w:widowControl/>
              <w:spacing w:line="240" w:lineRule="atLeast"/>
              <w:jc w:val="center"/>
              <w:rPr>
                <w:rFonts w:ascii="Times New Roman" w:hAnsi="Times New Roman"/>
                <w:spacing w:val="-6"/>
                <w:kern w:val="0"/>
                <w:sz w:val="18"/>
                <w:szCs w:val="21"/>
                <w:lang w:bidi="en-US"/>
              </w:rPr>
            </w:pPr>
            <w:r>
              <w:rPr>
                <w:rFonts w:ascii="Times New Roman" w:hAnsi="Times New Roman"/>
                <w:spacing w:val="-6"/>
                <w:kern w:val="0"/>
                <w:sz w:val="18"/>
                <w:szCs w:val="18"/>
                <w:lang w:bidi="en-US"/>
              </w:rPr>
              <w:t>419.35</w:t>
            </w:r>
          </w:p>
        </w:tc>
        <w:tc>
          <w:tcPr>
            <w:tcW w:w="589" w:type="dxa"/>
            <w:vAlign w:val="center"/>
          </w:tcPr>
          <w:p>
            <w:pPr>
              <w:widowControl/>
              <w:spacing w:line="240" w:lineRule="atLeast"/>
              <w:ind w:left="-122" w:leftChars="-51" w:right="-130" w:rightChars="-54"/>
              <w:jc w:val="center"/>
              <w:rPr>
                <w:rFonts w:ascii="Times New Roman" w:hAnsi="Times New Roman"/>
                <w:spacing w:val="-6"/>
                <w:kern w:val="0"/>
                <w:sz w:val="18"/>
                <w:szCs w:val="21"/>
                <w:lang w:bidi="en-US"/>
              </w:rPr>
            </w:pPr>
            <w:r>
              <w:rPr>
                <w:rFonts w:ascii="Times New Roman" w:hAnsi="Times New Roman"/>
                <w:spacing w:val="-6"/>
                <w:kern w:val="0"/>
                <w:sz w:val="18"/>
                <w:szCs w:val="18"/>
                <w:lang w:eastAsia="en-US" w:bidi="en-US"/>
              </w:rPr>
              <w:t>5</w:t>
            </w:r>
            <w:r>
              <w:rPr>
                <w:rFonts w:ascii="Times New Roman" w:hAnsi="Times New Roman"/>
                <w:spacing w:val="-6"/>
                <w:kern w:val="0"/>
                <w:sz w:val="18"/>
                <w:szCs w:val="18"/>
                <w:lang w:bidi="en-US"/>
              </w:rPr>
              <w:t>6.59</w:t>
            </w:r>
          </w:p>
        </w:tc>
        <w:tc>
          <w:tcPr>
            <w:tcW w:w="605" w:type="dxa"/>
            <w:vAlign w:val="center"/>
          </w:tcPr>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大部</w:t>
            </w:r>
          </w:p>
          <w:p>
            <w:pPr>
              <w:widowControl/>
              <w:spacing w:line="240" w:lineRule="atLeast"/>
              <w:ind w:left="-120" w:leftChars="-50" w:right="-24" w:rightChars="-10"/>
              <w:jc w:val="center"/>
              <w:rPr>
                <w:rFonts w:ascii="Times New Roman" w:hAnsi="Times New Roman"/>
                <w:spacing w:val="-6"/>
                <w:kern w:val="0"/>
                <w:sz w:val="18"/>
                <w:szCs w:val="21"/>
                <w:lang w:eastAsia="en-US" w:bidi="en-US"/>
              </w:rPr>
            </w:pPr>
            <w:r>
              <w:rPr>
                <w:rFonts w:ascii="Times New Roman" w:hAnsi="Times New Roman"/>
                <w:spacing w:val="-6"/>
                <w:kern w:val="0"/>
                <w:sz w:val="18"/>
                <w:szCs w:val="18"/>
                <w:lang w:eastAsia="en-US" w:bidi="en-US"/>
              </w:rPr>
              <w:t>可采</w:t>
            </w:r>
          </w:p>
        </w:tc>
      </w:tr>
    </w:tbl>
    <w:p>
      <w:pPr>
        <w:numPr>
          <w:ilvl w:val="0"/>
          <w:numId w:val="8"/>
        </w:numPr>
        <w:adjustRightInd w:val="0"/>
        <w:snapToGrid w:val="0"/>
        <w:spacing w:line="440" w:lineRule="exact"/>
        <w:ind w:firstLine="482"/>
        <w:rPr>
          <w:rFonts w:ascii="Times New Roman" w:hAnsi="Times New Roman"/>
          <w:b/>
        </w:rPr>
      </w:pPr>
      <w:r>
        <w:rPr>
          <w:rFonts w:ascii="Times New Roman" w:hAnsi="Times New Roman"/>
          <w:b/>
        </w:rPr>
        <w:t>煤质</w:t>
      </w:r>
    </w:p>
    <w:p>
      <w:pPr>
        <w:adjustRightInd w:val="0"/>
        <w:snapToGrid w:val="0"/>
        <w:spacing w:line="440" w:lineRule="exact"/>
        <w:ind w:firstLine="480" w:firstLineChars="200"/>
        <w:rPr>
          <w:rFonts w:ascii="Times New Roman" w:hAnsi="Times New Roman"/>
          <w:b/>
          <w:lang w:val="zh-CN"/>
        </w:rPr>
      </w:pPr>
      <w:r>
        <w:rPr>
          <w:rFonts w:ascii="Times New Roman" w:hAnsi="Times New Roman"/>
          <w:bCs/>
          <w:lang w:val="zh-CN"/>
        </w:rPr>
        <w:t>矿区内</w:t>
      </w:r>
      <w:r>
        <w:rPr>
          <w:rFonts w:ascii="Times New Roman" w:hAnsi="Times New Roman"/>
        </w:rPr>
        <w:t>各可采煤层原煤水分</w:t>
      </w:r>
      <w:r>
        <w:rPr>
          <w:rFonts w:ascii="Times New Roman" w:hAnsi="Times New Roman"/>
          <w:szCs w:val="24"/>
        </w:rPr>
        <w:t>（Mad）</w:t>
      </w:r>
      <w:r>
        <w:rPr>
          <w:rFonts w:ascii="Times New Roman" w:hAnsi="Times New Roman"/>
        </w:rPr>
        <w:t>在0.49%～20.70%之间；原煤灰分</w:t>
      </w:r>
      <w:r>
        <w:rPr>
          <w:rFonts w:ascii="Times New Roman" w:hAnsi="Times New Roman"/>
          <w:szCs w:val="24"/>
        </w:rPr>
        <w:t>（Ad）</w:t>
      </w:r>
      <w:r>
        <w:rPr>
          <w:rFonts w:ascii="Times New Roman" w:hAnsi="Times New Roman"/>
        </w:rPr>
        <w:t>在</w:t>
      </w:r>
      <w:r>
        <w:rPr>
          <w:rFonts w:ascii="Times New Roman" w:hAnsi="Times New Roman"/>
          <w:lang w:bidi="en-US"/>
        </w:rPr>
        <w:t>1.51</w:t>
      </w:r>
      <w:r>
        <w:rPr>
          <w:rFonts w:ascii="Times New Roman" w:hAnsi="Times New Roman"/>
        </w:rPr>
        <w:t>%～</w:t>
      </w:r>
      <w:r>
        <w:rPr>
          <w:rFonts w:ascii="Times New Roman" w:hAnsi="Times New Roman"/>
          <w:lang w:bidi="en-US"/>
        </w:rPr>
        <w:t>47.30</w:t>
      </w:r>
      <w:r>
        <w:rPr>
          <w:rFonts w:ascii="Times New Roman" w:hAnsi="Times New Roman"/>
        </w:rPr>
        <w:t>%之间；原煤挥发分（Vdaf）</w:t>
      </w:r>
      <w:r>
        <w:rPr>
          <w:rFonts w:ascii="Times New Roman" w:hAnsi="Times New Roman"/>
          <w:lang w:bidi="en-US"/>
        </w:rPr>
        <w:t>24.80</w:t>
      </w:r>
      <w:r>
        <w:rPr>
          <w:rFonts w:ascii="Times New Roman" w:hAnsi="Times New Roman"/>
        </w:rPr>
        <w:t>%～43.90%左右，浮煤挥发分23.45%～46.29%，区内可采煤层有个别点浮煤挥发分大于37%，但平均在37%以下，矿区各可采煤层均为中高挥发分煤。</w:t>
      </w:r>
    </w:p>
    <w:p>
      <w:pPr>
        <w:adjustRightInd w:val="0"/>
        <w:snapToGrid w:val="0"/>
        <w:spacing w:line="440" w:lineRule="exact"/>
        <w:ind w:firstLine="480" w:firstLineChars="200"/>
        <w:rPr>
          <w:rFonts w:ascii="Times New Roman" w:hAnsi="Times New Roman"/>
          <w:bCs/>
          <w:lang w:val="zh-CN"/>
        </w:rPr>
      </w:pPr>
      <w:r>
        <w:rPr>
          <w:rFonts w:ascii="Times New Roman" w:hAnsi="Times New Roman"/>
        </w:rPr>
        <w:t>区内各可采煤层原煤硫分平均值在</w:t>
      </w:r>
      <w:r>
        <w:rPr>
          <w:rFonts w:ascii="Times New Roman" w:hAnsi="Times New Roman"/>
          <w:bCs/>
          <w:lang w:val="zh-CN"/>
        </w:rPr>
        <w:t>0.</w:t>
      </w:r>
      <w:r>
        <w:rPr>
          <w:rFonts w:ascii="Times New Roman" w:hAnsi="Times New Roman"/>
          <w:bCs/>
        </w:rPr>
        <w:t>06</w:t>
      </w:r>
      <w:r>
        <w:rPr>
          <w:rFonts w:ascii="Times New Roman" w:hAnsi="Times New Roman"/>
          <w:bCs/>
          <w:lang w:val="zh-CN"/>
        </w:rPr>
        <w:t>%～</w:t>
      </w:r>
      <w:r>
        <w:rPr>
          <w:rFonts w:ascii="Times New Roman" w:hAnsi="Times New Roman"/>
        </w:rPr>
        <w:t>4.99</w:t>
      </w:r>
      <w:r>
        <w:rPr>
          <w:rFonts w:ascii="Times New Roman" w:hAnsi="Times New Roman"/>
          <w:bCs/>
          <w:lang w:val="zh-CN"/>
        </w:rPr>
        <w:t>%之间，矿区煤层硫分等级为特低-低硫煤，</w:t>
      </w:r>
      <w:r>
        <w:rPr>
          <w:rFonts w:ascii="Times New Roman" w:hAnsi="Times New Roman"/>
          <w:bCs/>
        </w:rPr>
        <w:t>煤经</w:t>
      </w:r>
      <w:r>
        <w:rPr>
          <w:rFonts w:ascii="Times New Roman" w:hAnsi="Times New Roman"/>
        </w:rPr>
        <w:t>洗选后，硫分略有下降，平均值在0.25～0.35%之间；</w:t>
      </w:r>
      <w:r>
        <w:rPr>
          <w:rFonts w:ascii="Times New Roman" w:hAnsi="Times New Roman"/>
          <w:bCs/>
          <w:lang w:val="zh-CN"/>
        </w:rPr>
        <w:t>各煤层磷含量平均在0</w:t>
      </w:r>
      <w:r>
        <w:rPr>
          <w:rFonts w:ascii="Times New Roman" w:hAnsi="Times New Roman"/>
          <w:bCs/>
        </w:rPr>
        <w:t>.01</w:t>
      </w:r>
      <w:r>
        <w:rPr>
          <w:rFonts w:ascii="Times New Roman" w:hAnsi="Times New Roman"/>
          <w:bCs/>
          <w:lang w:val="zh-CN"/>
        </w:rPr>
        <w:t>%～0.03%之间，以特低磷、低磷煤为主，个别点出现中磷煤。</w:t>
      </w:r>
      <w:r>
        <w:rPr>
          <w:rFonts w:ascii="Times New Roman" w:hAnsi="Times New Roman"/>
          <w:bCs/>
        </w:rPr>
        <w:t>各煤层</w:t>
      </w:r>
      <w:r>
        <w:rPr>
          <w:rFonts w:ascii="Times New Roman" w:hAnsi="Times New Roman"/>
          <w:bCs/>
          <w:lang w:val="zh-CN"/>
        </w:rPr>
        <w:t>氯含量平均</w:t>
      </w:r>
      <w:r>
        <w:rPr>
          <w:rFonts w:ascii="Times New Roman" w:hAnsi="Times New Roman"/>
          <w:bCs/>
        </w:rPr>
        <w:t>值均为</w:t>
      </w:r>
      <w:r>
        <w:rPr>
          <w:rFonts w:ascii="Times New Roman" w:hAnsi="Times New Roman"/>
          <w:bCs/>
          <w:lang w:val="zh-CN"/>
        </w:rPr>
        <w:t>0.02%，为特低氯煤；砷含量平均在</w:t>
      </w:r>
      <w:r>
        <w:rPr>
          <w:rFonts w:ascii="Times New Roman" w:hAnsi="Times New Roman"/>
          <w:bCs/>
        </w:rPr>
        <w:t>1</w:t>
      </w:r>
      <w:r>
        <w:rPr>
          <w:rFonts w:ascii="Times New Roman" w:hAnsi="Times New Roman"/>
          <w:bCs/>
          <w:lang w:val="zh-CN"/>
        </w:rPr>
        <w:t>～</w:t>
      </w:r>
      <w:r>
        <w:rPr>
          <w:rFonts w:ascii="Times New Roman" w:hAnsi="Times New Roman"/>
          <w:bCs/>
        </w:rPr>
        <w:t>2</w:t>
      </w:r>
      <w:r>
        <w:rPr>
          <w:rFonts w:ascii="Times New Roman" w:hAnsi="Times New Roman"/>
          <w:bCs/>
          <w:lang w:val="zh-CN"/>
        </w:rPr>
        <w:t>μg/g之间，矿区煤层</w:t>
      </w:r>
      <w:r>
        <w:rPr>
          <w:rFonts w:ascii="Times New Roman" w:hAnsi="Times New Roman"/>
          <w:bCs/>
        </w:rPr>
        <w:t>属特低</w:t>
      </w:r>
      <w:r>
        <w:rPr>
          <w:rFonts w:ascii="Times New Roman" w:hAnsi="Times New Roman"/>
          <w:bCs/>
          <w:lang w:val="zh-CN"/>
        </w:rPr>
        <w:t>砷煤。</w:t>
      </w:r>
      <w:r>
        <w:rPr>
          <w:rFonts w:ascii="Times New Roman" w:hAnsi="Times New Roman"/>
          <w:bCs/>
        </w:rPr>
        <w:t>各煤层氟含量均在107</w:t>
      </w:r>
      <w:r>
        <w:rPr>
          <w:rFonts w:ascii="Times New Roman" w:hAnsi="Times New Roman"/>
          <w:bCs/>
          <w:lang w:val="zh-CN"/>
        </w:rPr>
        <w:t>～</w:t>
      </w:r>
      <w:r>
        <w:rPr>
          <w:rFonts w:ascii="Times New Roman" w:hAnsi="Times New Roman"/>
          <w:bCs/>
        </w:rPr>
        <w:t>130</w:t>
      </w:r>
      <w:r>
        <w:rPr>
          <w:rFonts w:ascii="Times New Roman" w:hAnsi="Times New Roman"/>
          <w:kern w:val="0"/>
          <w:szCs w:val="24"/>
        </w:rPr>
        <w:t>μg/g</w:t>
      </w:r>
      <w:r>
        <w:rPr>
          <w:rFonts w:ascii="Times New Roman" w:hAnsi="Times New Roman"/>
          <w:bCs/>
        </w:rPr>
        <w:t>之间，为低氟煤</w:t>
      </w:r>
      <w:r>
        <w:rPr>
          <w:rFonts w:ascii="Times New Roman" w:hAnsi="Times New Roman"/>
          <w:kern w:val="0"/>
          <w:szCs w:val="24"/>
        </w:rPr>
        <w:t>。</w:t>
      </w:r>
      <w:r>
        <w:rPr>
          <w:rFonts w:ascii="Times New Roman" w:hAnsi="Times New Roman"/>
        </w:rPr>
        <w:t>各煤层原煤干燥基高位发热量（Qgr,d）在16.11～33.66MJ/kg之间，平均值在28.85MJ/kg～30.09MJ/kg之间</w:t>
      </w:r>
      <w:r>
        <w:rPr>
          <w:rFonts w:ascii="Times New Roman" w:hAnsi="Times New Roman"/>
          <w:bCs/>
          <w:lang w:val="zh-CN"/>
        </w:rPr>
        <w:t>，区内各煤层均属高发热量煤。煤灰熔融性(ST)平均值在1224～1272℃之间，属较软化温度灰-中等软化温度灰；</w:t>
      </w:r>
      <w:r>
        <w:rPr>
          <w:rFonts w:ascii="Times New Roman" w:hAnsi="Times New Roman"/>
        </w:rPr>
        <w:t>区内各可采煤层黏结指数（G</w:t>
      </w:r>
      <w:r>
        <w:rPr>
          <w:rFonts w:ascii="Times New Roman" w:hAnsi="Times New Roman"/>
          <w:vertAlign w:val="subscript"/>
        </w:rPr>
        <w:t>R.I</w:t>
      </w:r>
      <w:r>
        <w:rPr>
          <w:rFonts w:ascii="Times New Roman" w:hAnsi="Times New Roman"/>
        </w:rPr>
        <w:t>）在0～10之间，平均值为0～2，属无黏结煤；</w:t>
      </w:r>
    </w:p>
    <w:p>
      <w:pPr>
        <w:pStyle w:val="670"/>
        <w:spacing w:line="440" w:lineRule="exact"/>
        <w:ind w:firstLine="480"/>
        <w:jc w:val="both"/>
        <w:rPr>
          <w:rFonts w:ascii="Times New Roman" w:hAnsi="Times New Roman" w:eastAsia="宋体" w:cs="Times New Roman"/>
        </w:rPr>
      </w:pPr>
      <w:r>
        <w:rPr>
          <w:rFonts w:ascii="Times New Roman" w:hAnsi="Times New Roman" w:eastAsia="宋体" w:cs="Times New Roman"/>
        </w:rPr>
        <w:t>矿区内</w:t>
      </w:r>
      <w:r>
        <w:rPr>
          <w:rFonts w:ascii="Times New Roman" w:hAnsi="Times New Roman" w:eastAsia="宋体" w:cs="Times New Roman"/>
          <w:lang w:val="en-US"/>
        </w:rPr>
        <w:t>各可采煤层</w:t>
      </w:r>
      <w:r>
        <w:rPr>
          <w:rFonts w:ascii="Times New Roman" w:hAnsi="Times New Roman" w:eastAsia="宋体" w:cs="Times New Roman"/>
        </w:rPr>
        <w:t>煤质为特低灰～低灰分，特低硫～低硫分，低磷，</w:t>
      </w:r>
      <w:r>
        <w:rPr>
          <w:rFonts w:ascii="Times New Roman" w:hAnsi="Times New Roman" w:eastAsia="宋体" w:cs="Times New Roman"/>
          <w:lang w:val="en-US"/>
        </w:rPr>
        <w:t>特低氯，特低砷、低氟，</w:t>
      </w:r>
      <w:r>
        <w:rPr>
          <w:rFonts w:ascii="Times New Roman" w:hAnsi="Times New Roman" w:eastAsia="宋体" w:cs="Times New Roman"/>
        </w:rPr>
        <w:t>高发热量不粘煤。</w:t>
      </w:r>
      <w:r>
        <w:rPr>
          <w:rFonts w:ascii="Times New Roman" w:hAnsi="Times New Roman" w:eastAsia="宋体" w:cs="Times New Roman"/>
          <w:lang w:val="en-US"/>
        </w:rPr>
        <w:t>煤中</w:t>
      </w:r>
      <w:r>
        <w:rPr>
          <w:rFonts w:ascii="Times New Roman" w:hAnsi="Times New Roman" w:eastAsia="宋体" w:cs="Times New Roman"/>
        </w:rPr>
        <w:t>有害</w:t>
      </w:r>
      <w:r>
        <w:rPr>
          <w:rFonts w:ascii="Times New Roman" w:hAnsi="Times New Roman" w:eastAsia="宋体" w:cs="Times New Roman"/>
          <w:lang w:val="en-US"/>
        </w:rPr>
        <w:t>成分低</w:t>
      </w:r>
      <w:r>
        <w:rPr>
          <w:rFonts w:ascii="Times New Roman" w:hAnsi="Times New Roman" w:eastAsia="宋体" w:cs="Times New Roman"/>
        </w:rPr>
        <w:t>，发热量高，是良好的民用及动力用煤。用于火力发电，各种工业锅炉，也可在建材工业，化学工业中做焙烧材料。</w:t>
      </w:r>
    </w:p>
    <w:p>
      <w:pPr>
        <w:tabs>
          <w:tab w:val="left" w:pos="0"/>
        </w:tabs>
        <w:adjustRightInd w:val="0"/>
        <w:snapToGrid w:val="0"/>
        <w:spacing w:line="440" w:lineRule="exact"/>
        <w:ind w:firstLine="480" w:firstLineChars="200"/>
        <w:rPr>
          <w:rFonts w:ascii="Times New Roman" w:hAnsi="Times New Roman"/>
          <w:bCs/>
          <w:snapToGrid w:val="0"/>
          <w:kern w:val="0"/>
        </w:rPr>
      </w:pPr>
      <w:r>
        <w:rPr>
          <w:rFonts w:ascii="Times New Roman" w:hAnsi="Times New Roman"/>
          <w:bCs/>
          <w:snapToGrid w:val="0"/>
          <w:kern w:val="0"/>
        </w:rPr>
        <w:t>可采煤层煤质特征见表2.1-4。</w:t>
      </w:r>
    </w:p>
    <w:p>
      <w:pPr>
        <w:pStyle w:val="2"/>
        <w:rPr>
          <w:rFonts w:ascii="Times New Roman"/>
          <w:color w:val="auto"/>
        </w:rPr>
        <w:sectPr>
          <w:pgSz w:w="11906" w:h="16838"/>
          <w:pgMar w:top="1701" w:right="1418" w:bottom="1247" w:left="1418" w:header="1134" w:footer="851" w:gutter="0"/>
          <w:cols w:space="720" w:num="1"/>
        </w:sectPr>
      </w:pPr>
    </w:p>
    <w:p>
      <w:pPr>
        <w:adjustRightInd w:val="0"/>
        <w:snapToGrid w:val="0"/>
        <w:spacing w:line="440" w:lineRule="exact"/>
        <w:jc w:val="center"/>
        <w:rPr>
          <w:rFonts w:ascii="Times New Roman" w:hAnsi="Times New Roman"/>
          <w:b/>
        </w:rPr>
      </w:pPr>
      <w:r>
        <w:rPr>
          <w:rFonts w:ascii="Times New Roman" w:hAnsi="Times New Roman"/>
          <w:b/>
        </w:rPr>
        <w:t>可采煤层煤质特征一览表</w:t>
      </w:r>
    </w:p>
    <w:p>
      <w:pPr>
        <w:adjustRightInd w:val="0"/>
        <w:snapToGrid w:val="0"/>
        <w:spacing w:line="440" w:lineRule="exact"/>
        <w:jc w:val="left"/>
        <w:rPr>
          <w:rFonts w:ascii="Times New Roman" w:hAnsi="Times New Roman"/>
          <w:szCs w:val="24"/>
        </w:rPr>
      </w:pPr>
      <w:r>
        <w:rPr>
          <w:rFonts w:ascii="Times New Roman" w:hAnsi="Times New Roman"/>
          <w:szCs w:val="24"/>
        </w:rPr>
        <w:t>表2.1-4</w:t>
      </w:r>
    </w:p>
    <w:tbl>
      <w:tblPr>
        <w:tblStyle w:val="59"/>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8"/>
        <w:gridCol w:w="1375"/>
        <w:gridCol w:w="1411"/>
        <w:gridCol w:w="1531"/>
        <w:gridCol w:w="1498"/>
        <w:gridCol w:w="1498"/>
        <w:gridCol w:w="14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煤层号</w:t>
            </w:r>
          </w:p>
        </w:tc>
        <w:tc>
          <w:tcPr>
            <w:tcW w:w="4317" w:type="dxa"/>
            <w:gridSpan w:val="3"/>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工业分析(%)</w:t>
            </w:r>
          </w:p>
        </w:tc>
        <w:tc>
          <w:tcPr>
            <w:tcW w:w="2996" w:type="dxa"/>
            <w:gridSpan w:val="2"/>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发热量(MJ/kg)</w:t>
            </w:r>
          </w:p>
        </w:tc>
        <w:tc>
          <w:tcPr>
            <w:tcW w:w="1425"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全硫(%）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548" w:type="dxa"/>
            <w:vMerge w:val="continue"/>
            <w:vAlign w:val="center"/>
          </w:tcPr>
          <w:p>
            <w:pPr>
              <w:widowControl/>
              <w:jc w:val="left"/>
              <w:rPr>
                <w:rFonts w:ascii="Times New Roman" w:hAnsi="Times New Roman"/>
                <w:kern w:val="0"/>
                <w:sz w:val="18"/>
                <w:szCs w:val="18"/>
              </w:rPr>
            </w:pPr>
          </w:p>
        </w:tc>
        <w:tc>
          <w:tcPr>
            <w:tcW w:w="4317" w:type="dxa"/>
            <w:gridSpan w:val="3"/>
            <w:vMerge w:val="continue"/>
            <w:vAlign w:val="center"/>
          </w:tcPr>
          <w:p>
            <w:pPr>
              <w:widowControl/>
              <w:jc w:val="left"/>
              <w:rPr>
                <w:rFonts w:ascii="Times New Roman" w:hAnsi="Times New Roman"/>
                <w:kern w:val="0"/>
                <w:sz w:val="18"/>
                <w:szCs w:val="18"/>
              </w:rPr>
            </w:pPr>
          </w:p>
        </w:tc>
        <w:tc>
          <w:tcPr>
            <w:tcW w:w="2996" w:type="dxa"/>
            <w:gridSpan w:val="2"/>
            <w:vMerge w:val="continue"/>
            <w:vAlign w:val="center"/>
          </w:tcPr>
          <w:p>
            <w:pPr>
              <w:widowControl/>
              <w:jc w:val="left"/>
              <w:rPr>
                <w:rFonts w:ascii="Times New Roman" w:hAnsi="Times New Roman"/>
                <w:kern w:val="0"/>
                <w:sz w:val="18"/>
                <w:szCs w:val="18"/>
              </w:rPr>
            </w:pPr>
          </w:p>
        </w:tc>
        <w:tc>
          <w:tcPr>
            <w:tcW w:w="1425" w:type="dxa"/>
            <w:vMerge w:val="continue"/>
            <w:vAlign w:val="center"/>
          </w:tcPr>
          <w:p>
            <w:pPr>
              <w:widowControl/>
              <w:jc w:val="left"/>
              <w:rPr>
                <w:rFonts w:ascii="Times New Roman" w:hAnsi="Times New Roman"/>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Align w:val="center"/>
          </w:tcPr>
          <w:p>
            <w:pPr>
              <w:widowControl/>
              <w:jc w:val="center"/>
              <w:rPr>
                <w:rFonts w:ascii="Times New Roman" w:hAnsi="Times New Roman"/>
                <w:kern w:val="0"/>
                <w:sz w:val="18"/>
                <w:szCs w:val="18"/>
              </w:rPr>
            </w:pPr>
            <w:r>
              <w:rPr>
                <w:rFonts w:ascii="Times New Roman" w:hAnsi="Times New Roman"/>
                <w:kern w:val="0"/>
                <w:sz w:val="18"/>
                <w:szCs w:val="18"/>
              </w:rPr>
              <w:t>M</w:t>
            </w:r>
            <w:r>
              <w:rPr>
                <w:rFonts w:ascii="Times New Roman" w:hAnsi="Times New Roman"/>
                <w:kern w:val="0"/>
                <w:sz w:val="18"/>
                <w:szCs w:val="18"/>
                <w:vertAlign w:val="subscript"/>
              </w:rPr>
              <w:t>ad</w:t>
            </w:r>
          </w:p>
        </w:tc>
        <w:tc>
          <w:tcPr>
            <w:tcW w:w="1411" w:type="dxa"/>
            <w:vAlign w:val="center"/>
          </w:tcPr>
          <w:p>
            <w:pPr>
              <w:widowControl/>
              <w:jc w:val="center"/>
              <w:rPr>
                <w:rFonts w:ascii="Times New Roman" w:hAnsi="Times New Roman"/>
                <w:kern w:val="0"/>
                <w:sz w:val="18"/>
                <w:szCs w:val="18"/>
              </w:rPr>
            </w:pPr>
            <w:r>
              <w:rPr>
                <w:rFonts w:ascii="Times New Roman" w:hAnsi="Times New Roman"/>
                <w:kern w:val="0"/>
                <w:sz w:val="18"/>
                <w:szCs w:val="18"/>
              </w:rPr>
              <w:t>A</w:t>
            </w:r>
            <w:r>
              <w:rPr>
                <w:rFonts w:ascii="Times New Roman" w:hAnsi="Times New Roman"/>
                <w:kern w:val="0"/>
                <w:sz w:val="18"/>
                <w:szCs w:val="18"/>
                <w:vertAlign w:val="subscript"/>
              </w:rPr>
              <w:t>d</w:t>
            </w:r>
          </w:p>
        </w:tc>
        <w:tc>
          <w:tcPr>
            <w:tcW w:w="1531" w:type="dxa"/>
            <w:vAlign w:val="center"/>
          </w:tcPr>
          <w:p>
            <w:pPr>
              <w:widowControl/>
              <w:jc w:val="center"/>
              <w:rPr>
                <w:rFonts w:ascii="Times New Roman" w:hAnsi="Times New Roman"/>
                <w:kern w:val="0"/>
                <w:sz w:val="18"/>
                <w:szCs w:val="18"/>
              </w:rPr>
            </w:pPr>
            <w:r>
              <w:rPr>
                <w:rFonts w:ascii="Times New Roman" w:hAnsi="Times New Roman"/>
                <w:kern w:val="0"/>
                <w:sz w:val="18"/>
                <w:szCs w:val="18"/>
              </w:rPr>
              <w:t>V</w:t>
            </w:r>
            <w:r>
              <w:rPr>
                <w:rFonts w:ascii="Times New Roman" w:hAnsi="Times New Roman"/>
                <w:kern w:val="0"/>
                <w:sz w:val="18"/>
                <w:szCs w:val="18"/>
                <w:vertAlign w:val="subscript"/>
              </w:rPr>
              <w:t>daf</w:t>
            </w:r>
          </w:p>
        </w:tc>
        <w:tc>
          <w:tcPr>
            <w:tcW w:w="1498" w:type="dxa"/>
            <w:vAlign w:val="center"/>
          </w:tcPr>
          <w:p>
            <w:pPr>
              <w:widowControl/>
              <w:jc w:val="center"/>
              <w:rPr>
                <w:rFonts w:ascii="Times New Roman" w:hAnsi="Times New Roman"/>
                <w:kern w:val="0"/>
                <w:sz w:val="18"/>
                <w:szCs w:val="18"/>
              </w:rPr>
            </w:pPr>
            <w:r>
              <w:rPr>
                <w:rFonts w:ascii="Times New Roman" w:hAnsi="Times New Roman"/>
                <w:kern w:val="0"/>
                <w:sz w:val="18"/>
                <w:szCs w:val="18"/>
              </w:rPr>
              <w:t>Q</w:t>
            </w:r>
            <w:r>
              <w:rPr>
                <w:rFonts w:ascii="Times New Roman" w:hAnsi="Times New Roman"/>
                <w:kern w:val="0"/>
                <w:sz w:val="18"/>
                <w:szCs w:val="18"/>
                <w:vertAlign w:val="subscript"/>
              </w:rPr>
              <w:t>gr.d</w:t>
            </w:r>
          </w:p>
        </w:tc>
        <w:tc>
          <w:tcPr>
            <w:tcW w:w="1498" w:type="dxa"/>
            <w:vAlign w:val="center"/>
          </w:tcPr>
          <w:p>
            <w:pPr>
              <w:widowControl/>
              <w:jc w:val="center"/>
              <w:rPr>
                <w:rFonts w:ascii="Times New Roman" w:hAnsi="Times New Roman"/>
                <w:kern w:val="0"/>
                <w:sz w:val="18"/>
                <w:szCs w:val="18"/>
              </w:rPr>
            </w:pPr>
            <w:r>
              <w:rPr>
                <w:rFonts w:ascii="Times New Roman" w:hAnsi="Times New Roman"/>
                <w:kern w:val="0"/>
                <w:sz w:val="18"/>
                <w:szCs w:val="18"/>
              </w:rPr>
              <w:t>Q</w:t>
            </w:r>
            <w:r>
              <w:rPr>
                <w:rFonts w:ascii="Times New Roman" w:hAnsi="Times New Roman"/>
                <w:kern w:val="0"/>
                <w:sz w:val="18"/>
                <w:szCs w:val="18"/>
                <w:vertAlign w:val="subscript"/>
              </w:rPr>
              <w:t>net.d</w:t>
            </w:r>
          </w:p>
        </w:tc>
        <w:tc>
          <w:tcPr>
            <w:tcW w:w="1425" w:type="dxa"/>
            <w:vAlign w:val="center"/>
          </w:tcPr>
          <w:p>
            <w:pPr>
              <w:widowControl/>
              <w:jc w:val="center"/>
              <w:rPr>
                <w:rFonts w:ascii="Times New Roman" w:hAnsi="Times New Roman"/>
                <w:kern w:val="0"/>
                <w:sz w:val="18"/>
                <w:szCs w:val="18"/>
              </w:rPr>
            </w:pPr>
            <w:r>
              <w:rPr>
                <w:rFonts w:ascii="Times New Roman" w:hAnsi="Times New Roman"/>
                <w:kern w:val="0"/>
                <w:sz w:val="18"/>
                <w:szCs w:val="18"/>
              </w:rPr>
              <w:t>S</w:t>
            </w:r>
            <w:r>
              <w:rPr>
                <w:rFonts w:ascii="Times New Roman" w:hAnsi="Times New Roman"/>
                <w:kern w:val="0"/>
                <w:sz w:val="18"/>
                <w:szCs w:val="18"/>
                <w:vertAlign w:val="subscript"/>
              </w:rPr>
              <w:t>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Align w:val="center"/>
          </w:tcPr>
          <w:p>
            <w:pPr>
              <w:widowControl/>
              <w:jc w:val="center"/>
              <w:rPr>
                <w:rFonts w:ascii="Times New Roman" w:hAnsi="Times New Roman"/>
                <w:kern w:val="0"/>
                <w:sz w:val="18"/>
                <w:szCs w:val="18"/>
              </w:rPr>
            </w:pPr>
            <w:r>
              <w:rPr>
                <w:rFonts w:ascii="Times New Roman" w:hAnsi="Times New Roman"/>
                <w:kern w:val="0"/>
                <w:sz w:val="18"/>
                <w:szCs w:val="18"/>
              </w:rPr>
              <w:t>2-1上</w:t>
            </w:r>
          </w:p>
        </w:tc>
        <w:tc>
          <w:tcPr>
            <w:tcW w:w="1375" w:type="dxa"/>
            <w:vAlign w:val="center"/>
          </w:tcPr>
          <w:p>
            <w:pPr>
              <w:jc w:val="center"/>
              <w:rPr>
                <w:rFonts w:ascii="Times New Roman" w:hAnsi="Times New Roman"/>
                <w:sz w:val="18"/>
                <w:szCs w:val="18"/>
                <w:u w:val="single"/>
              </w:rPr>
            </w:pPr>
            <w:r>
              <w:rPr>
                <w:rFonts w:ascii="Times New Roman" w:hAnsi="Times New Roman"/>
                <w:sz w:val="18"/>
                <w:szCs w:val="18"/>
                <w:u w:val="single"/>
              </w:rPr>
              <w:t>0.85</w:t>
            </w:r>
            <w:r>
              <w:rPr>
                <w:rFonts w:ascii="Times New Roman" w:hAnsi="Times New Roman"/>
                <w:sz w:val="18"/>
                <w:szCs w:val="18"/>
              </w:rPr>
              <w:t>～</w:t>
            </w:r>
            <w:r>
              <w:rPr>
                <w:rFonts w:ascii="Times New Roman" w:hAnsi="Times New Roman"/>
                <w:sz w:val="18"/>
                <w:szCs w:val="18"/>
                <w:u w:val="single"/>
              </w:rPr>
              <w:t>8.28</w:t>
            </w:r>
          </w:p>
          <w:p>
            <w:pPr>
              <w:widowControl/>
              <w:jc w:val="center"/>
              <w:rPr>
                <w:rFonts w:ascii="Times New Roman" w:hAnsi="Times New Roman"/>
                <w:sz w:val="18"/>
                <w:szCs w:val="18"/>
              </w:rPr>
            </w:pPr>
            <w:r>
              <w:rPr>
                <w:rFonts w:ascii="Times New Roman" w:hAnsi="Times New Roman"/>
                <w:sz w:val="18"/>
                <w:szCs w:val="18"/>
                <w:u w:val="single"/>
              </w:rPr>
              <w:t>4.65（48）</w:t>
            </w:r>
          </w:p>
        </w:tc>
        <w:tc>
          <w:tcPr>
            <w:tcW w:w="1411" w:type="dxa"/>
            <w:vAlign w:val="center"/>
          </w:tcPr>
          <w:p>
            <w:pPr>
              <w:jc w:val="center"/>
              <w:rPr>
                <w:rFonts w:ascii="Times New Roman" w:hAnsi="Times New Roman"/>
                <w:sz w:val="18"/>
                <w:szCs w:val="18"/>
                <w:u w:val="single"/>
              </w:rPr>
            </w:pPr>
            <w:r>
              <w:rPr>
                <w:rFonts w:ascii="Times New Roman" w:hAnsi="Times New Roman"/>
                <w:sz w:val="18"/>
                <w:szCs w:val="18"/>
                <w:u w:val="single"/>
              </w:rPr>
              <w:t>3.90</w:t>
            </w:r>
            <w:r>
              <w:rPr>
                <w:rFonts w:ascii="Times New Roman" w:hAnsi="Times New Roman"/>
                <w:sz w:val="18"/>
                <w:szCs w:val="18"/>
              </w:rPr>
              <w:t>～</w:t>
            </w:r>
            <w:r>
              <w:rPr>
                <w:rFonts w:ascii="Times New Roman" w:hAnsi="Times New Roman"/>
                <w:sz w:val="18"/>
                <w:szCs w:val="18"/>
                <w:u w:val="single"/>
              </w:rPr>
              <w:t>23.12</w:t>
            </w:r>
          </w:p>
          <w:p>
            <w:pPr>
              <w:widowControl/>
              <w:jc w:val="center"/>
              <w:rPr>
                <w:rFonts w:ascii="Times New Roman" w:hAnsi="Times New Roman"/>
                <w:sz w:val="18"/>
                <w:szCs w:val="18"/>
              </w:rPr>
            </w:pPr>
            <w:r>
              <w:rPr>
                <w:rFonts w:ascii="Times New Roman" w:hAnsi="Times New Roman"/>
                <w:sz w:val="18"/>
                <w:szCs w:val="18"/>
              </w:rPr>
              <w:t>10.26（48）</w:t>
            </w:r>
          </w:p>
        </w:tc>
        <w:tc>
          <w:tcPr>
            <w:tcW w:w="1531" w:type="dxa"/>
            <w:vAlign w:val="center"/>
          </w:tcPr>
          <w:p>
            <w:pPr>
              <w:jc w:val="center"/>
              <w:rPr>
                <w:rFonts w:ascii="Times New Roman" w:hAnsi="Times New Roman"/>
                <w:sz w:val="18"/>
                <w:szCs w:val="18"/>
                <w:u w:val="single"/>
              </w:rPr>
            </w:pPr>
            <w:r>
              <w:rPr>
                <w:rFonts w:ascii="Times New Roman" w:hAnsi="Times New Roman"/>
                <w:sz w:val="18"/>
                <w:szCs w:val="18"/>
                <w:u w:val="single"/>
              </w:rPr>
              <w:t>24.61</w:t>
            </w:r>
            <w:r>
              <w:rPr>
                <w:rFonts w:ascii="Times New Roman" w:hAnsi="Times New Roman"/>
                <w:sz w:val="18"/>
                <w:szCs w:val="18"/>
              </w:rPr>
              <w:t>～</w:t>
            </w:r>
            <w:r>
              <w:rPr>
                <w:rFonts w:ascii="Times New Roman" w:hAnsi="Times New Roman"/>
                <w:sz w:val="18"/>
                <w:szCs w:val="18"/>
                <w:u w:val="single"/>
              </w:rPr>
              <w:t>50.24</w:t>
            </w:r>
          </w:p>
          <w:p>
            <w:pPr>
              <w:widowControl/>
              <w:jc w:val="center"/>
              <w:rPr>
                <w:rFonts w:ascii="Times New Roman" w:hAnsi="Times New Roman"/>
                <w:sz w:val="18"/>
                <w:szCs w:val="18"/>
              </w:rPr>
            </w:pPr>
            <w:r>
              <w:rPr>
                <w:rFonts w:ascii="Times New Roman" w:hAnsi="Times New Roman"/>
                <w:sz w:val="18"/>
                <w:szCs w:val="18"/>
              </w:rPr>
              <w:t>32.03（48）</w:t>
            </w:r>
          </w:p>
        </w:tc>
        <w:tc>
          <w:tcPr>
            <w:tcW w:w="1498" w:type="dxa"/>
            <w:vAlign w:val="center"/>
          </w:tcPr>
          <w:p>
            <w:pPr>
              <w:jc w:val="center"/>
              <w:rPr>
                <w:rFonts w:ascii="Times New Roman" w:hAnsi="Times New Roman"/>
                <w:sz w:val="18"/>
                <w:szCs w:val="18"/>
                <w:u w:val="single"/>
              </w:rPr>
            </w:pPr>
            <w:r>
              <w:rPr>
                <w:rFonts w:ascii="Times New Roman" w:hAnsi="Times New Roman"/>
                <w:sz w:val="18"/>
                <w:szCs w:val="18"/>
                <w:u w:val="single"/>
              </w:rPr>
              <w:t>25.20</w:t>
            </w:r>
            <w:r>
              <w:rPr>
                <w:rFonts w:ascii="Times New Roman" w:hAnsi="Times New Roman"/>
                <w:sz w:val="18"/>
                <w:szCs w:val="18"/>
              </w:rPr>
              <w:t>～</w:t>
            </w:r>
            <w:r>
              <w:rPr>
                <w:rFonts w:ascii="Times New Roman" w:hAnsi="Times New Roman"/>
                <w:sz w:val="18"/>
                <w:szCs w:val="18"/>
                <w:u w:val="single"/>
              </w:rPr>
              <w:t>31.64.</w:t>
            </w:r>
          </w:p>
          <w:p>
            <w:pPr>
              <w:widowControl/>
              <w:jc w:val="center"/>
              <w:rPr>
                <w:rFonts w:ascii="Times New Roman" w:hAnsi="Times New Roman"/>
                <w:sz w:val="18"/>
                <w:szCs w:val="18"/>
              </w:rPr>
            </w:pPr>
            <w:r>
              <w:rPr>
                <w:rFonts w:ascii="Times New Roman" w:hAnsi="Times New Roman"/>
                <w:sz w:val="18"/>
                <w:szCs w:val="18"/>
              </w:rPr>
              <w:t>29.12(105)</w:t>
            </w:r>
          </w:p>
        </w:tc>
        <w:tc>
          <w:tcPr>
            <w:tcW w:w="1498" w:type="dxa"/>
            <w:vAlign w:val="center"/>
          </w:tcPr>
          <w:p>
            <w:pPr>
              <w:jc w:val="center"/>
              <w:rPr>
                <w:rFonts w:ascii="Times New Roman" w:hAnsi="Times New Roman"/>
                <w:sz w:val="18"/>
                <w:szCs w:val="18"/>
                <w:u w:val="single"/>
              </w:rPr>
            </w:pPr>
            <w:r>
              <w:rPr>
                <w:rFonts w:ascii="Times New Roman" w:hAnsi="Times New Roman"/>
                <w:sz w:val="18"/>
                <w:szCs w:val="18"/>
                <w:u w:val="single"/>
              </w:rPr>
              <w:t>24.51</w:t>
            </w:r>
            <w:r>
              <w:rPr>
                <w:rFonts w:ascii="Times New Roman" w:hAnsi="Times New Roman"/>
                <w:sz w:val="18"/>
                <w:szCs w:val="18"/>
              </w:rPr>
              <w:t>～</w:t>
            </w:r>
            <w:r>
              <w:rPr>
                <w:rFonts w:ascii="Times New Roman" w:hAnsi="Times New Roman"/>
                <w:sz w:val="18"/>
                <w:szCs w:val="18"/>
                <w:u w:val="single"/>
              </w:rPr>
              <w:t>30.80</w:t>
            </w:r>
          </w:p>
          <w:p>
            <w:pPr>
              <w:widowControl/>
              <w:jc w:val="center"/>
              <w:rPr>
                <w:rFonts w:ascii="Times New Roman" w:hAnsi="Times New Roman"/>
                <w:sz w:val="18"/>
                <w:szCs w:val="18"/>
              </w:rPr>
            </w:pPr>
            <w:r>
              <w:rPr>
                <w:rFonts w:ascii="Times New Roman" w:hAnsi="Times New Roman"/>
                <w:sz w:val="18"/>
                <w:szCs w:val="18"/>
              </w:rPr>
              <w:t>28.28（47）</w:t>
            </w:r>
          </w:p>
        </w:tc>
        <w:tc>
          <w:tcPr>
            <w:tcW w:w="1425" w:type="dxa"/>
            <w:vAlign w:val="center"/>
          </w:tcPr>
          <w:p>
            <w:pPr>
              <w:jc w:val="center"/>
              <w:rPr>
                <w:rFonts w:ascii="Times New Roman" w:hAnsi="Times New Roman"/>
                <w:sz w:val="18"/>
                <w:szCs w:val="18"/>
                <w:u w:val="single"/>
              </w:rPr>
            </w:pPr>
            <w:r>
              <w:rPr>
                <w:rFonts w:ascii="Times New Roman" w:hAnsi="Times New Roman"/>
                <w:sz w:val="18"/>
                <w:szCs w:val="18"/>
                <w:u w:val="single"/>
              </w:rPr>
              <w:t>0.14</w:t>
            </w:r>
            <w:r>
              <w:rPr>
                <w:rFonts w:ascii="Times New Roman" w:hAnsi="Times New Roman"/>
                <w:sz w:val="18"/>
                <w:szCs w:val="18"/>
              </w:rPr>
              <w:t>～</w:t>
            </w:r>
            <w:r>
              <w:rPr>
                <w:rFonts w:ascii="Times New Roman" w:hAnsi="Times New Roman"/>
                <w:sz w:val="18"/>
                <w:szCs w:val="18"/>
                <w:u w:val="single"/>
              </w:rPr>
              <w:t>3.25</w:t>
            </w:r>
          </w:p>
          <w:p>
            <w:pPr>
              <w:widowControl/>
              <w:jc w:val="center"/>
              <w:rPr>
                <w:rFonts w:ascii="Times New Roman" w:hAnsi="Times New Roman"/>
                <w:sz w:val="18"/>
                <w:szCs w:val="18"/>
              </w:rPr>
            </w:pPr>
            <w:r>
              <w:rPr>
                <w:rFonts w:ascii="Times New Roman" w:hAnsi="Times New Roman"/>
                <w:sz w:val="18"/>
                <w:szCs w:val="18"/>
              </w:rPr>
              <w:t>1.03（48）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2-1</w:t>
            </w:r>
          </w:p>
        </w:tc>
        <w:tc>
          <w:tcPr>
            <w:tcW w:w="1375" w:type="dxa"/>
            <w:vMerge w:val="restart"/>
            <w:vAlign w:val="center"/>
          </w:tcPr>
          <w:p>
            <w:pPr>
              <w:spacing w:line="180" w:lineRule="exact"/>
              <w:jc w:val="center"/>
              <w:rPr>
                <w:rFonts w:ascii="Times New Roman" w:hAnsi="Times New Roman"/>
                <w:sz w:val="18"/>
                <w:szCs w:val="18"/>
              </w:rPr>
            </w:pPr>
            <w:r>
              <w:rPr>
                <w:rFonts w:ascii="Times New Roman" w:hAnsi="Times New Roman"/>
                <w:sz w:val="18"/>
                <w:szCs w:val="18"/>
              </w:rPr>
              <w:t>0.59～9.90</w:t>
            </w:r>
          </w:p>
          <w:p>
            <w:pPr>
              <w:widowControl/>
              <w:jc w:val="center"/>
              <w:rPr>
                <w:rFonts w:ascii="Times New Roman" w:hAnsi="Times New Roman"/>
                <w:kern w:val="0"/>
                <w:sz w:val="18"/>
                <w:szCs w:val="18"/>
                <w:u w:val="single"/>
              </w:rPr>
            </w:pPr>
            <w:r>
              <w:rPr>
                <w:rFonts w:ascii="Times New Roman" w:hAnsi="Times New Roman"/>
                <w:sz w:val="18"/>
                <w:szCs w:val="18"/>
              </w:rPr>
              <w:t>5.19（153）</w:t>
            </w:r>
          </w:p>
        </w:tc>
        <w:tc>
          <w:tcPr>
            <w:tcW w:w="1411" w:type="dxa"/>
            <w:vMerge w:val="restart"/>
            <w:vAlign w:val="center"/>
          </w:tcPr>
          <w:p>
            <w:pPr>
              <w:spacing w:line="180" w:lineRule="exact"/>
              <w:jc w:val="center"/>
              <w:rPr>
                <w:rFonts w:ascii="Times New Roman" w:hAnsi="Times New Roman"/>
                <w:sz w:val="18"/>
                <w:szCs w:val="18"/>
              </w:rPr>
            </w:pPr>
            <w:r>
              <w:rPr>
                <w:rFonts w:ascii="Times New Roman" w:hAnsi="Times New Roman"/>
                <w:sz w:val="18"/>
                <w:szCs w:val="18"/>
              </w:rPr>
              <w:t>2.95～30.77</w:t>
            </w:r>
          </w:p>
          <w:p>
            <w:pPr>
              <w:spacing w:line="180" w:lineRule="exact"/>
              <w:jc w:val="center"/>
              <w:rPr>
                <w:rFonts w:ascii="Times New Roman" w:hAnsi="Times New Roman"/>
                <w:kern w:val="0"/>
                <w:sz w:val="18"/>
                <w:szCs w:val="18"/>
                <w:u w:val="single"/>
              </w:rPr>
            </w:pPr>
            <w:r>
              <w:rPr>
                <w:rFonts w:ascii="Times New Roman" w:hAnsi="Times New Roman"/>
                <w:sz w:val="18"/>
                <w:szCs w:val="18"/>
              </w:rPr>
              <w:t>10.84（153）</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24.14～37.16</w:t>
            </w:r>
          </w:p>
          <w:p>
            <w:pPr>
              <w:spacing w:line="180" w:lineRule="exact"/>
              <w:jc w:val="center"/>
              <w:rPr>
                <w:rFonts w:ascii="Times New Roman" w:hAnsi="Times New Roman"/>
                <w:kern w:val="0"/>
                <w:sz w:val="18"/>
                <w:szCs w:val="18"/>
                <w:u w:val="single"/>
              </w:rPr>
            </w:pPr>
            <w:r>
              <w:rPr>
                <w:rFonts w:ascii="Times New Roman" w:hAnsi="Times New Roman"/>
                <w:sz w:val="18"/>
                <w:szCs w:val="18"/>
              </w:rPr>
              <w:t>30.94（153）</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21.08～33.14</w:t>
            </w:r>
          </w:p>
          <w:p>
            <w:pPr>
              <w:spacing w:line="180" w:lineRule="exact"/>
              <w:jc w:val="center"/>
              <w:rPr>
                <w:rFonts w:ascii="Times New Roman" w:hAnsi="Times New Roman"/>
                <w:kern w:val="0"/>
                <w:sz w:val="18"/>
                <w:szCs w:val="18"/>
                <w:u w:val="single"/>
              </w:rPr>
            </w:pPr>
            <w:r>
              <w:rPr>
                <w:rFonts w:ascii="Times New Roman" w:hAnsi="Times New Roman"/>
                <w:sz w:val="18"/>
                <w:szCs w:val="18"/>
              </w:rPr>
              <w:t>29.00（152）</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20.47～32.21</w:t>
            </w:r>
          </w:p>
          <w:p>
            <w:pPr>
              <w:spacing w:line="180" w:lineRule="exact"/>
              <w:jc w:val="center"/>
              <w:rPr>
                <w:rFonts w:ascii="Times New Roman" w:hAnsi="Times New Roman"/>
                <w:kern w:val="0"/>
                <w:sz w:val="18"/>
                <w:szCs w:val="18"/>
                <w:u w:val="single"/>
              </w:rPr>
            </w:pPr>
            <w:r>
              <w:rPr>
                <w:rFonts w:ascii="Times New Roman" w:hAnsi="Times New Roman"/>
                <w:sz w:val="18"/>
                <w:szCs w:val="18"/>
              </w:rPr>
              <w:t>28.27（148）</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0.17～1.92</w:t>
            </w:r>
          </w:p>
          <w:p>
            <w:pPr>
              <w:widowControl/>
              <w:jc w:val="center"/>
              <w:rPr>
                <w:rFonts w:ascii="Times New Roman" w:hAnsi="Times New Roman"/>
                <w:kern w:val="0"/>
                <w:sz w:val="18"/>
                <w:szCs w:val="18"/>
                <w:u w:val="single"/>
              </w:rPr>
            </w:pPr>
            <w:r>
              <w:rPr>
                <w:rFonts w:ascii="Times New Roman" w:hAnsi="Times New Roman"/>
                <w:sz w:val="18"/>
                <w:szCs w:val="18"/>
              </w:rPr>
              <w:t>0.62（151）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2-1下</w:t>
            </w:r>
          </w:p>
        </w:tc>
        <w:tc>
          <w:tcPr>
            <w:tcW w:w="1375" w:type="dxa"/>
            <w:vMerge w:val="restart"/>
            <w:vAlign w:val="center"/>
          </w:tcPr>
          <w:p>
            <w:pPr>
              <w:spacing w:line="180" w:lineRule="exact"/>
              <w:jc w:val="center"/>
              <w:rPr>
                <w:rFonts w:ascii="Times New Roman" w:hAnsi="Times New Roman"/>
                <w:sz w:val="18"/>
                <w:szCs w:val="18"/>
              </w:rPr>
            </w:pPr>
            <w:r>
              <w:rPr>
                <w:rFonts w:ascii="Times New Roman" w:hAnsi="Times New Roman"/>
                <w:sz w:val="18"/>
                <w:szCs w:val="18"/>
              </w:rPr>
              <w:t>0.66～12.01</w:t>
            </w:r>
          </w:p>
          <w:p>
            <w:pPr>
              <w:spacing w:line="180" w:lineRule="exact"/>
              <w:jc w:val="center"/>
              <w:rPr>
                <w:rFonts w:ascii="Times New Roman" w:hAnsi="Times New Roman"/>
                <w:sz w:val="18"/>
                <w:szCs w:val="18"/>
              </w:rPr>
            </w:pPr>
            <w:r>
              <w:rPr>
                <w:rFonts w:ascii="Times New Roman" w:hAnsi="Times New Roman"/>
                <w:sz w:val="18"/>
                <w:szCs w:val="18"/>
              </w:rPr>
              <w:t>4.97（178）</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2.70～21.83</w:t>
            </w:r>
          </w:p>
          <w:p>
            <w:pPr>
              <w:spacing w:line="180" w:lineRule="exact"/>
              <w:jc w:val="center"/>
              <w:rPr>
                <w:rFonts w:ascii="Times New Roman" w:hAnsi="Times New Roman"/>
                <w:kern w:val="0"/>
                <w:sz w:val="18"/>
                <w:szCs w:val="18"/>
                <w:u w:val="single"/>
              </w:rPr>
            </w:pPr>
            <w:r>
              <w:rPr>
                <w:rFonts w:ascii="Times New Roman" w:hAnsi="Times New Roman"/>
                <w:sz w:val="18"/>
                <w:szCs w:val="18"/>
              </w:rPr>
              <w:t>8.67（178）</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25.34～41.71</w:t>
            </w:r>
          </w:p>
          <w:p>
            <w:pPr>
              <w:spacing w:line="180" w:lineRule="exact"/>
              <w:jc w:val="center"/>
              <w:rPr>
                <w:rFonts w:ascii="Times New Roman" w:hAnsi="Times New Roman"/>
                <w:kern w:val="0"/>
                <w:sz w:val="18"/>
                <w:szCs w:val="18"/>
                <w:u w:val="single"/>
              </w:rPr>
            </w:pPr>
            <w:r>
              <w:rPr>
                <w:rFonts w:ascii="Times New Roman" w:hAnsi="Times New Roman"/>
                <w:sz w:val="18"/>
                <w:szCs w:val="18"/>
              </w:rPr>
              <w:t>31.91（178）</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21.08～33.14</w:t>
            </w:r>
          </w:p>
          <w:p>
            <w:pPr>
              <w:spacing w:line="180" w:lineRule="exact"/>
              <w:jc w:val="center"/>
              <w:rPr>
                <w:rFonts w:ascii="Times New Roman" w:hAnsi="Times New Roman"/>
                <w:kern w:val="0"/>
                <w:sz w:val="18"/>
                <w:szCs w:val="18"/>
                <w:u w:val="single"/>
              </w:rPr>
            </w:pPr>
            <w:r>
              <w:rPr>
                <w:rFonts w:ascii="Times New Roman" w:hAnsi="Times New Roman"/>
                <w:sz w:val="18"/>
                <w:szCs w:val="18"/>
              </w:rPr>
              <w:t>29.00（178）</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20.53～31.89</w:t>
            </w:r>
          </w:p>
          <w:p>
            <w:pPr>
              <w:spacing w:line="180" w:lineRule="exact"/>
              <w:jc w:val="center"/>
              <w:rPr>
                <w:rFonts w:ascii="Times New Roman" w:hAnsi="Times New Roman"/>
                <w:kern w:val="0"/>
                <w:sz w:val="18"/>
                <w:szCs w:val="18"/>
                <w:u w:val="single"/>
              </w:rPr>
            </w:pPr>
            <w:r>
              <w:rPr>
                <w:rFonts w:ascii="Times New Roman" w:hAnsi="Times New Roman"/>
                <w:sz w:val="18"/>
                <w:szCs w:val="18"/>
              </w:rPr>
              <w:t>28.14（169）</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0.16～1.49</w:t>
            </w:r>
          </w:p>
          <w:p>
            <w:pPr>
              <w:spacing w:line="180" w:lineRule="exact"/>
              <w:jc w:val="center"/>
              <w:rPr>
                <w:rFonts w:ascii="Times New Roman" w:hAnsi="Times New Roman"/>
                <w:kern w:val="0"/>
                <w:sz w:val="18"/>
                <w:szCs w:val="18"/>
                <w:u w:val="single"/>
              </w:rPr>
            </w:pPr>
            <w:r>
              <w:rPr>
                <w:rFonts w:ascii="Times New Roman" w:hAnsi="Times New Roman"/>
                <w:sz w:val="18"/>
                <w:szCs w:val="18"/>
              </w:rPr>
              <w:t>0.59（178）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2-2上</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2.01～10.11</w:t>
            </w:r>
          </w:p>
          <w:p>
            <w:pPr>
              <w:spacing w:line="180" w:lineRule="exact"/>
              <w:jc w:val="center"/>
              <w:rPr>
                <w:rFonts w:ascii="Times New Roman" w:hAnsi="Times New Roman"/>
                <w:kern w:val="0"/>
                <w:sz w:val="18"/>
                <w:szCs w:val="18"/>
                <w:u w:val="single"/>
              </w:rPr>
            </w:pPr>
            <w:r>
              <w:rPr>
                <w:rFonts w:ascii="Times New Roman" w:hAnsi="Times New Roman"/>
                <w:sz w:val="18"/>
                <w:szCs w:val="18"/>
              </w:rPr>
              <w:t>5.20（22）</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4.39～28.06</w:t>
            </w:r>
          </w:p>
          <w:p>
            <w:pPr>
              <w:spacing w:line="180" w:lineRule="exact"/>
              <w:jc w:val="center"/>
              <w:rPr>
                <w:rFonts w:ascii="Times New Roman" w:hAnsi="Times New Roman"/>
                <w:kern w:val="0"/>
                <w:sz w:val="18"/>
                <w:szCs w:val="18"/>
                <w:u w:val="single"/>
              </w:rPr>
            </w:pPr>
            <w:r>
              <w:rPr>
                <w:rFonts w:ascii="Times New Roman" w:hAnsi="Times New Roman"/>
                <w:sz w:val="18"/>
                <w:szCs w:val="18"/>
              </w:rPr>
              <w:t>9.22（22）</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27.38～47.14</w:t>
            </w:r>
          </w:p>
          <w:p>
            <w:pPr>
              <w:spacing w:line="180" w:lineRule="exact"/>
              <w:jc w:val="center"/>
              <w:rPr>
                <w:rFonts w:ascii="Times New Roman" w:hAnsi="Times New Roman"/>
                <w:kern w:val="0"/>
                <w:sz w:val="18"/>
                <w:szCs w:val="18"/>
                <w:u w:val="single"/>
              </w:rPr>
            </w:pPr>
            <w:r>
              <w:rPr>
                <w:rFonts w:ascii="Times New Roman" w:hAnsi="Times New Roman"/>
                <w:sz w:val="18"/>
                <w:szCs w:val="18"/>
              </w:rPr>
              <w:t>33.11（22）</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26.65～32.33</w:t>
            </w:r>
          </w:p>
          <w:p>
            <w:pPr>
              <w:spacing w:line="180" w:lineRule="exact"/>
              <w:jc w:val="center"/>
              <w:rPr>
                <w:rFonts w:ascii="Times New Roman" w:hAnsi="Times New Roman"/>
                <w:kern w:val="0"/>
                <w:sz w:val="18"/>
                <w:szCs w:val="18"/>
                <w:u w:val="single"/>
              </w:rPr>
            </w:pPr>
            <w:r>
              <w:rPr>
                <w:rFonts w:ascii="Times New Roman" w:hAnsi="Times New Roman"/>
                <w:sz w:val="18"/>
                <w:szCs w:val="18"/>
              </w:rPr>
              <w:t>30.09（22）</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22.00～31.54</w:t>
            </w:r>
          </w:p>
          <w:p>
            <w:pPr>
              <w:spacing w:line="180" w:lineRule="exact"/>
              <w:jc w:val="center"/>
              <w:rPr>
                <w:rFonts w:ascii="Times New Roman" w:hAnsi="Times New Roman"/>
                <w:kern w:val="0"/>
                <w:sz w:val="18"/>
                <w:szCs w:val="18"/>
                <w:u w:val="single"/>
              </w:rPr>
            </w:pPr>
            <w:r>
              <w:rPr>
                <w:rFonts w:ascii="Times New Roman" w:hAnsi="Times New Roman"/>
                <w:sz w:val="18"/>
                <w:szCs w:val="18"/>
              </w:rPr>
              <w:t>28.97（20）</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0.16～1.48</w:t>
            </w:r>
          </w:p>
          <w:p>
            <w:pPr>
              <w:spacing w:line="180" w:lineRule="exact"/>
              <w:jc w:val="center"/>
              <w:rPr>
                <w:rFonts w:ascii="Times New Roman" w:hAnsi="Times New Roman"/>
                <w:kern w:val="0"/>
                <w:sz w:val="18"/>
                <w:szCs w:val="18"/>
                <w:u w:val="single"/>
              </w:rPr>
            </w:pPr>
            <w:r>
              <w:rPr>
                <w:rFonts w:ascii="Times New Roman" w:hAnsi="Times New Roman"/>
                <w:sz w:val="18"/>
                <w:szCs w:val="18"/>
              </w:rPr>
              <w:t>0.50（22）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2-2</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0.49～18.50</w:t>
            </w:r>
          </w:p>
          <w:p>
            <w:pPr>
              <w:spacing w:line="180" w:lineRule="exact"/>
              <w:jc w:val="center"/>
              <w:rPr>
                <w:rFonts w:ascii="Times New Roman" w:hAnsi="Times New Roman"/>
                <w:kern w:val="0"/>
                <w:sz w:val="18"/>
                <w:szCs w:val="18"/>
                <w:u w:val="single"/>
              </w:rPr>
            </w:pPr>
            <w:r>
              <w:rPr>
                <w:rFonts w:ascii="Times New Roman" w:hAnsi="Times New Roman"/>
                <w:sz w:val="18"/>
                <w:szCs w:val="18"/>
              </w:rPr>
              <w:t>5.29（338）</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2.60～36.19</w:t>
            </w:r>
          </w:p>
          <w:p>
            <w:pPr>
              <w:spacing w:line="180" w:lineRule="exact"/>
              <w:jc w:val="center"/>
              <w:rPr>
                <w:rFonts w:ascii="Times New Roman" w:hAnsi="Times New Roman"/>
                <w:kern w:val="0"/>
                <w:sz w:val="18"/>
                <w:szCs w:val="18"/>
                <w:u w:val="single"/>
              </w:rPr>
            </w:pPr>
            <w:r>
              <w:rPr>
                <w:rFonts w:ascii="Times New Roman" w:hAnsi="Times New Roman"/>
                <w:sz w:val="18"/>
                <w:szCs w:val="18"/>
              </w:rPr>
              <w:t>9.54（338）</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25.28～43.24</w:t>
            </w:r>
          </w:p>
          <w:p>
            <w:pPr>
              <w:spacing w:line="180" w:lineRule="exact"/>
              <w:jc w:val="center"/>
              <w:rPr>
                <w:rFonts w:ascii="Times New Roman" w:hAnsi="Times New Roman"/>
                <w:kern w:val="0"/>
                <w:sz w:val="18"/>
                <w:szCs w:val="18"/>
                <w:u w:val="single"/>
              </w:rPr>
            </w:pPr>
            <w:r>
              <w:rPr>
                <w:rFonts w:ascii="Times New Roman" w:hAnsi="Times New Roman"/>
                <w:sz w:val="18"/>
                <w:szCs w:val="18"/>
              </w:rPr>
              <w:t>32.62（337）</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21.13～33.04</w:t>
            </w:r>
          </w:p>
          <w:p>
            <w:pPr>
              <w:spacing w:line="180" w:lineRule="exact"/>
              <w:jc w:val="center"/>
              <w:rPr>
                <w:rFonts w:ascii="Times New Roman" w:hAnsi="Times New Roman"/>
                <w:kern w:val="0"/>
                <w:sz w:val="18"/>
                <w:szCs w:val="18"/>
                <w:u w:val="single"/>
              </w:rPr>
            </w:pPr>
            <w:r>
              <w:rPr>
                <w:rFonts w:ascii="Times New Roman" w:hAnsi="Times New Roman"/>
                <w:sz w:val="18"/>
                <w:szCs w:val="18"/>
              </w:rPr>
              <w:t>29.38（334）</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20.47～32.09</w:t>
            </w:r>
          </w:p>
          <w:p>
            <w:pPr>
              <w:spacing w:line="180" w:lineRule="exact"/>
              <w:jc w:val="center"/>
              <w:rPr>
                <w:rFonts w:ascii="Times New Roman" w:hAnsi="Times New Roman"/>
                <w:kern w:val="0"/>
                <w:sz w:val="18"/>
                <w:szCs w:val="18"/>
                <w:u w:val="single"/>
              </w:rPr>
            </w:pPr>
            <w:r>
              <w:rPr>
                <w:rFonts w:ascii="Times New Roman" w:hAnsi="Times New Roman"/>
                <w:sz w:val="18"/>
                <w:szCs w:val="18"/>
              </w:rPr>
              <w:t>28.54（319）</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0.11～4.99</w:t>
            </w:r>
          </w:p>
          <w:p>
            <w:pPr>
              <w:spacing w:line="180" w:lineRule="exact"/>
              <w:jc w:val="center"/>
              <w:rPr>
                <w:rFonts w:ascii="Times New Roman" w:hAnsi="Times New Roman"/>
                <w:kern w:val="0"/>
                <w:sz w:val="18"/>
                <w:szCs w:val="18"/>
                <w:u w:val="single"/>
              </w:rPr>
            </w:pPr>
            <w:r>
              <w:rPr>
                <w:rFonts w:ascii="Times New Roman" w:hAnsi="Times New Roman"/>
                <w:sz w:val="18"/>
                <w:szCs w:val="18"/>
              </w:rPr>
              <w:t>0.62（328）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2-2下</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1.13～20.70</w:t>
            </w:r>
          </w:p>
          <w:p>
            <w:pPr>
              <w:spacing w:line="180" w:lineRule="exact"/>
              <w:jc w:val="center"/>
              <w:rPr>
                <w:rFonts w:ascii="Times New Roman" w:hAnsi="Times New Roman"/>
                <w:kern w:val="0"/>
                <w:sz w:val="18"/>
                <w:szCs w:val="18"/>
                <w:u w:val="single"/>
              </w:rPr>
            </w:pPr>
            <w:r>
              <w:rPr>
                <w:rFonts w:ascii="Times New Roman" w:hAnsi="Times New Roman"/>
                <w:sz w:val="18"/>
                <w:szCs w:val="18"/>
              </w:rPr>
              <w:t>5.68（137）</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2.80～26.75</w:t>
            </w:r>
          </w:p>
          <w:p>
            <w:pPr>
              <w:spacing w:line="180" w:lineRule="exact"/>
              <w:jc w:val="center"/>
              <w:rPr>
                <w:rFonts w:ascii="Times New Roman" w:hAnsi="Times New Roman"/>
                <w:kern w:val="0"/>
                <w:sz w:val="18"/>
                <w:szCs w:val="18"/>
                <w:u w:val="single"/>
              </w:rPr>
            </w:pPr>
            <w:r>
              <w:rPr>
                <w:rFonts w:ascii="Times New Roman" w:hAnsi="Times New Roman"/>
                <w:sz w:val="18"/>
                <w:szCs w:val="18"/>
              </w:rPr>
              <w:t>8.89（137）</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23.65～40.19</w:t>
            </w:r>
          </w:p>
          <w:p>
            <w:pPr>
              <w:spacing w:line="180" w:lineRule="exact"/>
              <w:jc w:val="center"/>
              <w:rPr>
                <w:rFonts w:ascii="Times New Roman" w:hAnsi="Times New Roman"/>
                <w:kern w:val="0"/>
                <w:sz w:val="18"/>
                <w:szCs w:val="18"/>
                <w:u w:val="single"/>
              </w:rPr>
            </w:pPr>
            <w:r>
              <w:rPr>
                <w:rFonts w:ascii="Times New Roman" w:hAnsi="Times New Roman"/>
                <w:sz w:val="18"/>
                <w:szCs w:val="18"/>
              </w:rPr>
              <w:t>27.06（137）</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23.43～33.12</w:t>
            </w:r>
          </w:p>
          <w:p>
            <w:pPr>
              <w:spacing w:line="180" w:lineRule="exact"/>
              <w:jc w:val="center"/>
              <w:rPr>
                <w:rFonts w:ascii="Times New Roman" w:hAnsi="Times New Roman"/>
                <w:kern w:val="0"/>
                <w:sz w:val="18"/>
                <w:szCs w:val="18"/>
                <w:u w:val="single"/>
              </w:rPr>
            </w:pPr>
            <w:r>
              <w:rPr>
                <w:rFonts w:ascii="Times New Roman" w:hAnsi="Times New Roman"/>
                <w:sz w:val="18"/>
                <w:szCs w:val="18"/>
              </w:rPr>
              <w:t>29.68（135）</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20.00～32.12</w:t>
            </w:r>
          </w:p>
          <w:p>
            <w:pPr>
              <w:spacing w:line="180" w:lineRule="exact"/>
              <w:jc w:val="center"/>
              <w:rPr>
                <w:rFonts w:ascii="Times New Roman" w:hAnsi="Times New Roman"/>
                <w:kern w:val="0"/>
                <w:sz w:val="18"/>
                <w:szCs w:val="18"/>
                <w:u w:val="single"/>
              </w:rPr>
            </w:pPr>
            <w:r>
              <w:rPr>
                <w:rFonts w:ascii="Times New Roman" w:hAnsi="Times New Roman"/>
                <w:sz w:val="18"/>
                <w:szCs w:val="18"/>
              </w:rPr>
              <w:t>28.75（130）</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0.18～4.29</w:t>
            </w:r>
          </w:p>
          <w:p>
            <w:pPr>
              <w:spacing w:line="180" w:lineRule="exact"/>
              <w:jc w:val="center"/>
              <w:rPr>
                <w:rFonts w:ascii="Times New Roman" w:hAnsi="Times New Roman"/>
                <w:kern w:val="0"/>
                <w:sz w:val="18"/>
                <w:szCs w:val="18"/>
                <w:u w:val="single"/>
              </w:rPr>
            </w:pPr>
            <w:r>
              <w:rPr>
                <w:rFonts w:ascii="Times New Roman" w:hAnsi="Times New Roman"/>
                <w:sz w:val="18"/>
                <w:szCs w:val="18"/>
              </w:rPr>
              <w:t>0.58（137）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3-1</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0.53～19.00</w:t>
            </w:r>
          </w:p>
          <w:p>
            <w:pPr>
              <w:spacing w:line="180" w:lineRule="exact"/>
              <w:jc w:val="center"/>
              <w:rPr>
                <w:rFonts w:ascii="Times New Roman" w:hAnsi="Times New Roman"/>
                <w:kern w:val="0"/>
                <w:sz w:val="18"/>
                <w:szCs w:val="18"/>
                <w:u w:val="single"/>
              </w:rPr>
            </w:pPr>
            <w:r>
              <w:rPr>
                <w:rFonts w:ascii="Times New Roman" w:hAnsi="Times New Roman"/>
                <w:sz w:val="18"/>
                <w:szCs w:val="18"/>
              </w:rPr>
              <w:t>5.55（331）</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2.68～33.24</w:t>
            </w:r>
          </w:p>
          <w:p>
            <w:pPr>
              <w:spacing w:line="180" w:lineRule="exact"/>
              <w:jc w:val="center"/>
              <w:rPr>
                <w:rFonts w:ascii="Times New Roman" w:hAnsi="Times New Roman"/>
                <w:kern w:val="0"/>
                <w:sz w:val="18"/>
                <w:szCs w:val="18"/>
                <w:u w:val="single"/>
              </w:rPr>
            </w:pPr>
            <w:r>
              <w:rPr>
                <w:rFonts w:ascii="Times New Roman" w:hAnsi="Times New Roman"/>
                <w:sz w:val="18"/>
                <w:szCs w:val="18"/>
              </w:rPr>
              <w:t>9.24（331）</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25.11～39.95</w:t>
            </w:r>
          </w:p>
          <w:p>
            <w:pPr>
              <w:spacing w:line="180" w:lineRule="exact"/>
              <w:jc w:val="center"/>
              <w:rPr>
                <w:rFonts w:ascii="Times New Roman" w:hAnsi="Times New Roman"/>
                <w:kern w:val="0"/>
                <w:sz w:val="18"/>
                <w:szCs w:val="18"/>
                <w:u w:val="single"/>
              </w:rPr>
            </w:pPr>
            <w:r>
              <w:rPr>
                <w:rFonts w:ascii="Times New Roman" w:hAnsi="Times New Roman"/>
                <w:sz w:val="18"/>
                <w:szCs w:val="18"/>
              </w:rPr>
              <w:t>33.34（331）</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21.02～32.84</w:t>
            </w:r>
          </w:p>
          <w:p>
            <w:pPr>
              <w:spacing w:line="180" w:lineRule="exact"/>
              <w:jc w:val="center"/>
              <w:rPr>
                <w:rFonts w:ascii="Times New Roman" w:hAnsi="Times New Roman"/>
                <w:kern w:val="0"/>
                <w:sz w:val="18"/>
                <w:szCs w:val="18"/>
                <w:u w:val="single"/>
              </w:rPr>
            </w:pPr>
            <w:r>
              <w:rPr>
                <w:rFonts w:ascii="Times New Roman" w:hAnsi="Times New Roman"/>
                <w:sz w:val="18"/>
                <w:szCs w:val="18"/>
              </w:rPr>
              <w:t>29.67（330）</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20.34～31.98</w:t>
            </w:r>
          </w:p>
          <w:p>
            <w:pPr>
              <w:spacing w:line="180" w:lineRule="exact"/>
              <w:jc w:val="center"/>
              <w:rPr>
                <w:rFonts w:ascii="Times New Roman" w:hAnsi="Times New Roman"/>
                <w:kern w:val="0"/>
                <w:sz w:val="18"/>
                <w:szCs w:val="18"/>
                <w:u w:val="single"/>
              </w:rPr>
            </w:pPr>
            <w:r>
              <w:rPr>
                <w:rFonts w:ascii="Times New Roman" w:hAnsi="Times New Roman"/>
                <w:sz w:val="18"/>
                <w:szCs w:val="18"/>
              </w:rPr>
              <w:t>28.77（325）</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0.13～1.80</w:t>
            </w:r>
          </w:p>
          <w:p>
            <w:pPr>
              <w:spacing w:line="180" w:lineRule="exact"/>
              <w:jc w:val="center"/>
              <w:rPr>
                <w:rFonts w:ascii="Times New Roman" w:hAnsi="Times New Roman"/>
                <w:kern w:val="0"/>
                <w:sz w:val="18"/>
                <w:szCs w:val="18"/>
                <w:u w:val="single"/>
              </w:rPr>
            </w:pPr>
            <w:r>
              <w:rPr>
                <w:rFonts w:ascii="Times New Roman" w:hAnsi="Times New Roman"/>
                <w:sz w:val="18"/>
                <w:szCs w:val="18"/>
              </w:rPr>
              <w:t>0.52（324）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3-2</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0.65～18.10</w:t>
            </w:r>
          </w:p>
          <w:p>
            <w:pPr>
              <w:spacing w:line="180" w:lineRule="exact"/>
              <w:jc w:val="center"/>
              <w:rPr>
                <w:rFonts w:ascii="Times New Roman" w:hAnsi="Times New Roman"/>
                <w:kern w:val="0"/>
                <w:sz w:val="18"/>
                <w:szCs w:val="18"/>
                <w:u w:val="single"/>
              </w:rPr>
            </w:pPr>
            <w:r>
              <w:rPr>
                <w:rFonts w:ascii="Times New Roman" w:hAnsi="Times New Roman"/>
                <w:sz w:val="18"/>
                <w:szCs w:val="18"/>
              </w:rPr>
              <w:t>5.35（191）</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2.16～30.74</w:t>
            </w:r>
          </w:p>
          <w:p>
            <w:pPr>
              <w:spacing w:line="180" w:lineRule="exact"/>
              <w:jc w:val="center"/>
              <w:rPr>
                <w:rFonts w:ascii="Times New Roman" w:hAnsi="Times New Roman"/>
                <w:kern w:val="0"/>
                <w:sz w:val="18"/>
                <w:szCs w:val="18"/>
                <w:u w:val="single"/>
              </w:rPr>
            </w:pPr>
            <w:r>
              <w:rPr>
                <w:rFonts w:ascii="Times New Roman" w:hAnsi="Times New Roman"/>
                <w:sz w:val="18"/>
                <w:szCs w:val="18"/>
              </w:rPr>
              <w:t>10.35（191）</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24.80～40.39</w:t>
            </w:r>
          </w:p>
          <w:p>
            <w:pPr>
              <w:spacing w:line="180" w:lineRule="exact"/>
              <w:jc w:val="center"/>
              <w:rPr>
                <w:rFonts w:ascii="Times New Roman" w:hAnsi="Times New Roman"/>
                <w:kern w:val="0"/>
                <w:sz w:val="18"/>
                <w:szCs w:val="18"/>
                <w:u w:val="single"/>
              </w:rPr>
            </w:pPr>
            <w:r>
              <w:rPr>
                <w:rFonts w:ascii="Times New Roman" w:hAnsi="Times New Roman"/>
                <w:sz w:val="18"/>
                <w:szCs w:val="18"/>
              </w:rPr>
              <w:t>34.20（191）</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21.73～32.23</w:t>
            </w:r>
          </w:p>
          <w:p>
            <w:pPr>
              <w:spacing w:line="180" w:lineRule="exact"/>
              <w:jc w:val="center"/>
              <w:rPr>
                <w:rFonts w:ascii="Times New Roman" w:hAnsi="Times New Roman"/>
                <w:kern w:val="0"/>
                <w:sz w:val="18"/>
                <w:szCs w:val="18"/>
                <w:u w:val="single"/>
              </w:rPr>
            </w:pPr>
            <w:r>
              <w:rPr>
                <w:rFonts w:ascii="Times New Roman" w:hAnsi="Times New Roman"/>
                <w:sz w:val="18"/>
                <w:szCs w:val="18"/>
              </w:rPr>
              <w:t>29.51（189）</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21.01～31.50</w:t>
            </w:r>
          </w:p>
          <w:p>
            <w:pPr>
              <w:spacing w:line="180" w:lineRule="exact"/>
              <w:jc w:val="center"/>
              <w:rPr>
                <w:rFonts w:ascii="Times New Roman" w:hAnsi="Times New Roman"/>
                <w:kern w:val="0"/>
                <w:sz w:val="18"/>
                <w:szCs w:val="18"/>
                <w:u w:val="single"/>
              </w:rPr>
            </w:pPr>
            <w:r>
              <w:rPr>
                <w:rFonts w:ascii="Times New Roman" w:hAnsi="Times New Roman"/>
                <w:sz w:val="18"/>
                <w:szCs w:val="18"/>
              </w:rPr>
              <w:t>28.64（174）</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0.06～2.12</w:t>
            </w:r>
          </w:p>
          <w:p>
            <w:pPr>
              <w:spacing w:line="180" w:lineRule="exact"/>
              <w:jc w:val="center"/>
              <w:rPr>
                <w:rFonts w:ascii="Times New Roman" w:hAnsi="Times New Roman"/>
                <w:kern w:val="0"/>
                <w:sz w:val="18"/>
                <w:szCs w:val="18"/>
                <w:u w:val="single"/>
              </w:rPr>
            </w:pPr>
            <w:r>
              <w:rPr>
                <w:rFonts w:ascii="Times New Roman" w:hAnsi="Times New Roman"/>
                <w:sz w:val="18"/>
                <w:szCs w:val="18"/>
              </w:rPr>
              <w:t>0.47（191）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Align w:val="center"/>
          </w:tcPr>
          <w:p>
            <w:pPr>
              <w:widowControl/>
              <w:jc w:val="center"/>
              <w:rPr>
                <w:rFonts w:ascii="Times New Roman" w:hAnsi="Times New Roman"/>
                <w:kern w:val="0"/>
                <w:sz w:val="18"/>
                <w:szCs w:val="18"/>
              </w:rPr>
            </w:pPr>
            <w:r>
              <w:rPr>
                <w:rFonts w:ascii="Times New Roman" w:hAnsi="Times New Roman"/>
                <w:kern w:val="0"/>
                <w:sz w:val="18"/>
                <w:szCs w:val="18"/>
              </w:rPr>
              <w:t>4-1上</w:t>
            </w:r>
          </w:p>
        </w:tc>
        <w:tc>
          <w:tcPr>
            <w:tcW w:w="1375"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0.97～11.00</w:t>
            </w:r>
          </w:p>
          <w:p>
            <w:pPr>
              <w:spacing w:line="180" w:lineRule="exact"/>
              <w:jc w:val="center"/>
              <w:rPr>
                <w:rFonts w:ascii="Times New Roman" w:hAnsi="Times New Roman"/>
                <w:sz w:val="18"/>
                <w:szCs w:val="18"/>
              </w:rPr>
            </w:pPr>
            <w:r>
              <w:rPr>
                <w:rFonts w:ascii="Times New Roman" w:hAnsi="Times New Roman"/>
                <w:sz w:val="18"/>
                <w:szCs w:val="18"/>
              </w:rPr>
              <w:t>5.22（185）</w:t>
            </w:r>
          </w:p>
        </w:tc>
        <w:tc>
          <w:tcPr>
            <w:tcW w:w="1411"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3.28～17.51</w:t>
            </w:r>
          </w:p>
          <w:p>
            <w:pPr>
              <w:spacing w:line="180" w:lineRule="exact"/>
              <w:jc w:val="center"/>
              <w:rPr>
                <w:rFonts w:ascii="Times New Roman" w:hAnsi="Times New Roman"/>
                <w:sz w:val="18"/>
                <w:szCs w:val="18"/>
              </w:rPr>
            </w:pPr>
            <w:r>
              <w:rPr>
                <w:rFonts w:ascii="Times New Roman" w:hAnsi="Times New Roman"/>
                <w:sz w:val="18"/>
                <w:szCs w:val="18"/>
              </w:rPr>
              <w:t>8.49（185）</w:t>
            </w:r>
          </w:p>
        </w:tc>
        <w:tc>
          <w:tcPr>
            <w:tcW w:w="1531"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27.60～41.69</w:t>
            </w:r>
          </w:p>
          <w:p>
            <w:pPr>
              <w:spacing w:line="180" w:lineRule="exact"/>
              <w:jc w:val="center"/>
              <w:rPr>
                <w:rFonts w:ascii="Times New Roman" w:hAnsi="Times New Roman"/>
                <w:sz w:val="18"/>
                <w:szCs w:val="18"/>
              </w:rPr>
            </w:pPr>
            <w:r>
              <w:rPr>
                <w:rFonts w:ascii="Times New Roman" w:hAnsi="Times New Roman"/>
                <w:sz w:val="18"/>
                <w:szCs w:val="18"/>
              </w:rPr>
              <w:t>34.59（185）</w:t>
            </w:r>
          </w:p>
        </w:tc>
        <w:tc>
          <w:tcPr>
            <w:tcW w:w="1498"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22.27～32.88</w:t>
            </w:r>
          </w:p>
          <w:p>
            <w:pPr>
              <w:spacing w:line="180" w:lineRule="exact"/>
              <w:jc w:val="center"/>
              <w:rPr>
                <w:rFonts w:ascii="Times New Roman" w:hAnsi="Times New Roman"/>
                <w:sz w:val="18"/>
                <w:szCs w:val="18"/>
              </w:rPr>
            </w:pPr>
            <w:r>
              <w:rPr>
                <w:rFonts w:ascii="Times New Roman" w:hAnsi="Times New Roman"/>
                <w:sz w:val="18"/>
                <w:szCs w:val="18"/>
              </w:rPr>
              <w:t>29.83（185）</w:t>
            </w:r>
          </w:p>
        </w:tc>
        <w:tc>
          <w:tcPr>
            <w:tcW w:w="1498"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21.62～31.99</w:t>
            </w:r>
          </w:p>
          <w:p>
            <w:pPr>
              <w:spacing w:line="180" w:lineRule="exact"/>
              <w:jc w:val="center"/>
              <w:rPr>
                <w:rFonts w:ascii="Times New Roman" w:hAnsi="Times New Roman"/>
                <w:sz w:val="18"/>
                <w:szCs w:val="18"/>
              </w:rPr>
            </w:pPr>
            <w:r>
              <w:rPr>
                <w:rFonts w:ascii="Times New Roman" w:hAnsi="Times New Roman"/>
                <w:sz w:val="18"/>
                <w:szCs w:val="18"/>
              </w:rPr>
              <w:t>28.93（185）</w:t>
            </w:r>
          </w:p>
        </w:tc>
        <w:tc>
          <w:tcPr>
            <w:tcW w:w="1425"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0.16～2.99</w:t>
            </w:r>
          </w:p>
          <w:p>
            <w:pPr>
              <w:spacing w:line="180" w:lineRule="exact"/>
              <w:jc w:val="center"/>
              <w:rPr>
                <w:rFonts w:ascii="Times New Roman" w:hAnsi="Times New Roman"/>
                <w:sz w:val="18"/>
                <w:szCs w:val="18"/>
              </w:rPr>
            </w:pPr>
            <w:r>
              <w:rPr>
                <w:rFonts w:ascii="Times New Roman" w:hAnsi="Times New Roman"/>
                <w:sz w:val="18"/>
                <w:szCs w:val="18"/>
              </w:rPr>
              <w:t>0.54（182）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4-1</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0.92～18.80</w:t>
            </w:r>
          </w:p>
          <w:p>
            <w:pPr>
              <w:spacing w:line="180" w:lineRule="exact"/>
              <w:jc w:val="center"/>
              <w:rPr>
                <w:rFonts w:ascii="Times New Roman" w:hAnsi="Times New Roman"/>
                <w:kern w:val="0"/>
                <w:sz w:val="18"/>
                <w:szCs w:val="18"/>
                <w:u w:val="single"/>
              </w:rPr>
            </w:pPr>
            <w:r>
              <w:rPr>
                <w:rFonts w:ascii="Times New Roman" w:hAnsi="Times New Roman"/>
                <w:sz w:val="18"/>
                <w:szCs w:val="18"/>
              </w:rPr>
              <w:t>5.11（357）</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2.46～38.21</w:t>
            </w:r>
          </w:p>
          <w:p>
            <w:pPr>
              <w:spacing w:line="180" w:lineRule="exact"/>
              <w:jc w:val="center"/>
              <w:rPr>
                <w:rFonts w:ascii="Times New Roman" w:hAnsi="Times New Roman"/>
                <w:kern w:val="0"/>
                <w:sz w:val="18"/>
                <w:szCs w:val="18"/>
                <w:u w:val="single"/>
              </w:rPr>
            </w:pPr>
            <w:r>
              <w:rPr>
                <w:rFonts w:ascii="Times New Roman" w:hAnsi="Times New Roman"/>
                <w:sz w:val="18"/>
                <w:szCs w:val="18"/>
              </w:rPr>
              <w:t>9.13（357）</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25.08～41.33</w:t>
            </w:r>
          </w:p>
          <w:p>
            <w:pPr>
              <w:spacing w:line="180" w:lineRule="exact"/>
              <w:jc w:val="center"/>
              <w:rPr>
                <w:rFonts w:ascii="Times New Roman" w:hAnsi="Times New Roman"/>
                <w:kern w:val="0"/>
                <w:sz w:val="18"/>
                <w:szCs w:val="18"/>
                <w:u w:val="single"/>
              </w:rPr>
            </w:pPr>
            <w:r>
              <w:rPr>
                <w:rFonts w:ascii="Times New Roman" w:hAnsi="Times New Roman"/>
                <w:sz w:val="18"/>
                <w:szCs w:val="18"/>
              </w:rPr>
              <w:t>33.48（355）</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19.53～33.19</w:t>
            </w:r>
          </w:p>
          <w:p>
            <w:pPr>
              <w:spacing w:line="180" w:lineRule="exact"/>
              <w:jc w:val="center"/>
              <w:rPr>
                <w:rFonts w:ascii="Times New Roman" w:hAnsi="Times New Roman"/>
                <w:kern w:val="0"/>
                <w:sz w:val="18"/>
                <w:szCs w:val="18"/>
                <w:u w:val="single"/>
              </w:rPr>
            </w:pPr>
            <w:r>
              <w:rPr>
                <w:rFonts w:ascii="Times New Roman" w:hAnsi="Times New Roman"/>
                <w:sz w:val="18"/>
                <w:szCs w:val="18"/>
              </w:rPr>
              <w:t>29.90（355）</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18.89～32.31</w:t>
            </w:r>
          </w:p>
          <w:p>
            <w:pPr>
              <w:spacing w:line="180" w:lineRule="exact"/>
              <w:jc w:val="center"/>
              <w:rPr>
                <w:rFonts w:ascii="Times New Roman" w:hAnsi="Times New Roman"/>
                <w:kern w:val="0"/>
                <w:sz w:val="18"/>
                <w:szCs w:val="18"/>
                <w:u w:val="single"/>
              </w:rPr>
            </w:pPr>
            <w:r>
              <w:rPr>
                <w:rFonts w:ascii="Times New Roman" w:hAnsi="Times New Roman"/>
                <w:sz w:val="18"/>
                <w:szCs w:val="18"/>
              </w:rPr>
              <w:t>28.96（340）</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0.09～2.74</w:t>
            </w:r>
          </w:p>
          <w:p>
            <w:pPr>
              <w:spacing w:line="180" w:lineRule="exact"/>
              <w:jc w:val="center"/>
              <w:rPr>
                <w:rFonts w:ascii="Times New Roman" w:hAnsi="Times New Roman"/>
                <w:kern w:val="0"/>
                <w:sz w:val="18"/>
                <w:szCs w:val="18"/>
                <w:u w:val="single"/>
              </w:rPr>
            </w:pPr>
            <w:r>
              <w:rPr>
                <w:rFonts w:ascii="Times New Roman" w:hAnsi="Times New Roman"/>
                <w:sz w:val="18"/>
                <w:szCs w:val="18"/>
              </w:rPr>
              <w:t>0.46（347）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Align w:val="center"/>
          </w:tcPr>
          <w:p>
            <w:pPr>
              <w:widowControl/>
              <w:jc w:val="center"/>
              <w:rPr>
                <w:rFonts w:ascii="Times New Roman" w:hAnsi="Times New Roman"/>
                <w:kern w:val="0"/>
                <w:sz w:val="18"/>
                <w:szCs w:val="18"/>
              </w:rPr>
            </w:pPr>
            <w:r>
              <w:rPr>
                <w:rFonts w:ascii="Times New Roman" w:hAnsi="Times New Roman"/>
                <w:kern w:val="0"/>
                <w:sz w:val="18"/>
                <w:szCs w:val="18"/>
              </w:rPr>
              <w:t>4-1下</w:t>
            </w:r>
          </w:p>
        </w:tc>
        <w:tc>
          <w:tcPr>
            <w:tcW w:w="1375"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0.90～10.49</w:t>
            </w:r>
          </w:p>
          <w:p>
            <w:pPr>
              <w:spacing w:line="180" w:lineRule="exact"/>
              <w:jc w:val="center"/>
              <w:rPr>
                <w:rFonts w:ascii="Times New Roman" w:hAnsi="Times New Roman"/>
                <w:sz w:val="18"/>
                <w:szCs w:val="18"/>
              </w:rPr>
            </w:pPr>
            <w:r>
              <w:rPr>
                <w:rFonts w:ascii="Times New Roman" w:hAnsi="Times New Roman"/>
                <w:sz w:val="18"/>
                <w:szCs w:val="18"/>
              </w:rPr>
              <w:t>4.04（73）</w:t>
            </w:r>
          </w:p>
        </w:tc>
        <w:tc>
          <w:tcPr>
            <w:tcW w:w="1411"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2.83～32.94</w:t>
            </w:r>
          </w:p>
          <w:p>
            <w:pPr>
              <w:spacing w:line="180" w:lineRule="exact"/>
              <w:jc w:val="center"/>
              <w:rPr>
                <w:rFonts w:ascii="Times New Roman" w:hAnsi="Times New Roman"/>
                <w:sz w:val="18"/>
                <w:szCs w:val="18"/>
              </w:rPr>
            </w:pPr>
            <w:r>
              <w:rPr>
                <w:rFonts w:ascii="Times New Roman" w:hAnsi="Times New Roman"/>
                <w:sz w:val="18"/>
                <w:szCs w:val="18"/>
              </w:rPr>
              <w:t>12.81（73）</w:t>
            </w:r>
          </w:p>
        </w:tc>
        <w:tc>
          <w:tcPr>
            <w:tcW w:w="1531"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28.69～38.61</w:t>
            </w:r>
          </w:p>
          <w:p>
            <w:pPr>
              <w:spacing w:line="180" w:lineRule="exact"/>
              <w:jc w:val="center"/>
              <w:rPr>
                <w:rFonts w:ascii="Times New Roman" w:hAnsi="Times New Roman"/>
                <w:sz w:val="18"/>
                <w:szCs w:val="18"/>
              </w:rPr>
            </w:pPr>
            <w:r>
              <w:rPr>
                <w:rFonts w:ascii="Times New Roman" w:hAnsi="Times New Roman"/>
                <w:sz w:val="18"/>
                <w:szCs w:val="18"/>
              </w:rPr>
              <w:t>33.81（73）</w:t>
            </w:r>
          </w:p>
        </w:tc>
        <w:tc>
          <w:tcPr>
            <w:tcW w:w="1498"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24.39～32.51</w:t>
            </w:r>
          </w:p>
          <w:p>
            <w:pPr>
              <w:spacing w:line="180" w:lineRule="exact"/>
              <w:jc w:val="center"/>
              <w:rPr>
                <w:rFonts w:ascii="Times New Roman" w:hAnsi="Times New Roman"/>
                <w:sz w:val="18"/>
                <w:szCs w:val="18"/>
              </w:rPr>
            </w:pPr>
            <w:r>
              <w:rPr>
                <w:rFonts w:ascii="Times New Roman" w:hAnsi="Times New Roman"/>
                <w:sz w:val="18"/>
                <w:szCs w:val="18"/>
              </w:rPr>
              <w:t>29.19（73）</w:t>
            </w:r>
          </w:p>
        </w:tc>
        <w:tc>
          <w:tcPr>
            <w:tcW w:w="1498"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23.63～32.21</w:t>
            </w:r>
          </w:p>
          <w:p>
            <w:pPr>
              <w:spacing w:line="180" w:lineRule="exact"/>
              <w:jc w:val="center"/>
              <w:rPr>
                <w:rFonts w:ascii="Times New Roman" w:hAnsi="Times New Roman"/>
                <w:sz w:val="18"/>
                <w:szCs w:val="18"/>
              </w:rPr>
            </w:pPr>
            <w:r>
              <w:rPr>
                <w:rFonts w:ascii="Times New Roman" w:hAnsi="Times New Roman"/>
                <w:sz w:val="18"/>
                <w:szCs w:val="18"/>
              </w:rPr>
              <w:t>29.09（68）</w:t>
            </w:r>
          </w:p>
        </w:tc>
        <w:tc>
          <w:tcPr>
            <w:tcW w:w="1425" w:type="dxa"/>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0.16～1.57</w:t>
            </w:r>
          </w:p>
          <w:p>
            <w:pPr>
              <w:spacing w:line="180" w:lineRule="exact"/>
              <w:jc w:val="center"/>
              <w:rPr>
                <w:rFonts w:ascii="Times New Roman" w:hAnsi="Times New Roman"/>
                <w:sz w:val="18"/>
                <w:szCs w:val="18"/>
              </w:rPr>
            </w:pPr>
            <w:r>
              <w:rPr>
                <w:rFonts w:ascii="Times New Roman" w:hAnsi="Times New Roman"/>
                <w:sz w:val="18"/>
                <w:szCs w:val="18"/>
              </w:rPr>
              <w:t>0.47（73）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4-2上</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0.53～17.11</w:t>
            </w:r>
          </w:p>
          <w:p>
            <w:pPr>
              <w:spacing w:line="180" w:lineRule="exact"/>
              <w:jc w:val="center"/>
              <w:rPr>
                <w:rFonts w:ascii="Times New Roman" w:hAnsi="Times New Roman"/>
                <w:kern w:val="0"/>
                <w:sz w:val="18"/>
                <w:szCs w:val="18"/>
                <w:u w:val="single"/>
              </w:rPr>
            </w:pPr>
            <w:r>
              <w:rPr>
                <w:rFonts w:ascii="Times New Roman" w:hAnsi="Times New Roman"/>
                <w:sz w:val="18"/>
                <w:szCs w:val="18"/>
              </w:rPr>
              <w:t>5.16（335）</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2.82～38.29</w:t>
            </w:r>
          </w:p>
          <w:p>
            <w:pPr>
              <w:spacing w:line="180" w:lineRule="exact"/>
              <w:jc w:val="center"/>
              <w:rPr>
                <w:rFonts w:ascii="Times New Roman" w:hAnsi="Times New Roman"/>
                <w:kern w:val="0"/>
                <w:sz w:val="18"/>
                <w:szCs w:val="18"/>
                <w:u w:val="single"/>
              </w:rPr>
            </w:pPr>
            <w:r>
              <w:rPr>
                <w:rFonts w:ascii="Times New Roman" w:hAnsi="Times New Roman"/>
                <w:sz w:val="18"/>
                <w:szCs w:val="18"/>
              </w:rPr>
              <w:t>8.54（335）</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25.44～40.97</w:t>
            </w:r>
          </w:p>
          <w:p>
            <w:pPr>
              <w:spacing w:line="180" w:lineRule="exact"/>
              <w:jc w:val="center"/>
              <w:rPr>
                <w:rFonts w:ascii="Times New Roman" w:hAnsi="Times New Roman"/>
                <w:kern w:val="0"/>
                <w:sz w:val="18"/>
                <w:szCs w:val="18"/>
                <w:u w:val="single"/>
              </w:rPr>
            </w:pPr>
            <w:r>
              <w:rPr>
                <w:rFonts w:ascii="Times New Roman" w:hAnsi="Times New Roman"/>
                <w:sz w:val="18"/>
                <w:szCs w:val="18"/>
              </w:rPr>
              <w:t>32.93（335）</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18.42～32.89</w:t>
            </w:r>
          </w:p>
          <w:p>
            <w:pPr>
              <w:spacing w:line="180" w:lineRule="exact"/>
              <w:jc w:val="center"/>
              <w:rPr>
                <w:rFonts w:ascii="Times New Roman" w:hAnsi="Times New Roman"/>
                <w:kern w:val="0"/>
                <w:sz w:val="18"/>
                <w:szCs w:val="18"/>
                <w:u w:val="single"/>
              </w:rPr>
            </w:pPr>
            <w:r>
              <w:rPr>
                <w:rFonts w:ascii="Times New Roman" w:hAnsi="Times New Roman"/>
                <w:sz w:val="18"/>
                <w:szCs w:val="18"/>
              </w:rPr>
              <w:t>30.09（332）</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17.77～32.06</w:t>
            </w:r>
          </w:p>
          <w:p>
            <w:pPr>
              <w:spacing w:line="180" w:lineRule="exact"/>
              <w:jc w:val="center"/>
              <w:rPr>
                <w:rFonts w:ascii="Times New Roman" w:hAnsi="Times New Roman"/>
                <w:kern w:val="0"/>
                <w:sz w:val="18"/>
                <w:szCs w:val="18"/>
                <w:u w:val="single"/>
              </w:rPr>
            </w:pPr>
            <w:r>
              <w:rPr>
                <w:rFonts w:ascii="Times New Roman" w:hAnsi="Times New Roman"/>
                <w:sz w:val="18"/>
                <w:szCs w:val="18"/>
              </w:rPr>
              <w:t>29.23（330）</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0.15～3.13</w:t>
            </w:r>
          </w:p>
          <w:p>
            <w:pPr>
              <w:spacing w:line="180" w:lineRule="exact"/>
              <w:jc w:val="center"/>
              <w:rPr>
                <w:rFonts w:ascii="Times New Roman" w:hAnsi="Times New Roman"/>
                <w:kern w:val="0"/>
                <w:sz w:val="18"/>
                <w:szCs w:val="18"/>
                <w:u w:val="single"/>
              </w:rPr>
            </w:pPr>
            <w:r>
              <w:rPr>
                <w:rFonts w:ascii="Times New Roman" w:hAnsi="Times New Roman"/>
                <w:sz w:val="18"/>
                <w:szCs w:val="18"/>
              </w:rPr>
              <w:t>0.44（333）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4-2</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0.68～17.10</w:t>
            </w:r>
          </w:p>
          <w:p>
            <w:pPr>
              <w:spacing w:line="180" w:lineRule="exact"/>
              <w:jc w:val="center"/>
              <w:rPr>
                <w:rFonts w:ascii="Times New Roman" w:hAnsi="Times New Roman"/>
                <w:kern w:val="0"/>
                <w:sz w:val="18"/>
                <w:szCs w:val="18"/>
                <w:u w:val="single"/>
              </w:rPr>
            </w:pPr>
            <w:r>
              <w:rPr>
                <w:rFonts w:ascii="Times New Roman" w:hAnsi="Times New Roman"/>
                <w:sz w:val="18"/>
                <w:szCs w:val="18"/>
              </w:rPr>
              <w:t>5.04（389）</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1.51～33.49</w:t>
            </w:r>
          </w:p>
          <w:p>
            <w:pPr>
              <w:spacing w:line="180" w:lineRule="exact"/>
              <w:jc w:val="center"/>
              <w:rPr>
                <w:rFonts w:ascii="Times New Roman" w:hAnsi="Times New Roman"/>
                <w:kern w:val="0"/>
                <w:sz w:val="18"/>
                <w:szCs w:val="18"/>
                <w:u w:val="single"/>
              </w:rPr>
            </w:pPr>
            <w:r>
              <w:rPr>
                <w:rFonts w:ascii="Times New Roman" w:hAnsi="Times New Roman"/>
                <w:sz w:val="18"/>
                <w:szCs w:val="18"/>
              </w:rPr>
              <w:t>8.84（389）</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24.44～42.93</w:t>
            </w:r>
          </w:p>
          <w:p>
            <w:pPr>
              <w:spacing w:line="180" w:lineRule="exact"/>
              <w:jc w:val="center"/>
              <w:rPr>
                <w:rFonts w:ascii="Times New Roman" w:hAnsi="Times New Roman"/>
                <w:kern w:val="0"/>
                <w:sz w:val="18"/>
                <w:szCs w:val="18"/>
                <w:u w:val="single"/>
              </w:rPr>
            </w:pPr>
            <w:r>
              <w:rPr>
                <w:rFonts w:ascii="Times New Roman" w:hAnsi="Times New Roman"/>
                <w:sz w:val="18"/>
                <w:szCs w:val="18"/>
              </w:rPr>
              <w:t>33.29（380）</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20.97～33.66</w:t>
            </w:r>
          </w:p>
          <w:p>
            <w:pPr>
              <w:spacing w:line="180" w:lineRule="exact"/>
              <w:jc w:val="center"/>
              <w:rPr>
                <w:rFonts w:ascii="Times New Roman" w:hAnsi="Times New Roman"/>
                <w:kern w:val="0"/>
                <w:sz w:val="18"/>
                <w:szCs w:val="18"/>
                <w:u w:val="single"/>
              </w:rPr>
            </w:pPr>
            <w:r>
              <w:rPr>
                <w:rFonts w:ascii="Times New Roman" w:hAnsi="Times New Roman"/>
                <w:sz w:val="18"/>
                <w:szCs w:val="18"/>
              </w:rPr>
              <w:t>29.57（389）</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20.14～32.68</w:t>
            </w:r>
          </w:p>
          <w:p>
            <w:pPr>
              <w:spacing w:line="180" w:lineRule="exact"/>
              <w:jc w:val="center"/>
              <w:rPr>
                <w:rFonts w:ascii="Times New Roman" w:hAnsi="Times New Roman"/>
                <w:kern w:val="0"/>
                <w:sz w:val="18"/>
                <w:szCs w:val="18"/>
                <w:u w:val="single"/>
              </w:rPr>
            </w:pPr>
            <w:r>
              <w:rPr>
                <w:rFonts w:ascii="Times New Roman" w:hAnsi="Times New Roman"/>
                <w:sz w:val="18"/>
                <w:szCs w:val="18"/>
              </w:rPr>
              <w:t>29.38（363）</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0.14～3.37</w:t>
            </w:r>
          </w:p>
          <w:p>
            <w:pPr>
              <w:spacing w:line="180" w:lineRule="exact"/>
              <w:jc w:val="center"/>
              <w:rPr>
                <w:rFonts w:ascii="Times New Roman" w:hAnsi="Times New Roman"/>
                <w:kern w:val="0"/>
                <w:sz w:val="18"/>
                <w:szCs w:val="18"/>
                <w:u w:val="single"/>
              </w:rPr>
            </w:pPr>
            <w:r>
              <w:rPr>
                <w:rFonts w:ascii="Times New Roman" w:hAnsi="Times New Roman"/>
                <w:sz w:val="18"/>
                <w:szCs w:val="18"/>
              </w:rPr>
              <w:t>0.45（371）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5-1</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0.79～19.60</w:t>
            </w:r>
          </w:p>
          <w:p>
            <w:pPr>
              <w:spacing w:line="180" w:lineRule="exact"/>
              <w:jc w:val="center"/>
              <w:rPr>
                <w:rFonts w:ascii="Times New Roman" w:hAnsi="Times New Roman"/>
                <w:kern w:val="0"/>
                <w:sz w:val="18"/>
                <w:szCs w:val="18"/>
                <w:u w:val="single"/>
              </w:rPr>
            </w:pPr>
            <w:r>
              <w:rPr>
                <w:rFonts w:ascii="Times New Roman" w:hAnsi="Times New Roman"/>
                <w:sz w:val="18"/>
                <w:szCs w:val="18"/>
              </w:rPr>
              <w:t>5.13（377）</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2.66～34.26</w:t>
            </w:r>
          </w:p>
          <w:p>
            <w:pPr>
              <w:spacing w:line="180" w:lineRule="exact"/>
              <w:jc w:val="center"/>
              <w:rPr>
                <w:rFonts w:ascii="Times New Roman" w:hAnsi="Times New Roman"/>
                <w:kern w:val="0"/>
                <w:sz w:val="18"/>
                <w:szCs w:val="18"/>
                <w:u w:val="single"/>
              </w:rPr>
            </w:pPr>
            <w:r>
              <w:rPr>
                <w:rFonts w:ascii="Times New Roman" w:hAnsi="Times New Roman"/>
                <w:sz w:val="18"/>
                <w:szCs w:val="18"/>
              </w:rPr>
              <w:t>9.21（377）</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26.87～39.45</w:t>
            </w:r>
          </w:p>
          <w:p>
            <w:pPr>
              <w:spacing w:line="180" w:lineRule="exact"/>
              <w:jc w:val="center"/>
              <w:rPr>
                <w:rFonts w:ascii="Times New Roman" w:hAnsi="Times New Roman"/>
                <w:kern w:val="0"/>
                <w:sz w:val="18"/>
                <w:szCs w:val="18"/>
                <w:u w:val="single"/>
              </w:rPr>
            </w:pPr>
            <w:r>
              <w:rPr>
                <w:rFonts w:ascii="Times New Roman" w:hAnsi="Times New Roman"/>
                <w:sz w:val="18"/>
                <w:szCs w:val="18"/>
              </w:rPr>
              <w:t>32.93（377）</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21.08～32.69</w:t>
            </w:r>
          </w:p>
          <w:p>
            <w:pPr>
              <w:spacing w:line="180" w:lineRule="exact"/>
              <w:jc w:val="center"/>
              <w:rPr>
                <w:rFonts w:ascii="Times New Roman" w:hAnsi="Times New Roman"/>
                <w:kern w:val="0"/>
                <w:sz w:val="18"/>
                <w:szCs w:val="18"/>
                <w:u w:val="single"/>
              </w:rPr>
            </w:pPr>
            <w:r>
              <w:rPr>
                <w:rFonts w:ascii="Times New Roman" w:hAnsi="Times New Roman"/>
                <w:sz w:val="18"/>
                <w:szCs w:val="18"/>
              </w:rPr>
              <w:t>29.91（376）</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20.45～31.76</w:t>
            </w:r>
          </w:p>
          <w:p>
            <w:pPr>
              <w:spacing w:line="180" w:lineRule="exact"/>
              <w:jc w:val="center"/>
              <w:rPr>
                <w:rFonts w:ascii="Times New Roman" w:hAnsi="Times New Roman"/>
                <w:kern w:val="0"/>
                <w:sz w:val="18"/>
                <w:szCs w:val="18"/>
                <w:u w:val="single"/>
              </w:rPr>
            </w:pPr>
            <w:r>
              <w:rPr>
                <w:rFonts w:ascii="Times New Roman" w:hAnsi="Times New Roman"/>
                <w:sz w:val="18"/>
                <w:szCs w:val="18"/>
              </w:rPr>
              <w:t>29.02（360）</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0.10～2.31</w:t>
            </w:r>
          </w:p>
          <w:p>
            <w:pPr>
              <w:spacing w:line="180" w:lineRule="exact"/>
              <w:jc w:val="center"/>
              <w:rPr>
                <w:rFonts w:ascii="Times New Roman" w:hAnsi="Times New Roman"/>
                <w:kern w:val="0"/>
                <w:sz w:val="18"/>
                <w:szCs w:val="18"/>
                <w:u w:val="single"/>
              </w:rPr>
            </w:pPr>
            <w:r>
              <w:rPr>
                <w:rFonts w:ascii="Times New Roman" w:hAnsi="Times New Roman"/>
                <w:sz w:val="18"/>
                <w:szCs w:val="18"/>
              </w:rPr>
              <w:t>0.44（362）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5-2</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0.62～10.64</w:t>
            </w:r>
          </w:p>
          <w:p>
            <w:pPr>
              <w:spacing w:line="180" w:lineRule="exact"/>
              <w:jc w:val="center"/>
              <w:rPr>
                <w:rFonts w:ascii="Times New Roman" w:hAnsi="Times New Roman"/>
                <w:kern w:val="0"/>
                <w:sz w:val="18"/>
                <w:szCs w:val="18"/>
                <w:u w:val="single"/>
              </w:rPr>
            </w:pPr>
            <w:r>
              <w:rPr>
                <w:rFonts w:ascii="Times New Roman" w:hAnsi="Times New Roman"/>
                <w:sz w:val="18"/>
                <w:szCs w:val="18"/>
              </w:rPr>
              <w:t>5.54（220）</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3.77～30.17</w:t>
            </w:r>
          </w:p>
          <w:p>
            <w:pPr>
              <w:spacing w:line="180" w:lineRule="exact"/>
              <w:jc w:val="center"/>
              <w:rPr>
                <w:rFonts w:ascii="Times New Roman" w:hAnsi="Times New Roman"/>
                <w:kern w:val="0"/>
                <w:sz w:val="18"/>
                <w:szCs w:val="18"/>
                <w:u w:val="single"/>
              </w:rPr>
            </w:pPr>
            <w:r>
              <w:rPr>
                <w:rFonts w:ascii="Times New Roman" w:hAnsi="Times New Roman"/>
                <w:sz w:val="18"/>
                <w:szCs w:val="18"/>
              </w:rPr>
              <w:t>10.08（220）</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24.47～40.54</w:t>
            </w:r>
          </w:p>
          <w:p>
            <w:pPr>
              <w:spacing w:line="180" w:lineRule="exact"/>
              <w:jc w:val="center"/>
              <w:rPr>
                <w:rFonts w:ascii="Times New Roman" w:hAnsi="Times New Roman"/>
                <w:kern w:val="0"/>
                <w:sz w:val="18"/>
                <w:szCs w:val="18"/>
                <w:u w:val="single"/>
              </w:rPr>
            </w:pPr>
            <w:r>
              <w:rPr>
                <w:rFonts w:ascii="Times New Roman" w:hAnsi="Times New Roman"/>
                <w:sz w:val="18"/>
                <w:szCs w:val="18"/>
              </w:rPr>
              <w:t>32.25（220）</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19.41～32.58</w:t>
            </w:r>
          </w:p>
          <w:p>
            <w:pPr>
              <w:spacing w:line="180" w:lineRule="exact"/>
              <w:jc w:val="center"/>
              <w:rPr>
                <w:rFonts w:ascii="Times New Roman" w:hAnsi="Times New Roman"/>
                <w:kern w:val="0"/>
                <w:sz w:val="18"/>
                <w:szCs w:val="18"/>
                <w:u w:val="single"/>
              </w:rPr>
            </w:pPr>
            <w:r>
              <w:rPr>
                <w:rFonts w:ascii="Times New Roman" w:hAnsi="Times New Roman"/>
                <w:sz w:val="18"/>
                <w:szCs w:val="18"/>
              </w:rPr>
              <w:t>29.73（219）</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18.79～31.76</w:t>
            </w:r>
          </w:p>
          <w:p>
            <w:pPr>
              <w:spacing w:line="180" w:lineRule="exact"/>
              <w:jc w:val="center"/>
              <w:rPr>
                <w:rFonts w:ascii="Times New Roman" w:hAnsi="Times New Roman"/>
                <w:kern w:val="0"/>
                <w:sz w:val="18"/>
                <w:szCs w:val="18"/>
                <w:u w:val="single"/>
              </w:rPr>
            </w:pPr>
            <w:r>
              <w:rPr>
                <w:rFonts w:ascii="Times New Roman" w:hAnsi="Times New Roman"/>
                <w:sz w:val="18"/>
                <w:szCs w:val="18"/>
              </w:rPr>
              <w:t>28.55（217）</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0.12～2.10</w:t>
            </w:r>
          </w:p>
          <w:p>
            <w:pPr>
              <w:spacing w:line="180" w:lineRule="exact"/>
              <w:jc w:val="center"/>
              <w:rPr>
                <w:rFonts w:ascii="Times New Roman" w:hAnsi="Times New Roman"/>
                <w:kern w:val="0"/>
                <w:sz w:val="18"/>
                <w:szCs w:val="18"/>
                <w:u w:val="single"/>
              </w:rPr>
            </w:pPr>
            <w:r>
              <w:rPr>
                <w:rFonts w:ascii="Times New Roman" w:hAnsi="Times New Roman"/>
                <w:sz w:val="18"/>
                <w:szCs w:val="18"/>
              </w:rPr>
              <w:t>0.43（217）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restart"/>
            <w:vAlign w:val="center"/>
          </w:tcPr>
          <w:p>
            <w:pPr>
              <w:widowControl/>
              <w:jc w:val="center"/>
              <w:rPr>
                <w:rFonts w:ascii="Times New Roman" w:hAnsi="Times New Roman"/>
                <w:kern w:val="0"/>
                <w:sz w:val="18"/>
                <w:szCs w:val="18"/>
              </w:rPr>
            </w:pPr>
            <w:r>
              <w:rPr>
                <w:rFonts w:ascii="Times New Roman" w:hAnsi="Times New Roman"/>
                <w:kern w:val="0"/>
                <w:sz w:val="18"/>
                <w:szCs w:val="18"/>
              </w:rPr>
              <w:t>6-2</w:t>
            </w:r>
          </w:p>
        </w:tc>
        <w:tc>
          <w:tcPr>
            <w:tcW w:w="137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0.98～10.94</w:t>
            </w:r>
          </w:p>
          <w:p>
            <w:pPr>
              <w:spacing w:line="180" w:lineRule="exact"/>
              <w:jc w:val="center"/>
              <w:rPr>
                <w:rFonts w:ascii="Times New Roman" w:hAnsi="Times New Roman"/>
                <w:kern w:val="0"/>
                <w:sz w:val="18"/>
                <w:szCs w:val="18"/>
                <w:u w:val="single"/>
              </w:rPr>
            </w:pPr>
            <w:r>
              <w:rPr>
                <w:rFonts w:ascii="Times New Roman" w:hAnsi="Times New Roman"/>
                <w:sz w:val="18"/>
                <w:szCs w:val="18"/>
              </w:rPr>
              <w:t>4.88（253）</w:t>
            </w:r>
          </w:p>
        </w:tc>
        <w:tc>
          <w:tcPr>
            <w:tcW w:w="141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2.84～47.30</w:t>
            </w:r>
          </w:p>
          <w:p>
            <w:pPr>
              <w:spacing w:line="180" w:lineRule="exact"/>
              <w:jc w:val="center"/>
              <w:rPr>
                <w:rFonts w:ascii="Times New Roman" w:hAnsi="Times New Roman"/>
                <w:kern w:val="0"/>
                <w:sz w:val="18"/>
                <w:szCs w:val="18"/>
                <w:u w:val="single"/>
              </w:rPr>
            </w:pPr>
            <w:r>
              <w:rPr>
                <w:rFonts w:ascii="Times New Roman" w:hAnsi="Times New Roman"/>
                <w:sz w:val="18"/>
                <w:szCs w:val="18"/>
              </w:rPr>
              <w:t>10.75（252）</w:t>
            </w:r>
          </w:p>
        </w:tc>
        <w:tc>
          <w:tcPr>
            <w:tcW w:w="1531"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24.24～58.52</w:t>
            </w:r>
          </w:p>
          <w:p>
            <w:pPr>
              <w:spacing w:line="180" w:lineRule="exact"/>
              <w:jc w:val="center"/>
              <w:rPr>
                <w:rFonts w:ascii="Times New Roman" w:hAnsi="Times New Roman"/>
                <w:kern w:val="0"/>
                <w:sz w:val="18"/>
                <w:szCs w:val="18"/>
                <w:u w:val="single"/>
              </w:rPr>
            </w:pPr>
            <w:r>
              <w:rPr>
                <w:rFonts w:ascii="Times New Roman" w:hAnsi="Times New Roman"/>
                <w:sz w:val="18"/>
                <w:szCs w:val="18"/>
              </w:rPr>
              <w:t>32.67（252）</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16.11～33.53</w:t>
            </w:r>
          </w:p>
          <w:p>
            <w:pPr>
              <w:spacing w:line="180" w:lineRule="exact"/>
              <w:jc w:val="center"/>
              <w:rPr>
                <w:rFonts w:ascii="Times New Roman" w:hAnsi="Times New Roman"/>
                <w:kern w:val="0"/>
                <w:sz w:val="18"/>
                <w:szCs w:val="18"/>
                <w:u w:val="single"/>
              </w:rPr>
            </w:pPr>
            <w:r>
              <w:rPr>
                <w:rFonts w:ascii="Times New Roman" w:hAnsi="Times New Roman"/>
                <w:sz w:val="18"/>
                <w:szCs w:val="18"/>
              </w:rPr>
              <w:t>29.27（253）</w:t>
            </w:r>
          </w:p>
        </w:tc>
        <w:tc>
          <w:tcPr>
            <w:tcW w:w="1498"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15.47～32.56</w:t>
            </w:r>
          </w:p>
          <w:p>
            <w:pPr>
              <w:spacing w:line="180" w:lineRule="exact"/>
              <w:jc w:val="center"/>
              <w:rPr>
                <w:rFonts w:ascii="Times New Roman" w:hAnsi="Times New Roman"/>
                <w:kern w:val="0"/>
                <w:sz w:val="18"/>
                <w:szCs w:val="18"/>
                <w:u w:val="single"/>
              </w:rPr>
            </w:pPr>
            <w:r>
              <w:rPr>
                <w:rFonts w:ascii="Times New Roman" w:hAnsi="Times New Roman"/>
                <w:sz w:val="18"/>
                <w:szCs w:val="18"/>
              </w:rPr>
              <w:t>28.42（252）</w:t>
            </w:r>
          </w:p>
        </w:tc>
        <w:tc>
          <w:tcPr>
            <w:tcW w:w="1425" w:type="dxa"/>
            <w:vMerge w:val="restart"/>
            <w:vAlign w:val="center"/>
          </w:tcPr>
          <w:p>
            <w:pPr>
              <w:spacing w:line="180" w:lineRule="exact"/>
              <w:jc w:val="center"/>
              <w:rPr>
                <w:rFonts w:ascii="Times New Roman" w:hAnsi="Times New Roman"/>
                <w:sz w:val="18"/>
                <w:szCs w:val="18"/>
                <w:u w:val="single"/>
              </w:rPr>
            </w:pPr>
            <w:r>
              <w:rPr>
                <w:rFonts w:ascii="Times New Roman" w:hAnsi="Times New Roman"/>
                <w:sz w:val="18"/>
                <w:szCs w:val="18"/>
                <w:u w:val="single"/>
              </w:rPr>
              <w:t>0.15～2.13</w:t>
            </w:r>
          </w:p>
          <w:p>
            <w:pPr>
              <w:spacing w:line="180" w:lineRule="exact"/>
              <w:jc w:val="center"/>
              <w:rPr>
                <w:rFonts w:ascii="Times New Roman" w:hAnsi="Times New Roman"/>
                <w:kern w:val="0"/>
                <w:sz w:val="18"/>
                <w:szCs w:val="18"/>
                <w:u w:val="single"/>
              </w:rPr>
            </w:pPr>
            <w:r>
              <w:rPr>
                <w:rFonts w:ascii="Times New Roman" w:hAnsi="Times New Roman"/>
                <w:sz w:val="18"/>
                <w:szCs w:val="18"/>
              </w:rPr>
              <w:t>0.49（246）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vMerge w:val="continue"/>
            <w:vAlign w:val="center"/>
          </w:tcPr>
          <w:p>
            <w:pPr>
              <w:widowControl/>
              <w:jc w:val="left"/>
              <w:rPr>
                <w:rFonts w:ascii="Times New Roman" w:hAnsi="Times New Roman"/>
                <w:kern w:val="0"/>
                <w:sz w:val="18"/>
                <w:szCs w:val="18"/>
              </w:rPr>
            </w:pPr>
          </w:p>
        </w:tc>
        <w:tc>
          <w:tcPr>
            <w:tcW w:w="1375" w:type="dxa"/>
            <w:vMerge w:val="continue"/>
            <w:vAlign w:val="center"/>
          </w:tcPr>
          <w:p>
            <w:pPr>
              <w:widowControl/>
              <w:jc w:val="left"/>
              <w:rPr>
                <w:rFonts w:ascii="Times New Roman" w:hAnsi="Times New Roman"/>
                <w:kern w:val="0"/>
                <w:sz w:val="18"/>
                <w:szCs w:val="18"/>
                <w:u w:val="single"/>
              </w:rPr>
            </w:pPr>
          </w:p>
        </w:tc>
        <w:tc>
          <w:tcPr>
            <w:tcW w:w="1411" w:type="dxa"/>
            <w:vMerge w:val="continue"/>
            <w:vAlign w:val="center"/>
          </w:tcPr>
          <w:p>
            <w:pPr>
              <w:widowControl/>
              <w:jc w:val="left"/>
              <w:rPr>
                <w:rFonts w:ascii="Times New Roman" w:hAnsi="Times New Roman"/>
                <w:kern w:val="0"/>
                <w:sz w:val="18"/>
                <w:szCs w:val="18"/>
                <w:u w:val="single"/>
              </w:rPr>
            </w:pPr>
          </w:p>
        </w:tc>
        <w:tc>
          <w:tcPr>
            <w:tcW w:w="1531"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98" w:type="dxa"/>
            <w:vMerge w:val="continue"/>
            <w:vAlign w:val="center"/>
          </w:tcPr>
          <w:p>
            <w:pPr>
              <w:widowControl/>
              <w:jc w:val="left"/>
              <w:rPr>
                <w:rFonts w:ascii="Times New Roman" w:hAnsi="Times New Roman"/>
                <w:kern w:val="0"/>
                <w:sz w:val="18"/>
                <w:szCs w:val="18"/>
                <w:u w:val="single"/>
              </w:rPr>
            </w:pPr>
          </w:p>
        </w:tc>
        <w:tc>
          <w:tcPr>
            <w:tcW w:w="1425" w:type="dxa"/>
            <w:vMerge w:val="continue"/>
            <w:vAlign w:val="center"/>
          </w:tcPr>
          <w:p>
            <w:pPr>
              <w:widowControl/>
              <w:jc w:val="left"/>
              <w:rPr>
                <w:rFonts w:ascii="Times New Roman" w:hAnsi="Times New Roman"/>
                <w:kern w:val="0"/>
                <w:sz w:val="18"/>
                <w:szCs w:val="18"/>
                <w:u w:val="single"/>
              </w:rPr>
            </w:pPr>
          </w:p>
        </w:tc>
      </w:tr>
    </w:tbl>
    <w:p>
      <w:pPr>
        <w:widowControl/>
        <w:jc w:val="left"/>
        <w:rPr>
          <w:rFonts w:ascii="Times New Roman" w:hAnsi="Times New Roman"/>
          <w:kern w:val="0"/>
        </w:rPr>
        <w:sectPr>
          <w:pgSz w:w="11906" w:h="16838"/>
          <w:pgMar w:top="1701" w:right="1418" w:bottom="1247" w:left="1418" w:header="1134" w:footer="851" w:gutter="0"/>
          <w:cols w:space="720" w:num="1"/>
        </w:sectPr>
      </w:pPr>
    </w:p>
    <w:p>
      <w:pPr>
        <w:keepNext/>
        <w:keepLines/>
        <w:spacing w:line="440" w:lineRule="exact"/>
        <w:outlineLvl w:val="3"/>
        <w:rPr>
          <w:rFonts w:ascii="Times New Roman" w:hAnsi="Times New Roman"/>
          <w:b/>
        </w:rPr>
      </w:pPr>
      <w:r>
        <w:rPr>
          <w:rFonts w:ascii="Times New Roman" w:hAnsi="Times New Roman"/>
          <w:b/>
        </w:rPr>
        <w:t>2.1.5.4 矿区勘查程度及储量</w:t>
      </w:r>
    </w:p>
    <w:p>
      <w:pPr>
        <w:pStyle w:val="428"/>
        <w:spacing w:line="440" w:lineRule="exact"/>
        <w:ind w:firstLine="480"/>
        <w:rPr>
          <w:rFonts w:ascii="Times New Roman" w:hAnsi="Times New Roman" w:eastAsia="宋体" w:cs="Times New Roman"/>
        </w:rPr>
      </w:pPr>
      <w:r>
        <w:rPr>
          <w:rFonts w:ascii="Times New Roman" w:hAnsi="Times New Roman" w:eastAsia="宋体" w:cs="Times New Roman"/>
          <w:bCs w:val="0"/>
        </w:rPr>
        <w:t>矿区共划分为4个井田，即奎腾沟井田、苏布尔嘎井田、壕赖苏井田、纳林希里井田，矿区西部普查区划分为1个勘查区。其中苏布尔嘎井田、纳林希里井田已达到勘探程度，奎腾沟井田现有勘察程度为详查+普查，壕赖苏井田达到详查程度，西部勘查区现有勘察程度为普查。</w:t>
      </w:r>
      <w:r>
        <w:rPr>
          <w:rStyle w:val="74"/>
          <w:rFonts w:ascii="Times New Roman" w:hAnsi="Times New Roman" w:eastAsia="宋体" w:cs="Times New Roman"/>
          <w:bCs w:val="0"/>
          <w:kern w:val="2"/>
          <w:sz w:val="24"/>
        </w:rPr>
        <w:t>矿区内达到勘探和详查区域赋煤面积445.45</w:t>
      </w:r>
      <w:r>
        <w:rPr>
          <w:rFonts w:ascii="Times New Roman" w:hAnsi="Times New Roman" w:eastAsia="宋体" w:cs="Times New Roman"/>
        </w:rPr>
        <w:t>km</w:t>
      </w:r>
      <w:r>
        <w:rPr>
          <w:rFonts w:ascii="Times New Roman" w:hAnsi="Times New Roman" w:eastAsia="宋体" w:cs="Times New Roman"/>
          <w:vertAlign w:val="superscript"/>
        </w:rPr>
        <w:t>2</w:t>
      </w:r>
      <w:r>
        <w:rPr>
          <w:rFonts w:ascii="Times New Roman" w:hAnsi="Times New Roman" w:eastAsia="宋体" w:cs="Times New Roman"/>
        </w:rPr>
        <w:t>，占总面积的62.9%。矿区勘探程度见图2.1-6。</w:t>
      </w:r>
    </w:p>
    <w:p>
      <w:pPr>
        <w:adjustRightInd w:val="0"/>
        <w:snapToGrid w:val="0"/>
        <w:spacing w:line="440" w:lineRule="exact"/>
        <w:jc w:val="center"/>
        <w:rPr>
          <w:rFonts w:ascii="Times New Roman" w:hAnsi="Times New Roman"/>
          <w:b/>
          <w:bCs/>
          <w:szCs w:val="24"/>
        </w:rPr>
      </w:pPr>
      <w:r>
        <w:rPr>
          <w:rFonts w:ascii="Times New Roman" w:hAnsi="Times New Roman"/>
          <w:b/>
          <w:bCs/>
          <w:szCs w:val="24"/>
        </w:rPr>
        <w:drawing>
          <wp:anchor distT="0" distB="0" distL="114300" distR="114300" simplePos="0" relativeHeight="251668480" behindDoc="0" locked="0" layoutInCell="1" allowOverlap="1">
            <wp:simplePos x="0" y="0"/>
            <wp:positionH relativeFrom="column">
              <wp:posOffset>1233805</wp:posOffset>
            </wp:positionH>
            <wp:positionV relativeFrom="paragraph">
              <wp:posOffset>219075</wp:posOffset>
            </wp:positionV>
            <wp:extent cx="3309620" cy="5572125"/>
            <wp:effectExtent l="0" t="0" r="5080" b="9525"/>
            <wp:wrapTopAndBottom/>
            <wp:docPr id="38" name="图片 2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descr="1"/>
                    <pic:cNvPicPr>
                      <a:picLocks noChangeAspect="1"/>
                    </pic:cNvPicPr>
                  </pic:nvPicPr>
                  <pic:blipFill>
                    <a:blip r:embed="rId57"/>
                    <a:stretch>
                      <a:fillRect/>
                    </a:stretch>
                  </pic:blipFill>
                  <pic:spPr>
                    <a:xfrm>
                      <a:off x="0" y="0"/>
                      <a:ext cx="3309620" cy="5572125"/>
                    </a:xfrm>
                    <a:prstGeom prst="rect">
                      <a:avLst/>
                    </a:prstGeom>
                    <a:noFill/>
                    <a:ln>
                      <a:noFill/>
                    </a:ln>
                  </pic:spPr>
                </pic:pic>
              </a:graphicData>
            </a:graphic>
          </wp:anchor>
        </w:drawing>
      </w:r>
      <w:r>
        <w:rPr>
          <w:rFonts w:ascii="Times New Roman" w:hAnsi="Times New Roman"/>
          <w:b/>
          <w:bCs/>
          <w:szCs w:val="24"/>
        </w:rPr>
        <w:t>图2.1-6  矿区勘探程度示意图</w:t>
      </w:r>
    </w:p>
    <w:p>
      <w:pPr>
        <w:keepNext/>
        <w:keepLines/>
        <w:spacing w:line="440" w:lineRule="exact"/>
        <w:outlineLvl w:val="3"/>
        <w:rPr>
          <w:rFonts w:ascii="Times New Roman" w:hAnsi="Times New Roman"/>
          <w:b/>
        </w:rPr>
      </w:pPr>
      <w:r>
        <w:rPr>
          <w:rFonts w:ascii="Times New Roman" w:hAnsi="Times New Roman"/>
          <w:b/>
        </w:rPr>
        <w:t>2.1.5.5瓦斯、煤层及煤的自燃</w:t>
      </w:r>
    </w:p>
    <w:p>
      <w:pPr>
        <w:pStyle w:val="428"/>
        <w:spacing w:line="440" w:lineRule="exact"/>
        <w:ind w:firstLine="480"/>
        <w:rPr>
          <w:rFonts w:ascii="Times New Roman" w:hAnsi="Times New Roman" w:eastAsia="宋体" w:cs="Times New Roman"/>
          <w:bCs w:val="0"/>
        </w:rPr>
      </w:pPr>
      <w:r>
        <w:rPr>
          <w:rFonts w:ascii="Times New Roman" w:hAnsi="Times New Roman" w:eastAsia="宋体" w:cs="Times New Roman"/>
          <w:bCs w:val="0"/>
        </w:rPr>
        <w:t>（1）瓦斯（煤层气）资源赋存及其开发利用</w:t>
      </w:r>
    </w:p>
    <w:p>
      <w:pPr>
        <w:pStyle w:val="428"/>
        <w:spacing w:line="440" w:lineRule="exact"/>
        <w:ind w:firstLine="480"/>
        <w:rPr>
          <w:rFonts w:ascii="Times New Roman" w:hAnsi="Times New Roman" w:eastAsia="宋体" w:cs="Times New Roman"/>
          <w:bCs w:val="0"/>
        </w:rPr>
      </w:pPr>
      <w:r>
        <w:rPr>
          <w:rFonts w:ascii="Times New Roman" w:hAnsi="Times New Roman" w:eastAsia="宋体" w:cs="Times New Roman"/>
          <w:bCs w:val="0"/>
        </w:rPr>
        <w:t>据钻孔瓦斯测定成果，煤层甲烷含量在0.00～0.75ml/g之间，自然瓦斯成分中甲烷在0～33.50%之间，故无CH</w:t>
      </w:r>
      <w:r>
        <w:rPr>
          <w:rFonts w:ascii="Times New Roman" w:hAnsi="Times New Roman" w:eastAsia="宋体" w:cs="Times New Roman"/>
          <w:bCs w:val="0"/>
          <w:vertAlign w:val="subscript"/>
        </w:rPr>
        <w:t>4</w:t>
      </w:r>
      <w:r>
        <w:rPr>
          <w:rFonts w:ascii="Times New Roman" w:hAnsi="Times New Roman" w:eastAsia="宋体" w:cs="Times New Roman"/>
          <w:bCs w:val="0"/>
        </w:rPr>
        <w:t>带；CO</w:t>
      </w:r>
      <w:r>
        <w:rPr>
          <w:rFonts w:ascii="Times New Roman" w:hAnsi="Times New Roman" w:eastAsia="宋体" w:cs="Times New Roman"/>
          <w:bCs w:val="0"/>
          <w:vertAlign w:val="subscript"/>
        </w:rPr>
        <w:t>2</w:t>
      </w:r>
      <w:r>
        <w:rPr>
          <w:rFonts w:ascii="Times New Roman" w:hAnsi="Times New Roman" w:eastAsia="宋体" w:cs="Times New Roman"/>
          <w:bCs w:val="0"/>
        </w:rPr>
        <w:t>为0~15.67%，N</w:t>
      </w:r>
      <w:r>
        <w:rPr>
          <w:rFonts w:ascii="Times New Roman" w:hAnsi="Times New Roman" w:eastAsia="宋体" w:cs="Times New Roman"/>
          <w:bCs w:val="0"/>
          <w:vertAlign w:val="subscript"/>
        </w:rPr>
        <w:t>2</w:t>
      </w:r>
      <w:r>
        <w:rPr>
          <w:rFonts w:ascii="Times New Roman" w:hAnsi="Times New Roman" w:eastAsia="宋体" w:cs="Times New Roman"/>
          <w:bCs w:val="0"/>
        </w:rPr>
        <w:t>为62.05~98.4%。属CO</w:t>
      </w:r>
      <w:r>
        <w:rPr>
          <w:rFonts w:ascii="Times New Roman" w:hAnsi="Times New Roman" w:eastAsia="宋体" w:cs="Times New Roman"/>
          <w:bCs w:val="0"/>
          <w:vertAlign w:val="subscript"/>
        </w:rPr>
        <w:t>2</w:t>
      </w:r>
      <w:r>
        <w:rPr>
          <w:rFonts w:ascii="Times New Roman" w:hAnsi="Times New Roman" w:eastAsia="宋体" w:cs="Times New Roman"/>
          <w:bCs w:val="0"/>
        </w:rPr>
        <w:t>~N</w:t>
      </w:r>
      <w:r>
        <w:rPr>
          <w:rFonts w:ascii="Times New Roman" w:hAnsi="Times New Roman" w:eastAsia="宋体" w:cs="Times New Roman"/>
          <w:bCs w:val="0"/>
          <w:vertAlign w:val="subscript"/>
        </w:rPr>
        <w:t>2</w:t>
      </w:r>
      <w:r>
        <w:rPr>
          <w:rFonts w:ascii="Times New Roman" w:hAnsi="Times New Roman" w:eastAsia="宋体" w:cs="Times New Roman"/>
          <w:bCs w:val="0"/>
        </w:rPr>
        <w:t>带，即瓦斯风化带，为低瓦斯矿井。</w:t>
      </w:r>
    </w:p>
    <w:p>
      <w:pPr>
        <w:pStyle w:val="428"/>
        <w:spacing w:line="440" w:lineRule="exact"/>
        <w:ind w:firstLine="480"/>
        <w:rPr>
          <w:rFonts w:ascii="Times New Roman" w:hAnsi="Times New Roman" w:eastAsia="宋体" w:cs="Times New Roman"/>
          <w:bCs w:val="0"/>
        </w:rPr>
      </w:pPr>
      <w:r>
        <w:rPr>
          <w:rFonts w:ascii="Times New Roman" w:hAnsi="Times New Roman" w:eastAsia="宋体" w:cs="Times New Roman"/>
          <w:bCs w:val="0"/>
        </w:rPr>
        <w:t>（2）煤尘爆炸性</w:t>
      </w:r>
    </w:p>
    <w:p>
      <w:pPr>
        <w:pStyle w:val="428"/>
        <w:spacing w:line="440" w:lineRule="exact"/>
        <w:ind w:firstLine="480"/>
        <w:rPr>
          <w:rFonts w:ascii="Times New Roman" w:hAnsi="Times New Roman" w:eastAsia="宋体" w:cs="Times New Roman"/>
          <w:bCs w:val="0"/>
        </w:rPr>
      </w:pPr>
      <w:r>
        <w:rPr>
          <w:rFonts w:ascii="Times New Roman" w:hAnsi="Times New Roman" w:eastAsia="宋体" w:cs="Times New Roman"/>
        </w:rPr>
        <w:t>根据壕赖苏详查区钻孔测试结果，各煤层火焰长度为80～&gt;400mm，抑止煤尘爆炸最低岩粉填加量25％～85％，平均66%，各煤层均具煤尘爆炸危险性。</w:t>
      </w:r>
    </w:p>
    <w:p>
      <w:pPr>
        <w:pStyle w:val="428"/>
        <w:spacing w:line="440" w:lineRule="exact"/>
        <w:ind w:firstLine="480"/>
        <w:rPr>
          <w:rFonts w:ascii="Times New Roman" w:hAnsi="Times New Roman" w:eastAsia="宋体" w:cs="Times New Roman"/>
          <w:bCs w:val="0"/>
        </w:rPr>
      </w:pPr>
      <w:r>
        <w:rPr>
          <w:rFonts w:ascii="Times New Roman" w:hAnsi="Times New Roman" w:eastAsia="宋体" w:cs="Times New Roman"/>
          <w:bCs w:val="0"/>
        </w:rPr>
        <w:t>（3）煤的自燃倾向</w:t>
      </w:r>
    </w:p>
    <w:p>
      <w:pPr>
        <w:pStyle w:val="428"/>
        <w:spacing w:line="440" w:lineRule="exact"/>
        <w:ind w:firstLine="480"/>
        <w:rPr>
          <w:rFonts w:ascii="Times New Roman" w:hAnsi="Times New Roman" w:eastAsia="宋体" w:cs="Times New Roman"/>
          <w:bCs w:val="0"/>
        </w:rPr>
      </w:pPr>
      <w:r>
        <w:rPr>
          <w:rFonts w:ascii="Times New Roman" w:hAnsi="Times New Roman" w:eastAsia="宋体" w:cs="Times New Roman"/>
          <w:bCs w:val="0"/>
        </w:rPr>
        <w:t>煤样燃点测试结果表明，本区煤为Ⅰ～Ⅱ级（容易自燃～自燃）煤，以Ⅰ级自燃煤为主，各煤层的自燃发火期一般为40天～60天。</w:t>
      </w:r>
    </w:p>
    <w:p>
      <w:pPr>
        <w:keepNext/>
        <w:keepLines/>
        <w:spacing w:line="440" w:lineRule="exact"/>
        <w:outlineLvl w:val="3"/>
        <w:rPr>
          <w:rFonts w:ascii="Times New Roman" w:hAnsi="Times New Roman"/>
          <w:b/>
        </w:rPr>
      </w:pPr>
      <w:r>
        <w:rPr>
          <w:rFonts w:ascii="Times New Roman" w:hAnsi="Times New Roman"/>
          <w:b/>
        </w:rPr>
        <w:t xml:space="preserve">2.1.5.6放射性 </w:t>
      </w:r>
    </w:p>
    <w:p>
      <w:pPr>
        <w:spacing w:line="500" w:lineRule="exact"/>
        <w:ind w:firstLine="480" w:firstLineChars="200"/>
        <w:rPr>
          <w:rFonts w:ascii="Times New Roman" w:hAnsi="Times New Roman"/>
          <w:kern w:val="0"/>
          <w:szCs w:val="18"/>
        </w:rPr>
      </w:pPr>
      <w:r>
        <w:rPr>
          <w:rFonts w:ascii="Times New Roman" w:hAnsi="Times New Roman"/>
          <w:kern w:val="0"/>
          <w:szCs w:val="18"/>
        </w:rPr>
        <w:t>矿区内施工的钻孔均进行了自然伽玛测量，通过对自然伽玛曲线的系统研究，确定矿区内无放射性异常。</w:t>
      </w:r>
    </w:p>
    <w:p>
      <w:pPr>
        <w:pStyle w:val="5"/>
        <w:spacing w:before="120" w:after="120" w:line="440" w:lineRule="exact"/>
        <w:rPr>
          <w:sz w:val="24"/>
        </w:rPr>
      </w:pPr>
      <w:r>
        <w:rPr>
          <w:sz w:val="24"/>
        </w:rPr>
        <w:t>2.1.6 井田划分方案</w:t>
      </w:r>
    </w:p>
    <w:p>
      <w:pPr>
        <w:keepNext/>
        <w:keepLines/>
        <w:spacing w:line="440" w:lineRule="exact"/>
        <w:outlineLvl w:val="3"/>
        <w:rPr>
          <w:rFonts w:ascii="Times New Roman" w:hAnsi="Times New Roman"/>
          <w:b/>
        </w:rPr>
      </w:pPr>
      <w:r>
        <w:rPr>
          <w:rFonts w:ascii="Times New Roman" w:hAnsi="Times New Roman"/>
          <w:b/>
        </w:rPr>
        <w:t>2.1.6.1 井田划分方案</w:t>
      </w:r>
    </w:p>
    <w:p>
      <w:pPr>
        <w:snapToGrid w:val="0"/>
        <w:spacing w:line="440" w:lineRule="exact"/>
        <w:ind w:firstLine="480" w:firstLineChars="200"/>
        <w:rPr>
          <w:rFonts w:ascii="Times New Roman" w:hAnsi="Times New Roman"/>
          <w:snapToGrid w:val="0"/>
          <w:spacing w:val="-4"/>
          <w:kern w:val="0"/>
        </w:rPr>
      </w:pPr>
      <w:r>
        <w:rPr>
          <w:rFonts w:ascii="Times New Roman" w:hAnsi="Times New Roman"/>
        </w:rPr>
        <w:t>矿区规划推荐井田划分方案将全矿区划分4个井田（奎腾沟井田8.00Mt/a、苏布尔嘎井田8.00Mt/a、壕赖苏井田8.00Mt/a、纳林希里井田8.00Mt/a），矿区西部普查区划分为1个勘查区。矿区规划总规模为32.00Mt/a。</w:t>
      </w:r>
      <w:r>
        <w:rPr>
          <w:rFonts w:ascii="Times New Roman" w:hAnsi="Times New Roman"/>
          <w:snapToGrid w:val="0"/>
          <w:spacing w:val="-4"/>
          <w:kern w:val="0"/>
        </w:rPr>
        <w:t>规划各井田特征见表2.1-5，井田划分方案见图2.1-7。</w:t>
      </w:r>
    </w:p>
    <w:p>
      <w:pPr>
        <w:adjustRightInd w:val="0"/>
        <w:snapToGrid w:val="0"/>
        <w:spacing w:line="440" w:lineRule="exact"/>
        <w:jc w:val="center"/>
        <w:rPr>
          <w:rFonts w:ascii="Times New Roman" w:hAnsi="Times New Roman"/>
          <w:b/>
          <w:szCs w:val="24"/>
        </w:rPr>
      </w:pPr>
      <w:r>
        <w:rPr>
          <w:rFonts w:ascii="Times New Roman" w:hAnsi="Times New Roman"/>
          <w:b/>
          <w:szCs w:val="24"/>
        </w:rPr>
        <w:t>规划井田及勘查区特征表</w:t>
      </w:r>
    </w:p>
    <w:p>
      <w:pPr>
        <w:adjustRightInd w:val="0"/>
        <w:snapToGrid w:val="0"/>
        <w:spacing w:line="440" w:lineRule="exact"/>
        <w:rPr>
          <w:rFonts w:ascii="Times New Roman" w:hAnsi="Times New Roman"/>
          <w:szCs w:val="24"/>
        </w:rPr>
      </w:pPr>
      <w:r>
        <w:rPr>
          <w:rFonts w:ascii="Times New Roman" w:hAnsi="Times New Roman"/>
          <w:szCs w:val="24"/>
        </w:rPr>
        <w:t>表2.1-5</w:t>
      </w:r>
    </w:p>
    <w:tbl>
      <w:tblPr>
        <w:tblStyle w:val="5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012"/>
        <w:gridCol w:w="689"/>
        <w:gridCol w:w="708"/>
        <w:gridCol w:w="851"/>
        <w:gridCol w:w="848"/>
        <w:gridCol w:w="774"/>
        <w:gridCol w:w="646"/>
        <w:gridCol w:w="709"/>
        <w:gridCol w:w="992"/>
        <w:gridCol w:w="850"/>
        <w:gridCol w:w="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4" w:type="dxa"/>
            <w:vMerge w:val="restart"/>
            <w:tcBorders>
              <w:top w:val="single" w:color="auto" w:sz="4" w:space="0"/>
              <w:left w:val="single" w:color="auto" w:sz="4" w:space="0"/>
              <w:bottom w:val="single" w:color="auto" w:sz="4" w:space="0"/>
              <w:right w:val="single" w:color="auto" w:sz="4" w:space="0"/>
            </w:tcBorders>
            <w:vAlign w:val="center"/>
          </w:tcPr>
          <w:p>
            <w:pPr>
              <w:widowControl/>
              <w:ind w:left="-40" w:right="-40"/>
              <w:jc w:val="center"/>
              <w:rPr>
                <w:rFonts w:ascii="Times New Roman" w:hAnsi="Times New Roman"/>
                <w:snapToGrid w:val="0"/>
                <w:kern w:val="0"/>
                <w:sz w:val="21"/>
                <w:szCs w:val="21"/>
              </w:rPr>
            </w:pPr>
            <w:r>
              <w:rPr>
                <w:rFonts w:ascii="Times New Roman" w:hAnsi="Times New Roman"/>
                <w:snapToGrid w:val="0"/>
                <w:kern w:val="0"/>
                <w:sz w:val="21"/>
                <w:szCs w:val="21"/>
              </w:rPr>
              <w:t>序</w:t>
            </w:r>
          </w:p>
          <w:p>
            <w:pPr>
              <w:widowControl/>
              <w:ind w:left="-40" w:right="-40"/>
              <w:jc w:val="center"/>
              <w:rPr>
                <w:rFonts w:ascii="Times New Roman" w:hAnsi="Times New Roman"/>
                <w:snapToGrid w:val="0"/>
                <w:kern w:val="0"/>
                <w:sz w:val="21"/>
                <w:szCs w:val="21"/>
              </w:rPr>
            </w:pPr>
            <w:r>
              <w:rPr>
                <w:rFonts w:ascii="Times New Roman" w:hAnsi="Times New Roman"/>
                <w:snapToGrid w:val="0"/>
                <w:kern w:val="0"/>
                <w:sz w:val="21"/>
                <w:szCs w:val="21"/>
              </w:rPr>
              <w:t>号</w:t>
            </w:r>
          </w:p>
        </w:tc>
        <w:tc>
          <w:tcPr>
            <w:tcW w:w="1012"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井田名称</w:t>
            </w:r>
          </w:p>
        </w:tc>
        <w:tc>
          <w:tcPr>
            <w:tcW w:w="2248" w:type="dxa"/>
            <w:gridSpan w:val="3"/>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井田尺寸</w:t>
            </w:r>
          </w:p>
        </w:tc>
        <w:tc>
          <w:tcPr>
            <w:tcW w:w="848"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工业储量（Mt）</w:t>
            </w:r>
          </w:p>
        </w:tc>
        <w:tc>
          <w:tcPr>
            <w:tcW w:w="774"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可采储量（Mt）</w:t>
            </w:r>
          </w:p>
        </w:tc>
        <w:tc>
          <w:tcPr>
            <w:tcW w:w="646"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设计生产规模（Mt/a）</w:t>
            </w:r>
          </w:p>
        </w:tc>
        <w:tc>
          <w:tcPr>
            <w:tcW w:w="709" w:type="dxa"/>
            <w:vMerge w:val="restart"/>
            <w:tcBorders>
              <w:top w:val="single" w:color="auto" w:sz="4" w:space="0"/>
              <w:left w:val="single" w:color="auto" w:sz="4" w:space="0"/>
              <w:right w:val="single" w:color="auto" w:sz="4" w:space="0"/>
            </w:tcBorders>
            <w:vAlign w:val="center"/>
          </w:tcPr>
          <w:p>
            <w:pPr>
              <w:widowControl/>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服务年限（a）</w:t>
            </w:r>
          </w:p>
        </w:tc>
        <w:tc>
          <w:tcPr>
            <w:tcW w:w="1842"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1000m</w:t>
            </w:r>
            <w:r>
              <w:rPr>
                <w:rFonts w:hint="eastAsia" w:ascii="Times New Roman" w:hAnsi="Times New Roman"/>
                <w:color w:val="FF0000"/>
                <w:kern w:val="0"/>
                <w:sz w:val="21"/>
                <w:szCs w:val="21"/>
              </w:rPr>
              <w:t>以浅</w:t>
            </w:r>
          </w:p>
        </w:tc>
        <w:tc>
          <w:tcPr>
            <w:tcW w:w="67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开拓</w:t>
            </w:r>
          </w:p>
          <w:p>
            <w:pPr>
              <w:adjustRightInd w:val="0"/>
              <w:snapToGrid w:val="0"/>
              <w:jc w:val="center"/>
              <w:rPr>
                <w:rFonts w:ascii="Times New Roman" w:hAnsi="Times New Roman"/>
                <w:kern w:val="0"/>
                <w:sz w:val="21"/>
                <w:szCs w:val="21"/>
              </w:rPr>
            </w:pPr>
            <w:r>
              <w:rPr>
                <w:rFonts w:ascii="Times New Roman" w:hAnsi="Times New Roman"/>
                <w:kern w:val="0"/>
                <w:sz w:val="21"/>
                <w:szCs w:val="21"/>
              </w:rPr>
              <w:t>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napToGrid w:val="0"/>
                <w:kern w:val="0"/>
                <w:sz w:val="21"/>
                <w:szCs w:val="21"/>
              </w:rPr>
            </w:pPr>
          </w:p>
        </w:tc>
        <w:tc>
          <w:tcPr>
            <w:tcW w:w="1012"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68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长</w:t>
            </w:r>
          </w:p>
          <w:p>
            <w:pPr>
              <w:adjustRightInd w:val="0"/>
              <w:snapToGrid w:val="0"/>
              <w:jc w:val="center"/>
              <w:rPr>
                <w:rFonts w:ascii="Times New Roman" w:hAnsi="Times New Roman"/>
                <w:kern w:val="0"/>
                <w:sz w:val="21"/>
                <w:szCs w:val="21"/>
              </w:rPr>
            </w:pPr>
            <w:r>
              <w:rPr>
                <w:rFonts w:ascii="Times New Roman" w:hAnsi="Times New Roman"/>
                <w:kern w:val="0"/>
                <w:sz w:val="21"/>
                <w:szCs w:val="21"/>
              </w:rPr>
              <w:t>(km)</w:t>
            </w:r>
          </w:p>
        </w:tc>
        <w:tc>
          <w:tcPr>
            <w:tcW w:w="70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宽</w:t>
            </w:r>
          </w:p>
          <w:p>
            <w:pPr>
              <w:adjustRightInd w:val="0"/>
              <w:snapToGrid w:val="0"/>
              <w:jc w:val="center"/>
              <w:rPr>
                <w:rFonts w:ascii="Times New Roman" w:hAnsi="Times New Roman"/>
                <w:kern w:val="0"/>
                <w:sz w:val="21"/>
                <w:szCs w:val="21"/>
              </w:rPr>
            </w:pPr>
            <w:r>
              <w:rPr>
                <w:rFonts w:ascii="Times New Roman" w:hAnsi="Times New Roman"/>
                <w:kern w:val="0"/>
                <w:sz w:val="21"/>
                <w:szCs w:val="21"/>
              </w:rPr>
              <w:t>(km)</w:t>
            </w:r>
          </w:p>
        </w:tc>
        <w:tc>
          <w:tcPr>
            <w:tcW w:w="851"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面积</w:t>
            </w:r>
          </w:p>
          <w:p>
            <w:pPr>
              <w:adjustRightInd w:val="0"/>
              <w:snapToGrid w:val="0"/>
              <w:jc w:val="center"/>
              <w:rPr>
                <w:rFonts w:ascii="Times New Roman" w:hAnsi="Times New Roman"/>
                <w:kern w:val="0"/>
                <w:sz w:val="21"/>
                <w:szCs w:val="21"/>
              </w:rPr>
            </w:pPr>
            <w:r>
              <w:rPr>
                <w:rFonts w:ascii="Times New Roman" w:hAnsi="Times New Roman"/>
                <w:kern w:val="0"/>
                <w:sz w:val="21"/>
                <w:szCs w:val="21"/>
              </w:rPr>
              <w:t>（km</w:t>
            </w:r>
            <w:r>
              <w:rPr>
                <w:rFonts w:ascii="Times New Roman" w:hAnsi="Times New Roman"/>
                <w:kern w:val="0"/>
                <w:sz w:val="21"/>
                <w:szCs w:val="21"/>
                <w:vertAlign w:val="superscript"/>
              </w:rPr>
              <w:t>2</w:t>
            </w:r>
            <w:r>
              <w:rPr>
                <w:rFonts w:ascii="Times New Roman" w:hAnsi="Times New Roman"/>
                <w:kern w:val="0"/>
                <w:sz w:val="21"/>
                <w:szCs w:val="21"/>
              </w:rPr>
              <w:t>）</w:t>
            </w:r>
          </w:p>
        </w:tc>
        <w:tc>
          <w:tcPr>
            <w:tcW w:w="84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77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64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709" w:type="dxa"/>
            <w:vMerge w:val="continue"/>
            <w:tcBorders>
              <w:left w:val="single" w:color="auto" w:sz="4" w:space="0"/>
              <w:bottom w:val="single" w:color="auto" w:sz="4" w:space="0"/>
              <w:right w:val="single" w:color="auto" w:sz="4" w:space="0"/>
            </w:tcBorders>
          </w:tcPr>
          <w:p>
            <w:pPr>
              <w:widowControl/>
              <w:jc w:val="left"/>
              <w:rPr>
                <w:rFonts w:ascii="Times New Roman" w:hAnsi="Times New Roman"/>
                <w:color w:val="FF0000"/>
                <w:kern w:val="0"/>
                <w:sz w:val="21"/>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color w:val="FF0000"/>
                <w:kern w:val="0"/>
                <w:sz w:val="21"/>
                <w:szCs w:val="21"/>
              </w:rPr>
            </w:pPr>
            <w:r>
              <w:rPr>
                <w:rFonts w:ascii="Times New Roman" w:hAnsi="Times New Roman"/>
                <w:color w:val="FF0000"/>
                <w:kern w:val="0"/>
                <w:sz w:val="21"/>
                <w:szCs w:val="21"/>
              </w:rPr>
              <w:t>可采储量（Mt）</w:t>
            </w:r>
          </w:p>
        </w:tc>
        <w:tc>
          <w:tcPr>
            <w:tcW w:w="850"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服务年限（a）</w:t>
            </w:r>
          </w:p>
        </w:tc>
        <w:tc>
          <w:tcPr>
            <w:tcW w:w="67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4" w:type="dxa"/>
            <w:tcBorders>
              <w:top w:val="single" w:color="auto" w:sz="4" w:space="0"/>
              <w:left w:val="single" w:color="auto" w:sz="4" w:space="0"/>
              <w:bottom w:val="single" w:color="auto" w:sz="4" w:space="0"/>
              <w:right w:val="single" w:color="auto" w:sz="4" w:space="0"/>
            </w:tcBorders>
            <w:vAlign w:val="center"/>
          </w:tcPr>
          <w:p>
            <w:pPr>
              <w:widowControl/>
              <w:ind w:left="-40" w:right="-40"/>
              <w:jc w:val="center"/>
              <w:rPr>
                <w:rFonts w:ascii="Times New Roman" w:hAnsi="Times New Roman"/>
                <w:snapToGrid w:val="0"/>
                <w:kern w:val="0"/>
                <w:sz w:val="21"/>
                <w:szCs w:val="21"/>
              </w:rPr>
            </w:pPr>
            <w:r>
              <w:rPr>
                <w:rFonts w:ascii="Times New Roman" w:hAnsi="Times New Roman"/>
                <w:snapToGrid w:val="0"/>
                <w:kern w:val="0"/>
                <w:sz w:val="21"/>
                <w:szCs w:val="21"/>
              </w:rPr>
              <w:t>1</w:t>
            </w:r>
          </w:p>
        </w:tc>
        <w:tc>
          <w:tcPr>
            <w:tcW w:w="10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奎腾沟矿井</w:t>
            </w:r>
          </w:p>
        </w:tc>
        <w:tc>
          <w:tcPr>
            <w:tcW w:w="68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15.3</w:t>
            </w:r>
          </w:p>
        </w:tc>
        <w:tc>
          <w:tcPr>
            <w:tcW w:w="70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8.1</w:t>
            </w:r>
          </w:p>
        </w:tc>
        <w:tc>
          <w:tcPr>
            <w:tcW w:w="851"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130.12</w:t>
            </w:r>
          </w:p>
        </w:tc>
        <w:tc>
          <w:tcPr>
            <w:tcW w:w="84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color w:val="FF0000"/>
                <w:kern w:val="0"/>
                <w:sz w:val="21"/>
                <w:szCs w:val="21"/>
              </w:rPr>
              <w:t>1636.63</w:t>
            </w:r>
          </w:p>
        </w:tc>
        <w:tc>
          <w:tcPr>
            <w:tcW w:w="774"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kern w:val="0"/>
                <w:sz w:val="21"/>
                <w:szCs w:val="21"/>
              </w:rPr>
            </w:pPr>
            <w:r>
              <w:rPr>
                <w:rFonts w:ascii="Times New Roman" w:hAnsi="Times New Roman" w:eastAsia="汉鼎简书宋"/>
                <w:color w:val="FF0000"/>
                <w:kern w:val="0"/>
                <w:sz w:val="21"/>
                <w:szCs w:val="21"/>
              </w:rPr>
              <w:t>988.41</w:t>
            </w:r>
          </w:p>
        </w:tc>
        <w:tc>
          <w:tcPr>
            <w:tcW w:w="646"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70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85.2</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汉鼎简书宋"/>
                <w:color w:val="FF0000"/>
                <w:sz w:val="21"/>
                <w:szCs w:val="21"/>
              </w:rPr>
            </w:pPr>
            <w:r>
              <w:rPr>
                <w:rFonts w:hint="eastAsia" w:ascii="Times New Roman" w:hAnsi="Times New Roman" w:eastAsia="汉鼎简书宋"/>
                <w:color w:val="FF0000"/>
                <w:sz w:val="21"/>
                <w:szCs w:val="21"/>
              </w:rPr>
              <w:t>4</w:t>
            </w:r>
            <w:r>
              <w:rPr>
                <w:rFonts w:ascii="Times New Roman" w:hAnsi="Times New Roman" w:eastAsia="汉鼎简书宋"/>
                <w:color w:val="FF0000"/>
                <w:sz w:val="21"/>
                <w:szCs w:val="21"/>
              </w:rPr>
              <w:t>15.13</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olor w:val="FF0000"/>
                <w:sz w:val="21"/>
                <w:szCs w:val="21"/>
              </w:rPr>
            </w:pPr>
            <w:r>
              <w:rPr>
                <w:rFonts w:ascii="Times New Roman" w:hAnsi="Times New Roman" w:eastAsia="汉鼎简书宋"/>
                <w:color w:val="FF0000"/>
                <w:sz w:val="21"/>
                <w:szCs w:val="21"/>
              </w:rPr>
              <w:t>35.8</w:t>
            </w:r>
          </w:p>
        </w:tc>
        <w:tc>
          <w:tcPr>
            <w:tcW w:w="673"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立井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4" w:type="dxa"/>
            <w:tcBorders>
              <w:top w:val="single" w:color="auto" w:sz="4" w:space="0"/>
              <w:left w:val="single" w:color="auto" w:sz="4" w:space="0"/>
              <w:bottom w:val="single" w:color="auto" w:sz="4" w:space="0"/>
              <w:right w:val="single" w:color="auto" w:sz="4" w:space="0"/>
            </w:tcBorders>
            <w:vAlign w:val="center"/>
          </w:tcPr>
          <w:p>
            <w:pPr>
              <w:widowControl/>
              <w:ind w:left="-40" w:right="-40"/>
              <w:jc w:val="center"/>
              <w:rPr>
                <w:rFonts w:ascii="Times New Roman" w:hAnsi="Times New Roman"/>
                <w:snapToGrid w:val="0"/>
                <w:kern w:val="0"/>
                <w:sz w:val="21"/>
                <w:szCs w:val="21"/>
              </w:rPr>
            </w:pPr>
            <w:r>
              <w:rPr>
                <w:rFonts w:ascii="Times New Roman" w:hAnsi="Times New Roman"/>
                <w:snapToGrid w:val="0"/>
                <w:kern w:val="0"/>
                <w:sz w:val="21"/>
                <w:szCs w:val="21"/>
              </w:rPr>
              <w:t>2</w:t>
            </w:r>
          </w:p>
        </w:tc>
        <w:tc>
          <w:tcPr>
            <w:tcW w:w="10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苏布尔嘎矿井</w:t>
            </w:r>
          </w:p>
        </w:tc>
        <w:tc>
          <w:tcPr>
            <w:tcW w:w="68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9.5</w:t>
            </w:r>
          </w:p>
        </w:tc>
        <w:tc>
          <w:tcPr>
            <w:tcW w:w="70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8.1</w:t>
            </w:r>
          </w:p>
        </w:tc>
        <w:tc>
          <w:tcPr>
            <w:tcW w:w="851"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79.32</w:t>
            </w:r>
          </w:p>
        </w:tc>
        <w:tc>
          <w:tcPr>
            <w:tcW w:w="84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color w:val="FF0000"/>
                <w:kern w:val="0"/>
                <w:sz w:val="21"/>
                <w:szCs w:val="21"/>
              </w:rPr>
              <w:t>1497.50</w:t>
            </w:r>
          </w:p>
        </w:tc>
        <w:tc>
          <w:tcPr>
            <w:tcW w:w="774"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kern w:val="0"/>
                <w:sz w:val="21"/>
                <w:szCs w:val="21"/>
              </w:rPr>
            </w:pPr>
            <w:r>
              <w:rPr>
                <w:rFonts w:ascii="Times New Roman" w:hAnsi="Times New Roman" w:eastAsia="汉鼎简书宋"/>
                <w:color w:val="FF0000"/>
                <w:kern w:val="0"/>
                <w:sz w:val="21"/>
                <w:szCs w:val="21"/>
              </w:rPr>
              <w:t>816.38</w:t>
            </w:r>
          </w:p>
        </w:tc>
        <w:tc>
          <w:tcPr>
            <w:tcW w:w="646"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70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70.4</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汉鼎简书宋"/>
                <w:color w:val="FF0000"/>
                <w:sz w:val="21"/>
                <w:szCs w:val="21"/>
              </w:rPr>
            </w:pPr>
            <w:r>
              <w:rPr>
                <w:rFonts w:hint="eastAsia" w:ascii="Times New Roman" w:hAnsi="Times New Roman" w:eastAsia="汉鼎简书宋"/>
                <w:color w:val="FF0000"/>
                <w:sz w:val="21"/>
                <w:szCs w:val="21"/>
              </w:rPr>
              <w:t>6</w:t>
            </w:r>
            <w:r>
              <w:rPr>
                <w:rFonts w:ascii="Times New Roman" w:hAnsi="Times New Roman" w:eastAsia="汉鼎简书宋"/>
                <w:color w:val="FF0000"/>
                <w:sz w:val="21"/>
                <w:szCs w:val="21"/>
              </w:rPr>
              <w:t>00.04</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olor w:val="FF0000"/>
                <w:sz w:val="21"/>
                <w:szCs w:val="21"/>
              </w:rPr>
            </w:pPr>
            <w:r>
              <w:rPr>
                <w:rFonts w:ascii="Times New Roman" w:hAnsi="Times New Roman" w:eastAsia="汉鼎简书宋"/>
                <w:color w:val="FF0000"/>
                <w:sz w:val="21"/>
                <w:szCs w:val="21"/>
              </w:rPr>
              <w:t>51.7</w:t>
            </w:r>
          </w:p>
        </w:tc>
        <w:tc>
          <w:tcPr>
            <w:tcW w:w="673"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立井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4" w:type="dxa"/>
            <w:tcBorders>
              <w:top w:val="single" w:color="auto" w:sz="4" w:space="0"/>
              <w:left w:val="single" w:color="auto" w:sz="4" w:space="0"/>
              <w:bottom w:val="single" w:color="auto" w:sz="4" w:space="0"/>
              <w:right w:val="single" w:color="auto" w:sz="4" w:space="0"/>
            </w:tcBorders>
            <w:vAlign w:val="center"/>
          </w:tcPr>
          <w:p>
            <w:pPr>
              <w:widowControl/>
              <w:ind w:left="-40" w:right="-40"/>
              <w:jc w:val="center"/>
              <w:rPr>
                <w:rFonts w:ascii="Times New Roman" w:hAnsi="Times New Roman"/>
                <w:snapToGrid w:val="0"/>
                <w:kern w:val="0"/>
                <w:sz w:val="21"/>
                <w:szCs w:val="21"/>
              </w:rPr>
            </w:pPr>
            <w:r>
              <w:rPr>
                <w:rFonts w:ascii="Times New Roman" w:hAnsi="Times New Roman"/>
                <w:snapToGrid w:val="0"/>
                <w:kern w:val="0"/>
                <w:sz w:val="21"/>
                <w:szCs w:val="21"/>
              </w:rPr>
              <w:t>3</w:t>
            </w:r>
          </w:p>
        </w:tc>
        <w:tc>
          <w:tcPr>
            <w:tcW w:w="10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壕赖苏矿井</w:t>
            </w:r>
          </w:p>
        </w:tc>
        <w:tc>
          <w:tcPr>
            <w:tcW w:w="68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12.1</w:t>
            </w:r>
          </w:p>
        </w:tc>
        <w:tc>
          <w:tcPr>
            <w:tcW w:w="70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10.5</w:t>
            </w:r>
          </w:p>
        </w:tc>
        <w:tc>
          <w:tcPr>
            <w:tcW w:w="851"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129.33</w:t>
            </w:r>
          </w:p>
        </w:tc>
        <w:tc>
          <w:tcPr>
            <w:tcW w:w="84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color w:val="FF0000"/>
                <w:kern w:val="0"/>
                <w:sz w:val="21"/>
                <w:szCs w:val="21"/>
              </w:rPr>
              <w:t>2120.56</w:t>
            </w:r>
          </w:p>
        </w:tc>
        <w:tc>
          <w:tcPr>
            <w:tcW w:w="774"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kern w:val="0"/>
                <w:sz w:val="21"/>
                <w:szCs w:val="21"/>
              </w:rPr>
            </w:pPr>
            <w:r>
              <w:rPr>
                <w:rFonts w:ascii="Times New Roman" w:hAnsi="Times New Roman" w:eastAsia="汉鼎简书宋"/>
                <w:color w:val="FF0000"/>
                <w:kern w:val="0"/>
                <w:sz w:val="21"/>
                <w:szCs w:val="21"/>
              </w:rPr>
              <w:t>1142.41</w:t>
            </w:r>
          </w:p>
        </w:tc>
        <w:tc>
          <w:tcPr>
            <w:tcW w:w="646"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70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95.2</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汉鼎简书宋"/>
                <w:color w:val="FF0000"/>
                <w:sz w:val="21"/>
                <w:szCs w:val="21"/>
              </w:rPr>
            </w:pPr>
            <w:r>
              <w:rPr>
                <w:rFonts w:hint="eastAsia" w:ascii="Times New Roman" w:hAnsi="Times New Roman" w:eastAsia="汉鼎简书宋"/>
                <w:color w:val="FF0000"/>
                <w:sz w:val="21"/>
                <w:szCs w:val="21"/>
              </w:rPr>
              <w:t>1</w:t>
            </w:r>
            <w:r>
              <w:rPr>
                <w:rFonts w:ascii="Times New Roman" w:hAnsi="Times New Roman" w:eastAsia="汉鼎简书宋"/>
                <w:color w:val="FF0000"/>
                <w:sz w:val="21"/>
                <w:szCs w:val="21"/>
              </w:rPr>
              <w:t>060.12</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olor w:val="FF0000"/>
                <w:sz w:val="21"/>
                <w:szCs w:val="21"/>
              </w:rPr>
            </w:pPr>
            <w:r>
              <w:rPr>
                <w:rFonts w:ascii="Times New Roman" w:hAnsi="Times New Roman" w:eastAsia="汉鼎简书宋"/>
                <w:color w:val="FF0000"/>
                <w:sz w:val="21"/>
                <w:szCs w:val="21"/>
              </w:rPr>
              <w:t>88.3</w:t>
            </w:r>
          </w:p>
        </w:tc>
        <w:tc>
          <w:tcPr>
            <w:tcW w:w="673"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立井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4" w:type="dxa"/>
            <w:tcBorders>
              <w:top w:val="single" w:color="auto" w:sz="4" w:space="0"/>
              <w:left w:val="single" w:color="auto" w:sz="4" w:space="0"/>
              <w:bottom w:val="single" w:color="auto" w:sz="4" w:space="0"/>
              <w:right w:val="single" w:color="auto" w:sz="4" w:space="0"/>
            </w:tcBorders>
            <w:vAlign w:val="center"/>
          </w:tcPr>
          <w:p>
            <w:pPr>
              <w:widowControl/>
              <w:ind w:left="-40" w:right="-40"/>
              <w:jc w:val="center"/>
              <w:rPr>
                <w:rFonts w:ascii="Times New Roman" w:hAnsi="Times New Roman"/>
                <w:snapToGrid w:val="0"/>
                <w:kern w:val="0"/>
                <w:sz w:val="21"/>
                <w:szCs w:val="21"/>
              </w:rPr>
            </w:pPr>
            <w:r>
              <w:rPr>
                <w:rFonts w:ascii="Times New Roman" w:hAnsi="Times New Roman"/>
                <w:snapToGrid w:val="0"/>
                <w:kern w:val="0"/>
                <w:sz w:val="21"/>
                <w:szCs w:val="21"/>
              </w:rPr>
              <w:t>4</w:t>
            </w:r>
          </w:p>
        </w:tc>
        <w:tc>
          <w:tcPr>
            <w:tcW w:w="10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纳林希里矿井</w:t>
            </w:r>
          </w:p>
        </w:tc>
        <w:tc>
          <w:tcPr>
            <w:tcW w:w="68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11.8</w:t>
            </w:r>
          </w:p>
        </w:tc>
        <w:tc>
          <w:tcPr>
            <w:tcW w:w="70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9.2</w:t>
            </w:r>
          </w:p>
        </w:tc>
        <w:tc>
          <w:tcPr>
            <w:tcW w:w="851"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106.51</w:t>
            </w:r>
          </w:p>
        </w:tc>
        <w:tc>
          <w:tcPr>
            <w:tcW w:w="84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color w:val="FF0000"/>
                <w:kern w:val="0"/>
                <w:sz w:val="21"/>
                <w:szCs w:val="21"/>
              </w:rPr>
              <w:t>2012.45</w:t>
            </w:r>
          </w:p>
        </w:tc>
        <w:tc>
          <w:tcPr>
            <w:tcW w:w="774"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kern w:val="0"/>
                <w:sz w:val="21"/>
                <w:szCs w:val="21"/>
              </w:rPr>
            </w:pPr>
            <w:r>
              <w:rPr>
                <w:rFonts w:ascii="Times New Roman" w:hAnsi="Times New Roman" w:eastAsia="汉鼎简书宋"/>
                <w:color w:val="FF0000"/>
                <w:kern w:val="0"/>
                <w:sz w:val="21"/>
                <w:szCs w:val="21"/>
              </w:rPr>
              <w:t xml:space="preserve">902.48 </w:t>
            </w:r>
          </w:p>
        </w:tc>
        <w:tc>
          <w:tcPr>
            <w:tcW w:w="646"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70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77.8</w:t>
            </w:r>
          </w:p>
        </w:tc>
        <w:tc>
          <w:tcPr>
            <w:tcW w:w="992"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汉鼎简书宋"/>
                <w:color w:val="FF0000"/>
                <w:sz w:val="21"/>
                <w:szCs w:val="21"/>
              </w:rPr>
            </w:pPr>
            <w:r>
              <w:rPr>
                <w:rFonts w:hint="eastAsia" w:ascii="Times New Roman" w:hAnsi="Times New Roman" w:eastAsia="汉鼎简书宋"/>
                <w:color w:val="FF0000"/>
                <w:sz w:val="21"/>
                <w:szCs w:val="21"/>
              </w:rPr>
              <w:t>8</w:t>
            </w:r>
            <w:r>
              <w:rPr>
                <w:rFonts w:ascii="Times New Roman" w:hAnsi="Times New Roman" w:eastAsia="汉鼎简书宋"/>
                <w:color w:val="FF0000"/>
                <w:sz w:val="21"/>
                <w:szCs w:val="21"/>
              </w:rPr>
              <w:t>39.31</w:t>
            </w: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olor w:val="FF0000"/>
                <w:sz w:val="21"/>
                <w:szCs w:val="21"/>
              </w:rPr>
            </w:pPr>
            <w:r>
              <w:rPr>
                <w:rFonts w:ascii="Times New Roman" w:hAnsi="Times New Roman" w:eastAsia="汉鼎简书宋"/>
                <w:color w:val="FF0000"/>
                <w:sz w:val="21"/>
                <w:szCs w:val="21"/>
              </w:rPr>
              <w:t>72.4</w:t>
            </w:r>
          </w:p>
        </w:tc>
        <w:tc>
          <w:tcPr>
            <w:tcW w:w="673"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立井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4" w:type="dxa"/>
            <w:tcBorders>
              <w:top w:val="single" w:color="auto" w:sz="4" w:space="0"/>
              <w:left w:val="single" w:color="auto" w:sz="4" w:space="0"/>
              <w:bottom w:val="single" w:color="auto" w:sz="4" w:space="0"/>
              <w:right w:val="single" w:color="auto" w:sz="4" w:space="0"/>
            </w:tcBorders>
            <w:vAlign w:val="center"/>
          </w:tcPr>
          <w:p>
            <w:pPr>
              <w:widowControl/>
              <w:ind w:left="-40" w:right="-40"/>
              <w:jc w:val="center"/>
              <w:rPr>
                <w:rFonts w:ascii="Times New Roman" w:hAnsi="Times New Roman"/>
                <w:snapToGrid w:val="0"/>
                <w:kern w:val="0"/>
                <w:sz w:val="21"/>
                <w:szCs w:val="21"/>
              </w:rPr>
            </w:pPr>
            <w:r>
              <w:rPr>
                <w:rFonts w:ascii="Times New Roman" w:hAnsi="Times New Roman"/>
                <w:snapToGrid w:val="0"/>
                <w:kern w:val="0"/>
                <w:sz w:val="21"/>
                <w:szCs w:val="21"/>
              </w:rPr>
              <w:t>5</w:t>
            </w:r>
          </w:p>
        </w:tc>
        <w:tc>
          <w:tcPr>
            <w:tcW w:w="101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勘查区</w:t>
            </w:r>
          </w:p>
        </w:tc>
        <w:tc>
          <w:tcPr>
            <w:tcW w:w="68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30.4</w:t>
            </w:r>
          </w:p>
        </w:tc>
        <w:tc>
          <w:tcPr>
            <w:tcW w:w="70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9.1</w:t>
            </w:r>
          </w:p>
        </w:tc>
        <w:tc>
          <w:tcPr>
            <w:tcW w:w="851"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kern w:val="0"/>
                <w:sz w:val="21"/>
                <w:szCs w:val="21"/>
              </w:rPr>
              <w:t>262.88</w:t>
            </w:r>
          </w:p>
        </w:tc>
        <w:tc>
          <w:tcPr>
            <w:tcW w:w="84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w:t>
            </w:r>
          </w:p>
        </w:tc>
        <w:tc>
          <w:tcPr>
            <w:tcW w:w="774"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kern w:val="0"/>
                <w:sz w:val="21"/>
                <w:szCs w:val="21"/>
              </w:rPr>
            </w:pPr>
            <w:r>
              <w:rPr>
                <w:rFonts w:ascii="Times New Roman" w:hAnsi="Times New Roman"/>
                <w:kern w:val="0"/>
                <w:sz w:val="21"/>
                <w:szCs w:val="21"/>
              </w:rPr>
              <w:t>/</w:t>
            </w:r>
          </w:p>
        </w:tc>
        <w:tc>
          <w:tcPr>
            <w:tcW w:w="646"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w:t>
            </w:r>
          </w:p>
        </w:tc>
        <w:tc>
          <w:tcPr>
            <w:tcW w:w="709" w:type="dxa"/>
            <w:tcBorders>
              <w:top w:val="single" w:color="auto" w:sz="4" w:space="0"/>
              <w:left w:val="single" w:color="auto" w:sz="4" w:space="0"/>
              <w:bottom w:val="single" w:color="auto" w:sz="4" w:space="0"/>
              <w:right w:val="single" w:color="auto" w:sz="4" w:space="0"/>
            </w:tcBorders>
          </w:tcPr>
          <w:p>
            <w:pPr>
              <w:jc w:val="center"/>
              <w:rPr>
                <w:rFonts w:ascii="Times New Roman" w:hAnsi="Times New Roman"/>
                <w:sz w:val="21"/>
                <w:szCs w:val="21"/>
              </w:rPr>
            </w:pPr>
          </w:p>
        </w:tc>
        <w:tc>
          <w:tcPr>
            <w:tcW w:w="992" w:type="dxa"/>
            <w:tcBorders>
              <w:top w:val="single" w:color="auto" w:sz="4" w:space="0"/>
              <w:left w:val="single" w:color="auto" w:sz="4" w:space="0"/>
              <w:bottom w:val="single" w:color="auto" w:sz="4" w:space="0"/>
              <w:right w:val="single" w:color="auto" w:sz="4" w:space="0"/>
            </w:tcBorders>
          </w:tcPr>
          <w:p>
            <w:pPr>
              <w:jc w:val="center"/>
              <w:rPr>
                <w:rFonts w:ascii="Times New Roman" w:hAnsi="Times New Roman"/>
                <w:sz w:val="21"/>
                <w:szCs w:val="21"/>
              </w:rPr>
            </w:pPr>
          </w:p>
        </w:tc>
        <w:tc>
          <w:tcPr>
            <w:tcW w:w="85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sz w:val="21"/>
                <w:szCs w:val="21"/>
              </w:rPr>
            </w:pPr>
            <w:r>
              <w:rPr>
                <w:rFonts w:ascii="Times New Roman" w:hAnsi="Times New Roman"/>
                <w:sz w:val="21"/>
                <w:szCs w:val="21"/>
              </w:rPr>
              <w:t>/</w:t>
            </w:r>
          </w:p>
        </w:tc>
        <w:tc>
          <w:tcPr>
            <w:tcW w:w="673"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6" w:type="dxa"/>
            <w:gridSpan w:val="2"/>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合  计</w:t>
            </w:r>
          </w:p>
        </w:tc>
        <w:tc>
          <w:tcPr>
            <w:tcW w:w="689"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p>
        </w:tc>
        <w:tc>
          <w:tcPr>
            <w:tcW w:w="70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p>
        </w:tc>
        <w:tc>
          <w:tcPr>
            <w:tcW w:w="851"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708.16</w:t>
            </w:r>
          </w:p>
        </w:tc>
        <w:tc>
          <w:tcPr>
            <w:tcW w:w="848"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eastAsia="汉鼎简书宋"/>
                <w:color w:val="FF0000"/>
                <w:sz w:val="21"/>
                <w:szCs w:val="21"/>
              </w:rPr>
              <w:t>7267.14</w:t>
            </w:r>
          </w:p>
        </w:tc>
        <w:tc>
          <w:tcPr>
            <w:tcW w:w="774"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kern w:val="0"/>
                <w:sz w:val="21"/>
                <w:szCs w:val="21"/>
              </w:rPr>
            </w:pPr>
            <w:r>
              <w:rPr>
                <w:rFonts w:ascii="Times New Roman" w:hAnsi="Times New Roman" w:eastAsia="汉鼎简书宋"/>
                <w:color w:val="FF0000"/>
                <w:sz w:val="21"/>
                <w:szCs w:val="21"/>
              </w:rPr>
              <w:t>3849.68</w:t>
            </w:r>
          </w:p>
        </w:tc>
        <w:tc>
          <w:tcPr>
            <w:tcW w:w="646"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32.00</w:t>
            </w:r>
          </w:p>
        </w:tc>
        <w:tc>
          <w:tcPr>
            <w:tcW w:w="709" w:type="dxa"/>
            <w:tcBorders>
              <w:top w:val="single" w:color="auto" w:sz="4" w:space="0"/>
              <w:left w:val="single" w:color="auto" w:sz="4" w:space="0"/>
              <w:bottom w:val="single" w:color="auto" w:sz="4" w:space="0"/>
              <w:right w:val="single" w:color="auto" w:sz="4" w:space="0"/>
            </w:tcBorders>
          </w:tcPr>
          <w:p>
            <w:pPr>
              <w:widowControl/>
              <w:adjustRightInd w:val="0"/>
              <w:snapToGrid w:val="0"/>
              <w:jc w:val="center"/>
              <w:rPr>
                <w:rFonts w:ascii="Times New Roman" w:hAnsi="Times New Roman"/>
                <w:kern w:val="0"/>
                <w:sz w:val="21"/>
                <w:szCs w:val="21"/>
              </w:rPr>
            </w:pPr>
          </w:p>
        </w:tc>
        <w:tc>
          <w:tcPr>
            <w:tcW w:w="992" w:type="dxa"/>
            <w:tcBorders>
              <w:top w:val="single" w:color="auto" w:sz="4" w:space="0"/>
              <w:left w:val="single" w:color="auto" w:sz="4" w:space="0"/>
              <w:bottom w:val="single" w:color="auto" w:sz="4" w:space="0"/>
              <w:right w:val="single" w:color="auto" w:sz="4" w:space="0"/>
            </w:tcBorders>
          </w:tcPr>
          <w:p>
            <w:pPr>
              <w:widowControl/>
              <w:adjustRightInd w:val="0"/>
              <w:snapToGrid w:val="0"/>
              <w:jc w:val="center"/>
              <w:rPr>
                <w:rFonts w:ascii="Times New Roman" w:hAnsi="Times New Roman"/>
                <w:kern w:val="0"/>
                <w:sz w:val="21"/>
                <w:szCs w:val="21"/>
              </w:rPr>
            </w:pPr>
          </w:p>
        </w:tc>
        <w:tc>
          <w:tcPr>
            <w:tcW w:w="850"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p>
        </w:tc>
        <w:tc>
          <w:tcPr>
            <w:tcW w:w="673" w:type="dxa"/>
            <w:tcBorders>
              <w:top w:val="single" w:color="auto" w:sz="4" w:space="0"/>
              <w:left w:val="single" w:color="auto" w:sz="4" w:space="0"/>
              <w:bottom w:val="single" w:color="auto" w:sz="4" w:space="0"/>
              <w:right w:val="single" w:color="auto" w:sz="4" w:space="0"/>
            </w:tcBorders>
          </w:tcPr>
          <w:p>
            <w:pPr>
              <w:widowControl/>
              <w:adjustRightInd w:val="0"/>
              <w:snapToGrid w:val="0"/>
              <w:jc w:val="center"/>
              <w:rPr>
                <w:rFonts w:ascii="Times New Roman" w:hAnsi="Times New Roman"/>
                <w:kern w:val="0"/>
                <w:sz w:val="21"/>
                <w:szCs w:val="21"/>
              </w:rPr>
            </w:pPr>
          </w:p>
        </w:tc>
      </w:tr>
    </w:tbl>
    <w:p>
      <w:pPr>
        <w:keepNext/>
        <w:keepLines/>
        <w:spacing w:before="120" w:beforeLines="50" w:line="440" w:lineRule="exact"/>
        <w:outlineLvl w:val="3"/>
        <w:rPr>
          <w:rFonts w:ascii="Times New Roman" w:hAnsi="Times New Roman"/>
          <w:b/>
        </w:rPr>
        <w:sectPr>
          <w:pgSz w:w="11906" w:h="16838"/>
          <w:pgMar w:top="1701" w:right="1418" w:bottom="1418" w:left="1418" w:header="1134" w:footer="851" w:gutter="0"/>
          <w:cols w:space="720" w:num="1"/>
          <w:docGrid w:linePitch="326" w:charSpace="0"/>
        </w:sectPr>
      </w:pPr>
    </w:p>
    <w:p>
      <w:pPr>
        <w:keepNext/>
        <w:keepLines/>
        <w:spacing w:before="120" w:beforeLines="50" w:line="440" w:lineRule="exact"/>
        <w:outlineLvl w:val="3"/>
        <w:rPr>
          <w:rFonts w:ascii="Times New Roman" w:hAnsi="Times New Roman"/>
          <w:b/>
        </w:rPr>
      </w:pPr>
      <w:r>
        <w:rPr>
          <w:rFonts w:ascii="Times New Roman" w:hAnsi="Times New Roman"/>
          <w:b/>
        </w:rPr>
        <w:t>2.1.6.2 矿区建设顺序、规模及均衡服务年限</w:t>
      </w:r>
    </w:p>
    <w:p>
      <w:pPr>
        <w:snapToGrid w:val="0"/>
        <w:spacing w:line="440" w:lineRule="exact"/>
        <w:ind w:firstLine="480" w:firstLineChars="200"/>
        <w:rPr>
          <w:rFonts w:ascii="Times New Roman" w:hAnsi="Times New Roman"/>
          <w:color w:val="FF0000"/>
          <w:szCs w:val="24"/>
        </w:rPr>
      </w:pPr>
      <w:r>
        <w:rPr>
          <w:rFonts w:ascii="Times New Roman" w:hAnsi="Times New Roman"/>
          <w:color w:val="FF0000"/>
          <w:szCs w:val="24"/>
        </w:rPr>
        <w:t>矿区建设规模为32.00Mt/a，共划分4个井田，奎腾沟井田8.00Mt/a，服务年限85.2a；苏布尔嘎井田8.00Mt/a，服务年限70.4a；壕赖苏井田8.00Mt/a，服务年95.2a；纳林希里井田8.00Mt/a，服务年限77.8a。开采顺序为：苏布尔嘎井田、纳林希里井田2023年开始建设，</w:t>
      </w:r>
      <w:r>
        <w:rPr>
          <w:rFonts w:ascii="Times New Roman" w:hAnsi="Times New Roman"/>
          <w:color w:val="FF0000"/>
        </w:rPr>
        <w:t>2026年投产，2027年达到建设规模；奎腾沟井田、壕赖苏井田2025年开始建设，2028年建成投产，2029年达到建设规模。矿区均衡生产服务</w:t>
      </w:r>
      <w:r>
        <w:rPr>
          <w:rFonts w:ascii="Times New Roman" w:hAnsi="Times New Roman"/>
          <w:color w:val="FF0000"/>
          <w:szCs w:val="24"/>
        </w:rPr>
        <w:t>年限67年。</w:t>
      </w:r>
    </w:p>
    <w:p>
      <w:pPr>
        <w:pStyle w:val="428"/>
        <w:spacing w:line="440" w:lineRule="exact"/>
        <w:ind w:firstLine="480"/>
        <w:rPr>
          <w:rFonts w:ascii="Times New Roman" w:hAnsi="Times New Roman" w:cs="Times New Roman"/>
        </w:rPr>
      </w:pPr>
      <w:r>
        <w:rPr>
          <w:rFonts w:ascii="Times New Roman" w:hAnsi="Times New Roman" w:cs="Times New Roman"/>
        </w:rPr>
        <w:t xml:space="preserve"> </w:t>
      </w:r>
    </w:p>
    <w:p>
      <w:pPr>
        <w:widowControl/>
        <w:spacing w:before="100" w:beforeAutospacing="1" w:after="100" w:afterAutospacing="1"/>
        <w:jc w:val="left"/>
        <w:rPr>
          <w:rFonts w:ascii="Times New Roman" w:hAnsi="Times New Roman"/>
          <w:bCs/>
          <w:kern w:val="24"/>
          <w:szCs w:val="24"/>
        </w:rPr>
        <w:sectPr>
          <w:pgSz w:w="11906" w:h="16838"/>
          <w:pgMar w:top="1701" w:right="1418" w:bottom="1418" w:left="1418" w:header="1134" w:footer="851" w:gutter="0"/>
          <w:cols w:space="720" w:num="1"/>
          <w:docGrid w:linePitch="326" w:charSpace="0"/>
        </w:sectPr>
      </w:pPr>
    </w:p>
    <w:p>
      <w:pPr>
        <w:snapToGrid w:val="0"/>
        <w:spacing w:line="440" w:lineRule="exact"/>
        <w:jc w:val="center"/>
        <w:rPr>
          <w:rFonts w:ascii="Times New Roman" w:hAnsi="Times New Roman"/>
          <w:b/>
          <w:bCs/>
        </w:rPr>
      </w:pPr>
      <w:r>
        <w:rPr>
          <w:rFonts w:ascii="Times New Roman" w:hAnsi="Times New Roman"/>
          <w:b/>
          <w:bCs/>
        </w:rPr>
        <w:t>矿区建设顺序及生产能力规划表</w:t>
      </w:r>
    </w:p>
    <w:p>
      <w:pPr>
        <w:pStyle w:val="428"/>
        <w:spacing w:line="440" w:lineRule="exact"/>
        <w:ind w:firstLine="960" w:firstLineChars="400"/>
        <w:rPr>
          <w:rFonts w:ascii="Times New Roman" w:hAnsi="Times New Roman" w:cs="Times New Roman"/>
        </w:rPr>
      </w:pPr>
      <w:r>
        <w:rPr>
          <w:rFonts w:ascii="Times New Roman" w:hAnsi="Times New Roman" w:cs="Times New Roman"/>
        </w:rPr>
        <w:t>表2.1-6</w:t>
      </w:r>
    </w:p>
    <w:p>
      <w:pPr>
        <w:pStyle w:val="2"/>
        <w:jc w:val="center"/>
        <w:rPr>
          <w:rFonts w:ascii="Times New Roman"/>
          <w:color w:val="auto"/>
        </w:rPr>
      </w:pPr>
    </w:p>
    <w:p>
      <w:pPr>
        <w:pStyle w:val="2"/>
        <w:jc w:val="center"/>
        <w:rPr>
          <w:rFonts w:ascii="Times New Roman"/>
          <w:color w:val="auto"/>
        </w:rPr>
        <w:sectPr>
          <w:headerReference r:id="rId8" w:type="default"/>
          <w:pgSz w:w="16838" w:h="11906" w:orient="landscape"/>
          <w:pgMar w:top="1701" w:right="1440" w:bottom="1440" w:left="1440" w:header="1134" w:footer="851" w:gutter="0"/>
          <w:cols w:space="720" w:num="1"/>
        </w:sectPr>
      </w:pPr>
      <w:r>
        <w:rPr>
          <w:rFonts w:ascii="Arial Narrow" w:hAnsi="Arial Narrow" w:eastAsia="汉鼎简书宋"/>
        </w:rPr>
        <w:drawing>
          <wp:inline distT="0" distB="0" distL="0" distR="0">
            <wp:extent cx="8348980" cy="47466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8348980" cy="4746625"/>
                    </a:xfrm>
                    <a:prstGeom prst="rect">
                      <a:avLst/>
                    </a:prstGeom>
                    <a:noFill/>
                    <a:ln>
                      <a:noFill/>
                    </a:ln>
                  </pic:spPr>
                </pic:pic>
              </a:graphicData>
            </a:graphic>
          </wp:inline>
        </w:drawing>
      </w:r>
    </w:p>
    <w:p>
      <w:pPr>
        <w:pStyle w:val="5"/>
        <w:spacing w:before="120" w:after="120" w:line="440" w:lineRule="exact"/>
        <w:rPr>
          <w:sz w:val="24"/>
        </w:rPr>
      </w:pPr>
      <w:r>
        <w:rPr>
          <w:sz w:val="24"/>
        </w:rPr>
        <w:t>2.1.7矿区煤炭分选加工</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本矿区煤类为</w:t>
      </w:r>
      <w:r>
        <w:rPr>
          <w:rFonts w:ascii="Times New Roman" w:hAnsi="Times New Roman"/>
          <w:kern w:val="0"/>
        </w:rPr>
        <w:t>不粘煤，煤炭产品用户主要包括两部分：一是就地转化，主要供应当地煤化工、电厂及其他工业作燃料煤及原料煤；二是作为“西北至华中”的煤源地之一，通过铁路及公路外运，供华中地区用户，用作燃料用煤。</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根据目标用户对产品的质量要求，分选加工工艺流程如下：</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规划选煤厂采用块煤排矸分选工艺，预留末煤分选系统，因本矿区煤质可选性等级为易选~极难选，应选用分选精度较高的洗选设备，暂设计规划本矿区块煤分选方法为重介浅槽分选，200～13mm块煤采用重介浅槽分选，预留13～0mm末煤洗选系统。</w:t>
      </w:r>
    </w:p>
    <w:p>
      <w:pPr>
        <w:tabs>
          <w:tab w:val="left" w:pos="900"/>
        </w:tabs>
        <w:spacing w:line="440" w:lineRule="exact"/>
        <w:ind w:firstLine="480" w:firstLineChars="200"/>
        <w:rPr>
          <w:rFonts w:ascii="Times New Roman" w:hAnsi="Times New Roman"/>
          <w:szCs w:val="24"/>
        </w:rPr>
      </w:pPr>
      <w:r>
        <w:rPr>
          <w:rFonts w:ascii="Times New Roman" w:hAnsi="Times New Roman"/>
          <w:szCs w:val="24"/>
        </w:rPr>
        <w:t>煤炭分选加工工程见表2.1-7，最终产品平衡表见表2.1-8。</w:t>
      </w:r>
    </w:p>
    <w:p>
      <w:pPr>
        <w:tabs>
          <w:tab w:val="left" w:pos="900"/>
        </w:tabs>
        <w:adjustRightInd w:val="0"/>
        <w:snapToGrid w:val="0"/>
        <w:spacing w:line="440" w:lineRule="exact"/>
        <w:jc w:val="center"/>
        <w:rPr>
          <w:rFonts w:ascii="Times New Roman" w:hAnsi="Times New Roman"/>
          <w:b/>
          <w:szCs w:val="24"/>
        </w:rPr>
      </w:pPr>
      <w:r>
        <w:rPr>
          <w:rFonts w:ascii="Times New Roman" w:hAnsi="Times New Roman"/>
          <w:b/>
          <w:szCs w:val="24"/>
        </w:rPr>
        <w:t>煤炭分选加工工程表</w:t>
      </w:r>
    </w:p>
    <w:p>
      <w:pPr>
        <w:tabs>
          <w:tab w:val="left" w:pos="900"/>
        </w:tabs>
        <w:adjustRightInd w:val="0"/>
        <w:snapToGrid w:val="0"/>
        <w:spacing w:line="440" w:lineRule="exact"/>
        <w:rPr>
          <w:rFonts w:ascii="Times New Roman" w:hAnsi="Times New Roman"/>
          <w:szCs w:val="24"/>
        </w:rPr>
      </w:pPr>
      <w:r>
        <w:rPr>
          <w:rFonts w:ascii="Times New Roman" w:hAnsi="Times New Roman"/>
          <w:szCs w:val="24"/>
        </w:rPr>
        <w:t>表2.1-7</w:t>
      </w:r>
    </w:p>
    <w:tbl>
      <w:tblPr>
        <w:tblStyle w:val="59"/>
        <w:tblW w:w="91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67"/>
        <w:gridCol w:w="1418"/>
        <w:gridCol w:w="1024"/>
        <w:gridCol w:w="911"/>
        <w:gridCol w:w="1289"/>
        <w:gridCol w:w="1516"/>
        <w:gridCol w:w="855"/>
        <w:gridCol w:w="917"/>
        <w:gridCol w:w="8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19" w:hRule="atLeast"/>
          <w:jc w:val="center"/>
        </w:trPr>
        <w:tc>
          <w:tcPr>
            <w:tcW w:w="367"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序号</w:t>
            </w:r>
          </w:p>
        </w:tc>
        <w:tc>
          <w:tcPr>
            <w:tcW w:w="1418"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名称</w:t>
            </w:r>
          </w:p>
        </w:tc>
        <w:tc>
          <w:tcPr>
            <w:tcW w:w="1024"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规划生产能力（Mt/a）</w:t>
            </w:r>
          </w:p>
        </w:tc>
        <w:tc>
          <w:tcPr>
            <w:tcW w:w="2200" w:type="dxa"/>
            <w:gridSpan w:val="2"/>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加工原则</w:t>
            </w:r>
          </w:p>
        </w:tc>
        <w:tc>
          <w:tcPr>
            <w:tcW w:w="1516" w:type="dxa"/>
            <w:vMerge w:val="restart"/>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厂址</w:t>
            </w:r>
          </w:p>
        </w:tc>
        <w:tc>
          <w:tcPr>
            <w:tcW w:w="2601" w:type="dxa"/>
            <w:gridSpan w:val="3"/>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原料煤矿井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95" w:hRule="atLeast"/>
          <w:jc w:val="center"/>
        </w:trPr>
        <w:tc>
          <w:tcPr>
            <w:tcW w:w="36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418"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02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911"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分选深度</w:t>
            </w:r>
          </w:p>
          <w:p>
            <w:pPr>
              <w:widowControl/>
              <w:spacing w:line="320" w:lineRule="exact"/>
              <w:jc w:val="center"/>
              <w:rPr>
                <w:rFonts w:ascii="Times New Roman" w:hAnsi="Times New Roman"/>
                <w:kern w:val="0"/>
                <w:sz w:val="21"/>
                <w:szCs w:val="21"/>
              </w:rPr>
            </w:pPr>
            <w:r>
              <w:rPr>
                <w:rFonts w:ascii="Times New Roman" w:hAnsi="Times New Roman"/>
                <w:kern w:val="0"/>
                <w:sz w:val="21"/>
                <w:szCs w:val="21"/>
              </w:rPr>
              <w:t>（mm）</w:t>
            </w:r>
          </w:p>
        </w:tc>
        <w:tc>
          <w:tcPr>
            <w:tcW w:w="128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选煤方法</w:t>
            </w:r>
          </w:p>
        </w:tc>
        <w:tc>
          <w:tcPr>
            <w:tcW w:w="151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855"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矿井</w:t>
            </w:r>
          </w:p>
          <w:p>
            <w:pPr>
              <w:widowControl/>
              <w:spacing w:line="320" w:lineRule="exact"/>
              <w:jc w:val="center"/>
              <w:rPr>
                <w:rFonts w:ascii="Times New Roman" w:hAnsi="Times New Roman"/>
                <w:kern w:val="0"/>
                <w:sz w:val="21"/>
                <w:szCs w:val="21"/>
              </w:rPr>
            </w:pPr>
            <w:r>
              <w:rPr>
                <w:rFonts w:ascii="Times New Roman" w:hAnsi="Times New Roman"/>
                <w:kern w:val="0"/>
                <w:sz w:val="21"/>
                <w:szCs w:val="21"/>
              </w:rPr>
              <w:t>名称</w:t>
            </w:r>
          </w:p>
        </w:tc>
        <w:tc>
          <w:tcPr>
            <w:tcW w:w="917"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规划生产</w:t>
            </w:r>
          </w:p>
          <w:p>
            <w:pPr>
              <w:widowControl/>
              <w:spacing w:line="320" w:lineRule="exact"/>
              <w:jc w:val="center"/>
              <w:rPr>
                <w:rFonts w:ascii="Times New Roman" w:hAnsi="Times New Roman"/>
                <w:kern w:val="0"/>
                <w:sz w:val="21"/>
                <w:szCs w:val="21"/>
              </w:rPr>
            </w:pPr>
            <w:r>
              <w:rPr>
                <w:rFonts w:ascii="Times New Roman" w:hAnsi="Times New Roman"/>
                <w:kern w:val="0"/>
                <w:sz w:val="21"/>
                <w:szCs w:val="21"/>
              </w:rPr>
              <w:t>能力（Mt/a）</w:t>
            </w:r>
          </w:p>
        </w:tc>
        <w:tc>
          <w:tcPr>
            <w:tcW w:w="82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煤类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0" w:hRule="atLeast"/>
          <w:jc w:val="center"/>
        </w:trPr>
        <w:tc>
          <w:tcPr>
            <w:tcW w:w="367"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1</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苏布尔嘎矿井选煤厂</w:t>
            </w:r>
          </w:p>
        </w:tc>
        <w:tc>
          <w:tcPr>
            <w:tcW w:w="1024"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8.00</w:t>
            </w:r>
          </w:p>
        </w:tc>
        <w:tc>
          <w:tcPr>
            <w:tcW w:w="911"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13</w:t>
            </w:r>
          </w:p>
        </w:tc>
        <w:tc>
          <w:tcPr>
            <w:tcW w:w="128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+13mm</w:t>
            </w:r>
            <w:r>
              <w:rPr>
                <w:rFonts w:ascii="Times New Roman" w:hAnsi="Times New Roman"/>
                <w:sz w:val="21"/>
                <w:szCs w:val="21"/>
              </w:rPr>
              <w:t>重介浅槽分选</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苏布尔嘎矿井工业场地</w:t>
            </w:r>
          </w:p>
        </w:tc>
        <w:tc>
          <w:tcPr>
            <w:tcW w:w="855"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苏布尔嘎矿井</w:t>
            </w:r>
          </w:p>
        </w:tc>
        <w:tc>
          <w:tcPr>
            <w:tcW w:w="917"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8.00</w:t>
            </w:r>
          </w:p>
        </w:tc>
        <w:tc>
          <w:tcPr>
            <w:tcW w:w="82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sz w:val="21"/>
                <w:szCs w:val="21"/>
              </w:rPr>
              <w:t>不粘煤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0" w:hRule="atLeast"/>
          <w:jc w:val="center"/>
        </w:trPr>
        <w:tc>
          <w:tcPr>
            <w:tcW w:w="367"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2</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奎腾沟矿井选煤厂</w:t>
            </w:r>
          </w:p>
        </w:tc>
        <w:tc>
          <w:tcPr>
            <w:tcW w:w="1024" w:type="dxa"/>
            <w:tcBorders>
              <w:top w:val="single" w:color="auto" w:sz="4" w:space="0"/>
              <w:left w:val="single" w:color="auto" w:sz="4" w:space="0"/>
              <w:bottom w:val="single" w:color="auto" w:sz="4" w:space="0"/>
              <w:right w:val="single" w:color="auto" w:sz="4" w:space="0"/>
            </w:tcBorders>
            <w:vAlign w:val="center"/>
          </w:tcPr>
          <w:p>
            <w:pPr>
              <w:pStyle w:val="573"/>
              <w:spacing w:line="320" w:lineRule="exact"/>
              <w:ind w:firstLine="0" w:firstLineChars="0"/>
              <w:jc w:val="center"/>
              <w:rPr>
                <w:rFonts w:ascii="Times New Roman" w:hAnsi="Times New Roman" w:eastAsia="宋体" w:cs="Times New Roman"/>
                <w:bCs w:val="0"/>
                <w:kern w:val="0"/>
                <w:sz w:val="21"/>
                <w:szCs w:val="21"/>
              </w:rPr>
            </w:pPr>
            <w:r>
              <w:rPr>
                <w:rFonts w:ascii="Times New Roman" w:hAnsi="Times New Roman" w:eastAsia="宋体" w:cs="Times New Roman"/>
                <w:bCs w:val="0"/>
                <w:kern w:val="0"/>
                <w:sz w:val="21"/>
                <w:szCs w:val="21"/>
              </w:rPr>
              <w:t>8.00</w:t>
            </w:r>
          </w:p>
        </w:tc>
        <w:tc>
          <w:tcPr>
            <w:tcW w:w="911"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13</w:t>
            </w:r>
          </w:p>
        </w:tc>
        <w:tc>
          <w:tcPr>
            <w:tcW w:w="128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+13mm</w:t>
            </w:r>
            <w:r>
              <w:rPr>
                <w:rFonts w:ascii="Times New Roman" w:hAnsi="Times New Roman"/>
                <w:sz w:val="21"/>
                <w:szCs w:val="21"/>
              </w:rPr>
              <w:t>重介浅槽分选</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奎腾沟矿井工业场地</w:t>
            </w:r>
          </w:p>
        </w:tc>
        <w:tc>
          <w:tcPr>
            <w:tcW w:w="855"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奎腾沟矿井</w:t>
            </w:r>
          </w:p>
        </w:tc>
        <w:tc>
          <w:tcPr>
            <w:tcW w:w="917" w:type="dxa"/>
            <w:tcBorders>
              <w:top w:val="single" w:color="auto" w:sz="4" w:space="0"/>
              <w:left w:val="single" w:color="auto" w:sz="4" w:space="0"/>
              <w:bottom w:val="single" w:color="auto" w:sz="4" w:space="0"/>
              <w:right w:val="single" w:color="auto" w:sz="4" w:space="0"/>
            </w:tcBorders>
            <w:vAlign w:val="center"/>
          </w:tcPr>
          <w:p>
            <w:pPr>
              <w:pStyle w:val="573"/>
              <w:spacing w:line="320" w:lineRule="exact"/>
              <w:ind w:firstLine="0" w:firstLineChars="0"/>
              <w:jc w:val="center"/>
              <w:rPr>
                <w:rFonts w:ascii="Times New Roman" w:hAnsi="Times New Roman" w:eastAsia="宋体" w:cs="Times New Roman"/>
                <w:bCs w:val="0"/>
                <w:kern w:val="0"/>
                <w:sz w:val="21"/>
                <w:szCs w:val="21"/>
              </w:rPr>
            </w:pPr>
            <w:r>
              <w:rPr>
                <w:rFonts w:ascii="Times New Roman" w:hAnsi="Times New Roman" w:eastAsia="宋体" w:cs="Times New Roman"/>
                <w:bCs w:val="0"/>
                <w:kern w:val="0"/>
                <w:sz w:val="21"/>
                <w:szCs w:val="21"/>
              </w:rPr>
              <w:t>8.00</w:t>
            </w:r>
          </w:p>
        </w:tc>
        <w:tc>
          <w:tcPr>
            <w:tcW w:w="82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sz w:val="21"/>
                <w:szCs w:val="21"/>
              </w:rPr>
              <w:t>不粘煤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0" w:hRule="atLeast"/>
          <w:jc w:val="center"/>
        </w:trPr>
        <w:tc>
          <w:tcPr>
            <w:tcW w:w="367"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3</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壕赖苏矿井选煤厂</w:t>
            </w:r>
          </w:p>
        </w:tc>
        <w:tc>
          <w:tcPr>
            <w:tcW w:w="1024" w:type="dxa"/>
            <w:tcBorders>
              <w:top w:val="single" w:color="auto" w:sz="4" w:space="0"/>
              <w:left w:val="single" w:color="auto" w:sz="4" w:space="0"/>
              <w:bottom w:val="single" w:color="auto" w:sz="4" w:space="0"/>
              <w:right w:val="single" w:color="auto" w:sz="4" w:space="0"/>
            </w:tcBorders>
            <w:vAlign w:val="center"/>
          </w:tcPr>
          <w:p>
            <w:pPr>
              <w:pStyle w:val="573"/>
              <w:spacing w:line="320" w:lineRule="exact"/>
              <w:ind w:firstLine="0" w:firstLineChars="0"/>
              <w:jc w:val="center"/>
              <w:rPr>
                <w:rFonts w:ascii="Times New Roman" w:hAnsi="Times New Roman" w:eastAsia="宋体" w:cs="Times New Roman"/>
                <w:bCs w:val="0"/>
                <w:kern w:val="0"/>
                <w:sz w:val="21"/>
                <w:szCs w:val="21"/>
              </w:rPr>
            </w:pPr>
            <w:r>
              <w:rPr>
                <w:rFonts w:ascii="Times New Roman" w:hAnsi="Times New Roman" w:eastAsia="宋体" w:cs="Times New Roman"/>
                <w:bCs w:val="0"/>
                <w:kern w:val="0"/>
                <w:sz w:val="21"/>
                <w:szCs w:val="21"/>
              </w:rPr>
              <w:t>8.00</w:t>
            </w:r>
          </w:p>
        </w:tc>
        <w:tc>
          <w:tcPr>
            <w:tcW w:w="911"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13</w:t>
            </w:r>
          </w:p>
        </w:tc>
        <w:tc>
          <w:tcPr>
            <w:tcW w:w="128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+13mm</w:t>
            </w:r>
            <w:r>
              <w:rPr>
                <w:rFonts w:ascii="Times New Roman" w:hAnsi="Times New Roman"/>
                <w:sz w:val="21"/>
                <w:szCs w:val="21"/>
              </w:rPr>
              <w:t>重介浅槽分选</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壕赖苏矿井工业场地</w:t>
            </w:r>
          </w:p>
        </w:tc>
        <w:tc>
          <w:tcPr>
            <w:tcW w:w="855"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壕赖苏矿井</w:t>
            </w:r>
          </w:p>
        </w:tc>
        <w:tc>
          <w:tcPr>
            <w:tcW w:w="917" w:type="dxa"/>
            <w:tcBorders>
              <w:top w:val="single" w:color="auto" w:sz="4" w:space="0"/>
              <w:left w:val="single" w:color="auto" w:sz="4" w:space="0"/>
              <w:bottom w:val="single" w:color="auto" w:sz="4" w:space="0"/>
              <w:right w:val="single" w:color="auto" w:sz="4" w:space="0"/>
            </w:tcBorders>
            <w:vAlign w:val="center"/>
          </w:tcPr>
          <w:p>
            <w:pPr>
              <w:pStyle w:val="573"/>
              <w:spacing w:line="320" w:lineRule="exact"/>
              <w:ind w:firstLine="0" w:firstLineChars="0"/>
              <w:jc w:val="center"/>
              <w:rPr>
                <w:rFonts w:ascii="Times New Roman" w:hAnsi="Times New Roman" w:eastAsia="宋体" w:cs="Times New Roman"/>
                <w:bCs w:val="0"/>
                <w:kern w:val="0"/>
                <w:sz w:val="21"/>
                <w:szCs w:val="21"/>
              </w:rPr>
            </w:pPr>
            <w:r>
              <w:rPr>
                <w:rFonts w:ascii="Times New Roman" w:hAnsi="Times New Roman" w:eastAsia="宋体" w:cs="Times New Roman"/>
                <w:bCs w:val="0"/>
                <w:kern w:val="0"/>
                <w:sz w:val="21"/>
                <w:szCs w:val="21"/>
              </w:rPr>
              <w:t>8.00</w:t>
            </w:r>
          </w:p>
        </w:tc>
        <w:tc>
          <w:tcPr>
            <w:tcW w:w="82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sz w:val="21"/>
                <w:szCs w:val="21"/>
              </w:rPr>
              <w:t>不粘煤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0" w:hRule="atLeast"/>
          <w:jc w:val="center"/>
        </w:trPr>
        <w:tc>
          <w:tcPr>
            <w:tcW w:w="367"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4</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纳林希里矿井选煤厂</w:t>
            </w:r>
          </w:p>
        </w:tc>
        <w:tc>
          <w:tcPr>
            <w:tcW w:w="1024" w:type="dxa"/>
            <w:tcBorders>
              <w:top w:val="single" w:color="auto" w:sz="4" w:space="0"/>
              <w:left w:val="single" w:color="auto" w:sz="4" w:space="0"/>
              <w:bottom w:val="single" w:color="auto" w:sz="4" w:space="0"/>
              <w:right w:val="single" w:color="auto" w:sz="4" w:space="0"/>
            </w:tcBorders>
            <w:vAlign w:val="center"/>
          </w:tcPr>
          <w:p>
            <w:pPr>
              <w:pStyle w:val="573"/>
              <w:spacing w:line="320" w:lineRule="exact"/>
              <w:ind w:firstLine="0" w:firstLineChars="0"/>
              <w:jc w:val="center"/>
              <w:rPr>
                <w:rFonts w:ascii="Times New Roman" w:hAnsi="Times New Roman" w:eastAsia="宋体" w:cs="Times New Roman"/>
                <w:bCs w:val="0"/>
                <w:kern w:val="0"/>
                <w:sz w:val="21"/>
                <w:szCs w:val="21"/>
              </w:rPr>
            </w:pPr>
            <w:r>
              <w:rPr>
                <w:rFonts w:ascii="Times New Roman" w:hAnsi="Times New Roman" w:eastAsia="宋体" w:cs="Times New Roman"/>
                <w:bCs w:val="0"/>
                <w:kern w:val="0"/>
                <w:sz w:val="21"/>
                <w:szCs w:val="21"/>
              </w:rPr>
              <w:t>8.00</w:t>
            </w:r>
          </w:p>
        </w:tc>
        <w:tc>
          <w:tcPr>
            <w:tcW w:w="911"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13</w:t>
            </w:r>
          </w:p>
        </w:tc>
        <w:tc>
          <w:tcPr>
            <w:tcW w:w="128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+13mm</w:t>
            </w:r>
            <w:r>
              <w:rPr>
                <w:rFonts w:ascii="Times New Roman" w:hAnsi="Times New Roman"/>
                <w:sz w:val="21"/>
                <w:szCs w:val="21"/>
              </w:rPr>
              <w:t>重介浅槽分选</w:t>
            </w:r>
          </w:p>
        </w:tc>
        <w:tc>
          <w:tcPr>
            <w:tcW w:w="1516"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纳林希里矿井工业场地</w:t>
            </w:r>
          </w:p>
        </w:tc>
        <w:tc>
          <w:tcPr>
            <w:tcW w:w="855"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kern w:val="0"/>
                <w:sz w:val="21"/>
                <w:szCs w:val="21"/>
              </w:rPr>
              <w:t>纳林希里矿井</w:t>
            </w:r>
          </w:p>
        </w:tc>
        <w:tc>
          <w:tcPr>
            <w:tcW w:w="917" w:type="dxa"/>
            <w:tcBorders>
              <w:top w:val="single" w:color="auto" w:sz="4" w:space="0"/>
              <w:left w:val="single" w:color="auto" w:sz="4" w:space="0"/>
              <w:bottom w:val="single" w:color="auto" w:sz="4" w:space="0"/>
              <w:right w:val="single" w:color="auto" w:sz="4" w:space="0"/>
            </w:tcBorders>
            <w:vAlign w:val="center"/>
          </w:tcPr>
          <w:p>
            <w:pPr>
              <w:pStyle w:val="573"/>
              <w:spacing w:line="320" w:lineRule="exact"/>
              <w:ind w:firstLine="0" w:firstLineChars="0"/>
              <w:jc w:val="center"/>
              <w:rPr>
                <w:rFonts w:ascii="Times New Roman" w:hAnsi="Times New Roman" w:eastAsia="宋体" w:cs="Times New Roman"/>
                <w:bCs w:val="0"/>
                <w:kern w:val="0"/>
                <w:sz w:val="21"/>
                <w:szCs w:val="21"/>
              </w:rPr>
            </w:pPr>
            <w:r>
              <w:rPr>
                <w:rFonts w:ascii="Times New Roman" w:hAnsi="Times New Roman" w:eastAsia="宋体" w:cs="Times New Roman"/>
                <w:bCs w:val="0"/>
                <w:kern w:val="0"/>
                <w:sz w:val="21"/>
                <w:szCs w:val="21"/>
              </w:rPr>
              <w:t>8.00</w:t>
            </w:r>
          </w:p>
        </w:tc>
        <w:tc>
          <w:tcPr>
            <w:tcW w:w="829" w:type="dxa"/>
            <w:tcBorders>
              <w:top w:val="single" w:color="auto" w:sz="4" w:space="0"/>
              <w:left w:val="single" w:color="auto" w:sz="4" w:space="0"/>
              <w:bottom w:val="single" w:color="auto" w:sz="4" w:space="0"/>
              <w:right w:val="single" w:color="auto" w:sz="4" w:space="0"/>
            </w:tcBorders>
            <w:vAlign w:val="center"/>
          </w:tcPr>
          <w:p>
            <w:pPr>
              <w:widowControl/>
              <w:spacing w:line="320" w:lineRule="exact"/>
              <w:jc w:val="center"/>
              <w:rPr>
                <w:rFonts w:ascii="Times New Roman" w:hAnsi="Times New Roman"/>
                <w:kern w:val="0"/>
                <w:sz w:val="21"/>
                <w:szCs w:val="21"/>
              </w:rPr>
            </w:pPr>
            <w:r>
              <w:rPr>
                <w:rFonts w:ascii="Times New Roman" w:hAnsi="Times New Roman"/>
                <w:sz w:val="21"/>
                <w:szCs w:val="21"/>
              </w:rPr>
              <w:t>不粘煤</w:t>
            </w:r>
          </w:p>
        </w:tc>
      </w:tr>
    </w:tbl>
    <w:p>
      <w:pPr>
        <w:tabs>
          <w:tab w:val="left" w:pos="900"/>
        </w:tabs>
        <w:adjustRightInd w:val="0"/>
        <w:snapToGrid w:val="0"/>
        <w:spacing w:line="440" w:lineRule="exact"/>
        <w:jc w:val="center"/>
        <w:rPr>
          <w:rFonts w:ascii="Times New Roman" w:hAnsi="Times New Roman"/>
          <w:b/>
          <w:szCs w:val="24"/>
        </w:rPr>
      </w:pPr>
      <w:r>
        <w:rPr>
          <w:rFonts w:ascii="Times New Roman" w:hAnsi="Times New Roman"/>
          <w:b/>
          <w:szCs w:val="24"/>
        </w:rPr>
        <w:t>选煤厂最终产品平衡表</w:t>
      </w:r>
    </w:p>
    <w:p>
      <w:pPr>
        <w:tabs>
          <w:tab w:val="left" w:pos="900"/>
        </w:tabs>
        <w:adjustRightInd w:val="0"/>
        <w:snapToGrid w:val="0"/>
        <w:spacing w:line="440" w:lineRule="exact"/>
        <w:rPr>
          <w:rFonts w:ascii="Times New Roman" w:hAnsi="Times New Roman"/>
          <w:szCs w:val="24"/>
        </w:rPr>
      </w:pPr>
      <w:r>
        <w:rPr>
          <w:rFonts w:ascii="Times New Roman" w:hAnsi="Times New Roman"/>
          <w:szCs w:val="24"/>
        </w:rPr>
        <w:t>表2.1-8</w:t>
      </w:r>
    </w:p>
    <w:tbl>
      <w:tblPr>
        <w:tblStyle w:val="59"/>
        <w:tblW w:w="91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417"/>
        <w:gridCol w:w="1129"/>
        <w:gridCol w:w="970"/>
        <w:gridCol w:w="959"/>
        <w:gridCol w:w="917"/>
        <w:gridCol w:w="945"/>
        <w:gridCol w:w="917"/>
        <w:gridCol w:w="958"/>
        <w:gridCol w:w="944"/>
        <w:gridCol w:w="9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417" w:type="dxa"/>
            <w:vMerge w:val="restart"/>
            <w:vAlign w:val="center"/>
          </w:tcPr>
          <w:p>
            <w:pPr>
              <w:widowControl/>
              <w:jc w:val="center"/>
              <w:rPr>
                <w:rFonts w:ascii="Times New Roman" w:hAnsi="Times New Roman"/>
                <w:kern w:val="0"/>
                <w:sz w:val="21"/>
                <w:szCs w:val="21"/>
              </w:rPr>
            </w:pPr>
            <w:r>
              <w:rPr>
                <w:rFonts w:ascii="Times New Roman" w:hAnsi="Times New Roman"/>
                <w:kern w:val="0"/>
                <w:sz w:val="21"/>
                <w:szCs w:val="21"/>
              </w:rPr>
              <w:t>序号</w:t>
            </w:r>
          </w:p>
        </w:tc>
        <w:tc>
          <w:tcPr>
            <w:tcW w:w="1129" w:type="dxa"/>
            <w:vMerge w:val="restart"/>
            <w:vAlign w:val="center"/>
          </w:tcPr>
          <w:p>
            <w:pPr>
              <w:widowControl/>
              <w:jc w:val="center"/>
              <w:rPr>
                <w:rFonts w:ascii="Times New Roman" w:hAnsi="Times New Roman"/>
                <w:kern w:val="0"/>
                <w:sz w:val="21"/>
                <w:szCs w:val="21"/>
              </w:rPr>
            </w:pPr>
            <w:r>
              <w:rPr>
                <w:rFonts w:ascii="Times New Roman" w:hAnsi="Times New Roman"/>
                <w:kern w:val="0"/>
                <w:sz w:val="21"/>
                <w:szCs w:val="21"/>
              </w:rPr>
              <w:t>名称</w:t>
            </w:r>
          </w:p>
        </w:tc>
        <w:tc>
          <w:tcPr>
            <w:tcW w:w="1929" w:type="dxa"/>
            <w:gridSpan w:val="2"/>
            <w:vAlign w:val="center"/>
          </w:tcPr>
          <w:p>
            <w:pPr>
              <w:widowControl/>
              <w:jc w:val="center"/>
              <w:rPr>
                <w:rFonts w:ascii="Times New Roman" w:hAnsi="Times New Roman"/>
                <w:kern w:val="0"/>
                <w:sz w:val="21"/>
                <w:szCs w:val="21"/>
              </w:rPr>
            </w:pPr>
            <w:r>
              <w:rPr>
                <w:rFonts w:ascii="Times New Roman" w:hAnsi="Times New Roman"/>
                <w:kern w:val="0"/>
                <w:sz w:val="21"/>
                <w:szCs w:val="21"/>
              </w:rPr>
              <w:t>块煤</w:t>
            </w:r>
          </w:p>
        </w:tc>
        <w:tc>
          <w:tcPr>
            <w:tcW w:w="1862" w:type="dxa"/>
            <w:gridSpan w:val="2"/>
            <w:vAlign w:val="center"/>
          </w:tcPr>
          <w:p>
            <w:pPr>
              <w:widowControl/>
              <w:jc w:val="center"/>
              <w:rPr>
                <w:rFonts w:ascii="Times New Roman" w:hAnsi="Times New Roman"/>
                <w:kern w:val="0"/>
                <w:sz w:val="21"/>
                <w:szCs w:val="21"/>
              </w:rPr>
            </w:pPr>
            <w:r>
              <w:rPr>
                <w:rFonts w:ascii="Times New Roman" w:hAnsi="Times New Roman"/>
                <w:kern w:val="0"/>
                <w:sz w:val="21"/>
                <w:szCs w:val="21"/>
              </w:rPr>
              <w:t>末煤</w:t>
            </w:r>
          </w:p>
        </w:tc>
        <w:tc>
          <w:tcPr>
            <w:tcW w:w="1875" w:type="dxa"/>
            <w:gridSpan w:val="2"/>
            <w:vAlign w:val="center"/>
          </w:tcPr>
          <w:p>
            <w:pPr>
              <w:widowControl/>
              <w:jc w:val="center"/>
              <w:rPr>
                <w:rFonts w:ascii="Times New Roman" w:hAnsi="Times New Roman"/>
                <w:kern w:val="0"/>
                <w:sz w:val="21"/>
                <w:szCs w:val="21"/>
              </w:rPr>
            </w:pPr>
            <w:r>
              <w:rPr>
                <w:rFonts w:ascii="Times New Roman" w:hAnsi="Times New Roman"/>
                <w:kern w:val="0"/>
                <w:sz w:val="21"/>
                <w:szCs w:val="21"/>
              </w:rPr>
              <w:t>矸石</w:t>
            </w:r>
          </w:p>
        </w:tc>
        <w:tc>
          <w:tcPr>
            <w:tcW w:w="1914" w:type="dxa"/>
            <w:gridSpan w:val="2"/>
            <w:vAlign w:val="center"/>
          </w:tcPr>
          <w:p>
            <w:pPr>
              <w:widowControl/>
              <w:jc w:val="center"/>
              <w:rPr>
                <w:rFonts w:ascii="Times New Roman" w:hAnsi="Times New Roman"/>
                <w:kern w:val="0"/>
                <w:sz w:val="21"/>
                <w:szCs w:val="21"/>
              </w:rPr>
            </w:pPr>
            <w:r>
              <w:rPr>
                <w:rFonts w:ascii="Times New Roman" w:hAnsi="Times New Roman"/>
                <w:kern w:val="0"/>
                <w:sz w:val="21"/>
                <w:szCs w:val="21"/>
              </w:rPr>
              <w:t>原煤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417" w:type="dxa"/>
            <w:vMerge w:val="continue"/>
            <w:vAlign w:val="center"/>
          </w:tcPr>
          <w:p>
            <w:pPr>
              <w:widowControl/>
              <w:jc w:val="left"/>
              <w:rPr>
                <w:rFonts w:ascii="Times New Roman" w:hAnsi="Times New Roman"/>
                <w:kern w:val="0"/>
                <w:sz w:val="21"/>
                <w:szCs w:val="21"/>
              </w:rPr>
            </w:pPr>
          </w:p>
        </w:tc>
        <w:tc>
          <w:tcPr>
            <w:tcW w:w="1129" w:type="dxa"/>
            <w:vMerge w:val="continue"/>
            <w:vAlign w:val="center"/>
          </w:tcPr>
          <w:p>
            <w:pPr>
              <w:widowControl/>
              <w:jc w:val="left"/>
              <w:rPr>
                <w:rFonts w:ascii="Times New Roman" w:hAnsi="Times New Roman"/>
                <w:kern w:val="0"/>
                <w:sz w:val="21"/>
                <w:szCs w:val="21"/>
              </w:rPr>
            </w:pP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产量</w:t>
            </w:r>
          </w:p>
        </w:tc>
        <w:tc>
          <w:tcPr>
            <w:tcW w:w="959" w:type="dxa"/>
            <w:vAlign w:val="center"/>
          </w:tcPr>
          <w:p>
            <w:pPr>
              <w:widowControl/>
              <w:jc w:val="center"/>
              <w:rPr>
                <w:rFonts w:ascii="Times New Roman" w:hAnsi="Times New Roman"/>
                <w:kern w:val="0"/>
                <w:sz w:val="21"/>
                <w:szCs w:val="21"/>
              </w:rPr>
            </w:pPr>
            <w:r>
              <w:rPr>
                <w:rFonts w:ascii="Times New Roman" w:hAnsi="Times New Roman"/>
                <w:kern w:val="0"/>
                <w:sz w:val="21"/>
                <w:szCs w:val="21"/>
              </w:rPr>
              <w:t>灰分</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产量</w:t>
            </w:r>
          </w:p>
        </w:tc>
        <w:tc>
          <w:tcPr>
            <w:tcW w:w="945" w:type="dxa"/>
            <w:vAlign w:val="center"/>
          </w:tcPr>
          <w:p>
            <w:pPr>
              <w:widowControl/>
              <w:jc w:val="center"/>
              <w:rPr>
                <w:rFonts w:ascii="Times New Roman" w:hAnsi="Times New Roman"/>
                <w:kern w:val="0"/>
                <w:sz w:val="21"/>
                <w:szCs w:val="21"/>
              </w:rPr>
            </w:pPr>
            <w:r>
              <w:rPr>
                <w:rFonts w:ascii="Times New Roman" w:hAnsi="Times New Roman"/>
                <w:kern w:val="0"/>
                <w:sz w:val="21"/>
                <w:szCs w:val="21"/>
              </w:rPr>
              <w:t>灰分</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产量</w:t>
            </w:r>
          </w:p>
        </w:tc>
        <w:tc>
          <w:tcPr>
            <w:tcW w:w="958" w:type="dxa"/>
            <w:vAlign w:val="center"/>
          </w:tcPr>
          <w:p>
            <w:pPr>
              <w:widowControl/>
              <w:jc w:val="center"/>
              <w:rPr>
                <w:rFonts w:ascii="Times New Roman" w:hAnsi="Times New Roman"/>
                <w:kern w:val="0"/>
                <w:sz w:val="21"/>
                <w:szCs w:val="21"/>
              </w:rPr>
            </w:pPr>
            <w:r>
              <w:rPr>
                <w:rFonts w:ascii="Times New Roman" w:hAnsi="Times New Roman"/>
                <w:kern w:val="0"/>
                <w:sz w:val="21"/>
                <w:szCs w:val="21"/>
              </w:rPr>
              <w:t>灰分</w:t>
            </w:r>
          </w:p>
        </w:tc>
        <w:tc>
          <w:tcPr>
            <w:tcW w:w="944" w:type="dxa"/>
            <w:vAlign w:val="center"/>
          </w:tcPr>
          <w:p>
            <w:pPr>
              <w:widowControl/>
              <w:jc w:val="center"/>
              <w:rPr>
                <w:rFonts w:ascii="Times New Roman" w:hAnsi="Times New Roman"/>
                <w:kern w:val="0"/>
                <w:sz w:val="21"/>
                <w:szCs w:val="21"/>
              </w:rPr>
            </w:pPr>
            <w:r>
              <w:rPr>
                <w:rFonts w:ascii="Times New Roman" w:hAnsi="Times New Roman"/>
                <w:kern w:val="0"/>
                <w:sz w:val="21"/>
                <w:szCs w:val="21"/>
              </w:rPr>
              <w:t>产量</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灰分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417" w:type="dxa"/>
            <w:vMerge w:val="continue"/>
            <w:vAlign w:val="center"/>
          </w:tcPr>
          <w:p>
            <w:pPr>
              <w:widowControl/>
              <w:jc w:val="left"/>
              <w:rPr>
                <w:rFonts w:ascii="Times New Roman" w:hAnsi="Times New Roman"/>
                <w:kern w:val="0"/>
                <w:sz w:val="21"/>
                <w:szCs w:val="21"/>
              </w:rPr>
            </w:pPr>
          </w:p>
        </w:tc>
        <w:tc>
          <w:tcPr>
            <w:tcW w:w="1129" w:type="dxa"/>
            <w:vMerge w:val="continue"/>
            <w:vAlign w:val="center"/>
          </w:tcPr>
          <w:p>
            <w:pPr>
              <w:widowControl/>
              <w:jc w:val="left"/>
              <w:rPr>
                <w:rFonts w:ascii="Times New Roman" w:hAnsi="Times New Roman"/>
                <w:kern w:val="0"/>
                <w:sz w:val="21"/>
                <w:szCs w:val="21"/>
              </w:rPr>
            </w:pP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（Mt/a）</w:t>
            </w:r>
          </w:p>
        </w:tc>
        <w:tc>
          <w:tcPr>
            <w:tcW w:w="959" w:type="dxa"/>
            <w:vAlign w:val="center"/>
          </w:tcPr>
          <w:p>
            <w:pPr>
              <w:widowControl/>
              <w:jc w:val="center"/>
              <w:rPr>
                <w:rFonts w:ascii="Times New Roman" w:hAnsi="Times New Roman"/>
                <w:kern w:val="0"/>
                <w:sz w:val="21"/>
                <w:szCs w:val="21"/>
              </w:rPr>
            </w:pPr>
            <w:r>
              <w:rPr>
                <w:rFonts w:ascii="Times New Roman" w:hAnsi="Times New Roman"/>
                <w:kern w:val="0"/>
                <w:sz w:val="21"/>
                <w:szCs w:val="21"/>
              </w:rPr>
              <w:t>（Ad%）</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（Mt/a）</w:t>
            </w:r>
          </w:p>
        </w:tc>
        <w:tc>
          <w:tcPr>
            <w:tcW w:w="945" w:type="dxa"/>
            <w:vAlign w:val="center"/>
          </w:tcPr>
          <w:p>
            <w:pPr>
              <w:widowControl/>
              <w:jc w:val="center"/>
              <w:rPr>
                <w:rFonts w:ascii="Times New Roman" w:hAnsi="Times New Roman"/>
                <w:kern w:val="0"/>
                <w:sz w:val="21"/>
                <w:szCs w:val="21"/>
              </w:rPr>
            </w:pPr>
            <w:r>
              <w:rPr>
                <w:rFonts w:ascii="Times New Roman" w:hAnsi="Times New Roman"/>
                <w:kern w:val="0"/>
                <w:sz w:val="21"/>
                <w:szCs w:val="21"/>
              </w:rPr>
              <w:t>（Ad%）</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（Mt/a）</w:t>
            </w:r>
          </w:p>
        </w:tc>
        <w:tc>
          <w:tcPr>
            <w:tcW w:w="958" w:type="dxa"/>
            <w:vAlign w:val="center"/>
          </w:tcPr>
          <w:p>
            <w:pPr>
              <w:widowControl/>
              <w:jc w:val="center"/>
              <w:rPr>
                <w:rFonts w:ascii="Times New Roman" w:hAnsi="Times New Roman"/>
                <w:kern w:val="0"/>
                <w:sz w:val="21"/>
                <w:szCs w:val="21"/>
              </w:rPr>
            </w:pPr>
            <w:r>
              <w:rPr>
                <w:rFonts w:ascii="Times New Roman" w:hAnsi="Times New Roman"/>
                <w:kern w:val="0"/>
                <w:sz w:val="21"/>
                <w:szCs w:val="21"/>
              </w:rPr>
              <w:t>（Ad%）</w:t>
            </w:r>
          </w:p>
        </w:tc>
        <w:tc>
          <w:tcPr>
            <w:tcW w:w="944" w:type="dxa"/>
            <w:vAlign w:val="center"/>
          </w:tcPr>
          <w:p>
            <w:pPr>
              <w:widowControl/>
              <w:jc w:val="center"/>
              <w:rPr>
                <w:rFonts w:ascii="Times New Roman" w:hAnsi="Times New Roman"/>
                <w:kern w:val="0"/>
                <w:sz w:val="21"/>
                <w:szCs w:val="21"/>
              </w:rPr>
            </w:pPr>
            <w:r>
              <w:rPr>
                <w:rFonts w:ascii="Times New Roman" w:hAnsi="Times New Roman"/>
                <w:kern w:val="0"/>
                <w:sz w:val="21"/>
                <w:szCs w:val="21"/>
              </w:rPr>
              <w:t>（Mt/a）</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4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129" w:type="dxa"/>
            <w:vAlign w:val="center"/>
          </w:tcPr>
          <w:p>
            <w:pPr>
              <w:widowControl/>
              <w:jc w:val="center"/>
              <w:rPr>
                <w:rFonts w:ascii="Times New Roman" w:hAnsi="Times New Roman"/>
                <w:kern w:val="0"/>
                <w:sz w:val="21"/>
                <w:szCs w:val="21"/>
              </w:rPr>
            </w:pPr>
            <w:r>
              <w:rPr>
                <w:rFonts w:ascii="Times New Roman" w:hAnsi="Times New Roman"/>
                <w:kern w:val="0"/>
                <w:sz w:val="21"/>
                <w:szCs w:val="21"/>
              </w:rPr>
              <w:t>苏布尔嘎矿井选煤厂</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3.25 </w:t>
            </w:r>
          </w:p>
        </w:tc>
        <w:tc>
          <w:tcPr>
            <w:tcW w:w="959" w:type="dxa"/>
            <w:vAlign w:val="center"/>
          </w:tcPr>
          <w:p>
            <w:pPr>
              <w:widowControl/>
              <w:jc w:val="center"/>
              <w:rPr>
                <w:rFonts w:ascii="Times New Roman" w:hAnsi="Times New Roman"/>
                <w:kern w:val="0"/>
                <w:sz w:val="21"/>
                <w:szCs w:val="21"/>
              </w:rPr>
            </w:pPr>
            <w:r>
              <w:rPr>
                <w:rFonts w:ascii="Times New Roman" w:hAnsi="Times New Roman"/>
                <w:kern w:val="0"/>
                <w:sz w:val="21"/>
                <w:szCs w:val="21"/>
              </w:rPr>
              <w:t>7.35</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4.12</w:t>
            </w:r>
          </w:p>
        </w:tc>
        <w:tc>
          <w:tcPr>
            <w:tcW w:w="945" w:type="dxa"/>
            <w:vAlign w:val="center"/>
          </w:tcPr>
          <w:p>
            <w:pPr>
              <w:widowControl/>
              <w:jc w:val="center"/>
              <w:rPr>
                <w:rFonts w:ascii="Times New Roman" w:hAnsi="Times New Roman"/>
                <w:kern w:val="0"/>
                <w:sz w:val="21"/>
                <w:szCs w:val="21"/>
              </w:rPr>
            </w:pPr>
            <w:r>
              <w:rPr>
                <w:rFonts w:ascii="Times New Roman" w:hAnsi="Times New Roman"/>
                <w:kern w:val="0"/>
                <w:sz w:val="21"/>
                <w:szCs w:val="21"/>
              </w:rPr>
              <w:t>14.12</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0.63</w:t>
            </w:r>
          </w:p>
        </w:tc>
        <w:tc>
          <w:tcPr>
            <w:tcW w:w="958" w:type="dxa"/>
            <w:vAlign w:val="center"/>
          </w:tcPr>
          <w:p>
            <w:pPr>
              <w:widowControl/>
              <w:jc w:val="center"/>
              <w:rPr>
                <w:rFonts w:ascii="Times New Roman" w:hAnsi="Times New Roman"/>
                <w:kern w:val="0"/>
                <w:sz w:val="21"/>
                <w:szCs w:val="21"/>
              </w:rPr>
            </w:pPr>
            <w:r>
              <w:rPr>
                <w:rFonts w:ascii="Times New Roman" w:hAnsi="Times New Roman"/>
                <w:kern w:val="0"/>
                <w:sz w:val="21"/>
                <w:szCs w:val="21"/>
              </w:rPr>
              <w:t>68.50</w:t>
            </w:r>
          </w:p>
        </w:tc>
        <w:tc>
          <w:tcPr>
            <w:tcW w:w="944" w:type="dxa"/>
            <w:vAlign w:val="center"/>
          </w:tcPr>
          <w:p>
            <w:pPr>
              <w:widowControl/>
              <w:jc w:val="center"/>
              <w:rPr>
                <w:rFonts w:ascii="Times New Roman" w:hAnsi="Times New Roman"/>
                <w:kern w:val="0"/>
                <w:sz w:val="21"/>
                <w:szCs w:val="21"/>
              </w:rPr>
            </w:pPr>
            <w:r>
              <w:rPr>
                <w:rFonts w:ascii="Times New Roman" w:hAnsi="Times New Roman"/>
                <w:kern w:val="0"/>
                <w:sz w:val="21"/>
                <w:szCs w:val="21"/>
              </w:rPr>
              <w:t>8.00</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15.65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4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1129" w:type="dxa"/>
            <w:vAlign w:val="center"/>
          </w:tcPr>
          <w:p>
            <w:pPr>
              <w:widowControl/>
              <w:jc w:val="center"/>
              <w:rPr>
                <w:rFonts w:ascii="Times New Roman" w:hAnsi="Times New Roman"/>
                <w:kern w:val="0"/>
                <w:sz w:val="21"/>
                <w:szCs w:val="21"/>
              </w:rPr>
            </w:pPr>
            <w:r>
              <w:rPr>
                <w:rFonts w:ascii="Times New Roman" w:hAnsi="Times New Roman"/>
                <w:kern w:val="0"/>
                <w:sz w:val="21"/>
                <w:szCs w:val="21"/>
              </w:rPr>
              <w:t>奎腾沟矿井选煤厂</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3.25 </w:t>
            </w:r>
          </w:p>
        </w:tc>
        <w:tc>
          <w:tcPr>
            <w:tcW w:w="959" w:type="dxa"/>
            <w:vAlign w:val="center"/>
          </w:tcPr>
          <w:p>
            <w:pPr>
              <w:widowControl/>
              <w:jc w:val="center"/>
              <w:rPr>
                <w:rFonts w:ascii="Times New Roman" w:hAnsi="Times New Roman"/>
                <w:kern w:val="0"/>
                <w:sz w:val="21"/>
                <w:szCs w:val="21"/>
              </w:rPr>
            </w:pPr>
            <w:r>
              <w:rPr>
                <w:rFonts w:ascii="Times New Roman" w:hAnsi="Times New Roman"/>
                <w:kern w:val="0"/>
                <w:sz w:val="21"/>
                <w:szCs w:val="21"/>
              </w:rPr>
              <w:t>7.35</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4.12</w:t>
            </w:r>
          </w:p>
        </w:tc>
        <w:tc>
          <w:tcPr>
            <w:tcW w:w="945" w:type="dxa"/>
            <w:vAlign w:val="center"/>
          </w:tcPr>
          <w:p>
            <w:pPr>
              <w:widowControl/>
              <w:jc w:val="center"/>
              <w:rPr>
                <w:rFonts w:ascii="Times New Roman" w:hAnsi="Times New Roman"/>
                <w:kern w:val="0"/>
                <w:sz w:val="21"/>
                <w:szCs w:val="21"/>
              </w:rPr>
            </w:pPr>
            <w:r>
              <w:rPr>
                <w:rFonts w:ascii="Times New Roman" w:hAnsi="Times New Roman"/>
                <w:kern w:val="0"/>
                <w:sz w:val="21"/>
                <w:szCs w:val="21"/>
              </w:rPr>
              <w:t>14.12</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0.63 </w:t>
            </w:r>
          </w:p>
        </w:tc>
        <w:tc>
          <w:tcPr>
            <w:tcW w:w="958" w:type="dxa"/>
            <w:vAlign w:val="center"/>
          </w:tcPr>
          <w:p>
            <w:pPr>
              <w:widowControl/>
              <w:jc w:val="center"/>
              <w:rPr>
                <w:rFonts w:ascii="Times New Roman" w:hAnsi="Times New Roman"/>
                <w:kern w:val="0"/>
                <w:sz w:val="21"/>
                <w:szCs w:val="21"/>
              </w:rPr>
            </w:pPr>
            <w:r>
              <w:rPr>
                <w:rFonts w:ascii="Times New Roman" w:hAnsi="Times New Roman"/>
                <w:kern w:val="0"/>
                <w:sz w:val="21"/>
                <w:szCs w:val="21"/>
              </w:rPr>
              <w:t>68.50</w:t>
            </w:r>
          </w:p>
        </w:tc>
        <w:tc>
          <w:tcPr>
            <w:tcW w:w="944" w:type="dxa"/>
            <w:vAlign w:val="center"/>
          </w:tcPr>
          <w:p>
            <w:pPr>
              <w:widowControl/>
              <w:jc w:val="center"/>
              <w:rPr>
                <w:rFonts w:ascii="Times New Roman" w:hAnsi="Times New Roman"/>
                <w:kern w:val="0"/>
                <w:sz w:val="21"/>
                <w:szCs w:val="21"/>
              </w:rPr>
            </w:pPr>
            <w:r>
              <w:rPr>
                <w:rFonts w:ascii="Times New Roman" w:hAnsi="Times New Roman"/>
                <w:kern w:val="0"/>
                <w:sz w:val="21"/>
                <w:szCs w:val="21"/>
              </w:rPr>
              <w:t>8.00</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15.65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4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1129" w:type="dxa"/>
            <w:vAlign w:val="center"/>
          </w:tcPr>
          <w:p>
            <w:pPr>
              <w:widowControl/>
              <w:jc w:val="center"/>
              <w:rPr>
                <w:rFonts w:ascii="Times New Roman" w:hAnsi="Times New Roman"/>
                <w:kern w:val="0"/>
                <w:sz w:val="21"/>
                <w:szCs w:val="21"/>
              </w:rPr>
            </w:pPr>
            <w:r>
              <w:rPr>
                <w:rFonts w:ascii="Times New Roman" w:hAnsi="Times New Roman"/>
                <w:kern w:val="0"/>
                <w:sz w:val="21"/>
                <w:szCs w:val="21"/>
              </w:rPr>
              <w:t>壕赖苏矿井选煤厂</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3.25 </w:t>
            </w:r>
          </w:p>
        </w:tc>
        <w:tc>
          <w:tcPr>
            <w:tcW w:w="959" w:type="dxa"/>
            <w:vAlign w:val="center"/>
          </w:tcPr>
          <w:p>
            <w:pPr>
              <w:widowControl/>
              <w:jc w:val="center"/>
              <w:rPr>
                <w:rFonts w:ascii="Times New Roman" w:hAnsi="Times New Roman"/>
                <w:kern w:val="0"/>
                <w:sz w:val="21"/>
                <w:szCs w:val="21"/>
              </w:rPr>
            </w:pPr>
            <w:r>
              <w:rPr>
                <w:rFonts w:ascii="Times New Roman" w:hAnsi="Times New Roman"/>
                <w:kern w:val="0"/>
                <w:sz w:val="21"/>
                <w:szCs w:val="21"/>
              </w:rPr>
              <w:t>7.35</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4.12</w:t>
            </w:r>
          </w:p>
        </w:tc>
        <w:tc>
          <w:tcPr>
            <w:tcW w:w="945" w:type="dxa"/>
            <w:vAlign w:val="center"/>
          </w:tcPr>
          <w:p>
            <w:pPr>
              <w:widowControl/>
              <w:jc w:val="center"/>
              <w:rPr>
                <w:rFonts w:ascii="Times New Roman" w:hAnsi="Times New Roman"/>
                <w:kern w:val="0"/>
                <w:sz w:val="21"/>
                <w:szCs w:val="21"/>
              </w:rPr>
            </w:pPr>
            <w:r>
              <w:rPr>
                <w:rFonts w:ascii="Times New Roman" w:hAnsi="Times New Roman"/>
                <w:kern w:val="0"/>
                <w:sz w:val="21"/>
                <w:szCs w:val="21"/>
              </w:rPr>
              <w:t>14.12</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0.63 </w:t>
            </w:r>
          </w:p>
        </w:tc>
        <w:tc>
          <w:tcPr>
            <w:tcW w:w="958" w:type="dxa"/>
            <w:vAlign w:val="center"/>
          </w:tcPr>
          <w:p>
            <w:pPr>
              <w:widowControl/>
              <w:jc w:val="center"/>
              <w:rPr>
                <w:rFonts w:ascii="Times New Roman" w:hAnsi="Times New Roman"/>
                <w:kern w:val="0"/>
                <w:sz w:val="21"/>
                <w:szCs w:val="21"/>
              </w:rPr>
            </w:pPr>
            <w:r>
              <w:rPr>
                <w:rFonts w:ascii="Times New Roman" w:hAnsi="Times New Roman"/>
                <w:kern w:val="0"/>
                <w:sz w:val="21"/>
                <w:szCs w:val="21"/>
              </w:rPr>
              <w:t>68.50</w:t>
            </w:r>
          </w:p>
        </w:tc>
        <w:tc>
          <w:tcPr>
            <w:tcW w:w="944" w:type="dxa"/>
            <w:vAlign w:val="center"/>
          </w:tcPr>
          <w:p>
            <w:pPr>
              <w:widowControl/>
              <w:jc w:val="center"/>
              <w:rPr>
                <w:rFonts w:ascii="Times New Roman" w:hAnsi="Times New Roman"/>
                <w:kern w:val="0"/>
                <w:sz w:val="21"/>
                <w:szCs w:val="21"/>
              </w:rPr>
            </w:pPr>
            <w:r>
              <w:rPr>
                <w:rFonts w:ascii="Times New Roman" w:hAnsi="Times New Roman"/>
                <w:kern w:val="0"/>
                <w:sz w:val="21"/>
                <w:szCs w:val="21"/>
              </w:rPr>
              <w:t>8.00</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15.65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4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1129" w:type="dxa"/>
            <w:vAlign w:val="center"/>
          </w:tcPr>
          <w:p>
            <w:pPr>
              <w:widowControl/>
              <w:jc w:val="center"/>
              <w:rPr>
                <w:rFonts w:ascii="Times New Roman" w:hAnsi="Times New Roman"/>
                <w:kern w:val="0"/>
                <w:sz w:val="21"/>
                <w:szCs w:val="21"/>
              </w:rPr>
            </w:pPr>
            <w:r>
              <w:rPr>
                <w:rFonts w:ascii="Times New Roman" w:hAnsi="Times New Roman"/>
                <w:kern w:val="0"/>
                <w:sz w:val="21"/>
                <w:szCs w:val="21"/>
              </w:rPr>
              <w:t>纳林希里矿井选煤厂</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3.25 </w:t>
            </w:r>
          </w:p>
        </w:tc>
        <w:tc>
          <w:tcPr>
            <w:tcW w:w="959" w:type="dxa"/>
            <w:vAlign w:val="center"/>
          </w:tcPr>
          <w:p>
            <w:pPr>
              <w:widowControl/>
              <w:jc w:val="center"/>
              <w:rPr>
                <w:rFonts w:ascii="Times New Roman" w:hAnsi="Times New Roman"/>
                <w:kern w:val="0"/>
                <w:sz w:val="21"/>
                <w:szCs w:val="21"/>
              </w:rPr>
            </w:pPr>
            <w:r>
              <w:rPr>
                <w:rFonts w:ascii="Times New Roman" w:hAnsi="Times New Roman"/>
                <w:kern w:val="0"/>
                <w:sz w:val="21"/>
                <w:szCs w:val="21"/>
              </w:rPr>
              <w:t>7.35</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4.12</w:t>
            </w:r>
          </w:p>
        </w:tc>
        <w:tc>
          <w:tcPr>
            <w:tcW w:w="945" w:type="dxa"/>
            <w:vAlign w:val="center"/>
          </w:tcPr>
          <w:p>
            <w:pPr>
              <w:widowControl/>
              <w:jc w:val="center"/>
              <w:rPr>
                <w:rFonts w:ascii="Times New Roman" w:hAnsi="Times New Roman"/>
                <w:kern w:val="0"/>
                <w:sz w:val="21"/>
                <w:szCs w:val="21"/>
              </w:rPr>
            </w:pPr>
            <w:r>
              <w:rPr>
                <w:rFonts w:ascii="Times New Roman" w:hAnsi="Times New Roman"/>
                <w:kern w:val="0"/>
                <w:sz w:val="21"/>
                <w:szCs w:val="21"/>
              </w:rPr>
              <w:t>14.12</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0.63 </w:t>
            </w:r>
          </w:p>
        </w:tc>
        <w:tc>
          <w:tcPr>
            <w:tcW w:w="958" w:type="dxa"/>
            <w:vAlign w:val="center"/>
          </w:tcPr>
          <w:p>
            <w:pPr>
              <w:widowControl/>
              <w:jc w:val="center"/>
              <w:rPr>
                <w:rFonts w:ascii="Times New Roman" w:hAnsi="Times New Roman"/>
                <w:kern w:val="0"/>
                <w:sz w:val="21"/>
                <w:szCs w:val="21"/>
              </w:rPr>
            </w:pPr>
            <w:r>
              <w:rPr>
                <w:rFonts w:ascii="Times New Roman" w:hAnsi="Times New Roman"/>
                <w:kern w:val="0"/>
                <w:sz w:val="21"/>
                <w:szCs w:val="21"/>
              </w:rPr>
              <w:t>68.50</w:t>
            </w:r>
          </w:p>
        </w:tc>
        <w:tc>
          <w:tcPr>
            <w:tcW w:w="944" w:type="dxa"/>
            <w:vAlign w:val="center"/>
          </w:tcPr>
          <w:p>
            <w:pPr>
              <w:widowControl/>
              <w:jc w:val="center"/>
              <w:rPr>
                <w:rFonts w:ascii="Times New Roman" w:hAnsi="Times New Roman"/>
                <w:kern w:val="0"/>
                <w:sz w:val="21"/>
                <w:szCs w:val="21"/>
              </w:rPr>
            </w:pPr>
            <w:r>
              <w:rPr>
                <w:rFonts w:ascii="Times New Roman" w:hAnsi="Times New Roman"/>
                <w:kern w:val="0"/>
                <w:sz w:val="21"/>
                <w:szCs w:val="21"/>
              </w:rPr>
              <w:t>8.00</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15.65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546" w:type="dxa"/>
            <w:gridSpan w:val="2"/>
            <w:vAlign w:val="center"/>
          </w:tcPr>
          <w:p>
            <w:pPr>
              <w:widowControl/>
              <w:jc w:val="center"/>
              <w:rPr>
                <w:rFonts w:ascii="Times New Roman" w:hAnsi="Times New Roman"/>
                <w:kern w:val="0"/>
                <w:sz w:val="21"/>
                <w:szCs w:val="21"/>
              </w:rPr>
            </w:pPr>
            <w:r>
              <w:rPr>
                <w:rFonts w:ascii="Times New Roman" w:hAnsi="Times New Roman"/>
                <w:kern w:val="0"/>
                <w:sz w:val="21"/>
                <w:szCs w:val="21"/>
              </w:rPr>
              <w:t>合  计</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13.00</w:t>
            </w:r>
          </w:p>
        </w:tc>
        <w:tc>
          <w:tcPr>
            <w:tcW w:w="959" w:type="dxa"/>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16.48 </w:t>
            </w:r>
          </w:p>
        </w:tc>
        <w:tc>
          <w:tcPr>
            <w:tcW w:w="945" w:type="dxa"/>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91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2.52 </w:t>
            </w:r>
          </w:p>
        </w:tc>
        <w:tc>
          <w:tcPr>
            <w:tcW w:w="958" w:type="dxa"/>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944"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32.00 </w:t>
            </w:r>
          </w:p>
        </w:tc>
        <w:tc>
          <w:tcPr>
            <w:tcW w:w="970" w:type="dxa"/>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r>
    </w:tbl>
    <w:p>
      <w:pPr>
        <w:pStyle w:val="5"/>
        <w:spacing w:before="240" w:after="120" w:line="440" w:lineRule="exact"/>
        <w:rPr>
          <w:sz w:val="24"/>
        </w:rPr>
      </w:pPr>
      <w:r>
        <w:rPr>
          <w:sz w:val="24"/>
        </w:rPr>
        <w:t>2.1.8矿区地面总布置</w:t>
      </w:r>
    </w:p>
    <w:p>
      <w:pPr>
        <w:pStyle w:val="428"/>
        <w:numPr>
          <w:ilvl w:val="0"/>
          <w:numId w:val="10"/>
        </w:numPr>
        <w:spacing w:line="440" w:lineRule="exact"/>
        <w:ind w:firstLine="482"/>
        <w:rPr>
          <w:rFonts w:ascii="Times New Roman" w:hAnsi="Times New Roman" w:eastAsia="宋体" w:cs="Times New Roman"/>
          <w:b/>
          <w:bCs w:val="0"/>
        </w:rPr>
      </w:pPr>
      <w:r>
        <w:rPr>
          <w:rFonts w:ascii="Times New Roman" w:hAnsi="Times New Roman" w:eastAsia="宋体" w:cs="Times New Roman"/>
          <w:b/>
          <w:bCs w:val="0"/>
        </w:rPr>
        <w:t>矿井与选煤厂</w:t>
      </w:r>
    </w:p>
    <w:p>
      <w:pPr>
        <w:pStyle w:val="428"/>
        <w:spacing w:line="440" w:lineRule="exact"/>
        <w:ind w:firstLine="480"/>
        <w:rPr>
          <w:rFonts w:ascii="Times New Roman" w:hAnsi="Times New Roman" w:eastAsia="宋体" w:cs="Times New Roman"/>
        </w:rPr>
      </w:pPr>
      <w:r>
        <w:rPr>
          <w:rFonts w:ascii="Times New Roman" w:hAnsi="Times New Roman" w:eastAsia="宋体" w:cs="Times New Roman"/>
        </w:rPr>
        <w:t>矿区地面总布置见图2.1-8。</w:t>
      </w:r>
    </w:p>
    <w:p>
      <w:pPr>
        <w:pStyle w:val="573"/>
        <w:spacing w:line="440" w:lineRule="exact"/>
        <w:ind w:firstLine="482"/>
        <w:jc w:val="both"/>
        <w:rPr>
          <w:rFonts w:ascii="Times New Roman" w:hAnsi="Times New Roman" w:eastAsia="宋体" w:cs="Times New Roman"/>
          <w:b/>
          <w:bCs w:val="0"/>
        </w:rPr>
      </w:pPr>
      <w:r>
        <w:rPr>
          <w:rFonts w:ascii="Times New Roman" w:hAnsi="Times New Roman" w:eastAsia="宋体" w:cs="Times New Roman"/>
          <w:b/>
          <w:bCs w:val="0"/>
        </w:rPr>
        <w:t>1）奎腾沟矿井（含选煤厂）</w:t>
      </w:r>
    </w:p>
    <w:p>
      <w:pPr>
        <w:pStyle w:val="428"/>
        <w:spacing w:line="440" w:lineRule="exact"/>
        <w:ind w:firstLine="480"/>
        <w:rPr>
          <w:rFonts w:ascii="Times New Roman" w:hAnsi="Times New Roman" w:eastAsia="宋体" w:cs="Times New Roman"/>
        </w:rPr>
      </w:pPr>
      <w:r>
        <w:rPr>
          <w:rFonts w:ascii="Times New Roman" w:hAnsi="Times New Roman" w:eastAsia="宋体" w:cs="Times New Roman"/>
        </w:rPr>
        <w:t>奎腾沟矿位于纳林希里矿区北部，工业场地布置在井田的中部，矿井采用立井开拓方式，工业场地内共设有主、副、回风井三个井筒。在该工业场地内布置与矿井同等规模的选煤厂。井田东部风井场地位于工业场地东侧约2.7km处。矸石周转场选在工业场地东南部1.4km处</w:t>
      </w:r>
      <w:r>
        <w:rPr>
          <w:rFonts w:ascii="Times New Roman" w:hAnsi="Times New Roman" w:eastAsia="宋体" w:cs="Times New Roman"/>
          <w:szCs w:val="21"/>
        </w:rPr>
        <w:t>的沟谷内</w:t>
      </w:r>
      <w:r>
        <w:rPr>
          <w:rFonts w:ascii="Times New Roman" w:hAnsi="Times New Roman" w:eastAsia="宋体" w:cs="Times New Roman"/>
        </w:rPr>
        <w:t>。矿井铁路专用线和矿井外部道路与矿区铁路、矿区公路相通，工业场地占地31.5hm</w:t>
      </w:r>
      <w:r>
        <w:rPr>
          <w:rFonts w:ascii="Times New Roman" w:hAnsi="Times New Roman" w:eastAsia="宋体" w:cs="Times New Roman"/>
          <w:vertAlign w:val="superscript"/>
        </w:rPr>
        <w:t>2</w:t>
      </w:r>
      <w:r>
        <w:rPr>
          <w:rFonts w:ascii="Times New Roman" w:hAnsi="Times New Roman" w:eastAsia="宋体" w:cs="Times New Roman"/>
        </w:rPr>
        <w:t>，包括矿井及选煤厂用地、回风立井用地、单身公寓用地、消防站救护队用地等。东部回风立井场地占地1.0hm</w:t>
      </w:r>
      <w:r>
        <w:rPr>
          <w:rFonts w:ascii="Times New Roman" w:hAnsi="Times New Roman" w:eastAsia="宋体" w:cs="Times New Roman"/>
          <w:vertAlign w:val="superscript"/>
        </w:rPr>
        <w:t>2</w:t>
      </w:r>
      <w:r>
        <w:rPr>
          <w:rFonts w:ascii="Times New Roman" w:hAnsi="Times New Roman" w:eastAsia="宋体" w:cs="Times New Roman"/>
        </w:rPr>
        <w:t>，矸石周转场占地18hm</w:t>
      </w:r>
      <w:r>
        <w:rPr>
          <w:rFonts w:ascii="Times New Roman" w:hAnsi="Times New Roman" w:eastAsia="宋体" w:cs="Times New Roman"/>
          <w:vertAlign w:val="superscript"/>
        </w:rPr>
        <w:t>2</w:t>
      </w:r>
      <w:r>
        <w:rPr>
          <w:rFonts w:ascii="Times New Roman" w:hAnsi="Times New Roman" w:eastAsia="宋体" w:cs="Times New Roman"/>
        </w:rPr>
        <w:t>。</w:t>
      </w:r>
    </w:p>
    <w:p>
      <w:pPr>
        <w:pStyle w:val="573"/>
        <w:numPr>
          <w:ilvl w:val="0"/>
          <w:numId w:val="11"/>
        </w:numPr>
        <w:spacing w:line="440" w:lineRule="exact"/>
        <w:ind w:firstLine="482"/>
        <w:jc w:val="both"/>
        <w:rPr>
          <w:rFonts w:ascii="Times New Roman" w:hAnsi="Times New Roman" w:eastAsia="宋体" w:cs="Times New Roman"/>
          <w:b/>
          <w:bCs w:val="0"/>
        </w:rPr>
      </w:pPr>
      <w:r>
        <w:rPr>
          <w:rFonts w:ascii="Times New Roman" w:hAnsi="Times New Roman" w:eastAsia="宋体" w:cs="Times New Roman"/>
          <w:b/>
          <w:bCs w:val="0"/>
        </w:rPr>
        <w:t>苏布尔嘎矿井（含选煤厂）</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苏布尔嘎矿位于纳林希里矿区的中北部，工业场地布置在井田的中部，采用立井开拓方式，工业场地内共设有主、副、回风井三个井筒。在工业场地内布置与矿井同等规模的选煤厂。井田北部风井场地，位于工业场地北侧约2.2km处。矸石周转场选在工业场地东侧1.0km处。矿井铁路专用线和矿井外部道路与矿区铁路、矿区公路相通，工业场地占地31.0hm</w:t>
      </w:r>
      <w:r>
        <w:rPr>
          <w:rFonts w:ascii="Times New Roman" w:hAnsi="Times New Roman" w:eastAsia="宋体" w:cs="Times New Roman"/>
          <w:vertAlign w:val="superscript"/>
        </w:rPr>
        <w:t>2</w:t>
      </w:r>
      <w:r>
        <w:rPr>
          <w:rFonts w:ascii="Times New Roman" w:hAnsi="Times New Roman" w:eastAsia="宋体" w:cs="Times New Roman"/>
        </w:rPr>
        <w:t>，包括矿井及选煤厂用地、回风立井用地、单身公寓用地、救护队用地等，北部回风立井场地占地1.0hm</w:t>
      </w:r>
      <w:r>
        <w:rPr>
          <w:rFonts w:ascii="Times New Roman" w:hAnsi="Times New Roman" w:eastAsia="宋体" w:cs="Times New Roman"/>
          <w:vertAlign w:val="superscript"/>
        </w:rPr>
        <w:t>2</w:t>
      </w:r>
      <w:r>
        <w:rPr>
          <w:rFonts w:ascii="Times New Roman" w:hAnsi="Times New Roman" w:eastAsia="宋体" w:cs="Times New Roman"/>
        </w:rPr>
        <w:t>，矸石周转场地占地18hm</w:t>
      </w:r>
      <w:r>
        <w:rPr>
          <w:rFonts w:ascii="Times New Roman" w:hAnsi="Times New Roman" w:eastAsia="宋体" w:cs="Times New Roman"/>
          <w:vertAlign w:val="superscript"/>
        </w:rPr>
        <w:t>2</w:t>
      </w:r>
      <w:r>
        <w:rPr>
          <w:rFonts w:ascii="Times New Roman" w:hAnsi="Times New Roman" w:eastAsia="宋体" w:cs="Times New Roman"/>
        </w:rPr>
        <w:t>。</w:t>
      </w:r>
    </w:p>
    <w:p>
      <w:pPr>
        <w:pStyle w:val="573"/>
        <w:spacing w:line="440" w:lineRule="exact"/>
        <w:ind w:firstLine="482"/>
        <w:jc w:val="both"/>
        <w:rPr>
          <w:rFonts w:ascii="Times New Roman" w:hAnsi="Times New Roman" w:eastAsia="宋体" w:cs="Times New Roman"/>
          <w:b/>
          <w:bCs w:val="0"/>
        </w:rPr>
      </w:pPr>
      <w:r>
        <w:rPr>
          <w:rFonts w:ascii="Times New Roman" w:hAnsi="Times New Roman" w:eastAsia="宋体" w:cs="Times New Roman"/>
          <w:b/>
          <w:bCs w:val="0"/>
        </w:rPr>
        <w:t>3) 壕赖苏矿井（含选煤厂）</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壕赖苏矿井位于纳林希里矿区的中南部，工业场地布置在井田的中部，采用立井开拓方式，工业场地内共设有主、副、回风井三个井筒。在该工业场地内布置与矿井同等规模的选煤厂。井田北部风井场地，位于工业场地北侧约2.7km处。矸石周转场选在工业场地北侧2.0km处。矿井铁路专用线和矿井外部道路与矿区铁路、矿区公路相通，工业场地占地30.5hm</w:t>
      </w:r>
      <w:r>
        <w:rPr>
          <w:rFonts w:ascii="Times New Roman" w:hAnsi="Times New Roman" w:eastAsia="宋体" w:cs="Times New Roman"/>
          <w:vertAlign w:val="superscript"/>
        </w:rPr>
        <w:t>2</w:t>
      </w:r>
      <w:r>
        <w:rPr>
          <w:rFonts w:ascii="Times New Roman" w:hAnsi="Times New Roman" w:eastAsia="宋体" w:cs="Times New Roman"/>
        </w:rPr>
        <w:t>，包括矿井及选煤厂用地、回风立井用地、单身公寓用地等。北部回风立井场地占地1.0hm</w:t>
      </w:r>
      <w:r>
        <w:rPr>
          <w:rFonts w:ascii="Times New Roman" w:hAnsi="Times New Roman" w:eastAsia="宋体" w:cs="Times New Roman"/>
          <w:vertAlign w:val="superscript"/>
        </w:rPr>
        <w:t>2</w:t>
      </w:r>
      <w:r>
        <w:rPr>
          <w:rFonts w:ascii="Times New Roman" w:hAnsi="Times New Roman" w:eastAsia="宋体" w:cs="Times New Roman"/>
        </w:rPr>
        <w:t>，矸石周转场地占地18hm</w:t>
      </w:r>
      <w:r>
        <w:rPr>
          <w:rFonts w:ascii="Times New Roman" w:hAnsi="Times New Roman" w:eastAsia="宋体" w:cs="Times New Roman"/>
          <w:vertAlign w:val="superscript"/>
        </w:rPr>
        <w:t>2</w:t>
      </w:r>
      <w:r>
        <w:rPr>
          <w:rFonts w:ascii="Times New Roman" w:hAnsi="Times New Roman" w:eastAsia="宋体" w:cs="Times New Roman"/>
        </w:rPr>
        <w:t>。</w:t>
      </w:r>
    </w:p>
    <w:p>
      <w:pPr>
        <w:pStyle w:val="573"/>
        <w:spacing w:line="440" w:lineRule="exact"/>
        <w:ind w:firstLine="482"/>
        <w:jc w:val="both"/>
        <w:rPr>
          <w:rFonts w:ascii="Times New Roman" w:hAnsi="Times New Roman" w:eastAsia="宋体" w:cs="Times New Roman"/>
          <w:b/>
          <w:bCs w:val="0"/>
        </w:rPr>
      </w:pPr>
      <w:r>
        <w:rPr>
          <w:rFonts w:ascii="Times New Roman" w:hAnsi="Times New Roman" w:eastAsia="宋体" w:cs="Times New Roman"/>
          <w:b/>
          <w:bCs w:val="0"/>
        </w:rPr>
        <w:t>4) 纳林希里矿井（含选煤厂）</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纳林希里矿位于纳林希里矿区的南部，工业场地布置在井田的中部，采用立井开拓方式，工业场地内共设有主、副、回风井三个井筒。在该工业场地内布置与矿井同等规模的选煤厂。井田东部风井场地，位于工业场地东侧约3.2km处。矸石周转场选在工业场地北1.8km处。矿井铁路专用线和矿井外部道路与矿区铁路、矿区公路相通，工业场地占地31.5hm</w:t>
      </w:r>
      <w:r>
        <w:rPr>
          <w:rFonts w:ascii="Times New Roman" w:hAnsi="Times New Roman" w:eastAsia="宋体" w:cs="Times New Roman"/>
          <w:vertAlign w:val="superscript"/>
        </w:rPr>
        <w:t>2</w:t>
      </w:r>
      <w:r>
        <w:rPr>
          <w:rFonts w:ascii="Times New Roman" w:hAnsi="Times New Roman" w:eastAsia="宋体" w:cs="Times New Roman"/>
        </w:rPr>
        <w:t>，包括矿井及选煤厂用地、回风立井用地、单身公寓用地、消防站救护队用地等，东部回风立井场地占地1.0hm</w:t>
      </w:r>
      <w:r>
        <w:rPr>
          <w:rFonts w:ascii="Times New Roman" w:hAnsi="Times New Roman" w:eastAsia="宋体" w:cs="Times New Roman"/>
          <w:vertAlign w:val="superscript"/>
        </w:rPr>
        <w:t>2</w:t>
      </w:r>
      <w:r>
        <w:rPr>
          <w:rFonts w:ascii="Times New Roman" w:hAnsi="Times New Roman" w:eastAsia="宋体" w:cs="Times New Roman"/>
        </w:rPr>
        <w:t>，矸石周转场地占地18hm</w:t>
      </w:r>
      <w:r>
        <w:rPr>
          <w:rFonts w:ascii="Times New Roman" w:hAnsi="Times New Roman" w:eastAsia="宋体" w:cs="Times New Roman"/>
          <w:vertAlign w:val="superscript"/>
        </w:rPr>
        <w:t>2</w:t>
      </w:r>
      <w:r>
        <w:rPr>
          <w:rFonts w:ascii="Times New Roman" w:hAnsi="Times New Roman" w:eastAsia="宋体" w:cs="Times New Roman"/>
        </w:rPr>
        <w:t>。</w:t>
      </w:r>
    </w:p>
    <w:p>
      <w:pPr>
        <w:pStyle w:val="573"/>
        <w:spacing w:line="440" w:lineRule="exact"/>
        <w:ind w:firstLine="482"/>
        <w:jc w:val="both"/>
        <w:rPr>
          <w:rFonts w:ascii="Times New Roman" w:hAnsi="Times New Roman" w:eastAsia="宋体" w:cs="Times New Roman"/>
          <w:b/>
          <w:bCs w:val="0"/>
        </w:rPr>
      </w:pPr>
      <w:r>
        <w:rPr>
          <w:rFonts w:ascii="Times New Roman" w:hAnsi="Times New Roman" w:eastAsia="宋体" w:cs="Times New Roman"/>
          <w:b/>
          <w:bCs w:val="0"/>
        </w:rPr>
        <w:t>（2）行政公共设施及居住区</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居住区按集中设置、统一管理、逐步建设的原则，并结合当地城镇发展规划，布置在阿勒腾席热镇。阿勒腾席热镇为伊金霍洛旗政府所在镇，离鄂尔多斯市新区（康巴什）10km。</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阿勒腾席热镇离纳林希里矿区较近，拥有良好的城镇化发展潜力，交通便利。到市里有高等级公路相连，交通方便。鉴于伊金霍洛旗阿勒腾席热镇在城镇建设方面基本完善了城镇的服务功能，本次规划设计将矿区居住区及招待文教、卫生等公共服务设施依托伊金霍洛旗。矿区行政公共设施布置在矿区中心区内，只考虑设置行政办公（包含环境监测站、调度通讯站等）、职工食堂、职工公寓和汽车库。</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本次规划矿区行政公共设施及居住区。行政公共设施布置在辅助企业中心区内，用地0.54hm</w:t>
      </w:r>
      <w:r>
        <w:rPr>
          <w:rFonts w:ascii="Times New Roman" w:hAnsi="Times New Roman" w:eastAsia="宋体" w:cs="Times New Roman"/>
          <w:vertAlign w:val="superscript"/>
        </w:rPr>
        <w:t>2</w:t>
      </w:r>
      <w:r>
        <w:rPr>
          <w:rFonts w:ascii="Times New Roman" w:hAnsi="Times New Roman" w:eastAsia="宋体" w:cs="Times New Roman"/>
        </w:rPr>
        <w:t>。居住区用地9.84hm</w:t>
      </w:r>
      <w:r>
        <w:rPr>
          <w:rFonts w:ascii="Times New Roman" w:hAnsi="Times New Roman" w:eastAsia="宋体" w:cs="Times New Roman"/>
          <w:vertAlign w:val="superscript"/>
        </w:rPr>
        <w:t>2</w:t>
      </w:r>
      <w:r>
        <w:rPr>
          <w:rFonts w:ascii="Times New Roman" w:hAnsi="Times New Roman" w:eastAsia="宋体" w:cs="Times New Roman"/>
        </w:rPr>
        <w:t>。</w:t>
      </w:r>
    </w:p>
    <w:p>
      <w:pPr>
        <w:pStyle w:val="573"/>
        <w:spacing w:line="440" w:lineRule="exact"/>
        <w:ind w:firstLine="482"/>
        <w:jc w:val="both"/>
        <w:rPr>
          <w:rFonts w:ascii="Times New Roman" w:hAnsi="Times New Roman" w:eastAsia="宋体" w:cs="Times New Roman"/>
          <w:b/>
          <w:bCs w:val="0"/>
        </w:rPr>
      </w:pPr>
      <w:r>
        <w:rPr>
          <w:rFonts w:ascii="Times New Roman" w:hAnsi="Times New Roman" w:eastAsia="宋体" w:cs="Times New Roman"/>
          <w:b/>
          <w:bCs w:val="0"/>
        </w:rPr>
        <w:t>（3）辅助企业区及其他配套服务设施</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规划的矿区辅助设施由矿区机电设备修理厂、设备租赁站、矿区总器材库、矿区爆炸材料库、中心实验站、矿山救护队、矿区消防站等设施组成，构成矿区辅助企业区。矿区辅助企业区布置在矿区中心区，位于壕赖苏矿井西侧井田边界线外，阿四公路北侧的平缓地带。南距离阿四公路约1.8km，其中矿区爆炸材料总库单独布置。</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为满足消防救护的服务半径，在辅助企业区设矿山救护大队，并附直属中队，在奎腾沟矿井、苏布尔嘎矿井、纳林希里矿井分别设矿山救护中队；在辅助企业中心区、奎腾沟矿井和纳林希里矿井各设一个三级消防站。</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矿区爆炸材料库布置辅助企业区西南侧约5.0km处的山坳内，阿四公路以南约1.7km，爆破材料库容量按矿区内两个月的炸药需求量进行存储，库容60t。该位置为矿区中部无煤带处，附近无居民区，该位置利于爆炸材料的运输，便于服务于整个矿区。</w:t>
      </w:r>
    </w:p>
    <w:p>
      <w:pPr>
        <w:pStyle w:val="573"/>
        <w:spacing w:line="440" w:lineRule="exact"/>
        <w:ind w:firstLine="480"/>
        <w:jc w:val="both"/>
        <w:rPr>
          <w:rFonts w:ascii="Times New Roman" w:hAnsi="Times New Roman" w:eastAsia="宋体" w:cs="Times New Roman"/>
        </w:rPr>
      </w:pPr>
      <w:r>
        <w:rPr>
          <w:rFonts w:ascii="Times New Roman" w:hAnsi="Times New Roman" w:eastAsia="宋体" w:cs="Times New Roman"/>
        </w:rPr>
        <w:t>矿区220kV变电站设在辅助企业区内，占地2.88hm</w:t>
      </w:r>
      <w:r>
        <w:rPr>
          <w:rFonts w:ascii="Times New Roman" w:hAnsi="Times New Roman" w:eastAsia="宋体" w:cs="Times New Roman"/>
          <w:vertAlign w:val="superscript"/>
        </w:rPr>
        <w:t>2</w:t>
      </w:r>
      <w:r>
        <w:rPr>
          <w:rFonts w:ascii="Times New Roman" w:hAnsi="Times New Roman" w:eastAsia="宋体" w:cs="Times New Roman"/>
        </w:rPr>
        <w:t>。</w:t>
      </w:r>
    </w:p>
    <w:p>
      <w:pPr>
        <w:pStyle w:val="573"/>
        <w:spacing w:line="440" w:lineRule="exact"/>
        <w:ind w:firstLine="480"/>
        <w:jc w:val="both"/>
        <w:rPr>
          <w:rFonts w:ascii="Times New Roman" w:hAnsi="Times New Roman" w:eastAsia="宋体" w:cs="Times New Roman"/>
        </w:rPr>
      </w:pPr>
      <w:bookmarkStart w:id="103" w:name="_Toc315433350"/>
      <w:bookmarkStart w:id="104" w:name="_Toc300539885"/>
      <w:bookmarkStart w:id="105" w:name="_Toc330284159"/>
      <w:bookmarkStart w:id="106" w:name="_Toc317171194"/>
      <w:r>
        <w:rPr>
          <w:rFonts w:ascii="Times New Roman" w:hAnsi="Times New Roman" w:eastAsia="宋体" w:cs="Times New Roman"/>
        </w:rPr>
        <w:t>矿区辅助企业及其它配套设施详见表2.1-9。</w:t>
      </w:r>
    </w:p>
    <w:bookmarkEnd w:id="103"/>
    <w:bookmarkEnd w:id="104"/>
    <w:bookmarkEnd w:id="105"/>
    <w:bookmarkEnd w:id="106"/>
    <w:p>
      <w:pPr>
        <w:pStyle w:val="573"/>
        <w:ind w:firstLine="482"/>
        <w:jc w:val="center"/>
        <w:rPr>
          <w:rFonts w:ascii="Times New Roman" w:hAnsi="Times New Roman" w:eastAsia="宋体" w:cs="Times New Roman"/>
          <w:b/>
          <w:bCs w:val="0"/>
        </w:rPr>
      </w:pPr>
      <w:r>
        <w:rPr>
          <w:rFonts w:ascii="Times New Roman" w:hAnsi="Times New Roman" w:eastAsia="宋体" w:cs="Times New Roman"/>
          <w:b/>
          <w:bCs w:val="0"/>
        </w:rPr>
        <w:t>矿区辅助企业及其它配套设施表</w:t>
      </w:r>
    </w:p>
    <w:p>
      <w:pPr>
        <w:pStyle w:val="573"/>
        <w:ind w:firstLine="0" w:firstLineChars="0"/>
        <w:jc w:val="both"/>
        <w:rPr>
          <w:rStyle w:val="74"/>
          <w:rFonts w:ascii="Times New Roman" w:hAnsi="Times New Roman" w:eastAsia="宋体" w:cs="Times New Roman"/>
          <w:bCs w:val="0"/>
          <w:szCs w:val="20"/>
        </w:rPr>
      </w:pPr>
      <w:r>
        <w:rPr>
          <w:rFonts w:ascii="Times New Roman" w:hAnsi="Times New Roman" w:eastAsia="宋体" w:cs="Times New Roman"/>
        </w:rPr>
        <w:t>表2.1-9</w:t>
      </w:r>
    </w:p>
    <w:tbl>
      <w:tblPr>
        <w:tblStyle w:val="59"/>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9"/>
        <w:gridCol w:w="2659"/>
        <w:gridCol w:w="1251"/>
        <w:gridCol w:w="3440"/>
        <w:gridCol w:w="1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5" w:hRule="exact"/>
          <w:tblHeader/>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序号</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名称</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占地面积（hm</w:t>
            </w:r>
            <w:r>
              <w:rPr>
                <w:rFonts w:ascii="Times New Roman" w:hAnsi="Times New Roman" w:eastAsia="宋体" w:cs="Times New Roman"/>
                <w:sz w:val="21"/>
                <w:szCs w:val="21"/>
                <w:vertAlign w:val="superscript"/>
              </w:rPr>
              <w:t>2</w:t>
            </w:r>
            <w:r>
              <w:rPr>
                <w:rFonts w:ascii="Times New Roman" w:hAnsi="Times New Roman" w:eastAsia="宋体" w:cs="Times New Roman"/>
                <w:sz w:val="21"/>
                <w:szCs w:val="21"/>
              </w:rPr>
              <w:t>）</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所在位置</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一</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辅助企业设施</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矿山救护大队</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1.3</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附直属中队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2</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矿区消防站</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0.36</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3</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矿区机电设备修理厂</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16.2</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4</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设备租赁站</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5.94</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5</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中心实验站</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1.08</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6</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矿区总器材库</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17.55</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7</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矿区爆破材料总库</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5.0</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辅助企业中心区西南侧约5.0km</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单独占地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二</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行政公共设施及居住区</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行政设施</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1.1</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行政办公楼</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0.1</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1.2</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职工食堂</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0.15</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1.3</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职工公寓</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0.2</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1.4</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汽车库</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0.09</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2</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居住区</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9.84</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阿勒腾席热镇</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不计用地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jc w:val="center"/>
        </w:trPr>
        <w:tc>
          <w:tcPr>
            <w:tcW w:w="57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三</w:t>
            </w:r>
          </w:p>
        </w:tc>
        <w:tc>
          <w:tcPr>
            <w:tcW w:w="2659"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矿区220kV变电站</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2.88</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辅助企业中心区</w:t>
            </w: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jc w:val="center"/>
        </w:trPr>
        <w:tc>
          <w:tcPr>
            <w:tcW w:w="3238" w:type="dxa"/>
            <w:gridSpan w:val="2"/>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合计</w:t>
            </w:r>
          </w:p>
        </w:tc>
        <w:tc>
          <w:tcPr>
            <w:tcW w:w="1251"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r>
              <w:rPr>
                <w:rFonts w:ascii="Times New Roman" w:hAnsi="Times New Roman" w:eastAsia="宋体" w:cs="Times New Roman"/>
                <w:sz w:val="21"/>
                <w:szCs w:val="21"/>
              </w:rPr>
              <w:t>45.85</w:t>
            </w:r>
          </w:p>
        </w:tc>
        <w:tc>
          <w:tcPr>
            <w:tcW w:w="3440"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c>
          <w:tcPr>
            <w:tcW w:w="1357" w:type="dxa"/>
            <w:vAlign w:val="center"/>
          </w:tcPr>
          <w:p>
            <w:pPr>
              <w:pStyle w:val="573"/>
              <w:adjustRightInd w:val="0"/>
              <w:snapToGrid w:val="0"/>
              <w:spacing w:line="240" w:lineRule="auto"/>
              <w:ind w:firstLine="0" w:firstLineChars="0"/>
              <w:jc w:val="center"/>
              <w:rPr>
                <w:rFonts w:ascii="Times New Roman" w:hAnsi="Times New Roman" w:eastAsia="宋体" w:cs="Times New Roman"/>
                <w:sz w:val="21"/>
                <w:szCs w:val="21"/>
              </w:rPr>
            </w:pPr>
          </w:p>
        </w:tc>
      </w:tr>
    </w:tbl>
    <w:p>
      <w:pPr>
        <w:pStyle w:val="573"/>
        <w:ind w:firstLine="0" w:firstLineChars="0"/>
        <w:jc w:val="center"/>
        <w:rPr>
          <w:rStyle w:val="74"/>
          <w:rFonts w:ascii="Times New Roman" w:hAnsi="Times New Roman" w:eastAsia="宋体" w:cs="Times New Roman"/>
          <w:b/>
          <w:sz w:val="24"/>
        </w:rPr>
      </w:pPr>
      <w:r>
        <w:rPr>
          <w:rStyle w:val="74"/>
          <w:rFonts w:ascii="Times New Roman" w:hAnsi="Times New Roman" w:eastAsia="宋体" w:cs="Times New Roman"/>
          <w:b/>
          <w:sz w:val="24"/>
        </w:rPr>
        <w:t>矿区建设项目用地面积汇总表</w:t>
      </w:r>
    </w:p>
    <w:p>
      <w:pPr>
        <w:pStyle w:val="573"/>
        <w:ind w:firstLine="0" w:firstLineChars="0"/>
        <w:jc w:val="both"/>
        <w:rPr>
          <w:rStyle w:val="74"/>
          <w:rFonts w:ascii="Times New Roman" w:hAnsi="Times New Roman" w:eastAsia="宋体" w:cs="Times New Roman"/>
          <w:bCs w:val="0"/>
          <w:sz w:val="24"/>
          <w:szCs w:val="22"/>
        </w:rPr>
      </w:pPr>
      <w:r>
        <w:rPr>
          <w:rStyle w:val="74"/>
          <w:rFonts w:ascii="Times New Roman" w:hAnsi="Times New Roman" w:eastAsia="宋体" w:cs="Times New Roman"/>
          <w:bCs w:val="0"/>
          <w:sz w:val="24"/>
          <w:szCs w:val="22"/>
        </w:rPr>
        <w:t>表2.1-10</w:t>
      </w:r>
    </w:p>
    <w:tbl>
      <w:tblPr>
        <w:tblStyle w:val="59"/>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17"/>
        <w:gridCol w:w="2116"/>
        <w:gridCol w:w="1360"/>
        <w:gridCol w:w="1360"/>
        <w:gridCol w:w="36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1"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序号</w:t>
            </w:r>
          </w:p>
        </w:tc>
        <w:tc>
          <w:tcPr>
            <w:tcW w:w="2116" w:type="dxa"/>
            <w:vAlign w:val="center"/>
          </w:tcPr>
          <w:p>
            <w:pPr>
              <w:jc w:val="center"/>
              <w:rPr>
                <w:rFonts w:ascii="Times New Roman" w:hAnsi="Times New Roman"/>
                <w:sz w:val="21"/>
                <w:szCs w:val="21"/>
              </w:rPr>
            </w:pPr>
            <w:r>
              <w:rPr>
                <w:rFonts w:ascii="Times New Roman" w:hAnsi="Times New Roman"/>
                <w:sz w:val="21"/>
                <w:szCs w:val="21"/>
              </w:rPr>
              <w:t>项 目 名 称</w:t>
            </w:r>
          </w:p>
        </w:tc>
        <w:tc>
          <w:tcPr>
            <w:tcW w:w="1360" w:type="dxa"/>
            <w:vAlign w:val="center"/>
          </w:tcPr>
          <w:p>
            <w:pPr>
              <w:jc w:val="center"/>
              <w:rPr>
                <w:rFonts w:ascii="Times New Roman" w:hAnsi="Times New Roman"/>
                <w:sz w:val="21"/>
                <w:szCs w:val="21"/>
              </w:rPr>
            </w:pPr>
            <w:r>
              <w:rPr>
                <w:rFonts w:ascii="Times New Roman" w:hAnsi="Times New Roman"/>
                <w:sz w:val="21"/>
                <w:szCs w:val="21"/>
              </w:rPr>
              <w:t>建设规模</w:t>
            </w:r>
          </w:p>
        </w:tc>
        <w:tc>
          <w:tcPr>
            <w:tcW w:w="1360" w:type="dxa"/>
            <w:vAlign w:val="center"/>
          </w:tcPr>
          <w:p>
            <w:pPr>
              <w:jc w:val="center"/>
              <w:rPr>
                <w:rFonts w:ascii="Times New Roman" w:hAnsi="Times New Roman"/>
                <w:sz w:val="21"/>
                <w:szCs w:val="21"/>
              </w:rPr>
            </w:pPr>
            <w:r>
              <w:rPr>
                <w:rFonts w:ascii="Times New Roman" w:hAnsi="Times New Roman"/>
                <w:sz w:val="21"/>
                <w:szCs w:val="21"/>
              </w:rPr>
              <w:t>用地面积( hm</w:t>
            </w:r>
            <w:r>
              <w:rPr>
                <w:rFonts w:ascii="Times New Roman" w:hAnsi="Times New Roman"/>
                <w:bCs/>
                <w:sz w:val="21"/>
                <w:szCs w:val="21"/>
                <w:vertAlign w:val="superscript"/>
              </w:rPr>
              <w:t>2</w:t>
            </w:r>
            <w:r>
              <w:rPr>
                <w:rFonts w:ascii="Times New Roman" w:hAnsi="Times New Roman"/>
                <w:sz w:val="21"/>
                <w:szCs w:val="21"/>
              </w:rPr>
              <w:t xml:space="preserve"> )</w:t>
            </w:r>
          </w:p>
        </w:tc>
        <w:tc>
          <w:tcPr>
            <w:tcW w:w="3636" w:type="dxa"/>
            <w:vAlign w:val="center"/>
          </w:tcPr>
          <w:p>
            <w:pPr>
              <w:jc w:val="center"/>
              <w:rPr>
                <w:rFonts w:ascii="Times New Roman" w:hAnsi="Times New Roman"/>
                <w:sz w:val="21"/>
                <w:szCs w:val="21"/>
              </w:rPr>
            </w:pPr>
            <w:r>
              <w:rPr>
                <w:rFonts w:ascii="Times New Roman" w:hAnsi="Times New Roman"/>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2"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一</w:t>
            </w:r>
          </w:p>
        </w:tc>
        <w:tc>
          <w:tcPr>
            <w:tcW w:w="2116" w:type="dxa"/>
            <w:vAlign w:val="center"/>
          </w:tcPr>
          <w:p>
            <w:pPr>
              <w:jc w:val="center"/>
              <w:rPr>
                <w:rFonts w:ascii="Times New Roman" w:hAnsi="Times New Roman"/>
                <w:sz w:val="21"/>
                <w:szCs w:val="21"/>
              </w:rPr>
            </w:pPr>
            <w:r>
              <w:rPr>
                <w:rFonts w:ascii="Times New Roman" w:hAnsi="Times New Roman"/>
                <w:sz w:val="21"/>
                <w:szCs w:val="21"/>
              </w:rPr>
              <w:t>矿井及选煤厂</w:t>
            </w:r>
          </w:p>
        </w:tc>
        <w:tc>
          <w:tcPr>
            <w:tcW w:w="1360" w:type="dxa"/>
            <w:vAlign w:val="center"/>
          </w:tcPr>
          <w:p>
            <w:pPr>
              <w:jc w:val="center"/>
              <w:rPr>
                <w:rFonts w:ascii="Times New Roman" w:hAnsi="Times New Roman"/>
                <w:sz w:val="21"/>
                <w:szCs w:val="21"/>
              </w:rPr>
            </w:pPr>
            <w:r>
              <w:rPr>
                <w:rFonts w:ascii="Times New Roman" w:hAnsi="Times New Roman"/>
                <w:sz w:val="21"/>
                <w:szCs w:val="21"/>
              </w:rPr>
              <w:t>/</w:t>
            </w:r>
          </w:p>
        </w:tc>
        <w:tc>
          <w:tcPr>
            <w:tcW w:w="1360" w:type="dxa"/>
            <w:vAlign w:val="center"/>
          </w:tcPr>
          <w:p>
            <w:pPr>
              <w:jc w:val="center"/>
              <w:rPr>
                <w:rFonts w:ascii="Times New Roman" w:hAnsi="Times New Roman"/>
                <w:sz w:val="21"/>
                <w:szCs w:val="21"/>
              </w:rPr>
            </w:pPr>
            <w:r>
              <w:rPr>
                <w:rFonts w:ascii="Times New Roman" w:hAnsi="Times New Roman"/>
                <w:sz w:val="21"/>
                <w:szCs w:val="21"/>
              </w:rPr>
              <w:t>200.5</w:t>
            </w:r>
          </w:p>
        </w:tc>
        <w:tc>
          <w:tcPr>
            <w:tcW w:w="3636" w:type="dxa"/>
            <w:vAlign w:val="center"/>
          </w:tcPr>
          <w:p>
            <w:pPr>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2"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1</w:t>
            </w:r>
          </w:p>
        </w:tc>
        <w:tc>
          <w:tcPr>
            <w:tcW w:w="2116" w:type="dxa"/>
            <w:vAlign w:val="center"/>
          </w:tcPr>
          <w:p>
            <w:pPr>
              <w:ind w:firstLine="315" w:firstLineChars="150"/>
              <w:jc w:val="center"/>
              <w:rPr>
                <w:rFonts w:ascii="Times New Roman" w:hAnsi="Times New Roman"/>
                <w:sz w:val="21"/>
                <w:szCs w:val="21"/>
              </w:rPr>
            </w:pPr>
            <w:r>
              <w:rPr>
                <w:rFonts w:ascii="Times New Roman" w:hAnsi="Times New Roman"/>
                <w:sz w:val="21"/>
                <w:szCs w:val="21"/>
              </w:rPr>
              <w:t>奎腾沟矿井</w:t>
            </w:r>
          </w:p>
        </w:tc>
        <w:tc>
          <w:tcPr>
            <w:tcW w:w="1360" w:type="dxa"/>
            <w:vAlign w:val="center"/>
          </w:tcPr>
          <w:p>
            <w:pPr>
              <w:jc w:val="center"/>
              <w:rPr>
                <w:rFonts w:ascii="Times New Roman" w:hAnsi="Times New Roman"/>
                <w:sz w:val="21"/>
                <w:szCs w:val="21"/>
              </w:rPr>
            </w:pPr>
            <w:r>
              <w:rPr>
                <w:rFonts w:ascii="Times New Roman" w:hAnsi="Times New Roman"/>
                <w:sz w:val="21"/>
                <w:szCs w:val="21"/>
              </w:rPr>
              <w:t>8.00Mt/a</w:t>
            </w:r>
          </w:p>
        </w:tc>
        <w:tc>
          <w:tcPr>
            <w:tcW w:w="1360" w:type="dxa"/>
            <w:vAlign w:val="center"/>
          </w:tcPr>
          <w:p>
            <w:pPr>
              <w:jc w:val="center"/>
              <w:rPr>
                <w:rFonts w:ascii="Times New Roman" w:hAnsi="Times New Roman"/>
                <w:sz w:val="21"/>
                <w:szCs w:val="21"/>
              </w:rPr>
            </w:pPr>
            <w:r>
              <w:rPr>
                <w:rFonts w:ascii="Times New Roman" w:hAnsi="Times New Roman"/>
                <w:sz w:val="21"/>
                <w:szCs w:val="21"/>
              </w:rPr>
              <w:t>50.5</w:t>
            </w:r>
          </w:p>
        </w:tc>
        <w:tc>
          <w:tcPr>
            <w:tcW w:w="3636" w:type="dxa"/>
            <w:vAlign w:val="center"/>
          </w:tcPr>
          <w:p>
            <w:pPr>
              <w:jc w:val="left"/>
              <w:rPr>
                <w:rFonts w:ascii="Times New Roman" w:hAnsi="Times New Roman"/>
                <w:sz w:val="21"/>
                <w:szCs w:val="21"/>
              </w:rPr>
            </w:pPr>
            <w:r>
              <w:rPr>
                <w:rFonts w:ascii="Times New Roman" w:hAnsi="Times New Roman"/>
                <w:sz w:val="21"/>
                <w:szCs w:val="21"/>
              </w:rPr>
              <w:t>含矿井工业场地、风井场地及矸石周转场地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9"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2</w:t>
            </w:r>
          </w:p>
        </w:tc>
        <w:tc>
          <w:tcPr>
            <w:tcW w:w="2116" w:type="dxa"/>
            <w:vAlign w:val="center"/>
          </w:tcPr>
          <w:p>
            <w:pPr>
              <w:ind w:firstLine="315" w:firstLineChars="150"/>
              <w:jc w:val="center"/>
              <w:rPr>
                <w:rFonts w:ascii="Times New Roman" w:hAnsi="Times New Roman"/>
                <w:sz w:val="21"/>
                <w:szCs w:val="21"/>
              </w:rPr>
            </w:pPr>
            <w:r>
              <w:rPr>
                <w:rFonts w:ascii="Times New Roman" w:hAnsi="Times New Roman"/>
                <w:sz w:val="21"/>
                <w:szCs w:val="21"/>
              </w:rPr>
              <w:t>苏布尔嘎矿井</w:t>
            </w:r>
          </w:p>
        </w:tc>
        <w:tc>
          <w:tcPr>
            <w:tcW w:w="1360" w:type="dxa"/>
            <w:vAlign w:val="center"/>
          </w:tcPr>
          <w:p>
            <w:pPr>
              <w:jc w:val="center"/>
              <w:rPr>
                <w:rFonts w:ascii="Times New Roman" w:hAnsi="Times New Roman"/>
                <w:sz w:val="21"/>
                <w:szCs w:val="21"/>
              </w:rPr>
            </w:pPr>
            <w:r>
              <w:rPr>
                <w:rFonts w:ascii="Times New Roman" w:hAnsi="Times New Roman"/>
                <w:sz w:val="21"/>
                <w:szCs w:val="21"/>
              </w:rPr>
              <w:t>8.00Mt/a</w:t>
            </w:r>
          </w:p>
        </w:tc>
        <w:tc>
          <w:tcPr>
            <w:tcW w:w="1360" w:type="dxa"/>
            <w:vAlign w:val="center"/>
          </w:tcPr>
          <w:p>
            <w:pPr>
              <w:jc w:val="center"/>
              <w:rPr>
                <w:rFonts w:ascii="Times New Roman" w:hAnsi="Times New Roman"/>
                <w:sz w:val="21"/>
                <w:szCs w:val="21"/>
              </w:rPr>
            </w:pPr>
            <w:r>
              <w:rPr>
                <w:rFonts w:ascii="Times New Roman" w:hAnsi="Times New Roman"/>
                <w:sz w:val="21"/>
                <w:szCs w:val="21"/>
              </w:rPr>
              <w:t>50.0</w:t>
            </w:r>
          </w:p>
        </w:tc>
        <w:tc>
          <w:tcPr>
            <w:tcW w:w="3636" w:type="dxa"/>
            <w:vAlign w:val="center"/>
          </w:tcPr>
          <w:p>
            <w:pPr>
              <w:jc w:val="left"/>
              <w:rPr>
                <w:rFonts w:ascii="Times New Roman" w:hAnsi="Times New Roman"/>
                <w:sz w:val="21"/>
                <w:szCs w:val="21"/>
              </w:rPr>
            </w:pPr>
            <w:r>
              <w:rPr>
                <w:rFonts w:ascii="Times New Roman" w:hAnsi="Times New Roman"/>
                <w:sz w:val="21"/>
                <w:szCs w:val="21"/>
              </w:rPr>
              <w:t>含矿井工业场地、风井场地及矸石周转场地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3</w:t>
            </w:r>
          </w:p>
        </w:tc>
        <w:tc>
          <w:tcPr>
            <w:tcW w:w="2116" w:type="dxa"/>
            <w:vAlign w:val="center"/>
          </w:tcPr>
          <w:p>
            <w:pPr>
              <w:ind w:firstLine="315" w:firstLineChars="150"/>
              <w:jc w:val="center"/>
              <w:rPr>
                <w:rFonts w:ascii="Times New Roman" w:hAnsi="Times New Roman"/>
                <w:sz w:val="21"/>
                <w:szCs w:val="21"/>
              </w:rPr>
            </w:pPr>
            <w:r>
              <w:rPr>
                <w:rFonts w:ascii="Times New Roman" w:hAnsi="Times New Roman"/>
                <w:sz w:val="21"/>
                <w:szCs w:val="21"/>
              </w:rPr>
              <w:t>壕赖苏矿井</w:t>
            </w:r>
          </w:p>
        </w:tc>
        <w:tc>
          <w:tcPr>
            <w:tcW w:w="1360" w:type="dxa"/>
            <w:vAlign w:val="center"/>
          </w:tcPr>
          <w:p>
            <w:pPr>
              <w:jc w:val="center"/>
              <w:rPr>
                <w:rFonts w:ascii="Times New Roman" w:hAnsi="Times New Roman"/>
                <w:sz w:val="21"/>
                <w:szCs w:val="21"/>
              </w:rPr>
            </w:pPr>
            <w:r>
              <w:rPr>
                <w:rFonts w:ascii="Times New Roman" w:hAnsi="Times New Roman"/>
                <w:sz w:val="21"/>
                <w:szCs w:val="21"/>
              </w:rPr>
              <w:t>8.00Mt/a</w:t>
            </w:r>
          </w:p>
        </w:tc>
        <w:tc>
          <w:tcPr>
            <w:tcW w:w="1360" w:type="dxa"/>
            <w:vAlign w:val="center"/>
          </w:tcPr>
          <w:p>
            <w:pPr>
              <w:jc w:val="center"/>
              <w:rPr>
                <w:rFonts w:ascii="Times New Roman" w:hAnsi="Times New Roman"/>
                <w:sz w:val="21"/>
                <w:szCs w:val="21"/>
              </w:rPr>
            </w:pPr>
            <w:r>
              <w:rPr>
                <w:rFonts w:ascii="Times New Roman" w:hAnsi="Times New Roman"/>
                <w:sz w:val="21"/>
                <w:szCs w:val="21"/>
              </w:rPr>
              <w:t>49.5</w:t>
            </w:r>
          </w:p>
        </w:tc>
        <w:tc>
          <w:tcPr>
            <w:tcW w:w="3636" w:type="dxa"/>
            <w:vAlign w:val="center"/>
          </w:tcPr>
          <w:p>
            <w:pPr>
              <w:jc w:val="left"/>
              <w:rPr>
                <w:rFonts w:ascii="Times New Roman" w:hAnsi="Times New Roman"/>
                <w:sz w:val="21"/>
                <w:szCs w:val="21"/>
              </w:rPr>
            </w:pPr>
            <w:r>
              <w:rPr>
                <w:rFonts w:ascii="Times New Roman" w:hAnsi="Times New Roman"/>
                <w:sz w:val="21"/>
                <w:szCs w:val="21"/>
              </w:rPr>
              <w:t>含矿井工业场地、风井场地及矸石周转场地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7"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4</w:t>
            </w:r>
          </w:p>
        </w:tc>
        <w:tc>
          <w:tcPr>
            <w:tcW w:w="2116" w:type="dxa"/>
            <w:vAlign w:val="center"/>
          </w:tcPr>
          <w:p>
            <w:pPr>
              <w:ind w:firstLine="315" w:firstLineChars="150"/>
              <w:jc w:val="center"/>
              <w:rPr>
                <w:rFonts w:ascii="Times New Roman" w:hAnsi="Times New Roman"/>
                <w:sz w:val="21"/>
                <w:szCs w:val="21"/>
              </w:rPr>
            </w:pPr>
            <w:r>
              <w:rPr>
                <w:rFonts w:ascii="Times New Roman" w:hAnsi="Times New Roman"/>
                <w:sz w:val="21"/>
                <w:szCs w:val="21"/>
              </w:rPr>
              <w:t>纳林希里矿井</w:t>
            </w:r>
          </w:p>
        </w:tc>
        <w:tc>
          <w:tcPr>
            <w:tcW w:w="1360" w:type="dxa"/>
            <w:vAlign w:val="center"/>
          </w:tcPr>
          <w:p>
            <w:pPr>
              <w:jc w:val="center"/>
              <w:rPr>
                <w:rFonts w:ascii="Times New Roman" w:hAnsi="Times New Roman"/>
                <w:sz w:val="21"/>
                <w:szCs w:val="21"/>
              </w:rPr>
            </w:pPr>
            <w:r>
              <w:rPr>
                <w:rFonts w:ascii="Times New Roman" w:hAnsi="Times New Roman"/>
                <w:sz w:val="21"/>
                <w:szCs w:val="21"/>
              </w:rPr>
              <w:t>8.00Mt/a</w:t>
            </w:r>
          </w:p>
        </w:tc>
        <w:tc>
          <w:tcPr>
            <w:tcW w:w="1360" w:type="dxa"/>
            <w:vAlign w:val="center"/>
          </w:tcPr>
          <w:p>
            <w:pPr>
              <w:jc w:val="center"/>
              <w:rPr>
                <w:rFonts w:ascii="Times New Roman" w:hAnsi="Times New Roman"/>
                <w:sz w:val="21"/>
                <w:szCs w:val="21"/>
              </w:rPr>
            </w:pPr>
            <w:r>
              <w:rPr>
                <w:rFonts w:ascii="Times New Roman" w:hAnsi="Times New Roman"/>
                <w:sz w:val="21"/>
                <w:szCs w:val="21"/>
              </w:rPr>
              <w:t>50.5</w:t>
            </w:r>
          </w:p>
        </w:tc>
        <w:tc>
          <w:tcPr>
            <w:tcW w:w="3636" w:type="dxa"/>
            <w:vAlign w:val="center"/>
          </w:tcPr>
          <w:p>
            <w:pPr>
              <w:jc w:val="left"/>
              <w:rPr>
                <w:rFonts w:ascii="Times New Roman" w:hAnsi="Times New Roman"/>
                <w:sz w:val="21"/>
                <w:szCs w:val="21"/>
              </w:rPr>
            </w:pPr>
            <w:r>
              <w:rPr>
                <w:rFonts w:ascii="Times New Roman" w:hAnsi="Times New Roman"/>
                <w:sz w:val="21"/>
                <w:szCs w:val="21"/>
              </w:rPr>
              <w:t>含矿井工业场地、风井场地及矸石周转场地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2"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二</w:t>
            </w:r>
          </w:p>
        </w:tc>
        <w:tc>
          <w:tcPr>
            <w:tcW w:w="2116" w:type="dxa"/>
            <w:vAlign w:val="center"/>
          </w:tcPr>
          <w:p>
            <w:pPr>
              <w:jc w:val="center"/>
              <w:rPr>
                <w:rFonts w:ascii="Times New Roman" w:hAnsi="Times New Roman"/>
                <w:sz w:val="21"/>
                <w:szCs w:val="21"/>
              </w:rPr>
            </w:pPr>
            <w:r>
              <w:rPr>
                <w:rFonts w:ascii="Times New Roman" w:hAnsi="Times New Roman"/>
                <w:sz w:val="21"/>
                <w:szCs w:val="21"/>
              </w:rPr>
              <w:t>矿区辅助企业中心区</w:t>
            </w:r>
          </w:p>
        </w:tc>
        <w:tc>
          <w:tcPr>
            <w:tcW w:w="1360" w:type="dxa"/>
            <w:vAlign w:val="center"/>
          </w:tcPr>
          <w:p>
            <w:pPr>
              <w:jc w:val="center"/>
              <w:rPr>
                <w:rFonts w:ascii="Times New Roman" w:hAnsi="Times New Roman"/>
                <w:sz w:val="21"/>
                <w:szCs w:val="21"/>
              </w:rPr>
            </w:pPr>
            <w:r>
              <w:rPr>
                <w:rFonts w:ascii="Times New Roman" w:hAnsi="Times New Roman"/>
                <w:sz w:val="21"/>
                <w:szCs w:val="21"/>
              </w:rPr>
              <w:t>/</w:t>
            </w:r>
          </w:p>
        </w:tc>
        <w:tc>
          <w:tcPr>
            <w:tcW w:w="1360" w:type="dxa"/>
            <w:vAlign w:val="center"/>
          </w:tcPr>
          <w:p>
            <w:pPr>
              <w:jc w:val="center"/>
              <w:rPr>
                <w:rFonts w:ascii="Times New Roman" w:hAnsi="Times New Roman"/>
                <w:sz w:val="21"/>
                <w:szCs w:val="21"/>
              </w:rPr>
            </w:pPr>
            <w:r>
              <w:rPr>
                <w:rFonts w:ascii="Times New Roman" w:hAnsi="Times New Roman"/>
                <w:sz w:val="21"/>
                <w:szCs w:val="21"/>
              </w:rPr>
              <w:t>45.85</w:t>
            </w:r>
          </w:p>
        </w:tc>
        <w:tc>
          <w:tcPr>
            <w:tcW w:w="3636" w:type="dxa"/>
            <w:vAlign w:val="center"/>
          </w:tcPr>
          <w:p>
            <w:pPr>
              <w:jc w:val="lef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2"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三</w:t>
            </w:r>
          </w:p>
        </w:tc>
        <w:tc>
          <w:tcPr>
            <w:tcW w:w="2116" w:type="dxa"/>
            <w:vAlign w:val="center"/>
          </w:tcPr>
          <w:p>
            <w:pPr>
              <w:jc w:val="center"/>
              <w:rPr>
                <w:rFonts w:ascii="Times New Roman" w:hAnsi="Times New Roman"/>
                <w:sz w:val="21"/>
                <w:szCs w:val="21"/>
              </w:rPr>
            </w:pPr>
            <w:r>
              <w:rPr>
                <w:rFonts w:ascii="Times New Roman" w:hAnsi="Times New Roman"/>
                <w:sz w:val="21"/>
                <w:szCs w:val="21"/>
              </w:rPr>
              <w:t>矿区爆炸材料库</w:t>
            </w:r>
          </w:p>
        </w:tc>
        <w:tc>
          <w:tcPr>
            <w:tcW w:w="1360" w:type="dxa"/>
            <w:vAlign w:val="center"/>
          </w:tcPr>
          <w:p>
            <w:pPr>
              <w:jc w:val="center"/>
              <w:rPr>
                <w:rFonts w:ascii="Times New Roman" w:hAnsi="Times New Roman"/>
                <w:sz w:val="21"/>
                <w:szCs w:val="21"/>
              </w:rPr>
            </w:pPr>
            <w:r>
              <w:rPr>
                <w:rFonts w:ascii="Times New Roman" w:hAnsi="Times New Roman"/>
                <w:sz w:val="21"/>
                <w:szCs w:val="21"/>
              </w:rPr>
              <w:t>/</w:t>
            </w:r>
          </w:p>
        </w:tc>
        <w:tc>
          <w:tcPr>
            <w:tcW w:w="1360" w:type="dxa"/>
            <w:vAlign w:val="center"/>
          </w:tcPr>
          <w:p>
            <w:pPr>
              <w:jc w:val="center"/>
              <w:rPr>
                <w:rFonts w:ascii="Times New Roman" w:hAnsi="Times New Roman"/>
                <w:sz w:val="21"/>
                <w:szCs w:val="21"/>
              </w:rPr>
            </w:pPr>
            <w:r>
              <w:rPr>
                <w:rFonts w:ascii="Times New Roman" w:hAnsi="Times New Roman"/>
                <w:sz w:val="21"/>
                <w:szCs w:val="21"/>
              </w:rPr>
              <w:t>5.0</w:t>
            </w:r>
          </w:p>
        </w:tc>
        <w:tc>
          <w:tcPr>
            <w:tcW w:w="3636" w:type="dxa"/>
            <w:vAlign w:val="center"/>
          </w:tcPr>
          <w:p>
            <w:pPr>
              <w:jc w:val="lef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4"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四</w:t>
            </w:r>
          </w:p>
        </w:tc>
        <w:tc>
          <w:tcPr>
            <w:tcW w:w="2116" w:type="dxa"/>
            <w:vAlign w:val="center"/>
          </w:tcPr>
          <w:p>
            <w:pPr>
              <w:jc w:val="center"/>
              <w:rPr>
                <w:rFonts w:ascii="Times New Roman" w:hAnsi="Times New Roman"/>
                <w:sz w:val="21"/>
                <w:szCs w:val="21"/>
              </w:rPr>
            </w:pPr>
            <w:r>
              <w:rPr>
                <w:rFonts w:ascii="Times New Roman" w:hAnsi="Times New Roman"/>
                <w:sz w:val="21"/>
                <w:szCs w:val="21"/>
              </w:rPr>
              <w:t>矿区公路</w:t>
            </w:r>
          </w:p>
        </w:tc>
        <w:tc>
          <w:tcPr>
            <w:tcW w:w="1360" w:type="dxa"/>
            <w:vAlign w:val="center"/>
          </w:tcPr>
          <w:p>
            <w:pPr>
              <w:jc w:val="center"/>
              <w:rPr>
                <w:rFonts w:ascii="Times New Roman" w:hAnsi="Times New Roman"/>
                <w:sz w:val="21"/>
                <w:szCs w:val="21"/>
              </w:rPr>
            </w:pPr>
            <w:r>
              <w:rPr>
                <w:rFonts w:ascii="Times New Roman" w:hAnsi="Times New Roman"/>
                <w:sz w:val="21"/>
                <w:szCs w:val="21"/>
              </w:rPr>
              <w:t>/</w:t>
            </w:r>
          </w:p>
        </w:tc>
        <w:tc>
          <w:tcPr>
            <w:tcW w:w="1360" w:type="dxa"/>
            <w:vAlign w:val="center"/>
          </w:tcPr>
          <w:p>
            <w:pPr>
              <w:jc w:val="center"/>
              <w:rPr>
                <w:rFonts w:ascii="Times New Roman" w:hAnsi="Times New Roman"/>
                <w:sz w:val="21"/>
                <w:szCs w:val="21"/>
              </w:rPr>
            </w:pPr>
            <w:r>
              <w:rPr>
                <w:rFonts w:ascii="Times New Roman" w:hAnsi="Times New Roman"/>
                <w:sz w:val="21"/>
                <w:szCs w:val="21"/>
              </w:rPr>
              <w:t>86.0</w:t>
            </w:r>
          </w:p>
        </w:tc>
        <w:tc>
          <w:tcPr>
            <w:tcW w:w="3636" w:type="dxa"/>
            <w:vAlign w:val="center"/>
          </w:tcPr>
          <w:p>
            <w:pPr>
              <w:jc w:val="left"/>
              <w:rPr>
                <w:rFonts w:ascii="Times New Roman" w:hAnsi="Times New Roman"/>
                <w:sz w:val="21"/>
                <w:szCs w:val="21"/>
              </w:rPr>
            </w:pPr>
            <w:r>
              <w:rPr>
                <w:rFonts w:ascii="Times New Roman" w:hAnsi="Times New Roman"/>
                <w:sz w:val="21"/>
                <w:szCs w:val="21"/>
              </w:rPr>
              <w:t>矿区公路长约28.4km，矿井场外道路长约6.5km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7" w:hRule="exact"/>
          <w:jc w:val="center"/>
        </w:trPr>
        <w:tc>
          <w:tcPr>
            <w:tcW w:w="617" w:type="dxa"/>
            <w:vAlign w:val="center"/>
          </w:tcPr>
          <w:p>
            <w:pPr>
              <w:jc w:val="center"/>
              <w:rPr>
                <w:rFonts w:ascii="Times New Roman" w:hAnsi="Times New Roman"/>
                <w:sz w:val="21"/>
                <w:szCs w:val="21"/>
              </w:rPr>
            </w:pPr>
            <w:r>
              <w:rPr>
                <w:rFonts w:ascii="Times New Roman" w:hAnsi="Times New Roman"/>
                <w:sz w:val="21"/>
                <w:szCs w:val="21"/>
              </w:rPr>
              <w:t>五</w:t>
            </w:r>
          </w:p>
        </w:tc>
        <w:tc>
          <w:tcPr>
            <w:tcW w:w="2116" w:type="dxa"/>
            <w:vAlign w:val="center"/>
          </w:tcPr>
          <w:p>
            <w:pPr>
              <w:jc w:val="center"/>
              <w:rPr>
                <w:rFonts w:ascii="Times New Roman" w:hAnsi="Times New Roman"/>
                <w:sz w:val="21"/>
                <w:szCs w:val="21"/>
              </w:rPr>
            </w:pPr>
            <w:r>
              <w:rPr>
                <w:rFonts w:ascii="Times New Roman" w:hAnsi="Times New Roman"/>
                <w:sz w:val="21"/>
                <w:szCs w:val="21"/>
              </w:rPr>
              <w:t>矿区铁路</w:t>
            </w:r>
          </w:p>
        </w:tc>
        <w:tc>
          <w:tcPr>
            <w:tcW w:w="1360" w:type="dxa"/>
            <w:vAlign w:val="center"/>
          </w:tcPr>
          <w:p>
            <w:pPr>
              <w:jc w:val="center"/>
              <w:rPr>
                <w:rFonts w:ascii="Times New Roman" w:hAnsi="Times New Roman"/>
                <w:sz w:val="21"/>
                <w:szCs w:val="21"/>
              </w:rPr>
            </w:pPr>
            <w:r>
              <w:rPr>
                <w:rFonts w:ascii="Times New Roman" w:hAnsi="Times New Roman"/>
                <w:sz w:val="21"/>
                <w:szCs w:val="21"/>
              </w:rPr>
              <w:t>/</w:t>
            </w:r>
          </w:p>
        </w:tc>
        <w:tc>
          <w:tcPr>
            <w:tcW w:w="1360" w:type="dxa"/>
            <w:vAlign w:val="center"/>
          </w:tcPr>
          <w:p>
            <w:pPr>
              <w:jc w:val="center"/>
              <w:rPr>
                <w:rFonts w:ascii="Times New Roman" w:hAnsi="Times New Roman"/>
                <w:sz w:val="21"/>
                <w:szCs w:val="21"/>
              </w:rPr>
            </w:pPr>
            <w:r>
              <w:rPr>
                <w:rFonts w:ascii="Times New Roman" w:hAnsi="Times New Roman"/>
                <w:sz w:val="21"/>
                <w:szCs w:val="21"/>
              </w:rPr>
              <w:t>301.3</w:t>
            </w:r>
          </w:p>
        </w:tc>
        <w:tc>
          <w:tcPr>
            <w:tcW w:w="3636" w:type="dxa"/>
            <w:vAlign w:val="center"/>
          </w:tcPr>
          <w:p>
            <w:pPr>
              <w:jc w:val="left"/>
              <w:rPr>
                <w:rFonts w:ascii="Times New Roman" w:hAnsi="Times New Roman"/>
                <w:sz w:val="21"/>
                <w:szCs w:val="21"/>
              </w:rPr>
            </w:pPr>
            <w:r>
              <w:rPr>
                <w:rFonts w:ascii="Times New Roman" w:hAnsi="Times New Roman"/>
                <w:sz w:val="21"/>
                <w:szCs w:val="21"/>
              </w:rPr>
              <w:t>矿铁路专用线长约73.4km，铁路装车线长27.6km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2" w:hRule="exact"/>
          <w:jc w:val="center"/>
        </w:trPr>
        <w:tc>
          <w:tcPr>
            <w:tcW w:w="4093" w:type="dxa"/>
            <w:gridSpan w:val="3"/>
            <w:vAlign w:val="center"/>
          </w:tcPr>
          <w:p>
            <w:pPr>
              <w:jc w:val="center"/>
              <w:rPr>
                <w:rFonts w:ascii="Times New Roman" w:hAnsi="Times New Roman"/>
                <w:sz w:val="21"/>
                <w:szCs w:val="21"/>
              </w:rPr>
            </w:pPr>
            <w:r>
              <w:rPr>
                <w:rFonts w:ascii="Times New Roman" w:hAnsi="Times New Roman"/>
                <w:sz w:val="21"/>
                <w:szCs w:val="21"/>
              </w:rPr>
              <w:t>合  计</w:t>
            </w:r>
          </w:p>
        </w:tc>
        <w:tc>
          <w:tcPr>
            <w:tcW w:w="1360" w:type="dxa"/>
            <w:vAlign w:val="center"/>
          </w:tcPr>
          <w:p>
            <w:pPr>
              <w:jc w:val="center"/>
              <w:rPr>
                <w:rFonts w:ascii="Times New Roman" w:hAnsi="Times New Roman"/>
                <w:sz w:val="21"/>
                <w:szCs w:val="21"/>
              </w:rPr>
            </w:pPr>
            <w:r>
              <w:rPr>
                <w:rFonts w:ascii="Times New Roman" w:hAnsi="Times New Roman"/>
                <w:sz w:val="21"/>
                <w:szCs w:val="21"/>
              </w:rPr>
              <w:t>638.65</w:t>
            </w:r>
          </w:p>
        </w:tc>
        <w:tc>
          <w:tcPr>
            <w:tcW w:w="3636" w:type="dxa"/>
            <w:vAlign w:val="center"/>
          </w:tcPr>
          <w:p>
            <w:pPr>
              <w:jc w:val="center"/>
              <w:rPr>
                <w:rFonts w:ascii="Times New Roman" w:hAnsi="Times New Roman"/>
                <w:sz w:val="21"/>
                <w:szCs w:val="21"/>
              </w:rPr>
            </w:pPr>
          </w:p>
        </w:tc>
      </w:tr>
    </w:tbl>
    <w:p>
      <w:pPr>
        <w:pStyle w:val="5"/>
        <w:spacing w:before="120" w:after="120" w:line="440" w:lineRule="exact"/>
        <w:rPr>
          <w:sz w:val="24"/>
        </w:rPr>
      </w:pPr>
      <w:r>
        <w:rPr>
          <w:sz w:val="24"/>
        </w:rPr>
        <w:t>2.1.9矿区运输</w:t>
      </w:r>
    </w:p>
    <w:p>
      <w:pPr>
        <w:pStyle w:val="428"/>
        <w:spacing w:line="440" w:lineRule="exact"/>
        <w:ind w:firstLine="482"/>
        <w:rPr>
          <w:rFonts w:ascii="Times New Roman" w:hAnsi="Times New Roman" w:eastAsia="宋体" w:cs="Times New Roman"/>
          <w:b/>
          <w:bCs w:val="0"/>
        </w:rPr>
      </w:pPr>
      <w:r>
        <w:rPr>
          <w:rFonts w:ascii="Times New Roman" w:hAnsi="Times New Roman" w:eastAsia="宋体" w:cs="Times New Roman"/>
          <w:b/>
          <w:bCs w:val="0"/>
        </w:rPr>
        <w:t>（1）外部运输条件</w:t>
      </w:r>
    </w:p>
    <w:p>
      <w:pPr>
        <w:spacing w:line="480" w:lineRule="exact"/>
        <w:ind w:firstLine="480" w:firstLineChars="200"/>
        <w:rPr>
          <w:rFonts w:ascii="Times New Roman" w:hAnsi="Times New Roman"/>
          <w:snapToGrid w:val="0"/>
          <w:kern w:val="0"/>
        </w:rPr>
      </w:pPr>
      <w:r>
        <w:rPr>
          <w:rFonts w:ascii="Times New Roman" w:hAnsi="Times New Roman"/>
          <w:snapToGrid w:val="0"/>
          <w:kern w:val="0"/>
        </w:rPr>
        <w:t>目前，纳林希里矿区外铁路较便利。本矿区规划各矿的煤炭外运主要依靠铁路运输，总外运量为29.488</w:t>
      </w:r>
      <w:r>
        <w:rPr>
          <w:rFonts w:ascii="Times New Roman" w:hAnsi="Times New Roman" w:eastAsia="汉鼎简书宋"/>
        </w:rPr>
        <w:t>Mt/a，</w:t>
      </w:r>
      <w:r>
        <w:rPr>
          <w:rFonts w:ascii="Times New Roman" w:hAnsi="Times New Roman"/>
          <w:snapToGrid w:val="0"/>
          <w:kern w:val="0"/>
        </w:rPr>
        <w:t>其中块煤13.0016Mt/a，末煤16.4864Mt/a。</w:t>
      </w:r>
    </w:p>
    <w:p>
      <w:pPr>
        <w:pStyle w:val="428"/>
        <w:spacing w:line="440" w:lineRule="exact"/>
        <w:ind w:firstLine="482"/>
        <w:rPr>
          <w:rFonts w:ascii="Times New Roman" w:hAnsi="Times New Roman" w:eastAsia="宋体" w:cs="Times New Roman"/>
          <w:b/>
          <w:bCs w:val="0"/>
        </w:rPr>
      </w:pPr>
      <w:r>
        <w:rPr>
          <w:rFonts w:ascii="Times New Roman" w:hAnsi="Times New Roman" w:eastAsia="宋体" w:cs="Times New Roman"/>
          <w:b/>
          <w:bCs w:val="0"/>
        </w:rPr>
        <w:t>（2）规划铁路专用线</w:t>
      </w:r>
    </w:p>
    <w:p>
      <w:pPr>
        <w:spacing w:line="440" w:lineRule="exact"/>
        <w:ind w:firstLine="480" w:firstLineChars="200"/>
        <w:rPr>
          <w:rFonts w:ascii="Times New Roman" w:hAnsi="Times New Roman"/>
        </w:rPr>
      </w:pPr>
      <w:r>
        <w:rPr>
          <w:rFonts w:ascii="Times New Roman" w:hAnsi="Times New Roman"/>
        </w:rPr>
        <w:t>矿区规划铁路由独贵加汗车站南咽喉引出，向东进入矿区铁路工业站。从工业站南咽喉引出后，向东在奎腾沟井田西境界处通过，再折向南沿苏布尔嘎井田、壕赖苏井田前行到达矿区纳林希里车站止，全长73.4km。在矿区内设苏布尔嘎车站、壕赖苏车站和纳林希里北站，苏布尔嘎矿、奎腾沟矿铁路专用线由苏布尔嘎车站接入，纳林希里矿、壕赖苏矿铁路专用线纳林希里北站接入。铁路装车线全长27.6km。</w:t>
      </w:r>
    </w:p>
    <w:p>
      <w:pPr>
        <w:spacing w:line="440" w:lineRule="exact"/>
        <w:ind w:firstLine="482" w:firstLineChars="200"/>
        <w:rPr>
          <w:rFonts w:ascii="Times New Roman" w:hAnsi="Times New Roman"/>
          <w:bCs/>
          <w:kern w:val="24"/>
          <w:szCs w:val="24"/>
        </w:rPr>
      </w:pPr>
      <w:r>
        <w:rPr>
          <w:rFonts w:ascii="Times New Roman" w:hAnsi="Times New Roman"/>
          <w:b/>
          <w:bCs/>
          <w:kern w:val="24"/>
          <w:szCs w:val="24"/>
        </w:rPr>
        <w:t>（3）规划矿区公路</w:t>
      </w:r>
    </w:p>
    <w:p>
      <w:pPr>
        <w:spacing w:line="440" w:lineRule="exact"/>
        <w:ind w:firstLine="480" w:firstLineChars="200"/>
        <w:rPr>
          <w:rFonts w:ascii="Times New Roman" w:hAnsi="Times New Roman"/>
          <w:snapToGrid w:val="0"/>
          <w:kern w:val="0"/>
        </w:rPr>
      </w:pPr>
      <w:r>
        <w:rPr>
          <w:rFonts w:ascii="Times New Roman" w:hAnsi="Times New Roman"/>
          <w:snapToGrid w:val="0"/>
          <w:kern w:val="0"/>
        </w:rPr>
        <w:t>规划新建一条矿区公路。南北向贯通整个矿区，该公路主要沿着矿区铁路西侧与矿区铁路平行布置，公路全长28.4km，公路主要技术标准为公路Ⅱ级，设计行车速度80km/h，双向两车道，路基宽12m，路面宽9.0m，沥青混凝土路面。占地面积71.0hm</w:t>
      </w:r>
      <w:r>
        <w:rPr>
          <w:rFonts w:ascii="Times New Roman" w:hAnsi="Times New Roman"/>
          <w:snapToGrid w:val="0"/>
          <w:kern w:val="0"/>
          <w:vertAlign w:val="superscript"/>
        </w:rPr>
        <w:t>2</w:t>
      </w:r>
      <w:r>
        <w:rPr>
          <w:rFonts w:ascii="Times New Roman" w:hAnsi="Times New Roman"/>
          <w:snapToGrid w:val="0"/>
          <w:kern w:val="0"/>
        </w:rPr>
        <w:t>。矿井场外道路全长6.5km，主要技术标准为公路二级，设计行车速度60km/h，双向两车道，路基宽10.0m，路面宽7.0m，沥青混凝土路面。</w:t>
      </w:r>
    </w:p>
    <w:p>
      <w:pPr>
        <w:spacing w:line="440" w:lineRule="exact"/>
        <w:ind w:firstLine="480" w:firstLineChars="200"/>
        <w:rPr>
          <w:rFonts w:ascii="Times New Roman" w:hAnsi="Times New Roman"/>
          <w:snapToGrid w:val="0"/>
          <w:kern w:val="0"/>
        </w:rPr>
      </w:pPr>
      <w:r>
        <w:rPr>
          <w:rFonts w:ascii="Times New Roman" w:hAnsi="Times New Roman"/>
          <w:snapToGrid w:val="0"/>
          <w:kern w:val="0"/>
        </w:rPr>
        <w:t>矿区内已有阿四公路和乌阿公路为公路Ⅱ级，路基宽10.0m，路面宽7.0m，沥青混凝土路面。设计的矿区公路与之相连，通过这两条公路与外界联系。</w:t>
      </w:r>
    </w:p>
    <w:p>
      <w:pPr>
        <w:spacing w:line="440" w:lineRule="exact"/>
        <w:ind w:firstLine="480" w:firstLineChars="200"/>
        <w:rPr>
          <w:rFonts w:ascii="Times New Roman" w:hAnsi="Times New Roman"/>
          <w:snapToGrid w:val="0"/>
          <w:kern w:val="0"/>
        </w:rPr>
      </w:pPr>
      <w:r>
        <w:rPr>
          <w:rFonts w:ascii="Times New Roman" w:hAnsi="Times New Roman"/>
          <w:snapToGrid w:val="0"/>
          <w:kern w:val="0"/>
        </w:rPr>
        <w:t>矿区地面运输见图2.1-9。</w:t>
      </w:r>
    </w:p>
    <w:p>
      <w:pPr>
        <w:pStyle w:val="5"/>
        <w:spacing w:before="120" w:after="120" w:line="440" w:lineRule="exact"/>
        <w:rPr>
          <w:sz w:val="24"/>
        </w:rPr>
      </w:pPr>
      <w:r>
        <w:rPr>
          <w:sz w:val="24"/>
        </w:rPr>
        <w:t>2.1.10矿区供电、供热规划</w:t>
      </w:r>
    </w:p>
    <w:p>
      <w:pPr>
        <w:keepNext/>
        <w:keepLines/>
        <w:spacing w:line="440" w:lineRule="exact"/>
        <w:outlineLvl w:val="3"/>
        <w:rPr>
          <w:rFonts w:ascii="Times New Roman" w:hAnsi="Times New Roman"/>
          <w:b/>
        </w:rPr>
      </w:pPr>
      <w:r>
        <w:rPr>
          <w:rFonts w:ascii="Times New Roman" w:hAnsi="Times New Roman"/>
          <w:b/>
        </w:rPr>
        <w:t>2.1.10.1 矿区供电规划</w:t>
      </w:r>
    </w:p>
    <w:p>
      <w:pPr>
        <w:spacing w:line="440" w:lineRule="exact"/>
        <w:ind w:firstLine="480" w:firstLineChars="200"/>
        <w:rPr>
          <w:rFonts w:ascii="Times New Roman" w:hAnsi="Times New Roman"/>
          <w:snapToGrid w:val="0"/>
          <w:kern w:val="0"/>
        </w:rPr>
      </w:pPr>
      <w:r>
        <w:rPr>
          <w:rFonts w:ascii="Times New Roman" w:hAnsi="Times New Roman"/>
          <w:snapToGrid w:val="0"/>
          <w:kern w:val="0"/>
        </w:rPr>
        <w:t>规划新建矿区220kV变电站，两回220kV电源（1回工作，1回热备用）均引自布日都500kV变电站，输电线路为LGJ-2X300/2X50m，内设两台180MVA的变压器，电压等级220/110/10kV，220kV和110kV均采用双母线接线，10kV采用单母线分段接线。220kV设7个间隔，110kV设16个间隔。该站供规划的四个矿井和辅助企业区供电。</w:t>
      </w:r>
    </w:p>
    <w:p>
      <w:pPr>
        <w:keepNext/>
        <w:keepLines/>
        <w:spacing w:line="440" w:lineRule="exact"/>
        <w:outlineLvl w:val="3"/>
        <w:rPr>
          <w:rFonts w:ascii="Times New Roman" w:hAnsi="Times New Roman"/>
          <w:b/>
        </w:rPr>
      </w:pPr>
      <w:r>
        <w:rPr>
          <w:rFonts w:ascii="Times New Roman" w:hAnsi="Times New Roman"/>
          <w:b/>
        </w:rPr>
        <w:t>2.1.10.2 矿区供热规划</w:t>
      </w:r>
    </w:p>
    <w:p>
      <w:pPr>
        <w:adjustRightInd w:val="0"/>
        <w:snapToGrid w:val="0"/>
        <w:spacing w:line="440" w:lineRule="exact"/>
        <w:ind w:firstLine="480" w:firstLineChars="200"/>
        <w:rPr>
          <w:rFonts w:ascii="Times New Roman" w:hAnsi="Times New Roman"/>
          <w:szCs w:val="24"/>
        </w:rPr>
      </w:pPr>
      <w:r>
        <w:rPr>
          <w:rFonts w:ascii="Times New Roman" w:hAnsi="Times New Roman"/>
        </w:rPr>
        <w:t>矿区规划</w:t>
      </w:r>
      <w:r>
        <w:rPr>
          <w:rFonts w:ascii="Times New Roman" w:hAnsi="Times New Roman"/>
          <w:szCs w:val="24"/>
        </w:rPr>
        <w:t>在每个矿井工业场地分别建1座锅炉房，为本矿井及选煤厂集中供热。由于辅助企业中心区热负荷相对较小，且距离壕赖苏矿井约9.5km，规划辅助企业中心区和壕赖苏矿井合建1座锅炉房，锅炉房设在壕赖苏矿井工业场地内，辅助企业中心区内设换热站，由壕赖苏矿井锅炉房经热力管道输送至辅助企业中心区换热站，换热站的二次水对本中心区进行供热。</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本矿区奎腾沟、苏布尔噶、纳林希里锅炉房内均设28MW(折合蒸发量40t/h)热水锅炉2台，壕赖苏矿井锅炉房内设28MW(折合蒸发量40t/h)热水锅炉3台，锅炉进出水温度为110/70℃，分别为各矿井供热，锅炉房仅采暖季运行，非采暖季暂采用水源热泵及空气源热泵的供热方式，各矿井及中心区也可根据实际情况在场地内设置电锅炉，满足非采暖季的热负荷要求。</w:t>
      </w:r>
    </w:p>
    <w:p>
      <w:pPr>
        <w:pStyle w:val="428"/>
        <w:adjustRightInd w:val="0"/>
        <w:snapToGrid w:val="0"/>
        <w:spacing w:line="440" w:lineRule="exact"/>
        <w:ind w:firstLine="0" w:firstLineChars="0"/>
        <w:jc w:val="center"/>
        <w:rPr>
          <w:rFonts w:ascii="Times New Roman" w:hAnsi="Times New Roman" w:eastAsia="宋体" w:cs="Times New Roman"/>
          <w:b/>
        </w:rPr>
      </w:pPr>
      <w:r>
        <w:rPr>
          <w:rFonts w:ascii="Times New Roman" w:hAnsi="Times New Roman" w:eastAsia="宋体" w:cs="Times New Roman"/>
          <w:b/>
        </w:rPr>
        <w:t>规划新建锅炉房</w:t>
      </w:r>
    </w:p>
    <w:p>
      <w:pPr>
        <w:pStyle w:val="428"/>
        <w:adjustRightInd w:val="0"/>
        <w:snapToGrid w:val="0"/>
        <w:spacing w:line="440" w:lineRule="exact"/>
        <w:ind w:firstLine="0" w:firstLineChars="0"/>
        <w:rPr>
          <w:rFonts w:ascii="Times New Roman" w:hAnsi="Times New Roman" w:cs="Times New Roman"/>
        </w:rPr>
      </w:pPr>
      <w:r>
        <w:rPr>
          <w:rFonts w:ascii="Times New Roman" w:hAnsi="Times New Roman" w:cs="Times New Roman"/>
        </w:rPr>
        <w:t>表2.1-10</w:t>
      </w:r>
    </w:p>
    <w:tbl>
      <w:tblPr>
        <w:tblStyle w:val="5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8"/>
        <w:gridCol w:w="2344"/>
        <w:gridCol w:w="1356"/>
        <w:gridCol w:w="1134"/>
        <w:gridCol w:w="39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顺</w:t>
            </w:r>
          </w:p>
          <w:p>
            <w:pPr>
              <w:adjustRightInd w:val="0"/>
              <w:snapToGrid w:val="0"/>
              <w:spacing w:line="240" w:lineRule="exact"/>
              <w:jc w:val="center"/>
              <w:rPr>
                <w:rFonts w:ascii="Times New Roman" w:hAnsi="Times New Roman"/>
                <w:sz w:val="21"/>
                <w:szCs w:val="21"/>
              </w:rPr>
            </w:pPr>
            <w:r>
              <w:rPr>
                <w:rFonts w:ascii="Times New Roman" w:hAnsi="Times New Roman"/>
                <w:sz w:val="21"/>
                <w:szCs w:val="21"/>
              </w:rPr>
              <w:t>序</w:t>
            </w: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ind w:firstLine="210" w:firstLineChars="100"/>
              <w:jc w:val="center"/>
              <w:rPr>
                <w:rFonts w:ascii="Times New Roman" w:hAnsi="Times New Roman"/>
                <w:sz w:val="21"/>
                <w:szCs w:val="21"/>
              </w:rPr>
            </w:pPr>
            <w:r>
              <w:rPr>
                <w:rFonts w:ascii="Times New Roman" w:hAnsi="Times New Roman"/>
                <w:sz w:val="21"/>
                <w:szCs w:val="21"/>
              </w:rPr>
              <w:t>场 地 名 称</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矿井规模或建筑面积</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热负荷（kW）</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ind w:firstLine="105" w:firstLineChars="50"/>
              <w:jc w:val="center"/>
              <w:rPr>
                <w:rFonts w:ascii="Times New Roman" w:hAnsi="Times New Roman"/>
                <w:sz w:val="21"/>
                <w:szCs w:val="21"/>
              </w:rPr>
            </w:pPr>
            <w:r>
              <w:rPr>
                <w:rFonts w:ascii="Times New Roman" w:hAnsi="Times New Roman"/>
                <w:sz w:val="21"/>
                <w:szCs w:val="21"/>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b/>
                <w:bCs/>
                <w:sz w:val="21"/>
                <w:szCs w:val="21"/>
              </w:rPr>
            </w:pPr>
            <w:r>
              <w:rPr>
                <w:rFonts w:ascii="Times New Roman" w:hAnsi="Times New Roman"/>
                <w:b/>
                <w:bCs/>
                <w:sz w:val="21"/>
                <w:szCs w:val="21"/>
              </w:rPr>
              <w:t>一</w:t>
            </w: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rPr>
                <w:rFonts w:ascii="Times New Roman" w:hAnsi="Times New Roman"/>
                <w:b/>
                <w:bCs/>
                <w:sz w:val="21"/>
                <w:szCs w:val="21"/>
              </w:rPr>
            </w:pPr>
            <w:r>
              <w:rPr>
                <w:rFonts w:ascii="Times New Roman" w:hAnsi="Times New Roman"/>
                <w:b/>
                <w:bCs/>
                <w:sz w:val="21"/>
                <w:szCs w:val="21"/>
              </w:rPr>
              <w:t>矿井及选煤厂</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ind w:firstLine="105" w:firstLineChars="5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1</w:t>
            </w: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rPr>
                <w:rFonts w:ascii="Times New Roman" w:hAnsi="Times New Roman"/>
                <w:sz w:val="21"/>
                <w:szCs w:val="21"/>
              </w:rPr>
            </w:pPr>
            <w:r>
              <w:rPr>
                <w:rFonts w:ascii="Times New Roman" w:hAnsi="Times New Roman"/>
                <w:sz w:val="21"/>
                <w:szCs w:val="21"/>
              </w:rPr>
              <w:t>奎腾沟矿井及选煤厂</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sz w:val="21"/>
                <w:szCs w:val="21"/>
              </w:rPr>
            </w:pPr>
            <w:r>
              <w:rPr>
                <w:rFonts w:ascii="Times New Roman" w:hAnsi="Times New Roman"/>
                <w:sz w:val="21"/>
                <w:szCs w:val="21"/>
              </w:rPr>
              <w:t>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eastAsia="汉鼎简书宋"/>
                <w:sz w:val="21"/>
                <w:szCs w:val="21"/>
              </w:rPr>
              <w:t>8.0Mt/a</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eastAsia="汉鼎简书宋"/>
                <w:sz w:val="21"/>
                <w:szCs w:val="21"/>
              </w:rPr>
              <w:t>46000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left"/>
              <w:rPr>
                <w:rFonts w:ascii="Times New Roman" w:hAnsi="Times New Roman"/>
                <w:sz w:val="21"/>
                <w:szCs w:val="21"/>
              </w:rPr>
            </w:pPr>
            <w:r>
              <w:rPr>
                <w:rFonts w:ascii="Times New Roman" w:hAnsi="Times New Roman"/>
                <w:sz w:val="21"/>
                <w:szCs w:val="21"/>
              </w:rPr>
              <w:t>2×40t/h，110/70℃热水锅炉，采暖季运行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sz w:val="21"/>
                <w:szCs w:val="21"/>
              </w:rPr>
            </w:pPr>
            <w:r>
              <w:rPr>
                <w:rFonts w:ascii="Times New Roman" w:hAnsi="Times New Roman"/>
                <w:sz w:val="21"/>
                <w:szCs w:val="21"/>
              </w:rPr>
              <w:t>非采暖季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eastAsia="汉鼎简书宋"/>
                <w:sz w:val="21"/>
                <w:szCs w:val="21"/>
              </w:rPr>
              <w:t>8.0Mt/a</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eastAsia="汉鼎简书宋"/>
                <w:sz w:val="21"/>
                <w:szCs w:val="21"/>
              </w:rPr>
              <w:t>4200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left"/>
              <w:rPr>
                <w:rFonts w:ascii="Times New Roman" w:hAnsi="Times New Roman"/>
                <w:sz w:val="21"/>
                <w:szCs w:val="21"/>
              </w:rPr>
            </w:pPr>
            <w:r>
              <w:rPr>
                <w:rFonts w:ascii="Times New Roman" w:hAnsi="Times New Roman"/>
                <w:sz w:val="21"/>
                <w:szCs w:val="21"/>
              </w:rPr>
              <w:t>水源热泵：总供热量4.5MW，常年运行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2</w:t>
            </w: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rPr>
                <w:rFonts w:ascii="Times New Roman" w:hAnsi="Times New Roman"/>
                <w:sz w:val="21"/>
                <w:szCs w:val="21"/>
              </w:rPr>
            </w:pPr>
            <w:r>
              <w:rPr>
                <w:rFonts w:ascii="Times New Roman" w:hAnsi="Times New Roman"/>
                <w:sz w:val="21"/>
                <w:szCs w:val="21"/>
              </w:rPr>
              <w:t>苏布尔嘎矿井及选煤厂</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sz w:val="21"/>
                <w:szCs w:val="21"/>
              </w:rPr>
            </w:pPr>
            <w:r>
              <w:rPr>
                <w:rFonts w:ascii="Times New Roman" w:hAnsi="Times New Roman"/>
                <w:sz w:val="21"/>
                <w:szCs w:val="21"/>
              </w:rPr>
              <w:t>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8.0Mt/a</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46000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left"/>
              <w:rPr>
                <w:rFonts w:ascii="Times New Roman" w:hAnsi="Times New Roman"/>
                <w:sz w:val="21"/>
                <w:szCs w:val="21"/>
              </w:rPr>
            </w:pPr>
            <w:r>
              <w:rPr>
                <w:rFonts w:ascii="Times New Roman" w:hAnsi="Times New Roman"/>
                <w:sz w:val="21"/>
                <w:szCs w:val="21"/>
              </w:rPr>
              <w:t>2×40t/h，110/70℃热水锅炉，采暖季运行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sz w:val="21"/>
                <w:szCs w:val="21"/>
              </w:rPr>
            </w:pPr>
            <w:r>
              <w:rPr>
                <w:rFonts w:ascii="Times New Roman" w:hAnsi="Times New Roman"/>
                <w:sz w:val="21"/>
                <w:szCs w:val="21"/>
              </w:rPr>
              <w:t>非采暖季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8.0Mt/a</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4200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left"/>
              <w:rPr>
                <w:rFonts w:ascii="Times New Roman" w:hAnsi="Times New Roman"/>
                <w:sz w:val="21"/>
                <w:szCs w:val="21"/>
              </w:rPr>
            </w:pPr>
            <w:r>
              <w:rPr>
                <w:rFonts w:ascii="Times New Roman" w:hAnsi="Times New Roman"/>
                <w:sz w:val="21"/>
                <w:szCs w:val="21"/>
              </w:rPr>
              <w:t>水源热泵：总供热量4.5MW，常年运行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3</w:t>
            </w: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rPr>
                <w:rFonts w:ascii="Times New Roman" w:hAnsi="Times New Roman"/>
                <w:sz w:val="21"/>
                <w:szCs w:val="21"/>
              </w:rPr>
            </w:pPr>
            <w:r>
              <w:rPr>
                <w:rFonts w:ascii="Times New Roman" w:hAnsi="Times New Roman"/>
                <w:sz w:val="21"/>
                <w:szCs w:val="21"/>
              </w:rPr>
              <w:t>壕赖苏矿井及选煤厂</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sz w:val="21"/>
                <w:szCs w:val="21"/>
              </w:rPr>
            </w:pPr>
            <w:r>
              <w:rPr>
                <w:rFonts w:ascii="Times New Roman" w:hAnsi="Times New Roman"/>
                <w:sz w:val="21"/>
                <w:szCs w:val="21"/>
              </w:rPr>
              <w:t>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eastAsia="汉鼎简书宋"/>
                <w:sz w:val="21"/>
                <w:szCs w:val="21"/>
              </w:rPr>
              <w:t>8.0Mt/a</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eastAsia="汉鼎简书宋"/>
                <w:sz w:val="21"/>
                <w:szCs w:val="21"/>
              </w:rPr>
              <w:t>46000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3×40t/h，110/70℃热水锅炉，采暖季运行，供本矿井（含选煤厂）及辅助企业中心区使用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sz w:val="21"/>
                <w:szCs w:val="21"/>
              </w:rPr>
            </w:pPr>
            <w:r>
              <w:rPr>
                <w:rFonts w:ascii="Times New Roman" w:hAnsi="Times New Roman"/>
                <w:sz w:val="21"/>
                <w:szCs w:val="21"/>
              </w:rPr>
              <w:t>非采暖季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eastAsia="汉鼎简书宋"/>
                <w:sz w:val="21"/>
                <w:szCs w:val="21"/>
              </w:rPr>
              <w:t>8.0Mt/a</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eastAsia="汉鼎简书宋"/>
                <w:sz w:val="21"/>
                <w:szCs w:val="21"/>
              </w:rPr>
              <w:t>4200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left"/>
              <w:rPr>
                <w:rFonts w:ascii="Times New Roman" w:hAnsi="Times New Roman"/>
                <w:sz w:val="21"/>
                <w:szCs w:val="21"/>
              </w:rPr>
            </w:pPr>
            <w:r>
              <w:rPr>
                <w:rFonts w:ascii="Times New Roman" w:hAnsi="Times New Roman"/>
                <w:sz w:val="21"/>
                <w:szCs w:val="21"/>
              </w:rPr>
              <w:t>水源热泵：总供热量4.5MW，常年运行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4</w:t>
            </w: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rPr>
                <w:rFonts w:ascii="Times New Roman" w:hAnsi="Times New Roman"/>
                <w:sz w:val="21"/>
                <w:szCs w:val="21"/>
              </w:rPr>
            </w:pPr>
            <w:r>
              <w:rPr>
                <w:rFonts w:ascii="Times New Roman" w:hAnsi="Times New Roman"/>
                <w:sz w:val="21"/>
                <w:szCs w:val="21"/>
              </w:rPr>
              <w:t>纳林希里矿井及选煤厂</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sz w:val="21"/>
                <w:szCs w:val="21"/>
              </w:rPr>
            </w:pPr>
            <w:r>
              <w:rPr>
                <w:rFonts w:ascii="Times New Roman" w:hAnsi="Times New Roman"/>
                <w:sz w:val="21"/>
                <w:szCs w:val="21"/>
              </w:rPr>
              <w:t>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8.0Mt/a</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46000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2×40t/h，110/70℃热水锅炉，采暖季运行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sz w:val="21"/>
                <w:szCs w:val="21"/>
              </w:rPr>
            </w:pPr>
            <w:r>
              <w:rPr>
                <w:rFonts w:ascii="Times New Roman" w:hAnsi="Times New Roman"/>
                <w:sz w:val="21"/>
                <w:szCs w:val="21"/>
              </w:rPr>
              <w:t>非采暖季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8.0Mt/a</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4200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left"/>
              <w:rPr>
                <w:rFonts w:ascii="Times New Roman" w:hAnsi="Times New Roman"/>
                <w:sz w:val="21"/>
                <w:szCs w:val="21"/>
              </w:rPr>
            </w:pPr>
            <w:r>
              <w:rPr>
                <w:rFonts w:ascii="Times New Roman" w:hAnsi="Times New Roman"/>
                <w:sz w:val="21"/>
                <w:szCs w:val="21"/>
              </w:rPr>
              <w:t>水源热泵：总供热量4.5MW，常年运行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二</w:t>
            </w: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rPr>
                <w:rFonts w:ascii="Times New Roman" w:hAnsi="Times New Roman"/>
                <w:sz w:val="21"/>
                <w:szCs w:val="21"/>
              </w:rPr>
            </w:pPr>
            <w:r>
              <w:rPr>
                <w:rFonts w:ascii="Times New Roman" w:hAnsi="Times New Roman"/>
                <w:b/>
                <w:bCs/>
                <w:sz w:val="21"/>
                <w:szCs w:val="21"/>
              </w:rPr>
              <w:t>辅助企业中心区</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b/>
                <w:bCs/>
                <w:sz w:val="21"/>
                <w:szCs w:val="21"/>
              </w:rPr>
            </w:pPr>
            <w:r>
              <w:rPr>
                <w:rFonts w:ascii="Times New Roman" w:hAnsi="Times New Roman"/>
                <w:sz w:val="21"/>
                <w:szCs w:val="21"/>
              </w:rPr>
              <w:t>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12000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left"/>
              <w:rPr>
                <w:rFonts w:ascii="Times New Roman" w:hAnsi="Times New Roman"/>
                <w:sz w:val="21"/>
                <w:szCs w:val="21"/>
              </w:rPr>
            </w:pPr>
            <w:r>
              <w:rPr>
                <w:rFonts w:ascii="Times New Roman" w:hAnsi="Times New Roman"/>
                <w:sz w:val="21"/>
                <w:szCs w:val="21"/>
              </w:rPr>
              <w:t>热源来自壕赖苏矿井锅炉房，中心区内设换热站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234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right"/>
              <w:rPr>
                <w:rFonts w:ascii="Times New Roman" w:hAnsi="Times New Roman"/>
                <w:b/>
                <w:bCs/>
                <w:sz w:val="21"/>
                <w:szCs w:val="21"/>
              </w:rPr>
            </w:pPr>
            <w:r>
              <w:rPr>
                <w:rFonts w:ascii="Times New Roman" w:hAnsi="Times New Roman"/>
                <w:sz w:val="21"/>
                <w:szCs w:val="21"/>
              </w:rPr>
              <w:t>非采暖季</w:t>
            </w:r>
          </w:p>
        </w:tc>
        <w:tc>
          <w:tcPr>
            <w:tcW w:w="135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3000</w:t>
            </w:r>
          </w:p>
        </w:tc>
        <w:tc>
          <w:tcPr>
            <w:tcW w:w="39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exact"/>
              <w:jc w:val="left"/>
              <w:rPr>
                <w:rFonts w:ascii="Times New Roman" w:hAnsi="Times New Roman"/>
                <w:sz w:val="21"/>
                <w:szCs w:val="21"/>
              </w:rPr>
            </w:pPr>
            <w:r>
              <w:rPr>
                <w:rFonts w:ascii="Times New Roman" w:hAnsi="Times New Roman"/>
                <w:sz w:val="21"/>
                <w:szCs w:val="21"/>
              </w:rPr>
              <w:t>空气源热泵：总供热量3.5MW</w:t>
            </w:r>
          </w:p>
        </w:tc>
      </w:tr>
    </w:tbl>
    <w:p>
      <w:pPr>
        <w:pStyle w:val="5"/>
        <w:spacing w:before="120" w:after="120" w:line="440" w:lineRule="exact"/>
        <w:rPr>
          <w:sz w:val="24"/>
        </w:rPr>
      </w:pPr>
      <w:r>
        <w:rPr>
          <w:sz w:val="24"/>
        </w:rPr>
        <w:t>2.1.11矿区给、排水规划</w:t>
      </w:r>
    </w:p>
    <w:p>
      <w:pPr>
        <w:keepNext/>
        <w:keepLines/>
        <w:spacing w:line="440" w:lineRule="exact"/>
        <w:outlineLvl w:val="3"/>
        <w:rPr>
          <w:rFonts w:ascii="Times New Roman" w:hAnsi="Times New Roman"/>
          <w:b/>
        </w:rPr>
      </w:pPr>
      <w:r>
        <w:rPr>
          <w:rFonts w:ascii="Times New Roman" w:hAnsi="Times New Roman"/>
          <w:b/>
        </w:rPr>
        <w:t>2.1.11.1矿区规划用水量</w:t>
      </w:r>
    </w:p>
    <w:p>
      <w:pPr>
        <w:pStyle w:val="428"/>
        <w:spacing w:line="440" w:lineRule="exact"/>
        <w:ind w:firstLine="480"/>
        <w:rPr>
          <w:rFonts w:ascii="Times New Roman" w:hAnsi="Times New Roman" w:eastAsia="宋体" w:cs="Times New Roman"/>
          <w:snapToGrid w:val="0"/>
        </w:rPr>
      </w:pPr>
      <w:r>
        <w:rPr>
          <w:rFonts w:ascii="Times New Roman" w:hAnsi="Times New Roman" w:eastAsia="宋体" w:cs="Times New Roman"/>
        </w:rPr>
        <w:t>规划至矿区达产年，矿区工业总需水量为28058m</w:t>
      </w:r>
      <w:r>
        <w:rPr>
          <w:rFonts w:ascii="Times New Roman" w:hAnsi="Times New Roman" w:eastAsia="宋体" w:cs="Times New Roman"/>
          <w:vertAlign w:val="superscript"/>
        </w:rPr>
        <w:t>3</w:t>
      </w:r>
      <w:r>
        <w:rPr>
          <w:rFonts w:ascii="Times New Roman" w:hAnsi="Times New Roman" w:eastAsia="宋体" w:cs="Times New Roman"/>
        </w:rPr>
        <w:t>/d。其中规划矿井4个，用水量为576</w:t>
      </w:r>
      <w:r>
        <w:rPr>
          <w:rFonts w:ascii="Times New Roman" w:hAnsi="Times New Roman" w:eastAsia="宋体" w:cs="Times New Roman"/>
          <w:lang w:val="zh-CN"/>
        </w:rPr>
        <w:t>万m</w:t>
      </w:r>
      <w:r>
        <w:rPr>
          <w:rFonts w:ascii="Times New Roman" w:hAnsi="Times New Roman" w:eastAsia="宋体" w:cs="Times New Roman"/>
          <w:vertAlign w:val="superscript"/>
          <w:lang w:val="zh-CN"/>
        </w:rPr>
        <w:t>3</w:t>
      </w:r>
      <w:r>
        <w:rPr>
          <w:rFonts w:ascii="Times New Roman" w:hAnsi="Times New Roman" w:eastAsia="宋体" w:cs="Times New Roman"/>
          <w:lang w:val="zh-CN"/>
        </w:rPr>
        <w:t>/a（</w:t>
      </w:r>
      <w:r>
        <w:rPr>
          <w:rFonts w:ascii="Times New Roman" w:hAnsi="Times New Roman" w:eastAsia="宋体" w:cs="Times New Roman"/>
        </w:rPr>
        <w:t>17456m</w:t>
      </w:r>
      <w:r>
        <w:rPr>
          <w:rFonts w:ascii="Times New Roman" w:hAnsi="Times New Roman" w:eastAsia="宋体" w:cs="Times New Roman"/>
          <w:vertAlign w:val="superscript"/>
        </w:rPr>
        <w:t>3</w:t>
      </w:r>
      <w:r>
        <w:rPr>
          <w:rFonts w:ascii="Times New Roman" w:hAnsi="Times New Roman" w:eastAsia="宋体" w:cs="Times New Roman"/>
        </w:rPr>
        <w:t>/d）；规划选煤厂4个，用水量为256</w:t>
      </w:r>
      <w:r>
        <w:rPr>
          <w:rFonts w:ascii="Times New Roman" w:hAnsi="Times New Roman" w:eastAsia="宋体" w:cs="Times New Roman"/>
          <w:lang w:val="zh-CN"/>
        </w:rPr>
        <w:t>万m</w:t>
      </w:r>
      <w:r>
        <w:rPr>
          <w:rFonts w:ascii="Times New Roman" w:hAnsi="Times New Roman" w:eastAsia="宋体" w:cs="Times New Roman"/>
          <w:vertAlign w:val="superscript"/>
          <w:lang w:val="zh-CN"/>
        </w:rPr>
        <w:t>3</w:t>
      </w:r>
      <w:r>
        <w:rPr>
          <w:rFonts w:ascii="Times New Roman" w:hAnsi="Times New Roman" w:eastAsia="宋体" w:cs="Times New Roman"/>
          <w:lang w:val="zh-CN"/>
        </w:rPr>
        <w:t>/a（</w:t>
      </w:r>
      <w:r>
        <w:rPr>
          <w:rFonts w:ascii="Times New Roman" w:hAnsi="Times New Roman" w:eastAsia="宋体" w:cs="Times New Roman"/>
        </w:rPr>
        <w:t>7756m</w:t>
      </w:r>
      <w:r>
        <w:rPr>
          <w:rFonts w:ascii="Times New Roman" w:hAnsi="Times New Roman" w:eastAsia="宋体" w:cs="Times New Roman"/>
          <w:vertAlign w:val="superscript"/>
        </w:rPr>
        <w:t>3</w:t>
      </w:r>
      <w:r>
        <w:rPr>
          <w:rFonts w:ascii="Times New Roman" w:hAnsi="Times New Roman" w:eastAsia="宋体" w:cs="Times New Roman"/>
        </w:rPr>
        <w:t>/d）；矿区附属辅助及综合利用企业7个，用水量为93.9</w:t>
      </w:r>
      <w:r>
        <w:rPr>
          <w:rFonts w:ascii="Times New Roman" w:hAnsi="Times New Roman" w:eastAsia="宋体" w:cs="Times New Roman"/>
          <w:lang w:val="zh-CN"/>
        </w:rPr>
        <w:t>万m</w:t>
      </w:r>
      <w:r>
        <w:rPr>
          <w:rFonts w:ascii="Times New Roman" w:hAnsi="Times New Roman" w:eastAsia="宋体" w:cs="Times New Roman"/>
          <w:vertAlign w:val="superscript"/>
          <w:lang w:val="zh-CN"/>
        </w:rPr>
        <w:t>3</w:t>
      </w:r>
      <w:r>
        <w:rPr>
          <w:rFonts w:ascii="Times New Roman" w:hAnsi="Times New Roman" w:eastAsia="宋体" w:cs="Times New Roman"/>
          <w:lang w:val="zh-CN"/>
        </w:rPr>
        <w:t>/a（</w:t>
      </w:r>
      <w:r>
        <w:rPr>
          <w:rFonts w:ascii="Times New Roman" w:hAnsi="Times New Roman" w:eastAsia="宋体" w:cs="Times New Roman"/>
        </w:rPr>
        <w:t>2846m</w:t>
      </w:r>
      <w:r>
        <w:rPr>
          <w:rFonts w:ascii="Times New Roman" w:hAnsi="Times New Roman" w:eastAsia="宋体" w:cs="Times New Roman"/>
          <w:vertAlign w:val="superscript"/>
        </w:rPr>
        <w:t>3</w:t>
      </w:r>
      <w:r>
        <w:rPr>
          <w:rFonts w:ascii="Times New Roman" w:hAnsi="Times New Roman" w:eastAsia="宋体" w:cs="Times New Roman"/>
        </w:rPr>
        <w:t>/d）。</w:t>
      </w:r>
    </w:p>
    <w:p>
      <w:pPr>
        <w:pStyle w:val="428"/>
        <w:spacing w:line="440" w:lineRule="exact"/>
        <w:ind w:firstLine="480"/>
        <w:rPr>
          <w:rFonts w:ascii="Times New Roman" w:hAnsi="Times New Roman" w:eastAsia="宋体" w:cs="Times New Roman"/>
          <w:snapToGrid w:val="0"/>
        </w:rPr>
      </w:pPr>
      <w:r>
        <w:rPr>
          <w:rFonts w:ascii="Times New Roman" w:hAnsi="Times New Roman" w:eastAsia="宋体" w:cs="Times New Roman"/>
          <w:snapToGrid w:val="0"/>
        </w:rPr>
        <w:t>各项目用水量情况详见表2.1-11。</w:t>
      </w:r>
    </w:p>
    <w:p>
      <w:pPr>
        <w:adjustRightInd w:val="0"/>
        <w:snapToGrid w:val="0"/>
        <w:spacing w:line="440" w:lineRule="exact"/>
        <w:jc w:val="center"/>
        <w:rPr>
          <w:rFonts w:ascii="Times New Roman" w:hAnsi="Times New Roman"/>
          <w:b/>
          <w:szCs w:val="24"/>
        </w:rPr>
      </w:pPr>
      <w:r>
        <w:rPr>
          <w:rFonts w:ascii="Times New Roman" w:hAnsi="Times New Roman"/>
          <w:b/>
          <w:szCs w:val="24"/>
        </w:rPr>
        <w:t>纳林希里矿区规划总用水量表</w:t>
      </w:r>
    </w:p>
    <w:p>
      <w:pPr>
        <w:adjustRightInd w:val="0"/>
        <w:snapToGrid w:val="0"/>
        <w:spacing w:line="440" w:lineRule="exact"/>
        <w:rPr>
          <w:rFonts w:ascii="Times New Roman" w:hAnsi="Times New Roman"/>
          <w:bCs/>
          <w:szCs w:val="24"/>
        </w:rPr>
      </w:pPr>
      <w:r>
        <w:rPr>
          <w:rFonts w:ascii="Times New Roman" w:hAnsi="Times New Roman"/>
          <w:bCs/>
          <w:szCs w:val="24"/>
        </w:rPr>
        <w:t>表2.1-11</w:t>
      </w:r>
    </w:p>
    <w:tbl>
      <w:tblPr>
        <w:tblStyle w:val="59"/>
        <w:tblW w:w="9286"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841"/>
        <w:gridCol w:w="3867"/>
        <w:gridCol w:w="1380"/>
        <w:gridCol w:w="3198"/>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41" w:type="dxa"/>
            <w:tcBorders>
              <w:top w:val="single" w:color="auto" w:sz="4" w:space="0"/>
              <w:left w:val="single" w:color="auto" w:sz="4" w:space="0"/>
              <w:bottom w:val="single" w:color="auto" w:sz="6" w:space="0"/>
              <w:right w:val="single" w:color="auto" w:sz="6" w:space="0"/>
            </w:tcBorders>
            <w:vAlign w:val="center"/>
          </w:tcPr>
          <w:p>
            <w:pPr>
              <w:autoSpaceDE w:val="0"/>
              <w:autoSpaceDN w:val="0"/>
              <w:adjustRightInd w:val="0"/>
              <w:ind w:left="-480" w:leftChars="-200" w:firstLine="420" w:firstLineChars="200"/>
              <w:jc w:val="center"/>
              <w:rPr>
                <w:rFonts w:ascii="Times New Roman" w:hAnsi="Times New Roman"/>
                <w:bCs/>
                <w:sz w:val="21"/>
                <w:szCs w:val="21"/>
                <w:lang w:val="zh-CN"/>
              </w:rPr>
            </w:pPr>
            <w:r>
              <w:rPr>
                <w:rFonts w:ascii="Times New Roman" w:hAnsi="Times New Roman"/>
                <w:bCs/>
                <w:sz w:val="21"/>
                <w:szCs w:val="21"/>
                <w:lang w:val="zh-CN"/>
              </w:rPr>
              <w:t>序号</w:t>
            </w:r>
          </w:p>
        </w:tc>
        <w:tc>
          <w:tcPr>
            <w:tcW w:w="3867" w:type="dxa"/>
            <w:tcBorders>
              <w:top w:val="single" w:color="auto" w:sz="4"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r>
              <w:rPr>
                <w:rFonts w:ascii="Times New Roman" w:hAnsi="Times New Roman"/>
                <w:bCs/>
                <w:sz w:val="21"/>
                <w:szCs w:val="21"/>
                <w:lang w:val="zh-CN"/>
              </w:rPr>
              <w:t>名   称</w:t>
            </w:r>
          </w:p>
        </w:tc>
        <w:tc>
          <w:tcPr>
            <w:tcW w:w="1380" w:type="dxa"/>
            <w:tcBorders>
              <w:top w:val="single" w:color="auto" w:sz="4"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r>
              <w:rPr>
                <w:rFonts w:ascii="Times New Roman" w:hAnsi="Times New Roman"/>
                <w:bCs/>
                <w:sz w:val="21"/>
                <w:szCs w:val="21"/>
                <w:lang w:val="zh-CN"/>
              </w:rPr>
              <w:t>设计规模</w:t>
            </w:r>
          </w:p>
          <w:p>
            <w:pPr>
              <w:autoSpaceDE w:val="0"/>
              <w:autoSpaceDN w:val="0"/>
              <w:adjustRightInd w:val="0"/>
              <w:jc w:val="center"/>
              <w:rPr>
                <w:rFonts w:ascii="Times New Roman" w:hAnsi="Times New Roman"/>
                <w:bCs/>
                <w:sz w:val="21"/>
                <w:szCs w:val="21"/>
              </w:rPr>
            </w:pPr>
            <w:r>
              <w:rPr>
                <w:rFonts w:ascii="Times New Roman" w:hAnsi="Times New Roman"/>
                <w:bCs/>
                <w:sz w:val="21"/>
                <w:szCs w:val="21"/>
                <w:lang w:val="en-GB"/>
              </w:rPr>
              <w:t>（</w:t>
            </w:r>
            <w:r>
              <w:rPr>
                <w:rFonts w:ascii="Times New Roman" w:hAnsi="Times New Roman"/>
                <w:bCs/>
                <w:sz w:val="21"/>
                <w:szCs w:val="21"/>
                <w:lang w:val="zh-CN"/>
              </w:rPr>
              <w:t>万</w:t>
            </w:r>
            <w:r>
              <w:rPr>
                <w:rFonts w:ascii="Times New Roman" w:hAnsi="Times New Roman"/>
                <w:bCs/>
                <w:sz w:val="21"/>
                <w:szCs w:val="21"/>
              </w:rPr>
              <w:t>t/a</w:t>
            </w:r>
            <w:r>
              <w:rPr>
                <w:rFonts w:ascii="Times New Roman" w:hAnsi="Times New Roman"/>
                <w:bCs/>
                <w:sz w:val="21"/>
                <w:szCs w:val="21"/>
                <w:lang w:val="en-GB"/>
              </w:rPr>
              <w:t>）</w:t>
            </w:r>
          </w:p>
        </w:tc>
        <w:tc>
          <w:tcPr>
            <w:tcW w:w="3198" w:type="dxa"/>
            <w:tcBorders>
              <w:top w:val="single" w:color="auto" w:sz="4" w:space="0"/>
              <w:left w:val="single" w:color="auto" w:sz="6" w:space="0"/>
              <w:bottom w:val="single" w:color="auto" w:sz="6" w:space="0"/>
              <w:right w:val="single" w:color="auto" w:sz="4" w:space="0"/>
            </w:tcBorders>
            <w:vAlign w:val="center"/>
          </w:tcPr>
          <w:p>
            <w:pPr>
              <w:autoSpaceDE w:val="0"/>
              <w:autoSpaceDN w:val="0"/>
              <w:adjustRightInd w:val="0"/>
              <w:jc w:val="center"/>
              <w:rPr>
                <w:rFonts w:ascii="Times New Roman" w:hAnsi="Times New Roman"/>
                <w:bCs/>
                <w:sz w:val="21"/>
                <w:szCs w:val="21"/>
              </w:rPr>
            </w:pPr>
            <w:r>
              <w:rPr>
                <w:rFonts w:ascii="Times New Roman" w:hAnsi="Times New Roman"/>
                <w:bCs/>
                <w:sz w:val="21"/>
                <w:szCs w:val="21"/>
                <w:lang w:val="zh-CN"/>
              </w:rPr>
              <w:t>用水量</w:t>
            </w:r>
          </w:p>
          <w:p>
            <w:pPr>
              <w:autoSpaceDE w:val="0"/>
              <w:autoSpaceDN w:val="0"/>
              <w:adjustRightInd w:val="0"/>
              <w:jc w:val="center"/>
              <w:rPr>
                <w:rFonts w:ascii="Times New Roman" w:hAnsi="Times New Roman"/>
                <w:bCs/>
                <w:sz w:val="21"/>
                <w:szCs w:val="21"/>
              </w:rPr>
            </w:pPr>
            <w:r>
              <w:rPr>
                <w:rFonts w:ascii="Times New Roman" w:hAnsi="Times New Roman"/>
                <w:bCs/>
                <w:sz w:val="21"/>
                <w:szCs w:val="21"/>
              </w:rPr>
              <w:t>（m</w:t>
            </w:r>
            <w:r>
              <w:rPr>
                <w:rFonts w:ascii="Times New Roman" w:hAnsi="Times New Roman"/>
                <w:bCs/>
                <w:sz w:val="21"/>
                <w:szCs w:val="21"/>
                <w:vertAlign w:val="superscript"/>
              </w:rPr>
              <w:t>3</w:t>
            </w:r>
            <w:r>
              <w:rPr>
                <w:rFonts w:ascii="Times New Roman" w:hAnsi="Times New Roman"/>
                <w:bCs/>
                <w:sz w:val="21"/>
                <w:szCs w:val="21"/>
              </w:rPr>
              <w:t>/d）</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41" w:type="dxa"/>
            <w:tcBorders>
              <w:top w:val="single" w:color="auto" w:sz="6" w:space="0"/>
              <w:left w:val="single" w:color="auto" w:sz="4"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r>
              <w:rPr>
                <w:rFonts w:ascii="Times New Roman" w:hAnsi="Times New Roman"/>
                <w:bCs/>
                <w:sz w:val="21"/>
                <w:szCs w:val="21"/>
                <w:lang w:val="zh-CN"/>
              </w:rPr>
              <w:t>1</w:t>
            </w:r>
          </w:p>
        </w:tc>
        <w:tc>
          <w:tcPr>
            <w:tcW w:w="3867"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r>
              <w:rPr>
                <w:rFonts w:ascii="Times New Roman" w:hAnsi="Times New Roman"/>
                <w:bCs/>
                <w:sz w:val="21"/>
                <w:szCs w:val="21"/>
                <w:lang w:val="zh-CN"/>
              </w:rPr>
              <w:t>矿井（4个）</w:t>
            </w:r>
          </w:p>
        </w:tc>
        <w:tc>
          <w:tcPr>
            <w:tcW w:w="1380"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rPr>
            </w:pPr>
            <w:r>
              <w:rPr>
                <w:rFonts w:ascii="Times New Roman" w:hAnsi="Times New Roman"/>
                <w:bCs/>
                <w:sz w:val="21"/>
                <w:szCs w:val="21"/>
              </w:rPr>
              <w:t>32</w:t>
            </w:r>
          </w:p>
        </w:tc>
        <w:tc>
          <w:tcPr>
            <w:tcW w:w="3198" w:type="dxa"/>
            <w:tcBorders>
              <w:top w:val="single" w:color="auto" w:sz="6" w:space="0"/>
              <w:left w:val="single" w:color="auto" w:sz="6" w:space="0"/>
              <w:bottom w:val="single" w:color="auto" w:sz="6" w:space="0"/>
              <w:right w:val="single" w:color="auto" w:sz="4" w:space="0"/>
            </w:tcBorders>
            <w:vAlign w:val="center"/>
          </w:tcPr>
          <w:p>
            <w:pPr>
              <w:autoSpaceDE w:val="0"/>
              <w:autoSpaceDN w:val="0"/>
              <w:adjustRightInd w:val="0"/>
              <w:jc w:val="center"/>
              <w:rPr>
                <w:rFonts w:ascii="Times New Roman" w:hAnsi="Times New Roman"/>
                <w:bCs/>
                <w:sz w:val="21"/>
                <w:szCs w:val="21"/>
              </w:rPr>
            </w:pPr>
            <w:r>
              <w:rPr>
                <w:rFonts w:ascii="Times New Roman" w:hAnsi="Times New Roman"/>
                <w:bCs/>
                <w:sz w:val="21"/>
                <w:szCs w:val="21"/>
              </w:rPr>
              <w:t>17456</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41" w:type="dxa"/>
            <w:tcBorders>
              <w:top w:val="single" w:color="auto" w:sz="6" w:space="0"/>
              <w:left w:val="single" w:color="auto" w:sz="4"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r>
              <w:rPr>
                <w:rFonts w:ascii="Times New Roman" w:hAnsi="Times New Roman"/>
                <w:bCs/>
                <w:sz w:val="21"/>
                <w:szCs w:val="21"/>
                <w:lang w:val="zh-CN"/>
              </w:rPr>
              <w:t>2</w:t>
            </w:r>
          </w:p>
        </w:tc>
        <w:tc>
          <w:tcPr>
            <w:tcW w:w="3867"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r>
              <w:rPr>
                <w:rFonts w:ascii="Times New Roman" w:hAnsi="Times New Roman"/>
                <w:bCs/>
                <w:sz w:val="21"/>
                <w:szCs w:val="21"/>
                <w:lang w:val="zh-CN"/>
              </w:rPr>
              <w:t>洗煤厂（4个）</w:t>
            </w:r>
          </w:p>
        </w:tc>
        <w:tc>
          <w:tcPr>
            <w:tcW w:w="1380"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rPr>
            </w:pPr>
            <w:r>
              <w:rPr>
                <w:rFonts w:ascii="Times New Roman" w:hAnsi="Times New Roman"/>
                <w:bCs/>
                <w:sz w:val="21"/>
                <w:szCs w:val="21"/>
              </w:rPr>
              <w:t>32</w:t>
            </w:r>
          </w:p>
        </w:tc>
        <w:tc>
          <w:tcPr>
            <w:tcW w:w="3198" w:type="dxa"/>
            <w:tcBorders>
              <w:top w:val="single" w:color="auto" w:sz="6" w:space="0"/>
              <w:left w:val="single" w:color="auto" w:sz="6" w:space="0"/>
              <w:bottom w:val="single" w:color="auto" w:sz="6" w:space="0"/>
              <w:right w:val="single" w:color="auto" w:sz="4" w:space="0"/>
            </w:tcBorders>
            <w:vAlign w:val="center"/>
          </w:tcPr>
          <w:p>
            <w:pPr>
              <w:autoSpaceDE w:val="0"/>
              <w:autoSpaceDN w:val="0"/>
              <w:adjustRightInd w:val="0"/>
              <w:jc w:val="center"/>
              <w:rPr>
                <w:rFonts w:ascii="Times New Roman" w:hAnsi="Times New Roman"/>
                <w:bCs/>
                <w:sz w:val="21"/>
                <w:szCs w:val="21"/>
              </w:rPr>
            </w:pPr>
            <w:r>
              <w:rPr>
                <w:rFonts w:ascii="Times New Roman" w:hAnsi="Times New Roman"/>
                <w:bCs/>
                <w:sz w:val="21"/>
                <w:szCs w:val="21"/>
              </w:rPr>
              <w:t>7756</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41" w:type="dxa"/>
            <w:tcBorders>
              <w:top w:val="single" w:color="auto" w:sz="6" w:space="0"/>
              <w:left w:val="single" w:color="auto" w:sz="4"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r>
              <w:rPr>
                <w:rFonts w:ascii="Times New Roman" w:hAnsi="Times New Roman"/>
                <w:bCs/>
                <w:sz w:val="21"/>
                <w:szCs w:val="21"/>
                <w:lang w:val="zh-CN"/>
              </w:rPr>
              <w:t>3</w:t>
            </w:r>
          </w:p>
        </w:tc>
        <w:tc>
          <w:tcPr>
            <w:tcW w:w="3867"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r>
              <w:rPr>
                <w:rFonts w:ascii="Times New Roman" w:hAnsi="Times New Roman"/>
                <w:bCs/>
                <w:sz w:val="21"/>
                <w:szCs w:val="21"/>
                <w:lang w:val="zh-CN"/>
              </w:rPr>
              <w:t>附属、辅助及综合利用企业（</w:t>
            </w:r>
            <w:r>
              <w:rPr>
                <w:rFonts w:ascii="Times New Roman" w:hAnsi="Times New Roman"/>
                <w:bCs/>
                <w:sz w:val="21"/>
                <w:szCs w:val="21"/>
              </w:rPr>
              <w:t>7</w:t>
            </w:r>
            <w:r>
              <w:rPr>
                <w:rFonts w:ascii="Times New Roman" w:hAnsi="Times New Roman"/>
                <w:bCs/>
                <w:sz w:val="21"/>
                <w:szCs w:val="21"/>
                <w:lang w:val="zh-CN"/>
              </w:rPr>
              <w:t>个）</w:t>
            </w:r>
          </w:p>
        </w:tc>
        <w:tc>
          <w:tcPr>
            <w:tcW w:w="1380"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bCs/>
                <w:sz w:val="21"/>
                <w:szCs w:val="21"/>
              </w:rPr>
            </w:pPr>
            <w:r>
              <w:rPr>
                <w:rFonts w:ascii="Times New Roman" w:hAnsi="Times New Roman"/>
                <w:bCs/>
                <w:sz w:val="21"/>
                <w:szCs w:val="21"/>
              </w:rPr>
              <w:t>/</w:t>
            </w:r>
          </w:p>
        </w:tc>
        <w:tc>
          <w:tcPr>
            <w:tcW w:w="3198" w:type="dxa"/>
            <w:tcBorders>
              <w:top w:val="single" w:color="auto" w:sz="6" w:space="0"/>
              <w:left w:val="single" w:color="auto" w:sz="6" w:space="0"/>
              <w:bottom w:val="single" w:color="auto" w:sz="6" w:space="0"/>
              <w:right w:val="single" w:color="auto" w:sz="4" w:space="0"/>
            </w:tcBorders>
            <w:vAlign w:val="center"/>
          </w:tcPr>
          <w:p>
            <w:pPr>
              <w:autoSpaceDE w:val="0"/>
              <w:autoSpaceDN w:val="0"/>
              <w:adjustRightInd w:val="0"/>
              <w:jc w:val="center"/>
              <w:rPr>
                <w:rFonts w:ascii="Times New Roman" w:hAnsi="Times New Roman"/>
                <w:bCs/>
                <w:sz w:val="21"/>
                <w:szCs w:val="21"/>
              </w:rPr>
            </w:pPr>
            <w:r>
              <w:rPr>
                <w:rFonts w:ascii="Times New Roman" w:hAnsi="Times New Roman"/>
                <w:bCs/>
                <w:sz w:val="21"/>
                <w:szCs w:val="21"/>
              </w:rPr>
              <w:t>2846</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41" w:type="dxa"/>
            <w:tcBorders>
              <w:top w:val="single" w:color="auto" w:sz="6" w:space="0"/>
              <w:left w:val="single" w:color="auto" w:sz="4" w:space="0"/>
              <w:bottom w:val="single" w:color="auto" w:sz="4"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p>
        </w:tc>
        <w:tc>
          <w:tcPr>
            <w:tcW w:w="3867" w:type="dxa"/>
            <w:tcBorders>
              <w:top w:val="single" w:color="auto" w:sz="6" w:space="0"/>
              <w:left w:val="single" w:color="auto" w:sz="6" w:space="0"/>
              <w:bottom w:val="single" w:color="auto" w:sz="4" w:space="0"/>
              <w:right w:val="single" w:color="auto" w:sz="6" w:space="0"/>
            </w:tcBorders>
            <w:vAlign w:val="center"/>
          </w:tcPr>
          <w:p>
            <w:pPr>
              <w:autoSpaceDE w:val="0"/>
              <w:autoSpaceDN w:val="0"/>
              <w:adjustRightInd w:val="0"/>
              <w:jc w:val="center"/>
              <w:rPr>
                <w:rFonts w:ascii="Times New Roman" w:hAnsi="Times New Roman"/>
                <w:bCs/>
                <w:sz w:val="21"/>
                <w:szCs w:val="21"/>
                <w:lang w:val="zh-CN"/>
              </w:rPr>
            </w:pPr>
            <w:r>
              <w:rPr>
                <w:rFonts w:ascii="Times New Roman" w:hAnsi="Times New Roman"/>
                <w:bCs/>
                <w:sz w:val="21"/>
                <w:szCs w:val="21"/>
                <w:lang w:val="zh-CN"/>
              </w:rPr>
              <w:t>合计</w:t>
            </w:r>
          </w:p>
        </w:tc>
        <w:tc>
          <w:tcPr>
            <w:tcW w:w="1380" w:type="dxa"/>
            <w:tcBorders>
              <w:top w:val="single" w:color="auto" w:sz="6" w:space="0"/>
              <w:left w:val="single" w:color="auto" w:sz="6" w:space="0"/>
              <w:bottom w:val="single" w:color="auto" w:sz="4" w:space="0"/>
              <w:right w:val="single" w:color="auto" w:sz="6" w:space="0"/>
            </w:tcBorders>
            <w:vAlign w:val="center"/>
          </w:tcPr>
          <w:p>
            <w:pPr>
              <w:autoSpaceDE w:val="0"/>
              <w:autoSpaceDN w:val="0"/>
              <w:adjustRightInd w:val="0"/>
              <w:jc w:val="center"/>
              <w:rPr>
                <w:rFonts w:ascii="Times New Roman" w:hAnsi="Times New Roman"/>
                <w:bCs/>
                <w:sz w:val="21"/>
                <w:szCs w:val="21"/>
              </w:rPr>
            </w:pPr>
            <w:r>
              <w:rPr>
                <w:rFonts w:ascii="Times New Roman" w:hAnsi="Times New Roman"/>
                <w:bCs/>
                <w:sz w:val="21"/>
                <w:szCs w:val="21"/>
              </w:rPr>
              <w:t>/</w:t>
            </w:r>
          </w:p>
        </w:tc>
        <w:tc>
          <w:tcPr>
            <w:tcW w:w="3198" w:type="dxa"/>
            <w:tcBorders>
              <w:top w:val="single" w:color="auto" w:sz="6" w:space="0"/>
              <w:left w:val="single" w:color="auto" w:sz="6" w:space="0"/>
              <w:bottom w:val="single" w:color="auto" w:sz="4" w:space="0"/>
              <w:right w:val="single" w:color="auto" w:sz="4" w:space="0"/>
            </w:tcBorders>
            <w:vAlign w:val="center"/>
          </w:tcPr>
          <w:p>
            <w:pPr>
              <w:autoSpaceDE w:val="0"/>
              <w:autoSpaceDN w:val="0"/>
              <w:adjustRightInd w:val="0"/>
              <w:jc w:val="center"/>
              <w:rPr>
                <w:rFonts w:ascii="Times New Roman" w:hAnsi="Times New Roman"/>
                <w:bCs/>
                <w:sz w:val="21"/>
                <w:szCs w:val="21"/>
              </w:rPr>
            </w:pPr>
            <w:r>
              <w:rPr>
                <w:rFonts w:ascii="Times New Roman" w:hAnsi="Times New Roman"/>
                <w:bCs/>
                <w:sz w:val="21"/>
                <w:szCs w:val="21"/>
              </w:rPr>
              <w:t>28058</w:t>
            </w:r>
          </w:p>
        </w:tc>
      </w:tr>
    </w:tbl>
    <w:p>
      <w:pPr>
        <w:keepNext/>
        <w:keepLines/>
        <w:spacing w:before="120" w:beforeLines="50" w:line="440" w:lineRule="exact"/>
        <w:outlineLvl w:val="3"/>
        <w:rPr>
          <w:rFonts w:ascii="Times New Roman" w:hAnsi="Times New Roman"/>
          <w:b/>
        </w:rPr>
      </w:pPr>
      <w:r>
        <w:rPr>
          <w:rFonts w:ascii="Times New Roman" w:hAnsi="Times New Roman"/>
          <w:b/>
        </w:rPr>
        <w:t>2.1.11.2供水规划</w:t>
      </w:r>
    </w:p>
    <w:p>
      <w:pPr>
        <w:pStyle w:val="428"/>
        <w:numPr>
          <w:ilvl w:val="0"/>
          <w:numId w:val="12"/>
        </w:numPr>
        <w:spacing w:line="440" w:lineRule="exact"/>
        <w:ind w:firstLine="480"/>
        <w:rPr>
          <w:rFonts w:ascii="Times New Roman" w:hAnsi="Times New Roman" w:eastAsia="宋体" w:cs="Times New Roman"/>
        </w:rPr>
      </w:pPr>
      <w:r>
        <w:rPr>
          <w:rFonts w:ascii="Times New Roman" w:hAnsi="Times New Roman" w:eastAsia="宋体" w:cs="Times New Roman"/>
        </w:rPr>
        <w:t>井下排水复用</w:t>
      </w:r>
    </w:p>
    <w:p>
      <w:pPr>
        <w:pStyle w:val="428"/>
        <w:spacing w:line="440" w:lineRule="exact"/>
        <w:ind w:firstLine="480"/>
        <w:rPr>
          <w:rFonts w:ascii="Times New Roman" w:hAnsi="Times New Roman" w:eastAsia="宋体" w:cs="Times New Roman"/>
          <w:snapToGrid w:val="0"/>
        </w:rPr>
      </w:pPr>
      <w:r>
        <w:rPr>
          <w:rFonts w:ascii="Times New Roman" w:hAnsi="Times New Roman" w:eastAsia="宋体" w:cs="Times New Roman"/>
          <w:snapToGrid w:val="0"/>
        </w:rPr>
        <w:t>矿区达产时矿井正常涌水量3300m</w:t>
      </w:r>
      <w:r>
        <w:rPr>
          <w:rFonts w:ascii="Times New Roman" w:hAnsi="Times New Roman" w:eastAsia="宋体" w:cs="Times New Roman"/>
          <w:snapToGrid w:val="0"/>
          <w:vertAlign w:val="superscript"/>
        </w:rPr>
        <w:t>3</w:t>
      </w:r>
      <w:r>
        <w:rPr>
          <w:rFonts w:ascii="Times New Roman" w:hAnsi="Times New Roman" w:eastAsia="宋体" w:cs="Times New Roman"/>
          <w:snapToGrid w:val="0"/>
        </w:rPr>
        <w:t>/h，年正常涌水量2613.6×10</w:t>
      </w:r>
      <w:r>
        <w:rPr>
          <w:rFonts w:ascii="Times New Roman" w:hAnsi="Times New Roman" w:eastAsia="宋体" w:cs="Times New Roman"/>
          <w:snapToGrid w:val="0"/>
          <w:vertAlign w:val="superscript"/>
        </w:rPr>
        <w:t>4</w:t>
      </w:r>
      <w:r>
        <w:rPr>
          <w:rFonts w:ascii="Times New Roman" w:hAnsi="Times New Roman" w:eastAsia="宋体" w:cs="Times New Roman"/>
          <w:snapToGrid w:val="0"/>
        </w:rPr>
        <w:t>m</w:t>
      </w:r>
      <w:r>
        <w:rPr>
          <w:rFonts w:ascii="Times New Roman" w:hAnsi="Times New Roman" w:eastAsia="宋体" w:cs="Times New Roman"/>
          <w:snapToGrid w:val="0"/>
          <w:vertAlign w:val="superscript"/>
        </w:rPr>
        <w:t>3</w:t>
      </w:r>
      <w:r>
        <w:rPr>
          <w:rFonts w:ascii="Times New Roman" w:hAnsi="Times New Roman" w:eastAsia="宋体" w:cs="Times New Roman"/>
          <w:snapToGrid w:val="0"/>
        </w:rPr>
        <w:t>/a（330天计）。</w:t>
      </w:r>
    </w:p>
    <w:p>
      <w:pPr>
        <w:pStyle w:val="428"/>
        <w:spacing w:line="440" w:lineRule="exact"/>
        <w:ind w:firstLine="480"/>
        <w:rPr>
          <w:rFonts w:ascii="Times New Roman" w:hAnsi="Times New Roman" w:eastAsia="宋体" w:cs="Times New Roman"/>
          <w:snapToGrid w:val="0"/>
          <w:lang w:val="zh-CN"/>
        </w:rPr>
      </w:pPr>
      <w:r>
        <w:rPr>
          <w:rFonts w:ascii="Times New Roman" w:hAnsi="Times New Roman" w:eastAsia="宋体" w:cs="Times New Roman"/>
          <w:bCs w:val="0"/>
          <w:snapToGrid w:val="0"/>
        </w:rPr>
        <w:t>矿井排水作为供水水源，考虑井下排水的不确定因素，回用量按矿井正常涌水量的70%计。</w:t>
      </w:r>
      <w:r>
        <w:rPr>
          <w:rFonts w:ascii="Times New Roman" w:hAnsi="Times New Roman" w:eastAsia="宋体" w:cs="Times New Roman"/>
          <w:bCs w:val="0"/>
          <w:snapToGrid w:val="0"/>
          <w:lang w:val="zh-CN"/>
        </w:rPr>
        <w:t>矿区达到规划设计规模时井下排水可复用量总计</w:t>
      </w:r>
      <w:r>
        <w:rPr>
          <w:rFonts w:ascii="Times New Roman" w:hAnsi="Times New Roman" w:eastAsia="宋体" w:cs="Times New Roman"/>
          <w:bCs w:val="0"/>
          <w:snapToGrid w:val="0"/>
        </w:rPr>
        <w:t>55440</w:t>
      </w:r>
      <w:r>
        <w:rPr>
          <w:rFonts w:ascii="Times New Roman" w:hAnsi="Times New Roman" w:eastAsia="宋体" w:cs="Times New Roman"/>
          <w:bCs w:val="0"/>
          <w:snapToGrid w:val="0"/>
          <w:lang w:val="zh-CN"/>
        </w:rPr>
        <w:t>m</w:t>
      </w:r>
      <w:r>
        <w:rPr>
          <w:rFonts w:ascii="Times New Roman" w:hAnsi="Times New Roman" w:eastAsia="宋体" w:cs="Times New Roman"/>
          <w:bCs w:val="0"/>
          <w:snapToGrid w:val="0"/>
          <w:vertAlign w:val="superscript"/>
          <w:lang w:val="zh-CN"/>
        </w:rPr>
        <w:t>3</w:t>
      </w:r>
      <w:r>
        <w:rPr>
          <w:rFonts w:ascii="Times New Roman" w:hAnsi="Times New Roman" w:eastAsia="宋体" w:cs="Times New Roman"/>
          <w:bCs w:val="0"/>
          <w:snapToGrid w:val="0"/>
          <w:lang w:val="zh-CN"/>
        </w:rPr>
        <w:t>/d，经处理后主要用于井下消防洒水、选煤厂洗煤用水、防火灌浆用水等。</w:t>
      </w:r>
      <w:r>
        <w:rPr>
          <w:rFonts w:ascii="Times New Roman" w:hAnsi="Times New Roman" w:eastAsia="宋体" w:cs="Times New Roman"/>
          <w:bCs w:val="0"/>
          <w:snapToGrid w:val="0"/>
        </w:rPr>
        <w:t>达产后井下排水经深度处理后，用于矿井生活用水。</w:t>
      </w:r>
    </w:p>
    <w:p>
      <w:pPr>
        <w:pStyle w:val="428"/>
        <w:numPr>
          <w:ilvl w:val="0"/>
          <w:numId w:val="12"/>
        </w:numPr>
        <w:spacing w:line="440" w:lineRule="exact"/>
        <w:ind w:firstLine="480"/>
        <w:rPr>
          <w:rFonts w:ascii="Times New Roman" w:hAnsi="Times New Roman" w:eastAsia="宋体" w:cs="Times New Roman"/>
        </w:rPr>
      </w:pPr>
      <w:r>
        <w:rPr>
          <w:rFonts w:ascii="Times New Roman" w:hAnsi="Times New Roman" w:eastAsia="宋体" w:cs="Times New Roman"/>
        </w:rPr>
        <w:t>生产、生活污废水复用</w:t>
      </w:r>
    </w:p>
    <w:p>
      <w:pPr>
        <w:autoSpaceDE w:val="0"/>
        <w:autoSpaceDN w:val="0"/>
        <w:adjustRightInd w:val="0"/>
        <w:snapToGrid w:val="0"/>
        <w:spacing w:line="500" w:lineRule="exact"/>
        <w:ind w:firstLine="480" w:firstLineChars="200"/>
        <w:rPr>
          <w:rFonts w:ascii="Times New Roman" w:hAnsi="Times New Roman"/>
          <w:bCs/>
          <w:snapToGrid w:val="0"/>
          <w:kern w:val="24"/>
          <w:szCs w:val="24"/>
          <w:lang w:val="zh-CN"/>
        </w:rPr>
      </w:pPr>
      <w:r>
        <w:rPr>
          <w:rFonts w:ascii="Times New Roman" w:hAnsi="Times New Roman"/>
          <w:bCs/>
          <w:snapToGrid w:val="0"/>
          <w:kern w:val="24"/>
          <w:szCs w:val="24"/>
          <w:lang w:val="zh-CN"/>
        </w:rPr>
        <w:t>达产年矿区生产、生活污废水</w:t>
      </w:r>
      <w:r>
        <w:rPr>
          <w:rFonts w:ascii="Times New Roman" w:hAnsi="Times New Roman"/>
          <w:bCs/>
          <w:snapToGrid w:val="0"/>
          <w:kern w:val="24"/>
          <w:szCs w:val="24"/>
        </w:rPr>
        <w:t>产生量为4370</w:t>
      </w:r>
      <w:r>
        <w:rPr>
          <w:rFonts w:ascii="Times New Roman" w:hAnsi="Times New Roman"/>
          <w:bCs/>
          <w:snapToGrid w:val="0"/>
          <w:kern w:val="24"/>
          <w:szCs w:val="24"/>
          <w:lang w:val="zh-CN"/>
        </w:rPr>
        <w:t>m</w:t>
      </w:r>
      <w:r>
        <w:rPr>
          <w:rFonts w:ascii="Times New Roman" w:hAnsi="Times New Roman"/>
          <w:bCs/>
          <w:snapToGrid w:val="0"/>
          <w:kern w:val="24"/>
          <w:szCs w:val="24"/>
          <w:vertAlign w:val="superscript"/>
          <w:lang w:val="zh-CN"/>
        </w:rPr>
        <w:t>3</w:t>
      </w:r>
      <w:r>
        <w:rPr>
          <w:rFonts w:ascii="Times New Roman" w:hAnsi="Times New Roman"/>
          <w:bCs/>
          <w:snapToGrid w:val="0"/>
          <w:kern w:val="24"/>
          <w:szCs w:val="24"/>
          <w:lang w:val="zh-CN"/>
        </w:rPr>
        <w:t>/d，经二级生化处理后全部回用</w:t>
      </w:r>
      <w:r>
        <w:rPr>
          <w:rFonts w:ascii="Times New Roman" w:hAnsi="Times New Roman"/>
          <w:bCs/>
          <w:snapToGrid w:val="0"/>
          <w:kern w:val="24"/>
          <w:szCs w:val="24"/>
        </w:rPr>
        <w:t>。</w:t>
      </w:r>
    </w:p>
    <w:p>
      <w:pPr>
        <w:keepNext/>
        <w:keepLines/>
        <w:spacing w:line="440" w:lineRule="exact"/>
        <w:outlineLvl w:val="3"/>
        <w:rPr>
          <w:rFonts w:ascii="Times New Roman" w:hAnsi="Times New Roman"/>
          <w:b/>
        </w:rPr>
      </w:pPr>
      <w:r>
        <w:rPr>
          <w:rFonts w:ascii="Times New Roman" w:hAnsi="Times New Roman"/>
          <w:b/>
        </w:rPr>
        <w:t>2.1.11.3 矿区排水规划</w:t>
      </w:r>
    </w:p>
    <w:p>
      <w:pPr>
        <w:pStyle w:val="36"/>
        <w:adjustRightInd w:val="0"/>
        <w:snapToGrid w:val="0"/>
        <w:spacing w:after="0" w:line="440" w:lineRule="exact"/>
        <w:ind w:left="0" w:leftChars="0" w:firstLine="480" w:firstLineChars="200"/>
        <w:rPr>
          <w:sz w:val="24"/>
          <w:szCs w:val="24"/>
        </w:rPr>
      </w:pPr>
      <w:r>
        <w:rPr>
          <w:sz w:val="24"/>
          <w:szCs w:val="24"/>
        </w:rPr>
        <w:t>矿区排水系统包括雨水、污水以及井下排水。规划矿区生活污水最高日污水量4370m</w:t>
      </w:r>
      <w:r>
        <w:rPr>
          <w:sz w:val="24"/>
          <w:szCs w:val="24"/>
          <w:vertAlign w:val="superscript"/>
        </w:rPr>
        <w:t>3</w:t>
      </w:r>
      <w:r>
        <w:rPr>
          <w:sz w:val="24"/>
          <w:szCs w:val="24"/>
        </w:rPr>
        <w:t>/d，年最大污水量144.21×10</w:t>
      </w:r>
      <w:r>
        <w:rPr>
          <w:sz w:val="24"/>
          <w:szCs w:val="24"/>
          <w:vertAlign w:val="superscript"/>
        </w:rPr>
        <w:t>4</w:t>
      </w:r>
      <w:r>
        <w:rPr>
          <w:sz w:val="24"/>
          <w:szCs w:val="24"/>
        </w:rPr>
        <w:t>m</w:t>
      </w:r>
      <w:r>
        <w:rPr>
          <w:sz w:val="24"/>
          <w:szCs w:val="24"/>
          <w:vertAlign w:val="superscript"/>
        </w:rPr>
        <w:t>3</w:t>
      </w:r>
      <w:r>
        <w:rPr>
          <w:sz w:val="24"/>
          <w:szCs w:val="24"/>
        </w:rPr>
        <w:t>/a；矿区达产时正常涌水量为79200m</w:t>
      </w:r>
      <w:r>
        <w:rPr>
          <w:sz w:val="24"/>
          <w:szCs w:val="24"/>
          <w:vertAlign w:val="superscript"/>
        </w:rPr>
        <w:t>3</w:t>
      </w:r>
      <w:r>
        <w:rPr>
          <w:sz w:val="24"/>
          <w:szCs w:val="24"/>
        </w:rPr>
        <w:t>/d（最大涌水量为118800m</w:t>
      </w:r>
      <w:r>
        <w:rPr>
          <w:sz w:val="24"/>
          <w:szCs w:val="24"/>
          <w:vertAlign w:val="superscript"/>
        </w:rPr>
        <w:t>3</w:t>
      </w:r>
      <w:r>
        <w:rPr>
          <w:sz w:val="24"/>
          <w:szCs w:val="24"/>
        </w:rPr>
        <w:t>/d），年正常涌水量为2613.6×10</w:t>
      </w:r>
      <w:r>
        <w:rPr>
          <w:sz w:val="24"/>
          <w:szCs w:val="24"/>
          <w:vertAlign w:val="superscript"/>
        </w:rPr>
        <w:t>4</w:t>
      </w:r>
      <w:r>
        <w:rPr>
          <w:sz w:val="24"/>
          <w:szCs w:val="24"/>
        </w:rPr>
        <w:t>m</w:t>
      </w:r>
      <w:r>
        <w:rPr>
          <w:sz w:val="24"/>
          <w:szCs w:val="24"/>
          <w:vertAlign w:val="superscript"/>
        </w:rPr>
        <w:t>3</w:t>
      </w:r>
      <w:r>
        <w:rPr>
          <w:sz w:val="24"/>
          <w:szCs w:val="24"/>
        </w:rPr>
        <w:t>/a（最大涌水量为3920.4×10</w:t>
      </w:r>
      <w:r>
        <w:rPr>
          <w:sz w:val="24"/>
          <w:szCs w:val="24"/>
          <w:vertAlign w:val="superscript"/>
        </w:rPr>
        <w:t>4</w:t>
      </w:r>
      <w:r>
        <w:rPr>
          <w:sz w:val="24"/>
          <w:szCs w:val="24"/>
        </w:rPr>
        <w:t>m</w:t>
      </w:r>
      <w:r>
        <w:rPr>
          <w:sz w:val="24"/>
          <w:szCs w:val="24"/>
          <w:vertAlign w:val="superscript"/>
        </w:rPr>
        <w:t>3</w:t>
      </w:r>
      <w:r>
        <w:rPr>
          <w:sz w:val="24"/>
          <w:szCs w:val="24"/>
        </w:rPr>
        <w:t>/a）。根据矿区总体布置，排水系统采用集中与分散相结合的原则。处理达标后污废水回用于各企业中水系统及部分生产补充水全部回用。</w:t>
      </w:r>
    </w:p>
    <w:p>
      <w:pPr>
        <w:pStyle w:val="36"/>
        <w:adjustRightInd w:val="0"/>
        <w:snapToGrid w:val="0"/>
        <w:spacing w:after="0" w:line="440" w:lineRule="exact"/>
        <w:ind w:left="0" w:leftChars="0" w:firstLine="480" w:firstLineChars="200"/>
        <w:rPr>
          <w:sz w:val="24"/>
          <w:szCs w:val="24"/>
        </w:rPr>
      </w:pPr>
      <w:r>
        <w:rPr>
          <w:sz w:val="24"/>
          <w:szCs w:val="24"/>
        </w:rPr>
        <w:t>（1）矿区各单位排水采用雨污分流制，雨水经道路边沟或雨水管道汇集就近排入自然水体，矿井堆煤场地面雨水收集处理后排放。</w:t>
      </w:r>
    </w:p>
    <w:p>
      <w:pPr>
        <w:pStyle w:val="36"/>
        <w:adjustRightInd w:val="0"/>
        <w:snapToGrid w:val="0"/>
        <w:spacing w:after="0" w:line="440" w:lineRule="exact"/>
        <w:ind w:left="0" w:leftChars="0" w:firstLine="480" w:firstLineChars="200"/>
        <w:rPr>
          <w:sz w:val="24"/>
          <w:szCs w:val="24"/>
        </w:rPr>
      </w:pPr>
      <w:r>
        <w:rPr>
          <w:sz w:val="24"/>
          <w:szCs w:val="24"/>
        </w:rPr>
        <w:t>（2）各矿井工业场地污废水经排水管网收集排入生活污水处理站处理后全部回用。</w:t>
      </w:r>
    </w:p>
    <w:p>
      <w:pPr>
        <w:pStyle w:val="36"/>
        <w:adjustRightInd w:val="0"/>
        <w:snapToGrid w:val="0"/>
        <w:spacing w:after="0" w:line="440" w:lineRule="exact"/>
        <w:ind w:left="0" w:leftChars="0" w:firstLine="480" w:firstLineChars="200"/>
        <w:rPr>
          <w:sz w:val="24"/>
          <w:szCs w:val="24"/>
        </w:rPr>
      </w:pPr>
      <w:r>
        <w:rPr>
          <w:sz w:val="24"/>
          <w:szCs w:val="24"/>
        </w:rPr>
        <w:t>（3）井下排水分别排入各矿井井下水处理站经分质处理后回用于矿井井下消防洒水、选煤厂生产补充水、辅助企业生产用水，经深度处理可用于矿井生活用水；富裕水量通过输水管线送至附近化工园区或其和淖尔/马奶湖做景观用水。</w:t>
      </w:r>
    </w:p>
    <w:p>
      <w:pPr>
        <w:pStyle w:val="49"/>
        <w:snapToGrid w:val="0"/>
        <w:spacing w:after="0" w:line="440" w:lineRule="exact"/>
        <w:ind w:left="480"/>
        <w:rPr>
          <w:sz w:val="24"/>
          <w:szCs w:val="24"/>
        </w:rPr>
      </w:pPr>
      <w:r>
        <w:rPr>
          <w:rFonts w:hint="eastAsia" w:ascii="宋体" w:hAnsi="宋体" w:cs="宋体"/>
          <w:sz w:val="24"/>
          <w:szCs w:val="24"/>
        </w:rPr>
        <w:t>①</w:t>
      </w:r>
      <w:r>
        <w:rPr>
          <w:sz w:val="24"/>
          <w:szCs w:val="24"/>
        </w:rPr>
        <w:t>井下水处理</w:t>
      </w:r>
    </w:p>
    <w:p>
      <w:pPr>
        <w:pStyle w:val="36"/>
        <w:adjustRightInd w:val="0"/>
        <w:snapToGrid w:val="0"/>
        <w:spacing w:after="0" w:line="440" w:lineRule="exact"/>
        <w:ind w:left="0" w:leftChars="0" w:firstLine="480" w:firstLineChars="200"/>
        <w:rPr>
          <w:sz w:val="24"/>
          <w:szCs w:val="24"/>
        </w:rPr>
      </w:pPr>
      <w:r>
        <w:rPr>
          <w:sz w:val="24"/>
          <w:szCs w:val="24"/>
        </w:rPr>
        <w:t>规划矿井各建1座井下水处理站，分别接纳各矿井井下排水。井下排水经混凝、</w:t>
      </w:r>
    </w:p>
    <w:p>
      <w:pPr>
        <w:pStyle w:val="36"/>
        <w:adjustRightInd w:val="0"/>
        <w:snapToGrid w:val="0"/>
        <w:spacing w:after="0" w:line="440" w:lineRule="exact"/>
        <w:ind w:left="0" w:leftChars="0"/>
        <w:rPr>
          <w:sz w:val="24"/>
          <w:szCs w:val="24"/>
        </w:rPr>
      </w:pPr>
      <w:r>
        <w:rPr>
          <w:sz w:val="24"/>
          <w:szCs w:val="24"/>
        </w:rPr>
        <w:t>沉淀、过滤、纳滤、消毒等不同程度处理后作为矿井生活用水、井下消防洒水用水、选煤厂生产补充水、辅助企业生产补充水。处理后水质分别达到《生活饮用水卫生标准》、《井下消防、洒水水质标准》、《选煤用水水质标准》。处理站规模见表2.1-12。</w:t>
      </w:r>
    </w:p>
    <w:p>
      <w:pPr>
        <w:pStyle w:val="36"/>
        <w:adjustRightInd w:val="0"/>
        <w:snapToGrid w:val="0"/>
        <w:spacing w:before="120" w:beforeLines="50" w:line="240" w:lineRule="auto"/>
        <w:ind w:left="0" w:leftChars="0"/>
        <w:jc w:val="center"/>
        <w:rPr>
          <w:b/>
          <w:bCs/>
          <w:sz w:val="24"/>
          <w:szCs w:val="24"/>
        </w:rPr>
      </w:pPr>
      <w:r>
        <w:rPr>
          <w:b/>
          <w:bCs/>
          <w:sz w:val="24"/>
          <w:szCs w:val="24"/>
        </w:rPr>
        <w:t>矿区井下排水处理站</w:t>
      </w:r>
    </w:p>
    <w:p>
      <w:pPr>
        <w:pStyle w:val="36"/>
        <w:adjustRightInd w:val="0"/>
        <w:snapToGrid w:val="0"/>
        <w:spacing w:line="240" w:lineRule="auto"/>
        <w:ind w:left="0" w:leftChars="0"/>
        <w:rPr>
          <w:sz w:val="24"/>
          <w:szCs w:val="24"/>
        </w:rPr>
      </w:pPr>
      <w:r>
        <w:rPr>
          <w:sz w:val="24"/>
          <w:szCs w:val="24"/>
        </w:rPr>
        <w:t>表2.1-12</w:t>
      </w:r>
    </w:p>
    <w:tbl>
      <w:tblPr>
        <w:tblStyle w:val="59"/>
        <w:tblW w:w="9286" w:type="dxa"/>
        <w:jc w:val="center"/>
        <w:tblLayout w:type="fixed"/>
        <w:tblCellMar>
          <w:top w:w="0" w:type="dxa"/>
          <w:left w:w="108" w:type="dxa"/>
          <w:bottom w:w="0" w:type="dxa"/>
          <w:right w:w="108" w:type="dxa"/>
        </w:tblCellMar>
      </w:tblPr>
      <w:tblGrid>
        <w:gridCol w:w="817"/>
        <w:gridCol w:w="1690"/>
        <w:gridCol w:w="1082"/>
        <w:gridCol w:w="1082"/>
        <w:gridCol w:w="1187"/>
        <w:gridCol w:w="1305"/>
        <w:gridCol w:w="2123"/>
      </w:tblGrid>
      <w:tr>
        <w:tblPrEx>
          <w:tblCellMar>
            <w:top w:w="0" w:type="dxa"/>
            <w:left w:w="108" w:type="dxa"/>
            <w:bottom w:w="0" w:type="dxa"/>
            <w:right w:w="108" w:type="dxa"/>
          </w:tblCellMar>
        </w:tblPrEx>
        <w:trPr>
          <w:trHeight w:val="397" w:hRule="atLeast"/>
          <w:jc w:val="center"/>
        </w:trPr>
        <w:tc>
          <w:tcPr>
            <w:tcW w:w="817" w:type="dxa"/>
            <w:vMerge w:val="restart"/>
            <w:tcBorders>
              <w:top w:val="single" w:color="auto" w:sz="4" w:space="0"/>
              <w:left w:val="single" w:color="auto" w:sz="4" w:space="0"/>
              <w:bottom w:val="single" w:color="000000"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序号</w:t>
            </w:r>
          </w:p>
        </w:tc>
        <w:tc>
          <w:tcPr>
            <w:tcW w:w="1690" w:type="dxa"/>
            <w:vMerge w:val="restart"/>
            <w:tcBorders>
              <w:top w:val="single" w:color="auto" w:sz="4" w:space="0"/>
              <w:left w:val="single" w:color="auto" w:sz="4" w:space="0"/>
              <w:bottom w:val="single" w:color="000000"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项目名称</w:t>
            </w:r>
          </w:p>
        </w:tc>
        <w:tc>
          <w:tcPr>
            <w:tcW w:w="1082" w:type="dxa"/>
            <w:tcBorders>
              <w:top w:val="single" w:color="auto" w:sz="4" w:space="0"/>
              <w:left w:val="nil"/>
              <w:bottom w:val="nil"/>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规划</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能力</w:t>
            </w:r>
          </w:p>
        </w:tc>
        <w:tc>
          <w:tcPr>
            <w:tcW w:w="1082" w:type="dxa"/>
            <w:tcBorders>
              <w:top w:val="single" w:color="auto" w:sz="4" w:space="0"/>
              <w:left w:val="nil"/>
              <w:bottom w:val="nil"/>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处理</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规模</w:t>
            </w:r>
          </w:p>
        </w:tc>
        <w:tc>
          <w:tcPr>
            <w:tcW w:w="1187" w:type="dxa"/>
            <w:vMerge w:val="restart"/>
            <w:tcBorders>
              <w:top w:val="single" w:color="auto" w:sz="4" w:space="0"/>
              <w:left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正常</w:t>
            </w:r>
          </w:p>
          <w:p>
            <w:pPr>
              <w:widowControl/>
              <w:adjustRightInd w:val="0"/>
              <w:snapToGrid w:val="0"/>
              <w:jc w:val="center"/>
              <w:rPr>
                <w:rFonts w:ascii="Times New Roman" w:hAnsi="Times New Roman"/>
                <w:kern w:val="0"/>
                <w:sz w:val="21"/>
              </w:rPr>
            </w:pPr>
            <w:r>
              <w:rPr>
                <w:rFonts w:ascii="Times New Roman" w:hAnsi="Times New Roman"/>
                <w:kern w:val="0"/>
                <w:sz w:val="21"/>
                <w:szCs w:val="21"/>
              </w:rPr>
              <w:t>排水量</w:t>
            </w:r>
          </w:p>
          <w:p>
            <w:pPr>
              <w:adjustRightInd w:val="0"/>
              <w:snapToGrid w:val="0"/>
              <w:jc w:val="center"/>
              <w:rPr>
                <w:rFonts w:ascii="Times New Roman" w:hAnsi="Times New Roman"/>
                <w:kern w:val="0"/>
                <w:sz w:val="21"/>
                <w:szCs w:val="21"/>
              </w:rPr>
            </w:pPr>
            <w:r>
              <w:rPr>
                <w:rFonts w:ascii="Times New Roman" w:hAnsi="Times New Roman"/>
                <w:kern w:val="0"/>
                <w:sz w:val="21"/>
                <w:szCs w:val="21"/>
              </w:rPr>
              <w:t>（m</w:t>
            </w:r>
            <w:r>
              <w:rPr>
                <w:rFonts w:ascii="Times New Roman" w:hAnsi="Times New Roman"/>
                <w:sz w:val="21"/>
                <w:szCs w:val="21"/>
                <w:vertAlign w:val="superscript"/>
              </w:rPr>
              <w:t>3</w:t>
            </w:r>
            <w:r>
              <w:rPr>
                <w:rFonts w:ascii="Times New Roman" w:hAnsi="Times New Roman"/>
                <w:kern w:val="0"/>
                <w:sz w:val="21"/>
                <w:szCs w:val="21"/>
              </w:rPr>
              <w:t>/d）</w:t>
            </w:r>
          </w:p>
        </w:tc>
        <w:tc>
          <w:tcPr>
            <w:tcW w:w="1305" w:type="dxa"/>
            <w:vMerge w:val="restart"/>
            <w:tcBorders>
              <w:top w:val="single" w:color="auto" w:sz="4" w:space="0"/>
              <w:left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最大</w:t>
            </w:r>
          </w:p>
          <w:p>
            <w:pPr>
              <w:widowControl/>
              <w:adjustRightInd w:val="0"/>
              <w:snapToGrid w:val="0"/>
              <w:jc w:val="center"/>
              <w:rPr>
                <w:rFonts w:ascii="Times New Roman" w:hAnsi="Times New Roman"/>
                <w:kern w:val="0"/>
                <w:sz w:val="21"/>
              </w:rPr>
            </w:pPr>
            <w:r>
              <w:rPr>
                <w:rFonts w:ascii="Times New Roman" w:hAnsi="Times New Roman"/>
                <w:kern w:val="0"/>
                <w:sz w:val="21"/>
                <w:szCs w:val="21"/>
              </w:rPr>
              <w:t>排水量</w:t>
            </w:r>
          </w:p>
          <w:p>
            <w:pPr>
              <w:adjustRightInd w:val="0"/>
              <w:snapToGrid w:val="0"/>
              <w:jc w:val="center"/>
              <w:rPr>
                <w:rFonts w:ascii="Times New Roman" w:hAnsi="Times New Roman"/>
                <w:kern w:val="0"/>
                <w:sz w:val="21"/>
                <w:szCs w:val="21"/>
              </w:rPr>
            </w:pPr>
            <w:r>
              <w:rPr>
                <w:rFonts w:ascii="Times New Roman" w:hAnsi="Times New Roman"/>
                <w:kern w:val="0"/>
                <w:sz w:val="21"/>
                <w:szCs w:val="21"/>
              </w:rPr>
              <w:t>（m</w:t>
            </w:r>
            <w:r>
              <w:rPr>
                <w:rFonts w:ascii="Times New Roman" w:hAnsi="Times New Roman"/>
                <w:sz w:val="21"/>
                <w:szCs w:val="21"/>
                <w:vertAlign w:val="superscript"/>
              </w:rPr>
              <w:t>3</w:t>
            </w:r>
            <w:r>
              <w:rPr>
                <w:rFonts w:ascii="Times New Roman" w:hAnsi="Times New Roman"/>
                <w:kern w:val="0"/>
                <w:sz w:val="21"/>
                <w:szCs w:val="21"/>
              </w:rPr>
              <w:t>/d）</w:t>
            </w:r>
          </w:p>
        </w:tc>
        <w:tc>
          <w:tcPr>
            <w:tcW w:w="2123" w:type="dxa"/>
            <w:vMerge w:val="restart"/>
            <w:tcBorders>
              <w:top w:val="single" w:color="auto" w:sz="4" w:space="0"/>
              <w:left w:val="single" w:color="auto" w:sz="4" w:space="0"/>
              <w:bottom w:val="single" w:color="000000"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备注</w:t>
            </w:r>
          </w:p>
        </w:tc>
      </w:tr>
      <w:tr>
        <w:tblPrEx>
          <w:tblCellMar>
            <w:top w:w="0" w:type="dxa"/>
            <w:left w:w="108" w:type="dxa"/>
            <w:bottom w:w="0" w:type="dxa"/>
            <w:right w:w="108" w:type="dxa"/>
          </w:tblCellMar>
        </w:tblPrEx>
        <w:trPr>
          <w:trHeight w:val="397" w:hRule="atLeast"/>
          <w:jc w:val="center"/>
        </w:trPr>
        <w:tc>
          <w:tcPr>
            <w:tcW w:w="817" w:type="dxa"/>
            <w:vMerge w:val="continue"/>
            <w:tcBorders>
              <w:top w:val="single" w:color="auto" w:sz="4" w:space="0"/>
              <w:left w:val="single" w:color="auto" w:sz="4" w:space="0"/>
              <w:bottom w:val="single" w:color="000000" w:sz="4" w:space="0"/>
              <w:right w:val="single" w:color="auto" w:sz="4" w:space="0"/>
            </w:tcBorders>
            <w:vAlign w:val="center"/>
          </w:tcPr>
          <w:p>
            <w:pPr>
              <w:widowControl/>
              <w:adjustRightInd w:val="0"/>
              <w:snapToGrid w:val="0"/>
              <w:jc w:val="left"/>
              <w:rPr>
                <w:rFonts w:ascii="Times New Roman" w:hAnsi="Times New Roman"/>
                <w:kern w:val="0"/>
                <w:sz w:val="21"/>
                <w:szCs w:val="21"/>
              </w:rPr>
            </w:pPr>
          </w:p>
        </w:tc>
        <w:tc>
          <w:tcPr>
            <w:tcW w:w="1690" w:type="dxa"/>
            <w:vMerge w:val="continue"/>
            <w:tcBorders>
              <w:top w:val="single" w:color="auto" w:sz="4" w:space="0"/>
              <w:left w:val="single" w:color="auto" w:sz="4" w:space="0"/>
              <w:bottom w:val="single" w:color="000000" w:sz="4" w:space="0"/>
              <w:right w:val="single" w:color="auto" w:sz="4" w:space="0"/>
            </w:tcBorders>
            <w:vAlign w:val="center"/>
          </w:tcPr>
          <w:p>
            <w:pPr>
              <w:widowControl/>
              <w:adjustRightInd w:val="0"/>
              <w:snapToGrid w:val="0"/>
              <w:jc w:val="left"/>
              <w:rPr>
                <w:rFonts w:ascii="Times New Roman" w:hAnsi="Times New Roman"/>
                <w:kern w:val="0"/>
                <w:sz w:val="21"/>
                <w:szCs w:val="21"/>
              </w:rPr>
            </w:pP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（Mt/a）</w:t>
            </w: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（m</w:t>
            </w:r>
            <w:r>
              <w:rPr>
                <w:rFonts w:ascii="Times New Roman" w:hAnsi="Times New Roman"/>
                <w:sz w:val="21"/>
                <w:szCs w:val="21"/>
                <w:vertAlign w:val="superscript"/>
              </w:rPr>
              <w:t>3</w:t>
            </w:r>
            <w:r>
              <w:rPr>
                <w:rFonts w:ascii="Times New Roman" w:hAnsi="Times New Roman"/>
                <w:kern w:val="0"/>
                <w:sz w:val="21"/>
                <w:szCs w:val="21"/>
              </w:rPr>
              <w:t>/d）</w:t>
            </w:r>
          </w:p>
        </w:tc>
        <w:tc>
          <w:tcPr>
            <w:tcW w:w="1187" w:type="dxa"/>
            <w:vMerge w:val="continue"/>
            <w:tcBorders>
              <w:left w:val="single" w:color="auto" w:sz="4" w:space="0"/>
              <w:bottom w:val="single" w:color="auto" w:sz="4" w:space="0"/>
              <w:right w:val="single" w:color="auto" w:sz="4" w:space="0"/>
            </w:tcBorders>
          </w:tcPr>
          <w:p>
            <w:pPr>
              <w:widowControl/>
              <w:adjustRightInd w:val="0"/>
              <w:snapToGrid w:val="0"/>
              <w:jc w:val="left"/>
              <w:rPr>
                <w:rFonts w:ascii="Times New Roman" w:hAnsi="Times New Roman"/>
                <w:kern w:val="0"/>
                <w:sz w:val="21"/>
                <w:szCs w:val="21"/>
              </w:rPr>
            </w:pPr>
          </w:p>
        </w:tc>
        <w:tc>
          <w:tcPr>
            <w:tcW w:w="1305" w:type="dxa"/>
            <w:vMerge w:val="continue"/>
            <w:tcBorders>
              <w:left w:val="single" w:color="auto" w:sz="4" w:space="0"/>
              <w:bottom w:val="single" w:color="auto" w:sz="4" w:space="0"/>
              <w:right w:val="single" w:color="auto" w:sz="4" w:space="0"/>
            </w:tcBorders>
          </w:tcPr>
          <w:p>
            <w:pPr>
              <w:widowControl/>
              <w:adjustRightInd w:val="0"/>
              <w:snapToGrid w:val="0"/>
              <w:jc w:val="left"/>
              <w:rPr>
                <w:rFonts w:ascii="Times New Roman" w:hAnsi="Times New Roman"/>
                <w:kern w:val="0"/>
                <w:sz w:val="21"/>
                <w:szCs w:val="21"/>
              </w:rPr>
            </w:pPr>
          </w:p>
        </w:tc>
        <w:tc>
          <w:tcPr>
            <w:tcW w:w="2123" w:type="dxa"/>
            <w:vMerge w:val="continue"/>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left"/>
              <w:rPr>
                <w:rFonts w:ascii="Times New Roman" w:hAnsi="Times New Roman"/>
                <w:kern w:val="0"/>
                <w:sz w:val="21"/>
                <w:szCs w:val="21"/>
              </w:rPr>
            </w:pPr>
          </w:p>
        </w:tc>
      </w:tr>
      <w:tr>
        <w:tblPrEx>
          <w:tblCellMar>
            <w:top w:w="0" w:type="dxa"/>
            <w:left w:w="108" w:type="dxa"/>
            <w:bottom w:w="0" w:type="dxa"/>
            <w:right w:w="108" w:type="dxa"/>
          </w:tblCellMar>
        </w:tblPrEx>
        <w:trPr>
          <w:trHeight w:val="397" w:hRule="atLeast"/>
          <w:jc w:val="center"/>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1</w:t>
            </w:r>
          </w:p>
        </w:tc>
        <w:tc>
          <w:tcPr>
            <w:tcW w:w="1690" w:type="dxa"/>
            <w:tcBorders>
              <w:top w:val="nil"/>
              <w:left w:val="nil"/>
              <w:bottom w:val="single" w:color="auto" w:sz="4" w:space="0"/>
              <w:right w:val="single" w:color="auto" w:sz="4" w:space="0"/>
            </w:tcBorders>
            <w:shd w:val="clear" w:color="000000" w:fill="FFFFFF"/>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奎腾沟矿井</w:t>
            </w:r>
          </w:p>
        </w:tc>
        <w:tc>
          <w:tcPr>
            <w:tcW w:w="1082" w:type="dxa"/>
            <w:tcBorders>
              <w:top w:val="nil"/>
              <w:left w:val="nil"/>
              <w:bottom w:val="single" w:color="auto" w:sz="4" w:space="0"/>
              <w:right w:val="single" w:color="auto" w:sz="4" w:space="0"/>
            </w:tcBorders>
            <w:shd w:val="clear" w:color="000000" w:fill="FFFFFF"/>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40800</w:t>
            </w:r>
          </w:p>
        </w:tc>
        <w:tc>
          <w:tcPr>
            <w:tcW w:w="1187"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25200</w:t>
            </w:r>
          </w:p>
        </w:tc>
        <w:tc>
          <w:tcPr>
            <w:tcW w:w="1305"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37800</w:t>
            </w:r>
          </w:p>
        </w:tc>
        <w:tc>
          <w:tcPr>
            <w:tcW w:w="2123"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混凝沉淀过滤+深度</w:t>
            </w:r>
          </w:p>
        </w:tc>
      </w:tr>
      <w:tr>
        <w:tblPrEx>
          <w:tblCellMar>
            <w:top w:w="0" w:type="dxa"/>
            <w:left w:w="108" w:type="dxa"/>
            <w:bottom w:w="0" w:type="dxa"/>
            <w:right w:w="108" w:type="dxa"/>
          </w:tblCellMar>
        </w:tblPrEx>
        <w:trPr>
          <w:trHeight w:val="397" w:hRule="atLeast"/>
          <w:jc w:val="center"/>
        </w:trPr>
        <w:tc>
          <w:tcPr>
            <w:tcW w:w="817" w:type="dxa"/>
            <w:tcBorders>
              <w:top w:val="nil"/>
              <w:left w:val="single" w:color="auto" w:sz="4" w:space="0"/>
              <w:bottom w:val="single" w:color="auto" w:sz="4" w:space="0"/>
              <w:right w:val="single" w:color="auto" w:sz="4" w:space="0"/>
            </w:tcBorders>
            <w:shd w:val="clear" w:color="auto" w:fill="auto"/>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2</w:t>
            </w:r>
          </w:p>
        </w:tc>
        <w:tc>
          <w:tcPr>
            <w:tcW w:w="1690" w:type="dxa"/>
            <w:tcBorders>
              <w:top w:val="nil"/>
              <w:left w:val="nil"/>
              <w:bottom w:val="single" w:color="auto" w:sz="4" w:space="0"/>
              <w:right w:val="single" w:color="auto" w:sz="4" w:space="0"/>
            </w:tcBorders>
            <w:shd w:val="clear" w:color="000000" w:fill="FFFFFF"/>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苏布尔嘎矿井</w:t>
            </w:r>
          </w:p>
        </w:tc>
        <w:tc>
          <w:tcPr>
            <w:tcW w:w="1082" w:type="dxa"/>
            <w:tcBorders>
              <w:top w:val="nil"/>
              <w:left w:val="nil"/>
              <w:bottom w:val="single" w:color="auto" w:sz="4" w:space="0"/>
              <w:right w:val="single" w:color="auto" w:sz="4" w:space="0"/>
            </w:tcBorders>
            <w:shd w:val="clear" w:color="000000" w:fill="FFFFFF"/>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40800</w:t>
            </w:r>
          </w:p>
        </w:tc>
        <w:tc>
          <w:tcPr>
            <w:tcW w:w="1187"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22800</w:t>
            </w:r>
          </w:p>
        </w:tc>
        <w:tc>
          <w:tcPr>
            <w:tcW w:w="1305"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34200</w:t>
            </w:r>
          </w:p>
        </w:tc>
        <w:tc>
          <w:tcPr>
            <w:tcW w:w="2123"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混凝沉淀过滤+深度</w:t>
            </w:r>
          </w:p>
        </w:tc>
      </w:tr>
      <w:tr>
        <w:tblPrEx>
          <w:tblCellMar>
            <w:top w:w="0" w:type="dxa"/>
            <w:left w:w="108" w:type="dxa"/>
            <w:bottom w:w="0" w:type="dxa"/>
            <w:right w:w="108" w:type="dxa"/>
          </w:tblCellMar>
        </w:tblPrEx>
        <w:trPr>
          <w:trHeight w:val="397" w:hRule="atLeast"/>
          <w:jc w:val="center"/>
        </w:trPr>
        <w:tc>
          <w:tcPr>
            <w:tcW w:w="817" w:type="dxa"/>
            <w:tcBorders>
              <w:top w:val="nil"/>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3</w:t>
            </w:r>
          </w:p>
        </w:tc>
        <w:tc>
          <w:tcPr>
            <w:tcW w:w="1690" w:type="dxa"/>
            <w:tcBorders>
              <w:top w:val="nil"/>
              <w:left w:val="nil"/>
              <w:bottom w:val="single" w:color="auto" w:sz="4" w:space="0"/>
              <w:right w:val="single" w:color="auto" w:sz="4" w:space="0"/>
            </w:tcBorders>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壕赖苏矿井</w:t>
            </w: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37800</w:t>
            </w:r>
          </w:p>
        </w:tc>
        <w:tc>
          <w:tcPr>
            <w:tcW w:w="1187"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16800</w:t>
            </w:r>
          </w:p>
        </w:tc>
        <w:tc>
          <w:tcPr>
            <w:tcW w:w="1305"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25200</w:t>
            </w:r>
          </w:p>
        </w:tc>
        <w:tc>
          <w:tcPr>
            <w:tcW w:w="2123"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混凝沉淀过滤+深度</w:t>
            </w:r>
          </w:p>
        </w:tc>
      </w:tr>
      <w:tr>
        <w:tblPrEx>
          <w:tblCellMar>
            <w:top w:w="0" w:type="dxa"/>
            <w:left w:w="108" w:type="dxa"/>
            <w:bottom w:w="0" w:type="dxa"/>
            <w:right w:w="108" w:type="dxa"/>
          </w:tblCellMar>
        </w:tblPrEx>
        <w:trPr>
          <w:trHeight w:val="397" w:hRule="atLeast"/>
          <w:jc w:val="center"/>
        </w:trPr>
        <w:tc>
          <w:tcPr>
            <w:tcW w:w="817" w:type="dxa"/>
            <w:tcBorders>
              <w:top w:val="nil"/>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4</w:t>
            </w:r>
          </w:p>
        </w:tc>
        <w:tc>
          <w:tcPr>
            <w:tcW w:w="1690" w:type="dxa"/>
            <w:tcBorders>
              <w:top w:val="nil"/>
              <w:left w:val="nil"/>
              <w:bottom w:val="single" w:color="auto" w:sz="4" w:space="0"/>
              <w:right w:val="single" w:color="auto" w:sz="4" w:space="0"/>
            </w:tcBorders>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纳林希里矿井</w:t>
            </w: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37800</w:t>
            </w:r>
          </w:p>
        </w:tc>
        <w:tc>
          <w:tcPr>
            <w:tcW w:w="1187"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14400</w:t>
            </w:r>
          </w:p>
        </w:tc>
        <w:tc>
          <w:tcPr>
            <w:tcW w:w="1305"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21600</w:t>
            </w:r>
          </w:p>
        </w:tc>
        <w:tc>
          <w:tcPr>
            <w:tcW w:w="2123"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混凝沉淀过滤+深度</w:t>
            </w:r>
          </w:p>
        </w:tc>
      </w:tr>
      <w:tr>
        <w:tblPrEx>
          <w:tblCellMar>
            <w:top w:w="0" w:type="dxa"/>
            <w:left w:w="108" w:type="dxa"/>
            <w:bottom w:w="0" w:type="dxa"/>
            <w:right w:w="108" w:type="dxa"/>
          </w:tblCellMar>
        </w:tblPrEx>
        <w:trPr>
          <w:trHeight w:val="397" w:hRule="atLeast"/>
          <w:jc w:val="center"/>
        </w:trPr>
        <w:tc>
          <w:tcPr>
            <w:tcW w:w="2507" w:type="dxa"/>
            <w:gridSpan w:val="2"/>
            <w:tcBorders>
              <w:top w:val="nil"/>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合计</w:t>
            </w: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32.00</w:t>
            </w:r>
          </w:p>
        </w:tc>
        <w:tc>
          <w:tcPr>
            <w:tcW w:w="1082"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157200</w:t>
            </w:r>
          </w:p>
        </w:tc>
        <w:tc>
          <w:tcPr>
            <w:tcW w:w="1187"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79200</w:t>
            </w:r>
          </w:p>
        </w:tc>
        <w:tc>
          <w:tcPr>
            <w:tcW w:w="1305"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118800</w:t>
            </w:r>
          </w:p>
        </w:tc>
        <w:tc>
          <w:tcPr>
            <w:tcW w:w="2123"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w:t>
            </w:r>
          </w:p>
        </w:tc>
      </w:tr>
    </w:tbl>
    <w:p>
      <w:pPr>
        <w:pStyle w:val="36"/>
        <w:adjustRightInd w:val="0"/>
        <w:snapToGrid w:val="0"/>
        <w:spacing w:after="0" w:line="440" w:lineRule="exact"/>
        <w:ind w:left="0" w:leftChars="0" w:firstLine="480" w:firstLineChars="200"/>
        <w:rPr>
          <w:sz w:val="24"/>
          <w:szCs w:val="24"/>
        </w:rPr>
      </w:pPr>
      <w:r>
        <w:rPr>
          <w:rFonts w:hint="eastAsia" w:ascii="宋体" w:hAnsi="宋体" w:cs="宋体"/>
          <w:sz w:val="24"/>
          <w:szCs w:val="24"/>
        </w:rPr>
        <w:t>②</w:t>
      </w:r>
      <w:r>
        <w:rPr>
          <w:sz w:val="24"/>
          <w:szCs w:val="24"/>
        </w:rPr>
        <w:t>生活污水处理</w:t>
      </w:r>
    </w:p>
    <w:p>
      <w:pPr>
        <w:pStyle w:val="36"/>
        <w:adjustRightInd w:val="0"/>
        <w:snapToGrid w:val="0"/>
        <w:spacing w:after="0" w:line="440" w:lineRule="exact"/>
        <w:ind w:left="0" w:leftChars="0" w:firstLine="480" w:firstLineChars="200"/>
        <w:rPr>
          <w:sz w:val="24"/>
          <w:szCs w:val="24"/>
        </w:rPr>
      </w:pPr>
      <w:r>
        <w:rPr>
          <w:sz w:val="24"/>
          <w:szCs w:val="24"/>
        </w:rPr>
        <w:t>规划矿井各建1座生活污水处理站，分别接纳各矿井及选煤厂生活污水。生活污水经二级生化处理及深度处理后作为场地绿化浇洒冲洗用水和选煤生产补充水。处理后水质达到《城市污水再生利用 城市杂用水水质》标准及《选煤厂用水水质标准》。污水处理设施见表2.1-13。</w:t>
      </w:r>
    </w:p>
    <w:p>
      <w:pPr>
        <w:pStyle w:val="36"/>
        <w:adjustRightInd w:val="0"/>
        <w:snapToGrid w:val="0"/>
        <w:spacing w:after="0" w:line="440" w:lineRule="exact"/>
        <w:ind w:left="0" w:leftChars="0"/>
        <w:jc w:val="center"/>
        <w:rPr>
          <w:b/>
          <w:bCs/>
          <w:sz w:val="24"/>
          <w:szCs w:val="22"/>
        </w:rPr>
      </w:pPr>
      <w:r>
        <w:rPr>
          <w:b/>
          <w:bCs/>
          <w:sz w:val="24"/>
          <w:szCs w:val="22"/>
        </w:rPr>
        <w:t>矿区生活污水处理站</w:t>
      </w:r>
    </w:p>
    <w:p>
      <w:pPr>
        <w:pStyle w:val="36"/>
        <w:adjustRightInd w:val="0"/>
        <w:snapToGrid w:val="0"/>
        <w:spacing w:after="0" w:line="240" w:lineRule="auto"/>
        <w:ind w:left="0" w:leftChars="0"/>
        <w:rPr>
          <w:rFonts w:eastAsia="汉鼎简书宋"/>
          <w:sz w:val="24"/>
          <w:szCs w:val="24"/>
        </w:rPr>
      </w:pPr>
      <w:r>
        <w:rPr>
          <w:sz w:val="24"/>
          <w:szCs w:val="24"/>
        </w:rPr>
        <w:t>表</w:t>
      </w:r>
      <w:r>
        <w:rPr>
          <w:rFonts w:eastAsia="汉鼎简书宋"/>
          <w:sz w:val="24"/>
          <w:szCs w:val="24"/>
        </w:rPr>
        <w:t>2.1-13</w:t>
      </w:r>
    </w:p>
    <w:tbl>
      <w:tblPr>
        <w:tblStyle w:val="59"/>
        <w:tblW w:w="9126" w:type="dxa"/>
        <w:jc w:val="center"/>
        <w:tblLayout w:type="fixed"/>
        <w:tblCellMar>
          <w:top w:w="0" w:type="dxa"/>
          <w:left w:w="28" w:type="dxa"/>
          <w:bottom w:w="0" w:type="dxa"/>
          <w:right w:w="28" w:type="dxa"/>
        </w:tblCellMar>
      </w:tblPr>
      <w:tblGrid>
        <w:gridCol w:w="620"/>
        <w:gridCol w:w="1393"/>
        <w:gridCol w:w="1134"/>
        <w:gridCol w:w="1276"/>
        <w:gridCol w:w="992"/>
        <w:gridCol w:w="3711"/>
      </w:tblGrid>
      <w:tr>
        <w:tblPrEx>
          <w:tblCellMar>
            <w:top w:w="0" w:type="dxa"/>
            <w:left w:w="28" w:type="dxa"/>
            <w:bottom w:w="0" w:type="dxa"/>
            <w:right w:w="28" w:type="dxa"/>
          </w:tblCellMar>
        </w:tblPrEx>
        <w:trPr>
          <w:trHeight w:val="397" w:hRule="atLeast"/>
          <w:jc w:val="center"/>
        </w:trPr>
        <w:tc>
          <w:tcPr>
            <w:tcW w:w="620" w:type="dxa"/>
            <w:vMerge w:val="restart"/>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序号</w:t>
            </w:r>
          </w:p>
        </w:tc>
        <w:tc>
          <w:tcPr>
            <w:tcW w:w="1393" w:type="dxa"/>
            <w:vMerge w:val="restart"/>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项目名称</w:t>
            </w:r>
          </w:p>
        </w:tc>
        <w:tc>
          <w:tcPr>
            <w:tcW w:w="1134"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规划能力</w:t>
            </w:r>
          </w:p>
        </w:tc>
        <w:tc>
          <w:tcPr>
            <w:tcW w:w="1276"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污水产生量</w:t>
            </w:r>
          </w:p>
        </w:tc>
        <w:tc>
          <w:tcPr>
            <w:tcW w:w="992"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处理规模</w:t>
            </w:r>
          </w:p>
        </w:tc>
        <w:tc>
          <w:tcPr>
            <w:tcW w:w="3711" w:type="dxa"/>
            <w:vMerge w:val="restart"/>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备注</w:t>
            </w:r>
          </w:p>
        </w:tc>
      </w:tr>
      <w:tr>
        <w:tblPrEx>
          <w:tblCellMar>
            <w:top w:w="0" w:type="dxa"/>
            <w:left w:w="28" w:type="dxa"/>
            <w:bottom w:w="0" w:type="dxa"/>
            <w:right w:w="28" w:type="dxa"/>
          </w:tblCellMar>
        </w:tblPrEx>
        <w:trPr>
          <w:trHeight w:val="397" w:hRule="atLeast"/>
          <w:jc w:val="center"/>
        </w:trPr>
        <w:tc>
          <w:tcPr>
            <w:tcW w:w="620" w:type="dxa"/>
            <w:vMerge w:val="continue"/>
            <w:tcBorders>
              <w:top w:val="single" w:color="auto" w:sz="4" w:space="0"/>
              <w:left w:val="single" w:color="auto" w:sz="4" w:space="0"/>
              <w:bottom w:val="single" w:color="000000" w:sz="4" w:space="0"/>
              <w:right w:val="single" w:color="auto" w:sz="4" w:space="0"/>
            </w:tcBorders>
            <w:vAlign w:val="center"/>
          </w:tcPr>
          <w:p>
            <w:pPr>
              <w:widowControl/>
              <w:adjustRightInd w:val="0"/>
              <w:snapToGrid w:val="0"/>
              <w:jc w:val="left"/>
              <w:rPr>
                <w:rFonts w:ascii="Times New Roman" w:hAnsi="Times New Roman"/>
                <w:kern w:val="0"/>
                <w:sz w:val="21"/>
                <w:szCs w:val="21"/>
              </w:rPr>
            </w:pPr>
          </w:p>
        </w:tc>
        <w:tc>
          <w:tcPr>
            <w:tcW w:w="1393" w:type="dxa"/>
            <w:vMerge w:val="continue"/>
            <w:tcBorders>
              <w:top w:val="single" w:color="auto" w:sz="4" w:space="0"/>
              <w:left w:val="single" w:color="auto" w:sz="4" w:space="0"/>
              <w:bottom w:val="single" w:color="000000" w:sz="4" w:space="0"/>
              <w:right w:val="single" w:color="auto" w:sz="4" w:space="0"/>
            </w:tcBorders>
            <w:vAlign w:val="center"/>
          </w:tcPr>
          <w:p>
            <w:pPr>
              <w:widowControl/>
              <w:adjustRightInd w:val="0"/>
              <w:snapToGrid w:val="0"/>
              <w:jc w:val="left"/>
              <w:rPr>
                <w:rFonts w:ascii="Times New Roman" w:hAnsi="Times New Roman"/>
                <w:kern w:val="0"/>
                <w:sz w:val="21"/>
                <w:szCs w:val="21"/>
              </w:rPr>
            </w:pPr>
          </w:p>
        </w:tc>
        <w:tc>
          <w:tcPr>
            <w:tcW w:w="1134"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（Mt/a）</w:t>
            </w:r>
          </w:p>
        </w:tc>
        <w:tc>
          <w:tcPr>
            <w:tcW w:w="1276"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（m</w:t>
            </w:r>
            <w:r>
              <w:rPr>
                <w:rFonts w:ascii="Times New Roman" w:hAnsi="Times New Roman"/>
                <w:sz w:val="21"/>
                <w:szCs w:val="21"/>
                <w:vertAlign w:val="superscript"/>
              </w:rPr>
              <w:t>3</w:t>
            </w:r>
            <w:r>
              <w:rPr>
                <w:rFonts w:ascii="Times New Roman" w:hAnsi="Times New Roman"/>
                <w:kern w:val="0"/>
                <w:sz w:val="21"/>
                <w:szCs w:val="21"/>
              </w:rPr>
              <w:t>/d）</w:t>
            </w:r>
          </w:p>
        </w:tc>
        <w:tc>
          <w:tcPr>
            <w:tcW w:w="992"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（m</w:t>
            </w:r>
            <w:r>
              <w:rPr>
                <w:rFonts w:ascii="Times New Roman" w:hAnsi="Times New Roman"/>
                <w:sz w:val="21"/>
                <w:szCs w:val="21"/>
                <w:vertAlign w:val="superscript"/>
              </w:rPr>
              <w:t>3</w:t>
            </w:r>
            <w:r>
              <w:rPr>
                <w:rFonts w:ascii="Times New Roman" w:hAnsi="Times New Roman"/>
                <w:kern w:val="0"/>
                <w:sz w:val="21"/>
                <w:szCs w:val="21"/>
              </w:rPr>
              <w:t>/d）</w:t>
            </w:r>
          </w:p>
        </w:tc>
        <w:tc>
          <w:tcPr>
            <w:tcW w:w="3711" w:type="dxa"/>
            <w:vMerge w:val="continue"/>
            <w:tcBorders>
              <w:top w:val="single" w:color="auto" w:sz="4" w:space="0"/>
              <w:left w:val="single" w:color="auto" w:sz="4" w:space="0"/>
              <w:bottom w:val="single" w:color="000000" w:sz="4" w:space="0"/>
              <w:right w:val="single" w:color="auto" w:sz="4" w:space="0"/>
            </w:tcBorders>
            <w:vAlign w:val="center"/>
          </w:tcPr>
          <w:p>
            <w:pPr>
              <w:widowControl/>
              <w:adjustRightInd w:val="0"/>
              <w:snapToGrid w:val="0"/>
              <w:jc w:val="left"/>
              <w:rPr>
                <w:rFonts w:ascii="Times New Roman" w:hAnsi="Times New Roman"/>
                <w:kern w:val="0"/>
                <w:sz w:val="21"/>
                <w:szCs w:val="21"/>
              </w:rPr>
            </w:pPr>
          </w:p>
        </w:tc>
      </w:tr>
      <w:tr>
        <w:tblPrEx>
          <w:tblCellMar>
            <w:top w:w="0" w:type="dxa"/>
            <w:left w:w="28" w:type="dxa"/>
            <w:bottom w:w="0" w:type="dxa"/>
            <w:right w:w="28" w:type="dxa"/>
          </w:tblCellMar>
        </w:tblPrEx>
        <w:trPr>
          <w:trHeight w:val="397" w:hRule="atLeast"/>
          <w:jc w:val="center"/>
        </w:trPr>
        <w:tc>
          <w:tcPr>
            <w:tcW w:w="620" w:type="dxa"/>
            <w:tcBorders>
              <w:top w:val="nil"/>
              <w:left w:val="single" w:color="auto" w:sz="4" w:space="0"/>
              <w:bottom w:val="single" w:color="auto" w:sz="4" w:space="0"/>
              <w:right w:val="single" w:color="auto" w:sz="4" w:space="0"/>
            </w:tcBorders>
            <w:shd w:val="clear" w:color="auto" w:fill="auto"/>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1</w:t>
            </w:r>
          </w:p>
        </w:tc>
        <w:tc>
          <w:tcPr>
            <w:tcW w:w="1393" w:type="dxa"/>
            <w:tcBorders>
              <w:top w:val="nil"/>
              <w:left w:val="nil"/>
              <w:bottom w:val="single" w:color="auto" w:sz="4" w:space="0"/>
              <w:right w:val="single" w:color="auto" w:sz="4" w:space="0"/>
            </w:tcBorders>
            <w:shd w:val="clear" w:color="000000" w:fill="FFFFFF"/>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奎腾沟矿井</w:t>
            </w:r>
          </w:p>
        </w:tc>
        <w:tc>
          <w:tcPr>
            <w:tcW w:w="1134" w:type="dxa"/>
            <w:tcBorders>
              <w:top w:val="single" w:color="auto" w:sz="4" w:space="0"/>
              <w:left w:val="nil"/>
              <w:bottom w:val="single" w:color="auto" w:sz="4" w:space="0"/>
              <w:right w:val="single" w:color="auto" w:sz="4" w:space="0"/>
            </w:tcBorders>
            <w:shd w:val="clear" w:color="000000" w:fill="FFFFFF"/>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1276" w:type="dxa"/>
            <w:tcBorders>
              <w:top w:val="single" w:color="auto" w:sz="4" w:space="0"/>
              <w:left w:val="nil"/>
              <w:bottom w:val="single" w:color="auto" w:sz="4" w:space="0"/>
              <w:right w:val="single" w:color="auto" w:sz="4" w:space="0"/>
            </w:tcBorders>
            <w:vAlign w:val="center"/>
          </w:tcPr>
          <w:p>
            <w:pPr>
              <w:widowControl/>
              <w:adjustRightInd w:val="0"/>
              <w:snapToGrid w:val="0"/>
              <w:jc w:val="center"/>
              <w:textAlignment w:val="center"/>
              <w:rPr>
                <w:rFonts w:ascii="Times New Roman" w:hAnsi="Times New Roman"/>
                <w:kern w:val="0"/>
                <w:sz w:val="21"/>
                <w:szCs w:val="21"/>
              </w:rPr>
            </w:pPr>
            <w:r>
              <w:rPr>
                <w:rFonts w:ascii="Times New Roman" w:hAnsi="Times New Roman"/>
                <w:kern w:val="0"/>
                <w:sz w:val="21"/>
                <w:szCs w:val="21"/>
                <w:lang w:bidi="ar"/>
              </w:rPr>
              <w:t>950</w:t>
            </w:r>
          </w:p>
        </w:tc>
        <w:tc>
          <w:tcPr>
            <w:tcW w:w="992"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1425</w:t>
            </w:r>
          </w:p>
        </w:tc>
        <w:tc>
          <w:tcPr>
            <w:tcW w:w="3711" w:type="dxa"/>
            <w:tcBorders>
              <w:top w:val="nil"/>
              <w:left w:val="nil"/>
              <w:bottom w:val="single" w:color="auto" w:sz="4" w:space="0"/>
              <w:right w:val="single" w:color="auto" w:sz="4" w:space="0"/>
            </w:tcBorders>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含选煤厂，二级+深度处理</w:t>
            </w:r>
          </w:p>
        </w:tc>
      </w:tr>
      <w:tr>
        <w:tblPrEx>
          <w:tblCellMar>
            <w:top w:w="0" w:type="dxa"/>
            <w:left w:w="28" w:type="dxa"/>
            <w:bottom w:w="0" w:type="dxa"/>
            <w:right w:w="28" w:type="dxa"/>
          </w:tblCellMar>
        </w:tblPrEx>
        <w:trPr>
          <w:trHeight w:val="397" w:hRule="atLeast"/>
          <w:jc w:val="center"/>
        </w:trPr>
        <w:tc>
          <w:tcPr>
            <w:tcW w:w="620" w:type="dxa"/>
            <w:tcBorders>
              <w:top w:val="nil"/>
              <w:left w:val="single" w:color="auto" w:sz="4" w:space="0"/>
              <w:bottom w:val="single" w:color="auto" w:sz="4" w:space="0"/>
              <w:right w:val="single" w:color="auto" w:sz="4" w:space="0"/>
            </w:tcBorders>
            <w:shd w:val="clear" w:color="auto" w:fill="auto"/>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2</w:t>
            </w:r>
          </w:p>
        </w:tc>
        <w:tc>
          <w:tcPr>
            <w:tcW w:w="1393" w:type="dxa"/>
            <w:tcBorders>
              <w:top w:val="nil"/>
              <w:left w:val="nil"/>
              <w:bottom w:val="single" w:color="auto" w:sz="4" w:space="0"/>
              <w:right w:val="single" w:color="auto" w:sz="4" w:space="0"/>
            </w:tcBorders>
            <w:shd w:val="clear" w:color="000000" w:fill="FFFFFF"/>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苏布尔嘎矿井</w:t>
            </w:r>
          </w:p>
        </w:tc>
        <w:tc>
          <w:tcPr>
            <w:tcW w:w="1134" w:type="dxa"/>
            <w:tcBorders>
              <w:top w:val="nil"/>
              <w:left w:val="nil"/>
              <w:bottom w:val="single" w:color="auto" w:sz="4" w:space="0"/>
              <w:right w:val="single" w:color="auto" w:sz="4" w:space="0"/>
            </w:tcBorders>
            <w:shd w:val="clear" w:color="000000" w:fill="FFFFFF"/>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1276" w:type="dxa"/>
            <w:tcBorders>
              <w:top w:val="single" w:color="auto" w:sz="4" w:space="0"/>
              <w:left w:val="nil"/>
              <w:bottom w:val="single" w:color="auto" w:sz="4" w:space="0"/>
              <w:right w:val="single" w:color="auto" w:sz="4" w:space="0"/>
            </w:tcBorders>
            <w:vAlign w:val="center"/>
          </w:tcPr>
          <w:p>
            <w:pPr>
              <w:widowControl/>
              <w:adjustRightInd w:val="0"/>
              <w:snapToGrid w:val="0"/>
              <w:jc w:val="center"/>
              <w:textAlignment w:val="center"/>
              <w:rPr>
                <w:rFonts w:ascii="Times New Roman" w:hAnsi="Times New Roman"/>
                <w:kern w:val="0"/>
                <w:sz w:val="21"/>
                <w:szCs w:val="21"/>
              </w:rPr>
            </w:pPr>
            <w:r>
              <w:rPr>
                <w:rFonts w:ascii="Times New Roman" w:hAnsi="Times New Roman"/>
                <w:kern w:val="0"/>
                <w:sz w:val="21"/>
                <w:szCs w:val="21"/>
                <w:lang w:bidi="ar"/>
              </w:rPr>
              <w:t>950</w:t>
            </w:r>
          </w:p>
        </w:tc>
        <w:tc>
          <w:tcPr>
            <w:tcW w:w="992"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1425</w:t>
            </w:r>
          </w:p>
        </w:tc>
        <w:tc>
          <w:tcPr>
            <w:tcW w:w="3711" w:type="dxa"/>
            <w:tcBorders>
              <w:top w:val="nil"/>
              <w:left w:val="nil"/>
              <w:bottom w:val="single" w:color="auto" w:sz="4" w:space="0"/>
              <w:right w:val="single" w:color="auto" w:sz="4" w:space="0"/>
            </w:tcBorders>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含选煤厂，二级+深度处理</w:t>
            </w:r>
          </w:p>
        </w:tc>
      </w:tr>
      <w:tr>
        <w:tblPrEx>
          <w:tblCellMar>
            <w:top w:w="0" w:type="dxa"/>
            <w:left w:w="28" w:type="dxa"/>
            <w:bottom w:w="0" w:type="dxa"/>
            <w:right w:w="28" w:type="dxa"/>
          </w:tblCellMar>
        </w:tblPrEx>
        <w:trPr>
          <w:trHeight w:val="397" w:hRule="atLeast"/>
          <w:jc w:val="center"/>
        </w:trPr>
        <w:tc>
          <w:tcPr>
            <w:tcW w:w="620" w:type="dxa"/>
            <w:tcBorders>
              <w:top w:val="nil"/>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3</w:t>
            </w:r>
          </w:p>
        </w:tc>
        <w:tc>
          <w:tcPr>
            <w:tcW w:w="1393" w:type="dxa"/>
            <w:tcBorders>
              <w:top w:val="nil"/>
              <w:left w:val="nil"/>
              <w:bottom w:val="single" w:color="auto" w:sz="4" w:space="0"/>
              <w:right w:val="single" w:color="auto" w:sz="4" w:space="0"/>
            </w:tcBorders>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壕赖苏矿井</w:t>
            </w:r>
          </w:p>
        </w:tc>
        <w:tc>
          <w:tcPr>
            <w:tcW w:w="1134"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1276" w:type="dxa"/>
            <w:tcBorders>
              <w:top w:val="single" w:color="auto" w:sz="4" w:space="0"/>
              <w:left w:val="nil"/>
              <w:bottom w:val="single" w:color="auto" w:sz="4" w:space="0"/>
              <w:right w:val="single" w:color="auto" w:sz="4" w:space="0"/>
            </w:tcBorders>
            <w:vAlign w:val="center"/>
          </w:tcPr>
          <w:p>
            <w:pPr>
              <w:widowControl/>
              <w:adjustRightInd w:val="0"/>
              <w:snapToGrid w:val="0"/>
              <w:jc w:val="center"/>
              <w:textAlignment w:val="center"/>
              <w:rPr>
                <w:rFonts w:ascii="Times New Roman" w:hAnsi="Times New Roman"/>
                <w:kern w:val="0"/>
                <w:sz w:val="21"/>
                <w:szCs w:val="21"/>
              </w:rPr>
            </w:pPr>
            <w:r>
              <w:rPr>
                <w:rFonts w:ascii="Times New Roman" w:hAnsi="Times New Roman"/>
                <w:kern w:val="0"/>
                <w:sz w:val="21"/>
                <w:szCs w:val="21"/>
                <w:lang w:bidi="ar"/>
              </w:rPr>
              <w:t>950</w:t>
            </w:r>
          </w:p>
        </w:tc>
        <w:tc>
          <w:tcPr>
            <w:tcW w:w="992"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2279</w:t>
            </w:r>
          </w:p>
        </w:tc>
        <w:tc>
          <w:tcPr>
            <w:tcW w:w="3711" w:type="dxa"/>
            <w:tcBorders>
              <w:top w:val="nil"/>
              <w:left w:val="nil"/>
              <w:bottom w:val="single" w:color="auto" w:sz="4" w:space="0"/>
              <w:right w:val="single" w:color="auto" w:sz="4" w:space="0"/>
            </w:tcBorders>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含选煤厂、辅助中心区，二级+深度处理</w:t>
            </w:r>
          </w:p>
        </w:tc>
      </w:tr>
      <w:tr>
        <w:tblPrEx>
          <w:tblCellMar>
            <w:top w:w="0" w:type="dxa"/>
            <w:left w:w="28" w:type="dxa"/>
            <w:bottom w:w="0" w:type="dxa"/>
            <w:right w:w="28" w:type="dxa"/>
          </w:tblCellMar>
        </w:tblPrEx>
        <w:trPr>
          <w:trHeight w:val="397" w:hRule="atLeast"/>
          <w:jc w:val="center"/>
        </w:trPr>
        <w:tc>
          <w:tcPr>
            <w:tcW w:w="620" w:type="dxa"/>
            <w:tcBorders>
              <w:top w:val="nil"/>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4</w:t>
            </w:r>
          </w:p>
        </w:tc>
        <w:tc>
          <w:tcPr>
            <w:tcW w:w="1393" w:type="dxa"/>
            <w:tcBorders>
              <w:top w:val="nil"/>
              <w:left w:val="nil"/>
              <w:bottom w:val="single" w:color="auto" w:sz="4" w:space="0"/>
              <w:right w:val="single" w:color="auto" w:sz="4" w:space="0"/>
            </w:tcBorders>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纳林希里矿井</w:t>
            </w:r>
          </w:p>
        </w:tc>
        <w:tc>
          <w:tcPr>
            <w:tcW w:w="1134"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8.00</w:t>
            </w:r>
          </w:p>
        </w:tc>
        <w:tc>
          <w:tcPr>
            <w:tcW w:w="1276" w:type="dxa"/>
            <w:tcBorders>
              <w:top w:val="single" w:color="auto" w:sz="4" w:space="0"/>
              <w:left w:val="nil"/>
              <w:bottom w:val="single" w:color="auto" w:sz="4" w:space="0"/>
              <w:right w:val="single" w:color="auto" w:sz="4" w:space="0"/>
            </w:tcBorders>
            <w:vAlign w:val="center"/>
          </w:tcPr>
          <w:p>
            <w:pPr>
              <w:widowControl/>
              <w:adjustRightInd w:val="0"/>
              <w:snapToGrid w:val="0"/>
              <w:jc w:val="center"/>
              <w:textAlignment w:val="center"/>
              <w:rPr>
                <w:rFonts w:ascii="Times New Roman" w:hAnsi="Times New Roman"/>
                <w:kern w:val="0"/>
                <w:sz w:val="21"/>
                <w:szCs w:val="21"/>
              </w:rPr>
            </w:pPr>
            <w:r>
              <w:rPr>
                <w:rFonts w:ascii="Times New Roman" w:hAnsi="Times New Roman"/>
                <w:kern w:val="0"/>
                <w:sz w:val="21"/>
                <w:szCs w:val="21"/>
                <w:lang w:bidi="ar"/>
              </w:rPr>
              <w:t>950</w:t>
            </w:r>
          </w:p>
        </w:tc>
        <w:tc>
          <w:tcPr>
            <w:tcW w:w="992"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1425</w:t>
            </w:r>
          </w:p>
        </w:tc>
        <w:tc>
          <w:tcPr>
            <w:tcW w:w="3711" w:type="dxa"/>
            <w:tcBorders>
              <w:top w:val="nil"/>
              <w:left w:val="nil"/>
              <w:bottom w:val="single" w:color="auto" w:sz="4" w:space="0"/>
              <w:right w:val="single" w:color="auto" w:sz="4" w:space="0"/>
            </w:tcBorders>
            <w:noWrap/>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含选煤厂，二级+深度处理</w:t>
            </w:r>
          </w:p>
        </w:tc>
      </w:tr>
      <w:tr>
        <w:tblPrEx>
          <w:tblCellMar>
            <w:top w:w="0" w:type="dxa"/>
            <w:left w:w="28" w:type="dxa"/>
            <w:bottom w:w="0" w:type="dxa"/>
            <w:right w:w="28" w:type="dxa"/>
          </w:tblCellMar>
        </w:tblPrEx>
        <w:trPr>
          <w:trHeight w:val="397" w:hRule="atLeast"/>
          <w:jc w:val="center"/>
        </w:trPr>
        <w:tc>
          <w:tcPr>
            <w:tcW w:w="620" w:type="dxa"/>
            <w:tcBorders>
              <w:top w:val="nil"/>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5</w:t>
            </w:r>
          </w:p>
        </w:tc>
        <w:tc>
          <w:tcPr>
            <w:tcW w:w="1393" w:type="dxa"/>
            <w:tcBorders>
              <w:top w:val="nil"/>
              <w:left w:val="nil"/>
              <w:bottom w:val="single" w:color="auto" w:sz="4" w:space="0"/>
              <w:right w:val="single" w:color="auto" w:sz="4" w:space="0"/>
            </w:tcBorders>
            <w:noWrap/>
            <w:vAlign w:val="center"/>
          </w:tcPr>
          <w:p>
            <w:pPr>
              <w:widowControl/>
              <w:adjustRightInd w:val="0"/>
              <w:snapToGrid w:val="0"/>
              <w:jc w:val="left"/>
              <w:rPr>
                <w:rFonts w:ascii="Times New Roman" w:hAnsi="Times New Roman"/>
                <w:kern w:val="0"/>
                <w:sz w:val="21"/>
                <w:szCs w:val="21"/>
              </w:rPr>
            </w:pPr>
            <w:r>
              <w:rPr>
                <w:rFonts w:ascii="Times New Roman" w:hAnsi="Times New Roman"/>
                <w:kern w:val="0"/>
                <w:sz w:val="21"/>
                <w:szCs w:val="21"/>
              </w:rPr>
              <w:t>辅助中心区</w:t>
            </w:r>
          </w:p>
        </w:tc>
        <w:tc>
          <w:tcPr>
            <w:tcW w:w="1134"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w:t>
            </w:r>
          </w:p>
        </w:tc>
        <w:tc>
          <w:tcPr>
            <w:tcW w:w="1276" w:type="dxa"/>
            <w:tcBorders>
              <w:top w:val="single" w:color="auto" w:sz="4" w:space="0"/>
              <w:left w:val="nil"/>
              <w:bottom w:val="single" w:color="auto" w:sz="4" w:space="0"/>
              <w:right w:val="single" w:color="auto" w:sz="4" w:space="0"/>
            </w:tcBorders>
            <w:vAlign w:val="center"/>
          </w:tcPr>
          <w:p>
            <w:pPr>
              <w:widowControl/>
              <w:adjustRightInd w:val="0"/>
              <w:snapToGrid w:val="0"/>
              <w:jc w:val="center"/>
              <w:textAlignment w:val="center"/>
              <w:rPr>
                <w:rFonts w:ascii="Times New Roman" w:hAnsi="Times New Roman"/>
                <w:kern w:val="0"/>
                <w:sz w:val="21"/>
                <w:szCs w:val="21"/>
              </w:rPr>
            </w:pPr>
            <w:r>
              <w:rPr>
                <w:rFonts w:ascii="Times New Roman" w:hAnsi="Times New Roman"/>
                <w:kern w:val="0"/>
                <w:sz w:val="21"/>
                <w:szCs w:val="21"/>
                <w:lang w:bidi="ar"/>
              </w:rPr>
              <w:t>569</w:t>
            </w:r>
          </w:p>
        </w:tc>
        <w:tc>
          <w:tcPr>
            <w:tcW w:w="992"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w:t>
            </w:r>
          </w:p>
        </w:tc>
        <w:tc>
          <w:tcPr>
            <w:tcW w:w="3711"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w:t>
            </w:r>
          </w:p>
        </w:tc>
      </w:tr>
      <w:tr>
        <w:tblPrEx>
          <w:tblCellMar>
            <w:top w:w="0" w:type="dxa"/>
            <w:left w:w="28" w:type="dxa"/>
            <w:bottom w:w="0" w:type="dxa"/>
            <w:right w:w="28" w:type="dxa"/>
          </w:tblCellMar>
        </w:tblPrEx>
        <w:trPr>
          <w:trHeight w:val="397" w:hRule="atLeast"/>
          <w:jc w:val="center"/>
        </w:trPr>
        <w:tc>
          <w:tcPr>
            <w:tcW w:w="2013" w:type="dxa"/>
            <w:gridSpan w:val="2"/>
            <w:tcBorders>
              <w:top w:val="nil"/>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合计</w:t>
            </w:r>
          </w:p>
        </w:tc>
        <w:tc>
          <w:tcPr>
            <w:tcW w:w="1134"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32.00</w:t>
            </w:r>
          </w:p>
        </w:tc>
        <w:tc>
          <w:tcPr>
            <w:tcW w:w="1276" w:type="dxa"/>
            <w:tcBorders>
              <w:top w:val="single" w:color="auto" w:sz="4" w:space="0"/>
              <w:left w:val="nil"/>
              <w:bottom w:val="single" w:color="auto" w:sz="4" w:space="0"/>
              <w:right w:val="single" w:color="auto" w:sz="4" w:space="0"/>
            </w:tcBorders>
            <w:vAlign w:val="center"/>
          </w:tcPr>
          <w:p>
            <w:pPr>
              <w:widowControl/>
              <w:adjustRightInd w:val="0"/>
              <w:snapToGrid w:val="0"/>
              <w:jc w:val="center"/>
              <w:textAlignment w:val="center"/>
              <w:rPr>
                <w:rFonts w:ascii="Times New Roman" w:hAnsi="Times New Roman"/>
                <w:kern w:val="0"/>
                <w:sz w:val="21"/>
                <w:szCs w:val="21"/>
              </w:rPr>
            </w:pPr>
            <w:r>
              <w:rPr>
                <w:rFonts w:ascii="Times New Roman" w:hAnsi="Times New Roman"/>
                <w:kern w:val="0"/>
                <w:sz w:val="21"/>
                <w:szCs w:val="21"/>
                <w:lang w:bidi="ar"/>
              </w:rPr>
              <w:t>4370</w:t>
            </w:r>
          </w:p>
        </w:tc>
        <w:tc>
          <w:tcPr>
            <w:tcW w:w="992"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6554</w:t>
            </w:r>
          </w:p>
        </w:tc>
        <w:tc>
          <w:tcPr>
            <w:tcW w:w="3711" w:type="dxa"/>
            <w:tcBorders>
              <w:top w:val="nil"/>
              <w:left w:val="nil"/>
              <w:bottom w:val="single" w:color="auto" w:sz="4" w:space="0"/>
              <w:right w:val="single" w:color="auto" w:sz="4" w:space="0"/>
            </w:tcBorders>
            <w:noWrap/>
            <w:vAlign w:val="center"/>
          </w:tcPr>
          <w:p>
            <w:pPr>
              <w:widowControl/>
              <w:adjustRightInd w:val="0"/>
              <w:snapToGrid w:val="0"/>
              <w:jc w:val="center"/>
              <w:rPr>
                <w:rFonts w:ascii="Times New Roman" w:hAnsi="Times New Roman"/>
                <w:kern w:val="0"/>
                <w:sz w:val="21"/>
                <w:szCs w:val="21"/>
              </w:rPr>
            </w:pPr>
            <w:r>
              <w:rPr>
                <w:rFonts w:ascii="Times New Roman" w:hAnsi="Times New Roman"/>
                <w:kern w:val="0"/>
                <w:sz w:val="21"/>
                <w:szCs w:val="21"/>
              </w:rPr>
              <w:t>/</w:t>
            </w:r>
          </w:p>
        </w:tc>
      </w:tr>
    </w:tbl>
    <w:p>
      <w:pPr>
        <w:pStyle w:val="5"/>
        <w:spacing w:before="120" w:after="120" w:line="440" w:lineRule="exact"/>
        <w:rPr>
          <w:sz w:val="24"/>
        </w:rPr>
      </w:pPr>
      <w:r>
        <w:rPr>
          <w:sz w:val="24"/>
        </w:rPr>
        <w:t>2.1.12 环境保护规划</w:t>
      </w:r>
    </w:p>
    <w:p>
      <w:pPr>
        <w:keepNext/>
        <w:keepLines/>
        <w:spacing w:line="440" w:lineRule="exact"/>
        <w:outlineLvl w:val="3"/>
        <w:rPr>
          <w:rFonts w:ascii="Times New Roman" w:hAnsi="Times New Roman"/>
          <w:b/>
        </w:rPr>
      </w:pPr>
      <w:r>
        <w:rPr>
          <w:rFonts w:ascii="Times New Roman" w:hAnsi="Times New Roman"/>
          <w:b/>
        </w:rPr>
        <w:t>2.1.12.1 空气污染防治规划</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大气污染物主要来自锅炉房排放的烟气，污染物主要有TSP、SO</w:t>
      </w:r>
      <w:r>
        <w:rPr>
          <w:rFonts w:ascii="Times New Roman" w:hAnsi="Times New Roman"/>
          <w:szCs w:val="24"/>
          <w:vertAlign w:val="subscript"/>
        </w:rPr>
        <w:t>2</w:t>
      </w:r>
      <w:r>
        <w:rPr>
          <w:rFonts w:ascii="Times New Roman" w:hAnsi="Times New Roman"/>
          <w:szCs w:val="24"/>
        </w:rPr>
        <w:t>、氮氧化物等。煤炭生产、储存、运输过程中产生的粉尘是大气污染物的另一主要来源。</w:t>
      </w:r>
      <w:r>
        <w:rPr>
          <w:rFonts w:ascii="Times New Roman" w:hAnsi="Times New Roman"/>
          <w:bCs/>
          <w:szCs w:val="24"/>
        </w:rPr>
        <w:t>矿区各种燃油机械排放尾气中的一氧化碳、碳氢化合物、氮氧化物、油烟颗粒物等也是造成矿区环境空气污染的原因之一。</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（1）烟气治理措施</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根据锅炉型号及燃煤煤质特征合理配置除尘器、脱硫、脱硝装置，综合脱硫效率不低于90%，除尘效率不低于95%，脱硝效率不低于40%。从而使烟气中颗粒物、二氧化硫、氮氧化物达标排放，净化后的烟气再通过高烟囱的稀释排放，也将大大降低污染物的落地浓度。通过采取以上措施锅炉房排放的烟气均能满足《锅炉大气污染物排放标准》（GB13271-2014）中新建锅炉污染物排放标准要求。</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（2）粉尘治理措施</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煤炭转载、贮运应尽可能在封闭条件下操作，储煤场应全封闭。生产系统带式输送机采取封闭防尘措施，同时采取喷雾降尘的治理措施，防止产生煤尘污染；选煤设备考虑设置在封闭的厂房内，选煤设备设置微雾抑尘装置，作业场所采取洒水措施；破碎机上设密闭吸尘罩、除尘装置；场地周边种植防风绿化带，栽种隔离式乔木林、灌木林。</w:t>
      </w:r>
    </w:p>
    <w:p>
      <w:pPr>
        <w:keepNext/>
        <w:keepLines/>
        <w:spacing w:line="440" w:lineRule="exact"/>
        <w:outlineLvl w:val="3"/>
        <w:rPr>
          <w:rFonts w:ascii="Times New Roman" w:hAnsi="Times New Roman"/>
          <w:b/>
        </w:rPr>
      </w:pPr>
      <w:r>
        <w:rPr>
          <w:rFonts w:ascii="Times New Roman" w:hAnsi="Times New Roman"/>
          <w:b/>
        </w:rPr>
        <w:t>2.1.12.2 水污染防治规划</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矿区规划矿井形成设计能力32.0Mt/a时，矿区生活污水产生量约4370m</w:t>
      </w:r>
      <w:r>
        <w:rPr>
          <w:rFonts w:ascii="Times New Roman" w:hAnsi="Times New Roman"/>
          <w:szCs w:val="24"/>
          <w:vertAlign w:val="superscript"/>
        </w:rPr>
        <w:t>3</w:t>
      </w:r>
      <w:r>
        <w:rPr>
          <w:rFonts w:ascii="Times New Roman" w:hAnsi="Times New Roman"/>
          <w:szCs w:val="24"/>
        </w:rPr>
        <w:t>/d，矿井井下最大排水量为118800m</w:t>
      </w:r>
      <w:r>
        <w:rPr>
          <w:rFonts w:ascii="Times New Roman" w:hAnsi="Times New Roman"/>
          <w:szCs w:val="24"/>
          <w:vertAlign w:val="superscript"/>
        </w:rPr>
        <w:t>3</w:t>
      </w:r>
      <w:r>
        <w:rPr>
          <w:rFonts w:ascii="Times New Roman" w:hAnsi="Times New Roman"/>
          <w:szCs w:val="24"/>
        </w:rPr>
        <w:t>/d。规划矿井排水和生活污水全部进行处理以充分利用和保护水资源，井下排水经处理后应全部按照处理后不同的回用水质标准进行利用，处理达标后可回用于矿井黄泥灌浆、选煤厂生产补充水、井下消防洒水等项目，富裕水量通过输水管线送至附近化工园区及生态蓄水池作为景观用水。</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依据矿区规划各矿井及辅助企业区相应建设生活污水处理厂，根据需要采用与水质、水量等条件相适应的深度处理工艺，达标后全部回用，实现污水的资源化利用。并对矿井工业场地制定分区防渗措施，防治污染地下水。</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处理后的矿井水及生活污水作为矿井日用消防、井下消防洒水、中水用水及矿井生产用水水源等。井下水及污水处理站投入正常运行后不再开采地下水资源，建设期运行的水源井可作为矿井及附属企业的应急水源。</w:t>
      </w:r>
    </w:p>
    <w:p>
      <w:pPr>
        <w:keepNext/>
        <w:keepLines/>
        <w:spacing w:line="440" w:lineRule="exact"/>
        <w:outlineLvl w:val="3"/>
        <w:rPr>
          <w:rFonts w:ascii="Times New Roman" w:hAnsi="Times New Roman"/>
          <w:b/>
        </w:rPr>
      </w:pPr>
      <w:r>
        <w:rPr>
          <w:rFonts w:ascii="Times New Roman" w:hAnsi="Times New Roman"/>
          <w:b/>
        </w:rPr>
        <w:t>2.1.12.3 固体废物处理及综合利用</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矿区固体废物主要是煤矸石、锅炉灰渣、生活垃圾及水处理站污泥。</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煤炭生产能力达到规划规模32.00Mt/a时，规划矿井及选煤厂矸石排放量约3.06Mt/a，其中矿井矸石0.54Mt/a，选煤厂矸石2.52Mt/a。矿井掘进矸石全部用于井下充填废弃巷道不出井。洗选矸石初期运往矸石周转场地临时堆存，后期主要用于井下充填采空区，矿区煤矸石综合利用率可达到95%以上，矸石处置率100%，满足鄂尔多斯市生态环境保护规划中关于矿区煤矸石综合利用率达到95%以上的要求。</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各矿井锅炉房产生的灰渣，用于井下防火灌浆、矿区铺路等。</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矿区内产生的生活垃圾应由矿区有关部门统一收集，运至鄂尔多斯市垃圾处理场处置，或可考虑各矿井设置压缩式垃圾中转站收集垃圾。集中解决位置较偏远处矿井生活垃圾处置问题。</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矿井水处理站煤泥，经压滤后可掺入混煤中对外销售。</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生活污水处理站污泥，经压滤后与生活垃圾共同处置。</w:t>
      </w:r>
    </w:p>
    <w:p>
      <w:pPr>
        <w:pStyle w:val="5"/>
        <w:spacing w:before="120" w:after="120" w:line="440" w:lineRule="exact"/>
        <w:rPr>
          <w:sz w:val="24"/>
        </w:rPr>
      </w:pPr>
      <w:r>
        <w:rPr>
          <w:sz w:val="24"/>
        </w:rPr>
        <w:t>2.1.13 劳动定员与经济指标</w:t>
      </w:r>
    </w:p>
    <w:p>
      <w:pPr>
        <w:keepNext/>
        <w:keepLines/>
        <w:spacing w:line="440" w:lineRule="exact"/>
        <w:outlineLvl w:val="3"/>
        <w:rPr>
          <w:rFonts w:ascii="Times New Roman" w:hAnsi="Times New Roman"/>
          <w:b/>
        </w:rPr>
      </w:pPr>
      <w:r>
        <w:rPr>
          <w:rFonts w:ascii="Times New Roman" w:hAnsi="Times New Roman"/>
          <w:b/>
        </w:rPr>
        <w:t>2.1.13.1 劳动定员</w:t>
      </w:r>
    </w:p>
    <w:p>
      <w:pPr>
        <w:snapToGrid w:val="0"/>
        <w:spacing w:line="440" w:lineRule="exact"/>
        <w:ind w:firstLine="480" w:firstLineChars="200"/>
        <w:rPr>
          <w:rFonts w:ascii="Times New Roman" w:hAnsi="Times New Roman"/>
          <w:szCs w:val="24"/>
        </w:rPr>
      </w:pPr>
      <w:r>
        <w:rPr>
          <w:rFonts w:ascii="Times New Roman" w:hAnsi="Times New Roman"/>
          <w:szCs w:val="24"/>
        </w:rPr>
        <w:t>规划项目达到总生产规模时，在籍总人数为4310人。</w:t>
      </w:r>
    </w:p>
    <w:p>
      <w:pPr>
        <w:keepNext/>
        <w:keepLines/>
        <w:spacing w:line="440" w:lineRule="exact"/>
        <w:outlineLvl w:val="3"/>
        <w:rPr>
          <w:rFonts w:ascii="Times New Roman" w:hAnsi="Times New Roman"/>
          <w:b/>
        </w:rPr>
      </w:pPr>
      <w:r>
        <w:rPr>
          <w:rFonts w:ascii="Times New Roman" w:hAnsi="Times New Roman"/>
          <w:b/>
        </w:rPr>
        <w:t>2.1.13.2 矿区主要技术经济指标</w:t>
      </w:r>
    </w:p>
    <w:p>
      <w:pPr>
        <w:widowControl/>
        <w:snapToGrid w:val="0"/>
        <w:spacing w:line="440" w:lineRule="exact"/>
        <w:ind w:firstLine="481"/>
        <w:rPr>
          <w:rFonts w:ascii="Times New Roman" w:hAnsi="Times New Roman"/>
          <w:snapToGrid w:val="0"/>
          <w:kern w:val="0"/>
        </w:rPr>
      </w:pPr>
      <w:r>
        <w:rPr>
          <w:rFonts w:ascii="Times New Roman" w:hAnsi="Times New Roman"/>
          <w:snapToGrid w:val="0"/>
          <w:kern w:val="0"/>
        </w:rPr>
        <w:t>矿区主要技术经济指标表见表2.1-12。</w:t>
      </w:r>
    </w:p>
    <w:p>
      <w:pPr>
        <w:spacing w:line="440" w:lineRule="exact"/>
        <w:jc w:val="center"/>
        <w:rPr>
          <w:rFonts w:ascii="Times New Roman" w:hAnsi="Times New Roman"/>
          <w:b/>
        </w:rPr>
      </w:pPr>
      <w:r>
        <w:rPr>
          <w:rFonts w:ascii="Times New Roman" w:hAnsi="Times New Roman"/>
          <w:b/>
        </w:rPr>
        <w:t>矿区主要技术经济指标表</w:t>
      </w:r>
    </w:p>
    <w:p>
      <w:pPr>
        <w:pStyle w:val="331"/>
        <w:spacing w:line="440" w:lineRule="exact"/>
        <w:rPr>
          <w:rFonts w:ascii="Times New Roman" w:hAnsi="Times New Roman" w:cs="Times New Roman"/>
        </w:rPr>
      </w:pPr>
      <w:r>
        <w:rPr>
          <w:rFonts w:ascii="Times New Roman" w:hAnsi="Times New Roman" w:cs="Times New Roman"/>
        </w:rPr>
        <w:t xml:space="preserve">表2.1-12                                                     </w:t>
      </w:r>
    </w:p>
    <w:tbl>
      <w:tblPr>
        <w:tblStyle w:val="59"/>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7"/>
        <w:gridCol w:w="3810"/>
        <w:gridCol w:w="1331"/>
        <w:gridCol w:w="1960"/>
        <w:gridCol w:w="1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blHeader/>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序号</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指标名称</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单位</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数量</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left"/>
              <w:rPr>
                <w:rFonts w:ascii="Times New Roman" w:hAnsi="Times New Roman"/>
                <w:sz w:val="21"/>
                <w:szCs w:val="21"/>
              </w:rPr>
            </w:pPr>
            <w:r>
              <w:rPr>
                <w:rFonts w:ascii="Times New Roman" w:hAnsi="Times New Roman"/>
                <w:sz w:val="21"/>
                <w:szCs w:val="21"/>
              </w:rPr>
              <w:t>煤类</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不粘煤</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left"/>
              <w:rPr>
                <w:rFonts w:ascii="Times New Roman" w:hAnsi="Times New Roman"/>
                <w:sz w:val="21"/>
                <w:szCs w:val="21"/>
              </w:rPr>
            </w:pPr>
            <w:r>
              <w:rPr>
                <w:rFonts w:ascii="Times New Roman" w:hAnsi="Times New Roman"/>
                <w:sz w:val="21"/>
                <w:szCs w:val="21"/>
              </w:rPr>
              <w:t>可采煤层层数</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层</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16</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left"/>
              <w:rPr>
                <w:rFonts w:ascii="Times New Roman" w:hAnsi="Times New Roman"/>
                <w:sz w:val="21"/>
                <w:szCs w:val="21"/>
              </w:rPr>
            </w:pPr>
            <w:r>
              <w:rPr>
                <w:rFonts w:ascii="Times New Roman" w:hAnsi="Times New Roman"/>
                <w:sz w:val="21"/>
                <w:szCs w:val="21"/>
              </w:rPr>
              <w:t>煤层倾角</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度</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1~3</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4</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left"/>
              <w:rPr>
                <w:rFonts w:ascii="Times New Roman" w:hAnsi="Times New Roman"/>
                <w:sz w:val="21"/>
                <w:szCs w:val="21"/>
              </w:rPr>
            </w:pPr>
            <w:r>
              <w:rPr>
                <w:rFonts w:ascii="Times New Roman" w:hAnsi="Times New Roman"/>
                <w:sz w:val="21"/>
                <w:szCs w:val="21"/>
              </w:rPr>
              <w:t>矿区地面高程</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最低高程</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+1280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最高高程</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+1560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相对高程</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280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5</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矿区范围</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kern w:val="0"/>
                <w:sz w:val="21"/>
                <w:szCs w:val="21"/>
              </w:rPr>
              <w:t>南北平均长</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km</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38.1</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kern w:val="0"/>
                <w:sz w:val="21"/>
                <w:szCs w:val="21"/>
              </w:rPr>
              <w:t>东西平均宽</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km</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17.8</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矿区总面积</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km</w:t>
            </w:r>
            <w:r>
              <w:rPr>
                <w:rFonts w:ascii="Times New Roman" w:hAnsi="Times New Roman"/>
                <w:sz w:val="21"/>
                <w:szCs w:val="21"/>
                <w:vertAlign w:val="superscript"/>
              </w:rPr>
              <w:t>2</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kern w:val="0"/>
                <w:sz w:val="21"/>
                <w:szCs w:val="21"/>
              </w:rPr>
              <w:t>708.16</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6</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矿区资源量</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Mt</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12565.58</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7</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规划井田面积与地质资源总量</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面积</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km</w:t>
            </w:r>
            <w:r>
              <w:rPr>
                <w:rFonts w:ascii="Times New Roman" w:hAnsi="Times New Roman"/>
                <w:sz w:val="21"/>
                <w:szCs w:val="21"/>
                <w:vertAlign w:val="superscript"/>
              </w:rPr>
              <w:t>2</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445.28</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地质资源总量</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Mt</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8695.79</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估算可采储量</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Mt</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color w:val="FF0000"/>
                <w:sz w:val="21"/>
                <w:szCs w:val="21"/>
              </w:rPr>
              <w:t>3849.68</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8</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勘查区面积与资源量</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面积</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km</w:t>
            </w:r>
            <w:r>
              <w:rPr>
                <w:rFonts w:ascii="Times New Roman" w:hAnsi="Times New Roman"/>
                <w:sz w:val="21"/>
                <w:szCs w:val="21"/>
                <w:vertAlign w:val="superscript"/>
              </w:rPr>
              <w:t>2</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262.88</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资源量</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Mt</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3869.79</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9</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1"/>
              <w:rPr>
                <w:rFonts w:ascii="Times New Roman" w:hAnsi="Times New Roman"/>
                <w:sz w:val="21"/>
                <w:szCs w:val="21"/>
              </w:rPr>
            </w:pPr>
            <w:r>
              <w:rPr>
                <w:rFonts w:ascii="Times New Roman" w:hAnsi="Times New Roman"/>
                <w:sz w:val="21"/>
                <w:szCs w:val="21"/>
              </w:rPr>
              <w:t>矿区规划规模</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Mt/a</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32.0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矿区服务年限</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a</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color w:val="FF0000"/>
                <w:sz w:val="21"/>
                <w:szCs w:val="21"/>
              </w:rPr>
            </w:pPr>
            <w:r>
              <w:rPr>
                <w:rFonts w:ascii="Times New Roman" w:hAnsi="Times New Roman"/>
                <w:color w:val="FF0000"/>
                <w:sz w:val="21"/>
                <w:szCs w:val="21"/>
              </w:rPr>
              <w:t>98</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其中：均衡生产年限</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a</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color w:val="FF0000"/>
                <w:sz w:val="21"/>
                <w:szCs w:val="21"/>
              </w:rPr>
            </w:pPr>
            <w:r>
              <w:rPr>
                <w:rFonts w:ascii="Times New Roman" w:hAnsi="Times New Roman"/>
                <w:color w:val="FF0000"/>
                <w:sz w:val="21"/>
                <w:szCs w:val="21"/>
              </w:rPr>
              <w:t>67</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11</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矿井数目</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个</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4</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12</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矿井总生产能力</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Mt/a</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32.0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矿井数目与总生产能力</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个，Mt/a</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4，32.0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其中：大型矿井数目与总生产能力</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个，Mt/a</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4，32.0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13</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矿区内勘查区块数目</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个</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14</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选煤厂数目与总生产能力</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个，Mt/a</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4，32.0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矿区铁路专用线正线总长度</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km</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73.4</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铁路装车站全长25.5km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16</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矿区公路总长度</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km</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28.4</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17</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矿区电力负荷</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MW</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173.25</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18</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矿区总用水量</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28058</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19</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矿区用地总面积</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hm</w:t>
            </w:r>
            <w:r>
              <w:rPr>
                <w:rFonts w:ascii="Times New Roman" w:hAnsi="Times New Roman"/>
                <w:sz w:val="21"/>
                <w:szCs w:val="21"/>
                <w:vertAlign w:val="superscript"/>
              </w:rPr>
              <w:t>2</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638.65</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矿区在籍职工总数</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人</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4310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其中：矿井在籍职工人数</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人</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2460</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Times New Roman" w:hAnsi="Times New Roman"/>
                <w:sz w:val="21"/>
                <w:szCs w:val="21"/>
              </w:rPr>
            </w:pPr>
            <w:r>
              <w:rPr>
                <w:rFonts w:ascii="Times New Roman" w:hAnsi="Times New Roman"/>
                <w:sz w:val="21"/>
                <w:szCs w:val="21"/>
              </w:rPr>
              <w:t>选煤厂在籍职工人数</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人</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688</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矿区配套设施在籍职工人数</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人</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1162</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21</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矿井全员效率</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t/工</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39.42</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22</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矿区建设总投资</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万元</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4862347</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537"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23</w:t>
            </w:r>
          </w:p>
        </w:tc>
        <w:tc>
          <w:tcPr>
            <w:tcW w:w="381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矿区建设周期（达到均衡生产期的时间）</w:t>
            </w:r>
          </w:p>
        </w:tc>
        <w:tc>
          <w:tcPr>
            <w:tcW w:w="13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a</w:t>
            </w:r>
          </w:p>
        </w:tc>
        <w:tc>
          <w:tcPr>
            <w:tcW w:w="19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6</w:t>
            </w:r>
          </w:p>
        </w:tc>
        <w:tc>
          <w:tcPr>
            <w:tcW w:w="171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Times New Roman" w:hAnsi="Times New Roman"/>
                <w:sz w:val="21"/>
                <w:szCs w:val="21"/>
              </w:rPr>
            </w:pPr>
          </w:p>
        </w:tc>
      </w:tr>
    </w:tbl>
    <w:p>
      <w:pPr>
        <w:pStyle w:val="4"/>
        <w:snapToGrid w:val="0"/>
        <w:spacing w:line="440" w:lineRule="exact"/>
        <w:rPr>
          <w:rFonts w:ascii="Times New Roman" w:hAnsi="Times New Roman" w:eastAsia="宋体"/>
          <w:sz w:val="28"/>
        </w:rPr>
      </w:pPr>
      <w:bookmarkStart w:id="107" w:name="_Toc24006"/>
      <w:bookmarkStart w:id="108" w:name="_Toc437006595"/>
      <w:bookmarkStart w:id="109" w:name="_Toc29057"/>
      <w:bookmarkStart w:id="110" w:name="_Toc3388"/>
      <w:bookmarkStart w:id="111" w:name="_Toc23519326"/>
      <w:r>
        <w:rPr>
          <w:rFonts w:ascii="Times New Roman" w:hAnsi="Times New Roman" w:eastAsia="宋体"/>
          <w:sz w:val="28"/>
        </w:rPr>
        <w:t>2.2 规划协调性分析</w:t>
      </w:r>
      <w:bookmarkEnd w:id="107"/>
      <w:bookmarkEnd w:id="108"/>
      <w:bookmarkEnd w:id="109"/>
      <w:bookmarkEnd w:id="110"/>
      <w:bookmarkEnd w:id="111"/>
    </w:p>
    <w:p>
      <w:pPr>
        <w:pStyle w:val="5"/>
        <w:spacing w:before="120" w:after="120" w:line="440" w:lineRule="exact"/>
        <w:rPr>
          <w:sz w:val="24"/>
        </w:rPr>
      </w:pPr>
      <w:r>
        <w:rPr>
          <w:sz w:val="24"/>
        </w:rPr>
        <w:t>2.2.1外部协调性分析</w:t>
      </w:r>
    </w:p>
    <w:p>
      <w:pPr>
        <w:adjustRightInd w:val="0"/>
        <w:snapToGrid w:val="0"/>
        <w:spacing w:line="440" w:lineRule="exact"/>
        <w:ind w:firstLine="480" w:firstLineChars="200"/>
        <w:rPr>
          <w:rFonts w:ascii="Times New Roman" w:hAnsi="Times New Roman"/>
        </w:rPr>
      </w:pPr>
      <w:r>
        <w:rPr>
          <w:rFonts w:ascii="Times New Roman" w:hAnsi="Times New Roman"/>
        </w:rPr>
        <w:t>规划方案外部协调性分析主要是对矿区规划方案与相关政策、法规和规划的协调性进行分析，其目的是从总体上明确该矿区规划方案的合理性与限制性。规划方案协调性分析涉及的主要政策、法规和规划见下表2.2-1。</w:t>
      </w:r>
    </w:p>
    <w:p>
      <w:pPr>
        <w:widowControl/>
        <w:spacing w:beforeAutospacing="1" w:afterAutospacing="1"/>
        <w:jc w:val="left"/>
        <w:rPr>
          <w:rFonts w:ascii="Times New Roman" w:hAnsi="Times New Roman"/>
        </w:rPr>
        <w:sectPr>
          <w:headerReference r:id="rId9" w:type="default"/>
          <w:pgSz w:w="11906" w:h="16838"/>
          <w:pgMar w:top="1701" w:right="1418" w:bottom="1134" w:left="1418" w:header="1134" w:footer="851" w:gutter="0"/>
          <w:cols w:space="720" w:num="1"/>
        </w:sectPr>
      </w:pPr>
    </w:p>
    <w:p>
      <w:pPr>
        <w:pStyle w:val="345"/>
        <w:adjustRightInd w:val="0"/>
        <w:spacing w:line="440" w:lineRule="exact"/>
        <w:jc w:val="center"/>
        <w:rPr>
          <w:rFonts w:ascii="Times New Roman" w:hAnsi="Times New Roman" w:cs="Times New Roman"/>
          <w:kern w:val="0"/>
        </w:rPr>
      </w:pPr>
      <w:r>
        <w:rPr>
          <w:rFonts w:ascii="Times New Roman" w:hAnsi="Times New Roman" w:cs="Times New Roman"/>
          <w:kern w:val="0"/>
        </w:rPr>
        <w:t>规划方案协调性分析所涉及的主要政策、法规和规划</w:t>
      </w:r>
    </w:p>
    <w:p>
      <w:pPr>
        <w:pStyle w:val="331"/>
        <w:spacing w:line="440" w:lineRule="exact"/>
        <w:ind w:firstLine="240" w:firstLineChars="100"/>
        <w:rPr>
          <w:rFonts w:ascii="Times New Roman" w:hAnsi="Times New Roman" w:cs="Times New Roman"/>
          <w:kern w:val="0"/>
        </w:rPr>
      </w:pPr>
      <w:r>
        <w:rPr>
          <w:rFonts w:ascii="Times New Roman" w:hAnsi="Times New Roman" w:cs="Times New Roman"/>
        </w:rPr>
        <w:t>表2.2-1</w:t>
      </w:r>
    </w:p>
    <w:tbl>
      <w:tblPr>
        <w:tblStyle w:val="59"/>
        <w:tblW w:w="142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0" w:type="dxa"/>
          <w:bottom w:w="0" w:type="dxa"/>
          <w:right w:w="0" w:type="dxa"/>
        </w:tblCellMar>
      </w:tblPr>
      <w:tblGrid>
        <w:gridCol w:w="845"/>
        <w:gridCol w:w="1765"/>
        <w:gridCol w:w="6190"/>
        <w:gridCol w:w="4255"/>
        <w:gridCol w:w="1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40" w:hRule="atLeast"/>
          <w:tblHeader/>
        </w:trPr>
        <w:tc>
          <w:tcPr>
            <w:tcW w:w="84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层次</w:t>
            </w: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名称</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相关内容和要求</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本规划</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40" w:hRule="atLeast"/>
        </w:trPr>
        <w:tc>
          <w:tcPr>
            <w:tcW w:w="845" w:type="dxa"/>
            <w:vMerge w:val="restart"/>
            <w:tcBorders>
              <w:top w:val="single" w:color="auto" w:sz="4" w:space="0"/>
              <w:left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国</w:t>
            </w:r>
          </w:p>
          <w:p>
            <w:pPr>
              <w:ind w:left="120" w:leftChars="50" w:right="120" w:rightChars="50"/>
              <w:jc w:val="center"/>
              <w:rPr>
                <w:rFonts w:ascii="Times New Roman" w:hAnsi="Times New Roman"/>
                <w:sz w:val="21"/>
                <w:szCs w:val="21"/>
              </w:rPr>
            </w:pPr>
            <w:r>
              <w:rPr>
                <w:rFonts w:ascii="Times New Roman" w:hAnsi="Times New Roman"/>
                <w:sz w:val="21"/>
                <w:szCs w:val="21"/>
              </w:rPr>
              <w:t>家</w:t>
            </w:r>
          </w:p>
          <w:p>
            <w:pPr>
              <w:ind w:left="120" w:leftChars="50" w:right="120" w:rightChars="50"/>
              <w:jc w:val="center"/>
              <w:rPr>
                <w:rFonts w:ascii="Times New Roman" w:hAnsi="Times New Roman"/>
                <w:sz w:val="21"/>
                <w:szCs w:val="21"/>
              </w:rPr>
            </w:pPr>
            <w:r>
              <w:rPr>
                <w:rFonts w:ascii="Times New Roman" w:hAnsi="Times New Roman"/>
                <w:sz w:val="21"/>
                <w:szCs w:val="21"/>
              </w:rPr>
              <w:t>级</w:t>
            </w: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《中华人民共和国国民经济和社会发展第十四个五年规划和2035年远景目标纲要》</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18"/>
              </w:rPr>
              <w:t>推进能源革命，建设清洁低碳、安全高效的能源体系，提高能源供给保障能力。…推动煤炭生产向资源富集地区集中，合理控制煤电建设规模和发展节奏，推进以电代煤。…推动煤炭等化石能源清洁高效利用，推进钢铁、石化、建材等行业绿色化改造，加快大宗货物和中长途货物运输“公转铁”、“公转水”。</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纳林希里矿区位于内蒙古自治区东胜煤田的中西部。东胜煤田是我国迄今发现的最大煤田之一，且含煤面积广、煤炭资源丰富、煤质优良。矿区规划建设一条铁路专用线，煤炭主要通过铁路运至周边化工园区，并且作为“西北至华中”的煤源地之一，供华中地区用户作燃料用煤。</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40"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《全国生态功能区划》（修编版），2015.11</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kern w:val="0"/>
                <w:sz w:val="21"/>
                <w:szCs w:val="21"/>
              </w:rPr>
              <w:t>矿区属于</w:t>
            </w:r>
            <w:r>
              <w:rPr>
                <w:rFonts w:ascii="Times New Roman" w:hAnsi="Times New Roman"/>
                <w:sz w:val="21"/>
                <w:szCs w:val="16"/>
              </w:rPr>
              <w:t>I-04-08</w:t>
            </w:r>
            <w:r>
              <w:rPr>
                <w:rFonts w:ascii="Times New Roman" w:hAnsi="Times New Roman"/>
                <w:sz w:val="21"/>
                <w:szCs w:val="21"/>
              </w:rPr>
              <w:t xml:space="preserve"> 鄂尔多斯高原中部防风固沙功能区</w:t>
            </w:r>
            <w:r>
              <w:rPr>
                <w:rFonts w:ascii="Times New Roman" w:hAnsi="Times New Roman"/>
                <w:kern w:val="0"/>
                <w:sz w:val="21"/>
                <w:szCs w:val="21"/>
              </w:rPr>
              <w:t>。该区域的主要生态问题为过度放牧、草原开垦、水资源严重短缺与水资源过度开发导致植被退化、土地沙化、沙城暴等。生态保护的主要方向为：（1）在沙漠化极敏感区和高度敏感区建立生态功能保护区，严格控制放牧和草原生物资源的利用，禁止开垦草原，加强植被恢复和保护。（2）调整传统的畜牧业生产方式，大力发展草业，加快规模化圈养牧业的发展，控制放养对草地生态系统的损害。</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kern w:val="0"/>
                <w:sz w:val="21"/>
                <w:szCs w:val="21"/>
              </w:rPr>
              <w:t>规划提出了一些生态保护措施，但不够具体，本次评价将根据该生态功能区的特点提出有针对性的具体生态整治与恢复措施。</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727"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《国务院关于煤炭行业化解过剩产能实现脱困发展的意见，国发〔2016〕7号》</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严格控制新增产能。从2016年起，3年内原则上停止审批新建煤矿项目、新增产能的技术改造项目和产能核增项目；确需新建煤矿的，一律实行减量置换。在建煤矿项目应按一定比例与淘汰落后产能和化解过剩产能挂钩。</w:t>
            </w:r>
          </w:p>
        </w:tc>
        <w:tc>
          <w:tcPr>
            <w:tcW w:w="4255"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pBdr>
                <w:bottom w:val="single" w:color="auto" w:sz="4" w:space="1"/>
              </w:pBdr>
              <w:ind w:left="120" w:leftChars="50" w:right="120" w:rightChars="50"/>
              <w:rPr>
                <w:rFonts w:ascii="Times New Roman" w:hAnsi="Times New Roman"/>
                <w:sz w:val="21"/>
                <w:szCs w:val="21"/>
              </w:rPr>
            </w:pPr>
            <w:r>
              <w:rPr>
                <w:rFonts w:ascii="Times New Roman" w:hAnsi="Times New Roman"/>
                <w:sz w:val="21"/>
                <w:szCs w:val="21"/>
              </w:rPr>
              <w:t>自治区政府和鄂尔多斯市政府已批准《巴彦淖尔市水权置换煤炭资源开发利用规划》，为就地转换项目在纳林希里矿区配置了相应的煤炭资源。矿区总体规划批复后将进入实质性的井田开发建设阶段，进而推动配套转化项目建设。</w:t>
            </w:r>
          </w:p>
          <w:p>
            <w:pPr>
              <w:ind w:left="120" w:leftChars="50" w:right="120" w:rightChars="50"/>
              <w:rPr>
                <w:rFonts w:ascii="Times New Roman" w:hAnsi="Times New Roman"/>
                <w:sz w:val="21"/>
                <w:szCs w:val="21"/>
              </w:rPr>
            </w:pPr>
            <w:r>
              <w:rPr>
                <w:rFonts w:ascii="Times New Roman" w:hAnsi="Times New Roman"/>
                <w:sz w:val="21"/>
                <w:szCs w:val="21"/>
              </w:rPr>
              <w:t>纳林希里矿区位于内蒙古自治区中西部，煤炭主要通过铁路运至周边化工园区，并且作为“西北至华中”的煤源地之一，供华中地区用户作燃料用煤。矿区规划四个矿井，各矿井规模均为8Mt/a，总规模32.00Mt/a，矿区总体规划批复后将进入实质性的井田开发建设阶段，进而推动配套转化项目建设。</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65"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《煤炭工业发展“十三五”规划》2016.12</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结合榆林、鄂尔多斯等煤制油、煤制天然气、低阶煤分质利用（多联产）项目建设情况，有序建设配套煤矿，满足煤炭深加工用煤需要。增加外调规模，通过蒙西至华中等运煤通道向南方供煤，保障华中、华南地区淘汰小煤矿后的煤炭供应。</w:t>
            </w:r>
          </w:p>
          <w:p>
            <w:pPr>
              <w:ind w:left="120" w:leftChars="50" w:right="120" w:rightChars="50"/>
              <w:rPr>
                <w:rFonts w:ascii="Times New Roman" w:hAnsi="Times New Roman"/>
                <w:sz w:val="21"/>
                <w:szCs w:val="21"/>
              </w:rPr>
            </w:pPr>
            <w:r>
              <w:rPr>
                <w:rFonts w:ascii="Times New Roman" w:hAnsi="Times New Roman"/>
                <w:sz w:val="21"/>
                <w:szCs w:val="21"/>
              </w:rPr>
              <w:t>从2016年起，3年内原则上停止审批新建煤矿项目、新增产能的技术改造项目和产能核增项目。因结构，调整、转型升级等原因确需在规划布局内新建煤矿的，应关闭退出，相应规模的煤矿进行减量置换。新建煤矿建设规模不小于120万吨/年。</w:t>
            </w:r>
          </w:p>
        </w:tc>
        <w:tc>
          <w:tcPr>
            <w:tcW w:w="4255"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00"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《矿山生态环境保护与污染防治技术政策》</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kern w:val="0"/>
                <w:sz w:val="21"/>
                <w:szCs w:val="21"/>
              </w:rPr>
              <w:t>限制在生态功能保护区和自然保护区（过渡区）内开采矿产资源。生态功能保护区内的开采活动必须符合当地的环境功能区规划，并按规定进行控制性开采，开采活动不得影响本功能区内的主导生态功能。禁止新建煤层含硫量大于3%的煤矿。限制在地质灾害易发区、水土流失严重等生态脆弱区内开采矿产资源。</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矿区东北部边界外分布有鄂尔多斯遗鸥国家级自然保护区，与矿区范围无重叠。矿区勘查区内分布有生态红线区，已从矿区范围剔除。矿区煤层</w:t>
            </w:r>
            <w:r>
              <w:rPr>
                <w:rFonts w:ascii="Times New Roman" w:hAnsi="Times New Roman"/>
                <w:bCs/>
                <w:sz w:val="21"/>
                <w:szCs w:val="21"/>
                <w:lang w:val="zh-CN"/>
              </w:rPr>
              <w:t>硫分等级为特低-低硫煤。</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00"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《国家主体功能区规划》</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snapToGrid w:val="0"/>
              <w:ind w:left="120" w:leftChars="50" w:right="120" w:rightChars="50"/>
              <w:rPr>
                <w:rFonts w:ascii="Times New Roman" w:hAnsi="Times New Roman"/>
                <w:sz w:val="21"/>
                <w:szCs w:val="21"/>
              </w:rPr>
            </w:pPr>
            <w:r>
              <w:rPr>
                <w:rFonts w:ascii="Times New Roman" w:hAnsi="Times New Roman"/>
                <w:kern w:val="0"/>
                <w:sz w:val="21"/>
                <w:szCs w:val="21"/>
              </w:rPr>
              <w:t>三、</w:t>
            </w:r>
            <w:r>
              <w:rPr>
                <w:rFonts w:ascii="Times New Roman" w:hAnsi="Times New Roman"/>
                <w:sz w:val="21"/>
                <w:szCs w:val="21"/>
              </w:rPr>
              <w:t>呼包鄂榆地区：该区域位于全国“两横三纵”</w:t>
            </w:r>
            <w:r>
              <w:rPr>
                <w:rFonts w:ascii="Times New Roman" w:hAnsi="Times New Roman"/>
                <w:spacing w:val="8"/>
                <w:sz w:val="21"/>
                <w:szCs w:val="21"/>
                <w:shd w:val="clear" w:color="auto" w:fill="FFFFFF"/>
              </w:rPr>
              <w:t>城市化战略格局中包昆通道纵轴的北端，包括内蒙古自治区呼和浩特、包头、鄂尔多斯和陕西省榆林的部分地区，该区域的功能定位是：全国重要的能源、煤化工基地、农畜产品加工基地和稀土新材料产业基地，北方地区重要的冶金和装备制造业基地。</w:t>
            </w:r>
          </w:p>
          <w:p>
            <w:pPr>
              <w:ind w:left="120" w:leftChars="50" w:right="120" w:rightChars="50"/>
              <w:rPr>
                <w:rFonts w:ascii="Times New Roman" w:hAnsi="Times New Roman"/>
                <w:kern w:val="0"/>
                <w:sz w:val="21"/>
                <w:szCs w:val="21"/>
              </w:rPr>
            </w:pPr>
            <w:r>
              <w:rPr>
                <w:rFonts w:ascii="Times New Roman" w:hAnsi="Times New Roman"/>
                <w:kern w:val="0"/>
                <w:sz w:val="21"/>
                <w:szCs w:val="21"/>
              </w:rPr>
              <w:t>国家级自然保护区按核心区、缓冲区和实验区分类管理。核心区，严禁任何生产建设活动；缓冲区，除必要的科学实验活动以外，严禁其他任何生产建设活动；实验区，除必要的科学实验以及符合自然保护区规划的旅游、种植业和畜牧业等活动外，严禁其他生产建设活动。</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428"/>
              <w:spacing w:line="240" w:lineRule="auto"/>
              <w:ind w:left="120" w:leftChars="50" w:right="120" w:rightChars="50" w:firstLine="0" w:firstLineChars="0"/>
              <w:rPr>
                <w:rFonts w:ascii="Times New Roman" w:hAnsi="Times New Roman" w:eastAsia="宋体" w:cs="Times New Roman"/>
                <w:kern w:val="0"/>
                <w:sz w:val="21"/>
                <w:szCs w:val="21"/>
              </w:rPr>
            </w:pPr>
            <w:r>
              <w:rPr>
                <w:rFonts w:ascii="Times New Roman" w:hAnsi="Times New Roman" w:eastAsia="宋体" w:cs="Times New Roman"/>
                <w:sz w:val="21"/>
                <w:szCs w:val="21"/>
              </w:rPr>
              <w:t>矿区属于国家层面的重点开发区域-呼包鄂榆地区</w:t>
            </w:r>
            <w:r>
              <w:rPr>
                <w:rFonts w:ascii="Times New Roman" w:hAnsi="Times New Roman" w:eastAsia="宋体" w:cs="Times New Roman"/>
                <w:kern w:val="0"/>
                <w:sz w:val="21"/>
                <w:szCs w:val="21"/>
              </w:rPr>
              <w:t>。</w:t>
            </w:r>
          </w:p>
          <w:p>
            <w:pPr>
              <w:pStyle w:val="428"/>
              <w:spacing w:line="240" w:lineRule="auto"/>
              <w:ind w:left="120" w:leftChars="50" w:right="120" w:rightChars="50" w:firstLine="0" w:firstLineChars="0"/>
              <w:rPr>
                <w:rFonts w:ascii="Times New Roman" w:hAnsi="Times New Roman" w:eastAsia="宋体" w:cs="Times New Roman"/>
                <w:sz w:val="21"/>
                <w:szCs w:val="21"/>
              </w:rPr>
            </w:pPr>
            <w:r>
              <w:rPr>
                <w:rFonts w:ascii="Times New Roman" w:hAnsi="Times New Roman" w:eastAsia="宋体" w:cs="Times New Roman"/>
                <w:kern w:val="0"/>
                <w:sz w:val="21"/>
                <w:szCs w:val="21"/>
              </w:rPr>
              <w:t>矿区东北边界外的遗鸥自然保护区为国家级自然保护区，位于纳林希里矿区东北边界外，与矿区无重叠。</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 xml:space="preserve">符合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00"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《煤炭产业政策》（发改委2007年80号公告）</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新建、改扩建井田规模不低于30万t/a。此外：大力推进煤炭、煤层气等资源的协调开发和基础设施的高效利用。按照资源禀赋、运输、水资源等条件和环境承载能力确定区域煤炭开发规模和开发强度。鼓励建设坑口电站，优先发展煤、电一体化项目，优先发展循环经济和资源综合利用项目。新建大中型煤矿应当配套建设相应规模的选煤厂……山西、内蒙古、陕西等省（区）新建、改扩建井田规模不低于120万吨/年……</w:t>
            </w:r>
          </w:p>
          <w:p>
            <w:pPr>
              <w:ind w:left="120" w:leftChars="50" w:right="120" w:rightChars="50"/>
              <w:rPr>
                <w:rFonts w:ascii="Times New Roman" w:hAnsi="Times New Roman"/>
                <w:kern w:val="0"/>
                <w:sz w:val="21"/>
                <w:szCs w:val="21"/>
              </w:rPr>
            </w:pPr>
            <w:r>
              <w:rPr>
                <w:rFonts w:ascii="Times New Roman" w:hAnsi="Times New Roman"/>
                <w:sz w:val="21"/>
                <w:szCs w:val="21"/>
              </w:rPr>
              <w:t>加强煤炭资源综合利用，推进清洁生产，发展循环经济，建立矿区生态环境恢复补偿机制，建设资源节约型与环境友好型矿区，促进人与矿区和谐发展。</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矿区规划4个井田，各井田规模均为8Mt/a，规划总规模32.00Mt/a，各矿井配套建设同等规模的选煤厂。按照本次评价分析，矿区生产工业和装备水平各指标可达到《煤炭采选业清洁生产评价指标体系》清洁生产水平Ⅰ级水平。</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00"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《产业结构调整指导目录（2019年本）》</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矿区规划项目均不属于《产业结构调整指导目录（2019年本）》的限制类和禁止类项目。</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矿区规划项目为煤矿，均不属于《产业结构调整指导目录（2019年本）》的限制类和禁止类项目。</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98"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《“十三五”生态环境保护规划》</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snapToGrid w:val="0"/>
              <w:ind w:left="120" w:leftChars="50" w:right="120" w:rightChars="50"/>
              <w:rPr>
                <w:rFonts w:ascii="Times New Roman" w:hAnsi="Times New Roman"/>
                <w:sz w:val="21"/>
                <w:szCs w:val="21"/>
              </w:rPr>
            </w:pPr>
            <w:r>
              <w:rPr>
                <w:rFonts w:ascii="Times New Roman" w:hAnsi="Times New Roman"/>
                <w:sz w:val="21"/>
                <w:szCs w:val="21"/>
              </w:rPr>
              <w:t>坚持空间管控、分类防治。生态优先，统筹生产、生活、生态空间管理，划定并严守生态保护红线，维护国家生态安全。</w:t>
            </w:r>
          </w:p>
          <w:p>
            <w:pPr>
              <w:ind w:left="120" w:leftChars="50" w:right="120" w:rightChars="50"/>
              <w:rPr>
                <w:rFonts w:ascii="Times New Roman" w:hAnsi="Times New Roman"/>
                <w:kern w:val="0"/>
                <w:sz w:val="21"/>
                <w:szCs w:val="21"/>
              </w:rPr>
            </w:pPr>
            <w:r>
              <w:rPr>
                <w:rFonts w:ascii="Times New Roman" w:hAnsi="Times New Roman"/>
                <w:sz w:val="21"/>
                <w:szCs w:val="21"/>
              </w:rPr>
              <w:t>调整优化产业结构，煤炭、钢铁、水泥、平板玻璃等产能过剩行业实行产能等量或减量置换。</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428"/>
              <w:spacing w:line="240" w:lineRule="auto"/>
              <w:ind w:left="120" w:leftChars="50" w:right="120" w:rightChars="5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t>本矿区范围内不涉及生态保护红线。自治区政府和鄂尔多斯市政府已批准《巴彦淖尔市水权置换煤炭资源开发利用规划》，为就地转换项目在纳林希里矿区配置了相应的煤炭资源。</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882"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color w:val="FF0000"/>
                <w:sz w:val="21"/>
              </w:rPr>
            </w:pPr>
            <w:r>
              <w:rPr>
                <w:rFonts w:ascii="Times New Roman" w:hAnsi="Times New Roman"/>
                <w:color w:val="FF0000"/>
                <w:sz w:val="21"/>
                <w:szCs w:val="21"/>
              </w:rPr>
              <w:t>《关于“十四五”大宗固体废弃物综合利用的指导意见（发改环资〔2021〕381号）》</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color w:val="FF0000"/>
                <w:sz w:val="21"/>
                <w:szCs w:val="21"/>
              </w:rPr>
            </w:pPr>
            <w:r>
              <w:rPr>
                <w:rFonts w:ascii="Times New Roman" w:hAnsi="Times New Roman"/>
                <w:color w:val="FF0000"/>
                <w:sz w:val="21"/>
                <w:szCs w:val="21"/>
              </w:rPr>
              <w:t>到2025年，煤矸石、粉煤灰、尾矿（共伴生矿）、冶炼渣、工业副产石膏、建筑垃圾、农作物秸秆等大宗固废的综合利用能力显著提升，利用规模不断扩大，新增大宗固废综合利用率达到60%，存量大宗固废有序减少。…</w:t>
            </w:r>
          </w:p>
          <w:p>
            <w:pPr>
              <w:ind w:left="120" w:leftChars="50" w:right="120" w:rightChars="50"/>
              <w:rPr>
                <w:rFonts w:ascii="Times New Roman" w:hAnsi="Times New Roman"/>
                <w:color w:val="FF0000"/>
                <w:sz w:val="21"/>
              </w:rPr>
            </w:pPr>
            <w:r>
              <w:rPr>
                <w:rFonts w:ascii="Times New Roman" w:hAnsi="Times New Roman"/>
                <w:color w:val="FF0000"/>
                <w:sz w:val="21"/>
                <w:szCs w:val="21"/>
              </w:rPr>
              <w:t>煤矸石和粉煤灰。持续提高煤矸石和粉煤灰综合利用水平，推进煤矸石和粉煤灰在工程建设、塌陷区治理、矿井充填以及盐碱地、沙漠化土地生态修复等领域的利用，有序引导利用煤矸石、粉煤灰生产新型墙体材料、装饰装修材料等绿色建材，…推进产废行业绿色转型，实现源头减量。大力发展绿色矿业，推广应用矸石不出井模式，鼓励采矿企业利用尾矿、共伴生矿填充采空区、治理塌陷区，推动实现尾矿就地消纳。…在煤炭行业推广“煤矸石井下充填+地面回填”，促进矸石减量；在矿山行业建立“梯级回收+生态修复+封存保护”体系，推动绿色矿山建设。</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428"/>
              <w:spacing w:line="240" w:lineRule="auto"/>
              <w:ind w:left="120" w:leftChars="50" w:right="120" w:rightChars="50" w:firstLine="0" w:firstLineChars="0"/>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本次规划矿井掘进矸石全部用于井下充填废弃巷道不出井。洗选矸石初期运往矸石周转场地临时堆存，后期主要用于井下充填采空区，矿区煤矸石综合利用率可达到95%以上，矸石处置率100%。</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color w:val="FF0000"/>
                <w:sz w:val="21"/>
                <w:szCs w:val="21"/>
              </w:rPr>
            </w:pPr>
            <w:r>
              <w:rPr>
                <w:rFonts w:hint="eastAsia" w:ascii="Times New Roman" w:hAnsi="Times New Roman"/>
                <w:color w:val="FF0000"/>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882"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《煤炭工业“十四五”高质量发展指导意见》</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因地制宜推广充填开采、保水开采、煤与共伴生资源共采等绿色低碳开采技术，鼓励原煤全部入选（洗）。做好黄河流域煤炭资源开发与生态环境保护总体规划和矿区规划，实现煤炭资源开发、建设、生产与生态环境保护工程同步设计、同步实施，提高矿区生态功能，建设绿色矿山。统筹考虑煤炭矿区建设历史、对区域社会经济发展的影响与生态功能区范围设计，对生态功能区与煤炭矿区重叠区域的保护性开发与关闭退出进行科学评价，实现煤炭资源开发与经济社会、生态环境协调发展。</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428"/>
              <w:spacing w:line="240" w:lineRule="auto"/>
              <w:ind w:left="120" w:leftChars="50" w:right="120" w:rightChars="50" w:firstLine="0" w:firstLineChars="0"/>
              <w:rPr>
                <w:rFonts w:ascii="Times New Roman" w:hAnsi="Times New Roman" w:eastAsia="宋体" w:cs="Times New Roman"/>
                <w:sz w:val="21"/>
                <w:szCs w:val="21"/>
              </w:rPr>
            </w:pPr>
            <w:r>
              <w:rPr>
                <w:rFonts w:hint="eastAsia" w:ascii="Times New Roman" w:hAnsi="Times New Roman" w:eastAsia="宋体" w:cs="Times New Roman"/>
                <w:sz w:val="21"/>
                <w:szCs w:val="21"/>
              </w:rPr>
              <w:t>本次规划</w:t>
            </w:r>
            <w:r>
              <w:rPr>
                <w:rFonts w:ascii="Times New Roman" w:hAnsi="Times New Roman" w:eastAsia="宋体" w:cs="Times New Roman"/>
                <w:sz w:val="21"/>
                <w:szCs w:val="21"/>
              </w:rPr>
              <w:t>洗选矸石初期运往矸石周转场地临时堆存，后期主要用于井下充填采空区</w:t>
            </w:r>
            <w:r>
              <w:rPr>
                <w:rFonts w:hint="eastAsia" w:ascii="Times New Roman" w:hAnsi="Times New Roman" w:eastAsia="宋体" w:cs="Times New Roman"/>
                <w:sz w:val="21"/>
                <w:szCs w:val="21"/>
              </w:rPr>
              <w:t>；各矿配套建设同等规模选煤厂，原煤全部入洗；本次评价提出</w:t>
            </w:r>
            <w:r>
              <w:rPr>
                <w:rFonts w:ascii="Times New Roman" w:hAnsi="Times New Roman" w:eastAsia="宋体" w:cs="Times New Roman"/>
                <w:sz w:val="21"/>
                <w:szCs w:val="21"/>
              </w:rPr>
              <w:t>均按照绿色矿山建设标准进行建设</w:t>
            </w:r>
            <w:r>
              <w:rPr>
                <w:rFonts w:hint="eastAsia" w:ascii="Times New Roman" w:hAnsi="Times New Roman" w:eastAsia="宋体" w:cs="Times New Roman"/>
                <w:sz w:val="21"/>
                <w:szCs w:val="21"/>
              </w:rPr>
              <w:t>。</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hint="eastAsia"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72"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《煤炭行业绿色矿山建设规范》</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大中型煤矿地面运煤系统、运输设备、煤炭贮存场所应全封闭；煤炭运输、贮存未达到全封闭管理的小型煤矿应设置挡风抑尘和洒水喷淋装置进行防尘；应按照矸石种类对其进行资源化利用，主要用于循环流化床燃料，烧结砖、水泥、轻集料等建筑材料，铁路路基、公路路基等填料，硫精矿、高岭土、含铝化工产品等回收有益矿产及生产化工产品，微生物肥料、有机复合肥等农业生产；矿井水、疏干水应采用洁净化、资源化技术和工艺进行合理处置，处置率达到100%。</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sz w:val="21"/>
                <w:szCs w:val="21"/>
              </w:rPr>
            </w:pPr>
            <w:r>
              <w:rPr>
                <w:rFonts w:hint="eastAsia" w:ascii="Times New Roman" w:hAnsi="Times New Roman"/>
                <w:bCs/>
                <w:kern w:val="24"/>
                <w:sz w:val="21"/>
                <w:szCs w:val="21"/>
              </w:rPr>
              <w:t>本次评价提出</w:t>
            </w:r>
            <w:r>
              <w:rPr>
                <w:rFonts w:ascii="Times New Roman" w:hAnsi="Times New Roman"/>
                <w:bCs/>
                <w:kern w:val="24"/>
                <w:sz w:val="21"/>
                <w:szCs w:val="21"/>
              </w:rPr>
              <w:t>场内运输采用全封闭式输煤栈桥，减少扬尘；储煤场应采用全封闭形式；</w:t>
            </w:r>
            <w:r>
              <w:rPr>
                <w:rFonts w:hint="eastAsia" w:ascii="Times New Roman" w:hAnsi="Times New Roman"/>
                <w:bCs/>
                <w:kern w:val="24"/>
                <w:sz w:val="21"/>
                <w:szCs w:val="21"/>
              </w:rPr>
              <w:t>洗选矸石</w:t>
            </w:r>
            <w:r>
              <w:rPr>
                <w:rFonts w:ascii="Times New Roman" w:hAnsi="Times New Roman"/>
                <w:sz w:val="21"/>
                <w:szCs w:val="21"/>
              </w:rPr>
              <w:t>后期主要用于井下充填采空区</w:t>
            </w:r>
            <w:r>
              <w:rPr>
                <w:rFonts w:hint="eastAsia" w:ascii="Times New Roman" w:hAnsi="Times New Roman"/>
                <w:sz w:val="21"/>
                <w:szCs w:val="21"/>
              </w:rPr>
              <w:t>；各矿均设矿井水、生活污水处理站，矿井水、生活污水处理后回用。</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hint="eastAsia"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882"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《“十四五”节能减排综合工作方案》</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煤炭清洁高效利用工程。要立足以煤为主的基本国情，坚持先立后破，严格合理控制煤炭消费增长，抓好煤炭清洁高效利用，推进存量煤电机组节煤降耗改造、供热改造、灵活性改造“三改联动”，持续推动煤电机组超低排放改造。稳妥有序推进大气污染防治重点区域燃料类煤气发生炉、燃煤热风炉、加热炉、热处理炉、干燥炉（窑）以及建材行业煤炭减量，实施清洁电力和天然气替代。</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428"/>
              <w:spacing w:line="240" w:lineRule="auto"/>
              <w:ind w:left="120" w:leftChars="50" w:right="120" w:rightChars="50" w:firstLine="0" w:firstLineChars="0"/>
              <w:rPr>
                <w:rFonts w:ascii="Times New Roman" w:hAnsi="Times New Roman" w:eastAsia="宋体" w:cs="Times New Roman"/>
                <w:sz w:val="21"/>
                <w:szCs w:val="21"/>
              </w:rPr>
            </w:pPr>
            <w:r>
              <w:rPr>
                <w:rFonts w:hint="eastAsia" w:ascii="Times New Roman" w:hAnsi="Times New Roman" w:eastAsia="宋体" w:cs="Times New Roman"/>
                <w:bCs w:val="0"/>
                <w:kern w:val="2"/>
                <w:sz w:val="21"/>
                <w:szCs w:val="21"/>
              </w:rPr>
              <w:t>本次评价提出煤炭洗选采用国内外先进的煤炭洗选、选煤水闭路循环、煤炭贮运生产工艺和技术设备。生产工艺和装备水平各指标达到《煤炭采选业清洁生产评价指标体系》清洁生产水</w:t>
            </w:r>
            <w:r>
              <w:rPr>
                <w:rFonts w:ascii="Times New Roman" w:hAnsi="Times New Roman" w:eastAsia="宋体" w:cs="Times New Roman"/>
                <w:bCs w:val="0"/>
                <w:kern w:val="2"/>
                <w:sz w:val="21"/>
                <w:szCs w:val="21"/>
              </w:rPr>
              <w:t>平Ⅰ级水平。</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hint="eastAsia"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882"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《减污降碳协同增效实施方案》</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采取先进适用的工艺技术和装备，提升高耗能项目能耗准入标准，能耗、物耗、水耗要达到清洁生产先进水平。持续加强产业集群环境治理，明确产业布局和发展方向，高起点设定项目准入类别，引导产业向“专精特新”转型。在产业结构调整指导目录中考虑减污降碳协同增效要求，优化鼓励类、限制类、淘汰类相关项目类别....</w:t>
            </w:r>
          </w:p>
          <w:p>
            <w:pPr>
              <w:ind w:left="120" w:leftChars="50" w:right="120" w:rightChars="50"/>
            </w:pPr>
            <w:r>
              <w:rPr>
                <w:rFonts w:hint="eastAsia" w:ascii="Times New Roman" w:hAnsi="Times New Roman"/>
                <w:sz w:val="21"/>
                <w:szCs w:val="21"/>
              </w:rPr>
              <w:t>推动煤矸石、粉煤灰、尾矿、冶炼渣等工业固废资源利用或替代建材生产原料。</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428"/>
              <w:spacing w:line="240" w:lineRule="auto"/>
              <w:ind w:right="120" w:rightChars="50" w:firstLine="0" w:firstLineChars="0"/>
              <w:rPr>
                <w:rFonts w:ascii="Times New Roman" w:hAnsi="Times New Roman" w:eastAsia="宋体" w:cs="Times New Roman"/>
                <w:sz w:val="21"/>
                <w:szCs w:val="21"/>
              </w:rPr>
            </w:pPr>
            <w:r>
              <w:rPr>
                <w:rFonts w:hint="eastAsia" w:ascii="Times New Roman" w:hAnsi="Times New Roman" w:eastAsia="宋体" w:cs="Times New Roman"/>
                <w:bCs w:val="0"/>
                <w:kern w:val="2"/>
                <w:sz w:val="21"/>
                <w:szCs w:val="21"/>
              </w:rPr>
              <w:t>矿区规划项目为煤矿，均不属于《产业结构调整指导目录（2019年本）》的限制类和禁止类项目。本次评价提出生产工艺和装备水平各指标达到《煤炭采选业清洁生产评价指标体系》清洁生产水</w:t>
            </w:r>
            <w:r>
              <w:rPr>
                <w:rFonts w:ascii="Times New Roman" w:hAnsi="Times New Roman" w:eastAsia="宋体" w:cs="Times New Roman"/>
                <w:bCs w:val="0"/>
                <w:kern w:val="2"/>
                <w:sz w:val="21"/>
                <w:szCs w:val="21"/>
              </w:rPr>
              <w:t>平Ⅰ级水平。</w:t>
            </w:r>
            <w:r>
              <w:rPr>
                <w:rFonts w:hint="eastAsia" w:ascii="Times New Roman" w:hAnsi="Times New Roman" w:eastAsia="宋体" w:cs="Times New Roman"/>
                <w:bCs w:val="0"/>
                <w:kern w:val="2"/>
                <w:sz w:val="21"/>
                <w:szCs w:val="21"/>
              </w:rPr>
              <w:t>矿区产生的</w:t>
            </w:r>
            <w:r>
              <w:rPr>
                <w:rFonts w:ascii="Times New Roman" w:hAnsi="Times New Roman" w:eastAsia="宋体" w:cs="Times New Roman"/>
                <w:sz w:val="21"/>
                <w:szCs w:val="21"/>
              </w:rPr>
              <w:t>洗选矸石初期主要用于井下充填采空区</w:t>
            </w:r>
            <w:r>
              <w:rPr>
                <w:rFonts w:hint="eastAsia" w:ascii="Times New Roman" w:hAnsi="Times New Roman" w:eastAsia="宋体" w:cs="Times New Roman"/>
                <w:sz w:val="21"/>
                <w:szCs w:val="21"/>
              </w:rPr>
              <w:t>，实现综合利用。</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hint="eastAsia"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744"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《中共中央国务院关于深入打好污染防治攻坚战的意见》</w:t>
            </w:r>
          </w:p>
        </w:tc>
        <w:tc>
          <w:tcPr>
            <w:tcW w:w="6190" w:type="dxa"/>
            <w:tcBorders>
              <w:top w:val="single" w:color="auto" w:sz="4" w:space="0"/>
              <w:left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推进清洁生产和能源资源节约高效利用。引导重点行业深入实施清洁生产改造，依法开展自愿性清洁生产评价认证。大力推行绿色制造，构建资源循环利用体系。推动煤炭等化石能源清洁高效利用。</w:t>
            </w:r>
          </w:p>
        </w:tc>
        <w:tc>
          <w:tcPr>
            <w:tcW w:w="4255" w:type="dxa"/>
            <w:tcBorders>
              <w:top w:val="single" w:color="auto" w:sz="4" w:space="0"/>
              <w:left w:val="single" w:color="auto" w:sz="4" w:space="0"/>
              <w:right w:val="single" w:color="auto" w:sz="4" w:space="0"/>
            </w:tcBorders>
            <w:shd w:val="clear" w:color="auto" w:fill="FFFFFF"/>
            <w:vAlign w:val="center"/>
          </w:tcPr>
          <w:p>
            <w:pPr>
              <w:pStyle w:val="428"/>
              <w:spacing w:line="240" w:lineRule="auto"/>
              <w:ind w:left="120" w:leftChars="50" w:right="120" w:rightChars="50" w:firstLine="0" w:firstLineChars="0"/>
              <w:rPr>
                <w:rFonts w:ascii="Times New Roman" w:hAnsi="Times New Roman" w:eastAsia="宋体" w:cs="Times New Roman"/>
                <w:sz w:val="21"/>
                <w:szCs w:val="21"/>
              </w:rPr>
            </w:pPr>
            <w:r>
              <w:rPr>
                <w:rFonts w:hint="eastAsia" w:ascii="Times New Roman" w:hAnsi="Times New Roman" w:eastAsia="宋体" w:cs="Times New Roman"/>
                <w:bCs w:val="0"/>
                <w:kern w:val="2"/>
                <w:sz w:val="21"/>
                <w:szCs w:val="21"/>
              </w:rPr>
              <w:t>本次评价提出煤炭洗选采用国内外先进的煤炭洗选、选煤水闭路循环、煤炭贮运生产工艺和技术设备。生产工艺和装备水平各指标达到《煤炭采选业清洁生产评价指标体系》清洁生产水</w:t>
            </w:r>
            <w:r>
              <w:rPr>
                <w:rFonts w:ascii="Times New Roman" w:hAnsi="Times New Roman" w:eastAsia="宋体" w:cs="Times New Roman"/>
                <w:bCs w:val="0"/>
                <w:kern w:val="2"/>
                <w:sz w:val="21"/>
                <w:szCs w:val="21"/>
              </w:rPr>
              <w:t>平Ⅰ级水平。</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hint="eastAsia"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848" w:hRule="atLeast"/>
        </w:trPr>
        <w:tc>
          <w:tcPr>
            <w:tcW w:w="845" w:type="dxa"/>
            <w:vMerge w:val="restart"/>
            <w:tcBorders>
              <w:top w:val="single" w:color="auto" w:sz="4" w:space="0"/>
              <w:left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省级</w:t>
            </w: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《内蒙古自治区国民经济和社会发展第十四个五年规划和2035年远景目标纲要》</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把保护草原、森林作为首要任务，严格执行基本草原保护制度，落实草原生态保护补助奖励政策，完善草畜平衡和草原禁牧休牧制度。严禁在草原上乱采滥挖、新上矿产资源开发等工业项目，已批准在建运营的矿山、风电、光伏等项目到期退出”</w:t>
            </w:r>
          </w:p>
          <w:p>
            <w:pPr>
              <w:ind w:left="120" w:leftChars="50" w:right="120" w:rightChars="50"/>
              <w:rPr>
                <w:rFonts w:ascii="Times New Roman" w:hAnsi="Times New Roman"/>
                <w:sz w:val="21"/>
                <w:szCs w:val="21"/>
              </w:rPr>
            </w:pPr>
            <w:r>
              <w:rPr>
                <w:rFonts w:ascii="Times New Roman" w:hAnsi="Times New Roman"/>
                <w:sz w:val="21"/>
                <w:szCs w:val="21"/>
              </w:rPr>
              <w:t>落实生态保护红线、环境质量底线、资源利用上线和生态环境准入清单，实施生态环境分区管控。</w:t>
            </w:r>
          </w:p>
          <w:p>
            <w:pPr>
              <w:ind w:left="120" w:leftChars="50" w:right="120" w:rightChars="50"/>
              <w:rPr>
                <w:rFonts w:ascii="Times New Roman" w:hAnsi="Times New Roman"/>
                <w:sz w:val="21"/>
                <w:szCs w:val="21"/>
              </w:rPr>
            </w:pPr>
            <w:r>
              <w:rPr>
                <w:rFonts w:ascii="Times New Roman" w:hAnsi="Times New Roman"/>
                <w:sz w:val="21"/>
                <w:szCs w:val="21"/>
              </w:rPr>
              <w:t>加快建立循环型工业体系，促进企业、园区、行业间链接共生和资源协同利用。鼓励粉煤灰、煤矸石、煤泥、炼渣及尘泥、化工废渣、冶金渣、尾矿、煤电废渣等固体废弃物综合利用，到2025年，工业固体废弃物综合利用率达到50%以上。</w:t>
            </w:r>
          </w:p>
          <w:p>
            <w:pPr>
              <w:ind w:left="120" w:leftChars="50" w:right="120" w:rightChars="50"/>
              <w:rPr>
                <w:rFonts w:ascii="Times New Roman" w:hAnsi="Times New Roman"/>
                <w:sz w:val="21"/>
                <w:szCs w:val="21"/>
              </w:rPr>
            </w:pPr>
            <w:r>
              <w:rPr>
                <w:rFonts w:ascii="Times New Roman" w:hAnsi="Times New Roman"/>
                <w:sz w:val="21"/>
                <w:szCs w:val="21"/>
              </w:rPr>
              <w:t>坚持绿色化、精细化、循环化导向，以鄂尔多斯地区为重点，适度发展煤制油、煤制甲醇、煤制烯烃、煤制乙二醇等产业。</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670"/>
              <w:spacing w:line="240" w:lineRule="auto"/>
              <w:ind w:left="120" w:leftChars="50" w:right="120" w:rightChars="50" w:firstLine="0" w:firstLineChars="0"/>
              <w:jc w:val="both"/>
              <w:rPr>
                <w:rFonts w:ascii="Times New Roman" w:hAnsi="Times New Roman" w:eastAsia="宋体" w:cs="Times New Roman"/>
                <w:bCs w:val="0"/>
                <w:sz w:val="21"/>
                <w:szCs w:val="21"/>
                <w:lang w:val="en-US"/>
              </w:rPr>
            </w:pPr>
            <w:r>
              <w:rPr>
                <w:rFonts w:ascii="Times New Roman" w:hAnsi="Times New Roman" w:eastAsia="宋体" w:cs="Times New Roman"/>
                <w:sz w:val="21"/>
                <w:szCs w:val="21"/>
                <w:lang w:val="en-US"/>
              </w:rPr>
              <w:t>根据《内蒙古自治区关于实行征占用草原林地分区管控的通知》内林草草监发[2021]257号，本矿区规划4个矿井均为已有矿业权项目，不属于新设矿业权的矿产资源开发项目。</w:t>
            </w:r>
            <w:r>
              <w:rPr>
                <w:rFonts w:ascii="Times New Roman" w:hAnsi="Times New Roman" w:eastAsia="宋体" w:cs="Times New Roman"/>
                <w:sz w:val="21"/>
                <w:szCs w:val="21"/>
              </w:rPr>
              <w:t>矿井掘进矸石全部用于井下充填废弃巷道不出井。洗选矸石初期运往矸石周转场地临时堆存，后期主要用于井下充填采空区，矿区煤矸石综合利用率可达到95%以上，矸石处置率100%。</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90" w:hRule="atLeast"/>
        </w:trPr>
        <w:tc>
          <w:tcPr>
            <w:tcW w:w="845" w:type="dxa"/>
            <w:vMerge w:val="continue"/>
            <w:tcBorders>
              <w:left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color w:val="FF0000"/>
                <w:sz w:val="21"/>
                <w:szCs w:val="21"/>
              </w:rPr>
            </w:pPr>
            <w:r>
              <w:rPr>
                <w:rFonts w:ascii="Times New Roman" w:hAnsi="Times New Roman"/>
                <w:color w:val="FF0000"/>
                <w:sz w:val="21"/>
                <w:szCs w:val="21"/>
              </w:rPr>
              <w:t>《内蒙古自治区党委 自治区人民政府关于促进煤炭工业高质量发展的意见》（内党发〔2021〕8号）》</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numPr>
                <w:ilvl w:val="0"/>
                <w:numId w:val="13"/>
              </w:numPr>
              <w:ind w:left="120" w:leftChars="50" w:right="120" w:rightChars="50"/>
              <w:rPr>
                <w:rFonts w:ascii="Times New Roman" w:hAnsi="Times New Roman"/>
                <w:color w:val="FF0000"/>
                <w:sz w:val="21"/>
                <w:szCs w:val="21"/>
              </w:rPr>
            </w:pPr>
            <w:r>
              <w:rPr>
                <w:rFonts w:ascii="Times New Roman" w:hAnsi="Times New Roman"/>
                <w:color w:val="FF0000"/>
                <w:sz w:val="21"/>
                <w:szCs w:val="21"/>
              </w:rPr>
              <w:t>根据经济社会发展对能源消费的需求，统筹煤炭资源赋存条件、生态环境承载能力，严格控制煤炭开发强度，优化稳定鄂尔多斯煤炭产能...以鄂尔多斯为重点，稳步推进现代化大型矿井建设，科学有序发展优质产能。严格新建煤矿准入，严控新建露天煤矿和煤与瓦斯突出、冲击地压井工煤矿，新建井工煤矿规模原则上不低于300万吨/年。</w:t>
            </w:r>
          </w:p>
          <w:p>
            <w:pPr>
              <w:numPr>
                <w:ilvl w:val="0"/>
                <w:numId w:val="13"/>
              </w:numPr>
              <w:ind w:left="120" w:leftChars="50" w:right="120" w:rightChars="50"/>
              <w:rPr>
                <w:rFonts w:ascii="Times New Roman" w:hAnsi="Times New Roman"/>
                <w:color w:val="FF0000"/>
                <w:sz w:val="21"/>
                <w:szCs w:val="21"/>
              </w:rPr>
            </w:pPr>
            <w:r>
              <w:rPr>
                <w:rFonts w:ascii="Times New Roman" w:hAnsi="Times New Roman"/>
                <w:color w:val="FF0000"/>
                <w:sz w:val="21"/>
                <w:szCs w:val="21"/>
              </w:rPr>
              <w:t>加强煤炭资源开发与国土空间规划的衔接，严守“三区三线”，有序有效开发煤炭资源。草原上严禁新上煤矿项目，已经批准的在建、生产煤矿严控扩能技改，不扩大井（矿）田范围、不核增产能、井工开采不变更露天开采。加快绿色矿山建设，新建煤矿全部按照绿色矿山标准建设，生产煤矿2025年年底前全部建成绿色矿山。</w:t>
            </w:r>
          </w:p>
        </w:tc>
        <w:tc>
          <w:tcPr>
            <w:tcW w:w="4255"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70"/>
              <w:spacing w:line="240" w:lineRule="auto"/>
              <w:ind w:left="120" w:leftChars="50" w:right="120" w:rightChars="50" w:firstLine="0" w:firstLineChars="0"/>
              <w:jc w:val="both"/>
              <w:rPr>
                <w:rFonts w:ascii="Times New Roman" w:hAnsi="Times New Roman" w:eastAsia="宋体" w:cs="Times New Roman"/>
                <w:color w:val="FF0000"/>
                <w:sz w:val="21"/>
                <w:szCs w:val="21"/>
                <w:lang w:val="en-US"/>
              </w:rPr>
            </w:pPr>
            <w:r>
              <w:rPr>
                <w:rFonts w:ascii="Times New Roman" w:hAnsi="Times New Roman" w:eastAsia="宋体" w:cs="Times New Roman"/>
                <w:color w:val="FF0000"/>
                <w:sz w:val="21"/>
                <w:szCs w:val="21"/>
                <w:lang w:val="en-US"/>
              </w:rPr>
              <w:t>本矿区位于鄂尔多斯，矿区内各煤层煤质有害成分低，发热量高，是良好的民用及动力用煤。矿区内规划4个井田，</w:t>
            </w:r>
            <w:r>
              <w:rPr>
                <w:rFonts w:ascii="Times New Roman" w:hAnsi="Times New Roman" w:cs="Times New Roman"/>
                <w:color w:val="FF0000"/>
                <w:sz w:val="21"/>
                <w:szCs w:val="21"/>
                <w:lang w:val="en-US"/>
              </w:rPr>
              <w:t>各井田规模均为8</w:t>
            </w:r>
            <w:r>
              <w:rPr>
                <w:rFonts w:ascii="Times New Roman" w:hAnsi="Times New Roman" w:cs="Times New Roman"/>
                <w:color w:val="FF0000"/>
                <w:sz w:val="21"/>
                <w:szCs w:val="21"/>
              </w:rPr>
              <w:t>Mt/a，</w:t>
            </w:r>
            <w:r>
              <w:rPr>
                <w:rFonts w:ascii="Times New Roman" w:hAnsi="Times New Roman" w:eastAsia="宋体" w:cs="Times New Roman"/>
                <w:color w:val="FF0000"/>
                <w:sz w:val="21"/>
                <w:szCs w:val="21"/>
                <w:lang w:val="en-US"/>
              </w:rPr>
              <w:t>均为低瓦斯矿井。</w:t>
            </w:r>
          </w:p>
          <w:p>
            <w:pPr>
              <w:pStyle w:val="670"/>
              <w:spacing w:line="240" w:lineRule="auto"/>
              <w:ind w:left="120" w:leftChars="50" w:right="120" w:rightChars="50" w:firstLine="0" w:firstLineChars="0"/>
              <w:jc w:val="both"/>
              <w:rPr>
                <w:rFonts w:ascii="Times New Roman" w:hAnsi="Times New Roman" w:cs="Times New Roman"/>
                <w:color w:val="FF0000"/>
                <w:sz w:val="21"/>
                <w:szCs w:val="21"/>
                <w:lang w:val="en-US"/>
              </w:rPr>
            </w:pPr>
            <w:r>
              <w:rPr>
                <w:rFonts w:ascii="Times New Roman" w:hAnsi="Times New Roman" w:eastAsia="宋体" w:cs="Times New Roman"/>
                <w:color w:val="FF0000"/>
                <w:sz w:val="21"/>
                <w:szCs w:val="21"/>
                <w:lang w:val="en-US"/>
              </w:rPr>
              <w:t>根据《内蒙古自治区关于实行征占用草原林地分区管控的通知》内林草草监发[2021]257号，</w:t>
            </w:r>
            <w:r>
              <w:rPr>
                <w:rFonts w:ascii="Times New Roman" w:hAnsi="Times New Roman" w:eastAsia="宋体" w:cs="Times New Roman"/>
                <w:b/>
                <w:bCs w:val="0"/>
                <w:color w:val="FF0000"/>
                <w:sz w:val="21"/>
                <w:szCs w:val="21"/>
                <w:lang w:val="en-US"/>
              </w:rPr>
              <w:t>本矿区规划4个矿井均为已有矿业权项目，不属于新设矿业权的矿产资源开发项目</w:t>
            </w:r>
            <w:r>
              <w:rPr>
                <w:rFonts w:ascii="Times New Roman" w:hAnsi="Times New Roman" w:eastAsia="宋体" w:cs="Times New Roman"/>
                <w:color w:val="FF0000"/>
                <w:sz w:val="21"/>
                <w:szCs w:val="21"/>
                <w:lang w:val="en-US"/>
              </w:rPr>
              <w:t>。本矿区规划4个井工矿，均为新建煤矿。本次规划提出均按照绿色矿山建设标准进行建设。</w:t>
            </w:r>
          </w:p>
        </w:tc>
        <w:tc>
          <w:tcPr>
            <w:tcW w:w="1148" w:type="dxa"/>
            <w:tcBorders>
              <w:top w:val="single" w:color="auto" w:sz="4" w:space="0"/>
              <w:left w:val="single" w:color="auto" w:sz="4" w:space="0"/>
              <w:bottom w:val="single" w:color="auto" w:sz="4" w:space="0"/>
              <w:right w:val="single" w:color="auto" w:sz="4" w:space="0"/>
            </w:tcBorders>
            <w:shd w:val="clear" w:color="auto" w:fill="auto"/>
            <w:vAlign w:val="center"/>
          </w:tcPr>
          <w:p>
            <w:pPr>
              <w:ind w:left="120" w:leftChars="50" w:right="120" w:rightChars="50"/>
              <w:jc w:val="center"/>
              <w:rPr>
                <w:rFonts w:ascii="Times New Roman" w:hAnsi="Times New Roman"/>
                <w:color w:val="FF0000"/>
                <w:sz w:val="21"/>
                <w:szCs w:val="21"/>
              </w:rPr>
            </w:pPr>
            <w:r>
              <w:rPr>
                <w:rFonts w:ascii="Times New Roman" w:hAnsi="Times New Roman"/>
                <w:color w:val="FF0000"/>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90" w:hRule="atLeast"/>
        </w:trPr>
        <w:tc>
          <w:tcPr>
            <w:tcW w:w="845" w:type="dxa"/>
            <w:vMerge w:val="continue"/>
            <w:tcBorders>
              <w:left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color w:val="FF0000"/>
                <w:sz w:val="21"/>
                <w:szCs w:val="21"/>
              </w:rPr>
            </w:pPr>
            <w:r>
              <w:rPr>
                <w:rFonts w:ascii="Times New Roman" w:hAnsi="Times New Roman"/>
                <w:color w:val="FF0000"/>
                <w:sz w:val="21"/>
                <w:szCs w:val="21"/>
              </w:rPr>
              <w:t>《内蒙古自治区关于实行征占用草原林地分区管控的通知》内林草草监发[2021]257号</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numPr>
                <w:ilvl w:val="255"/>
                <w:numId w:val="0"/>
              </w:numPr>
              <w:ind w:left="120" w:leftChars="50" w:right="120" w:rightChars="50"/>
              <w:rPr>
                <w:rFonts w:ascii="Times New Roman" w:hAnsi="Times New Roman"/>
                <w:color w:val="FF0000"/>
                <w:sz w:val="21"/>
                <w:szCs w:val="21"/>
              </w:rPr>
            </w:pPr>
            <w:r>
              <w:rPr>
                <w:rFonts w:ascii="Times New Roman" w:hAnsi="Times New Roman"/>
                <w:b/>
                <w:bCs/>
                <w:color w:val="FF0000"/>
                <w:sz w:val="21"/>
                <w:szCs w:val="21"/>
              </w:rPr>
              <w:t>生态保护红线内草原区：</w:t>
            </w:r>
            <w:r>
              <w:rPr>
                <w:rFonts w:ascii="Times New Roman" w:hAnsi="Times New Roman"/>
                <w:color w:val="FF0000"/>
                <w:sz w:val="21"/>
                <w:szCs w:val="21"/>
              </w:rPr>
              <w:t>该区是我区草原生态系统的核心区，属</w:t>
            </w:r>
            <w:r>
              <w:rPr>
                <w:rFonts w:ascii="Times New Roman" w:hAnsi="Times New Roman"/>
                <w:b/>
                <w:bCs/>
                <w:color w:val="FF0000"/>
                <w:sz w:val="21"/>
                <w:szCs w:val="21"/>
              </w:rPr>
              <w:t>禁止开发区域</w:t>
            </w:r>
            <w:r>
              <w:rPr>
                <w:rFonts w:ascii="Times New Roman" w:hAnsi="Times New Roman"/>
                <w:color w:val="FF0000"/>
                <w:sz w:val="21"/>
                <w:szCs w:val="21"/>
              </w:rPr>
              <w:t>。</w:t>
            </w:r>
          </w:p>
          <w:p>
            <w:pPr>
              <w:numPr>
                <w:ilvl w:val="255"/>
                <w:numId w:val="0"/>
              </w:numPr>
              <w:ind w:left="120" w:leftChars="50" w:right="120" w:rightChars="50"/>
              <w:rPr>
                <w:rFonts w:ascii="Times New Roman" w:hAnsi="Times New Roman"/>
                <w:color w:val="FF0000"/>
                <w:sz w:val="21"/>
                <w:szCs w:val="21"/>
              </w:rPr>
            </w:pPr>
            <w:r>
              <w:rPr>
                <w:rFonts w:ascii="Times New Roman" w:hAnsi="Times New Roman"/>
                <w:b/>
                <w:bCs/>
                <w:color w:val="FF0000"/>
                <w:sz w:val="21"/>
                <w:szCs w:val="21"/>
              </w:rPr>
              <w:t>生态保护红线外的基本草原区</w:t>
            </w:r>
            <w:r>
              <w:rPr>
                <w:rFonts w:ascii="Times New Roman" w:hAnsi="Times New Roman"/>
                <w:color w:val="FF0000"/>
                <w:sz w:val="21"/>
                <w:szCs w:val="21"/>
              </w:rPr>
              <w:t>：按照自治区主体功能区规划和区域发展定位，将该区域划分为东西两个区域，实行差异化用途管控，</w:t>
            </w:r>
            <w:r>
              <w:rPr>
                <w:rFonts w:ascii="Times New Roman" w:hAnsi="Times New Roman"/>
                <w:b/>
                <w:bCs/>
                <w:color w:val="FF0000"/>
                <w:sz w:val="21"/>
                <w:szCs w:val="21"/>
              </w:rPr>
              <w:t>东部区域</w:t>
            </w:r>
            <w:r>
              <w:rPr>
                <w:rFonts w:ascii="Times New Roman" w:hAnsi="Times New Roman"/>
                <w:color w:val="FF0000"/>
                <w:sz w:val="21"/>
                <w:szCs w:val="21"/>
              </w:rPr>
              <w:t>严禁新上矿产资源开发项目，已批准在建运营的矿产资源开发项目不得平面增扩面积。新上风电、光伏项目以及配套电源输送工程应尽可能避让该区域或利用原有外送通道。</w:t>
            </w:r>
            <w:r>
              <w:rPr>
                <w:rFonts w:ascii="Times New Roman" w:hAnsi="Times New Roman"/>
                <w:b/>
                <w:bCs/>
                <w:color w:val="FF0000"/>
                <w:sz w:val="21"/>
                <w:szCs w:val="21"/>
              </w:rPr>
              <w:t>西部区域</w:t>
            </w:r>
            <w:r>
              <w:rPr>
                <w:rFonts w:ascii="Times New Roman" w:hAnsi="Times New Roman"/>
                <w:color w:val="FF0000"/>
                <w:sz w:val="21"/>
                <w:szCs w:val="21"/>
              </w:rPr>
              <w:t>严格控制新上矿产资源开发项目，除保障国家能源战略安全的项目外，不得新设（增扩）矿业权。</w:t>
            </w:r>
          </w:p>
          <w:p>
            <w:pPr>
              <w:numPr>
                <w:ilvl w:val="255"/>
                <w:numId w:val="0"/>
              </w:numPr>
              <w:ind w:left="120" w:leftChars="50" w:right="120" w:rightChars="50"/>
              <w:rPr>
                <w:rFonts w:ascii="Times New Roman" w:hAnsi="Times New Roman"/>
                <w:color w:val="FF0000"/>
                <w:sz w:val="21"/>
                <w:szCs w:val="21"/>
              </w:rPr>
            </w:pPr>
            <w:r>
              <w:rPr>
                <w:rFonts w:ascii="Times New Roman" w:hAnsi="Times New Roman"/>
                <w:b/>
                <w:bCs/>
                <w:color w:val="FF0000"/>
                <w:sz w:val="21"/>
                <w:szCs w:val="21"/>
              </w:rPr>
              <w:t>需要说明的问题：草原上新上矿产资源开发项目</w:t>
            </w:r>
            <w:r>
              <w:rPr>
                <w:rFonts w:ascii="Times New Roman" w:hAnsi="Times New Roman"/>
                <w:color w:val="FF0000"/>
                <w:sz w:val="21"/>
                <w:szCs w:val="21"/>
              </w:rPr>
              <w:t>是指《内蒙古自治区人民政府办公厅关于矿产资源开发中加强草原生态保护的意见》（内政办发[2021]7号）印发之后（2021年2月6日）</w:t>
            </w:r>
            <w:r>
              <w:rPr>
                <w:rFonts w:ascii="Times New Roman" w:hAnsi="Times New Roman"/>
                <w:b/>
                <w:bCs/>
                <w:color w:val="FF0000"/>
                <w:sz w:val="21"/>
                <w:szCs w:val="21"/>
              </w:rPr>
              <w:t>新设矿业权和变更矿业权时需新增占用草原的矿产资源开发项目。</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670"/>
              <w:spacing w:line="240" w:lineRule="auto"/>
              <w:ind w:left="120" w:leftChars="50" w:right="120" w:rightChars="50" w:firstLine="0" w:firstLineChars="0"/>
              <w:jc w:val="both"/>
              <w:rPr>
                <w:rFonts w:ascii="Times New Roman" w:hAnsi="Times New Roman" w:eastAsia="宋体" w:cs="Times New Roman"/>
                <w:color w:val="FF0000"/>
                <w:sz w:val="21"/>
                <w:szCs w:val="21"/>
                <w:lang w:val="en-US"/>
              </w:rPr>
            </w:pPr>
            <w:r>
              <w:rPr>
                <w:rFonts w:ascii="Times New Roman" w:hAnsi="Times New Roman" w:eastAsia="宋体" w:cs="Times New Roman"/>
                <w:color w:val="FF0000"/>
                <w:sz w:val="21"/>
                <w:szCs w:val="21"/>
                <w:lang w:val="en-US"/>
              </w:rPr>
              <w:t>矿区位于鄂尔多斯市，属</w:t>
            </w:r>
            <w:r>
              <w:rPr>
                <w:rFonts w:ascii="Times New Roman" w:hAnsi="Times New Roman" w:eastAsia="宋体" w:cs="Times New Roman"/>
                <w:b/>
                <w:bCs w:val="0"/>
                <w:color w:val="FF0000"/>
                <w:sz w:val="21"/>
                <w:szCs w:val="21"/>
                <w:lang w:val="en-US"/>
              </w:rPr>
              <w:t>西部区域</w:t>
            </w:r>
            <w:r>
              <w:rPr>
                <w:rFonts w:ascii="Times New Roman" w:hAnsi="Times New Roman" w:eastAsia="宋体" w:cs="Times New Roman"/>
                <w:color w:val="FF0000"/>
                <w:sz w:val="21"/>
                <w:szCs w:val="21"/>
                <w:lang w:val="en-US"/>
              </w:rPr>
              <w:t>，矿区范围内不涉及生态保护红线，矿区勘查区生态保护红线区已从矿区剔除。</w:t>
            </w:r>
          </w:p>
          <w:p>
            <w:pPr>
              <w:pStyle w:val="670"/>
              <w:spacing w:line="240" w:lineRule="auto"/>
              <w:ind w:left="120" w:leftChars="50" w:right="120" w:rightChars="50" w:firstLine="0" w:firstLineChars="0"/>
              <w:jc w:val="both"/>
              <w:rPr>
                <w:rFonts w:ascii="Times New Roman" w:hAnsi="Times New Roman" w:cs="Times New Roman"/>
                <w:color w:val="FF0000"/>
                <w:sz w:val="21"/>
                <w:szCs w:val="21"/>
                <w:lang w:val="en-US"/>
              </w:rPr>
            </w:pPr>
            <w:r>
              <w:rPr>
                <w:rFonts w:ascii="Times New Roman" w:hAnsi="Times New Roman" w:eastAsia="宋体" w:cs="Times New Roman"/>
                <w:color w:val="FF0000"/>
                <w:sz w:val="21"/>
                <w:szCs w:val="21"/>
                <w:lang w:val="en-US"/>
              </w:rPr>
              <w:t>本矿区规划4个矿井均为已有矿业权项目，不属于新设矿业权的矿产资源开发项目。矿区位于内蒙古自治区东胜煤田的中西部。东胜煤田是我国迄今发现的最大煤田之一，且含煤面积广、煤炭资源丰富、煤质优良，是保障国家能源战略安全的项目。</w:t>
            </w:r>
          </w:p>
        </w:tc>
        <w:tc>
          <w:tcPr>
            <w:tcW w:w="1148" w:type="dxa"/>
            <w:tcBorders>
              <w:top w:val="single" w:color="auto" w:sz="4" w:space="0"/>
              <w:left w:val="single" w:color="auto" w:sz="4" w:space="0"/>
              <w:bottom w:val="single" w:color="auto" w:sz="4" w:space="0"/>
              <w:right w:val="single" w:color="auto" w:sz="4" w:space="0"/>
            </w:tcBorders>
            <w:shd w:val="clear" w:color="auto" w:fill="auto"/>
            <w:vAlign w:val="center"/>
          </w:tcPr>
          <w:p>
            <w:pPr>
              <w:ind w:left="120" w:leftChars="50" w:right="120" w:rightChars="50"/>
              <w:jc w:val="center"/>
              <w:rPr>
                <w:rFonts w:ascii="Times New Roman" w:hAnsi="Times New Roman"/>
                <w:color w:val="FF0000"/>
                <w:sz w:val="21"/>
                <w:szCs w:val="21"/>
              </w:rPr>
            </w:pPr>
            <w:r>
              <w:rPr>
                <w:rFonts w:ascii="Times New Roman" w:hAnsi="Times New Roman"/>
                <w:color w:val="FF0000"/>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712"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《内蒙古自治区主体功能区规划》（2013.3）</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鄂尔多斯市伊金霍洛旗、杭锦旗为国家级重点开发区域，发展方向为建设鄂尔多斯能源和新型化工基地。依托煤炭、天然气资源优势，采用煤气化联合循环发电（IGCC），碳捕集等绿色煤电技术，实现煤炭资源清洁高效开发和利用。以资源环境承载能力为基础，适度发展现代化煤化工产业，推动焦化、聚氯乙烯企业技术进步和升级换代，建设国家新型化工基地。</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矿区所属的伊金霍洛旗及杭锦旗，为《内蒙古自治区主体功能区规划》中的国家级重点开发区域。</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21"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《内蒙古自治区煤炭工业发展“十四五规划”》，2021.12</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稳定蒙东地区煤炭产能，在鄂尔多斯新建一批现代化大型煤矿，120万吨/年及以上煤矿产能占比到达92%。产能结构更加优化，供储销体系更加完善，供应链更加畅通高校。</w:t>
            </w:r>
          </w:p>
          <w:p>
            <w:pPr>
              <w:ind w:left="120" w:leftChars="50" w:right="120" w:rightChars="50"/>
              <w:rPr>
                <w:rFonts w:ascii="Times New Roman" w:hAnsi="Times New Roman"/>
                <w:sz w:val="21"/>
                <w:szCs w:val="21"/>
              </w:rPr>
            </w:pPr>
            <w:r>
              <w:rPr>
                <w:rFonts w:ascii="Times New Roman" w:hAnsi="Times New Roman"/>
                <w:sz w:val="21"/>
                <w:szCs w:val="21"/>
              </w:rPr>
              <w:t>绿色发展理念深入人心，绿色开采新技术、新工艺加快推广应用，矿区生态环境得到显著改善。瓦斯、煤矸石、矿井（坑）水等资源的综合利用取得实质性进展，清洁高效利用水平迈上新台阶；生产煤矿100%建成绿色矿山。</w:t>
            </w:r>
          </w:p>
          <w:p>
            <w:pPr>
              <w:ind w:left="120" w:leftChars="50" w:right="120" w:rightChars="50"/>
              <w:rPr>
                <w:rFonts w:ascii="Times New Roman" w:hAnsi="Times New Roman"/>
                <w:sz w:val="21"/>
                <w:szCs w:val="21"/>
              </w:rPr>
            </w:pPr>
            <w:r>
              <w:rPr>
                <w:rFonts w:ascii="Times New Roman" w:hAnsi="Times New Roman"/>
                <w:sz w:val="21"/>
                <w:szCs w:val="21"/>
              </w:rPr>
              <w:t>开展煤矿资源绿色开采试点示范，因地制宜推广应用充填开采、井下开采、井下洗选等绿色开采技术及设备，最大限度减少煤炭资源开发对生态环境造成的影响。加强绿色矿山达标建设，新建煤矿全部按照绿色矿山标准规划、设计、建设和运营管理，生产煤矿结合实际按照绿色矿山标准加快改造升级，达到绿色矿山标准。开展煤矸石充填开采试点，推动鄂尔多斯南部地区矿井水综合利用，推广应用氢能源卡车和电动卡车，最大限度降低碳排放。鼓励煤矿企业采用先进技术回收废永久保护煤柱等边角残煤提高煤炭资源回收率。到2025年，生产煤矿绿色矿山达标率达到100%。</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矿区位于鄂尔多斯，矿区规划4个井田，各井田规模均为8Mt/a，本次规划提出均按照绿色矿山建设标准进行建设。</w:t>
            </w:r>
          </w:p>
          <w:p>
            <w:pPr>
              <w:ind w:left="120" w:leftChars="50" w:right="120" w:rightChars="50"/>
              <w:rPr>
                <w:rFonts w:ascii="Times New Roman" w:hAnsi="Times New Roman"/>
                <w:sz w:val="21"/>
                <w:szCs w:val="21"/>
              </w:rPr>
            </w:pPr>
            <w:r>
              <w:rPr>
                <w:rFonts w:ascii="Times New Roman" w:hAnsi="Times New Roman"/>
                <w:sz w:val="21"/>
                <w:szCs w:val="21"/>
              </w:rPr>
              <w:t>矿区内各井田均为低瓦斯矿井。矿井掘进矸石全部用于井下充填废弃巷道不出井。洗选矸石初期运往矸石周转场地临时堆存，后期主要用于井下充填采空区，矿区煤矸石综合利用率可达到95%以上，矸石处置率100%。</w:t>
            </w:r>
          </w:p>
          <w:p>
            <w:pPr>
              <w:ind w:left="120" w:leftChars="50" w:right="120" w:rightChars="50"/>
              <w:rPr>
                <w:rFonts w:ascii="Times New Roman" w:hAnsi="Times New Roman"/>
                <w:sz w:val="21"/>
                <w:szCs w:val="21"/>
              </w:rPr>
            </w:pPr>
            <w:r>
              <w:rPr>
                <w:rFonts w:ascii="Times New Roman" w:hAnsi="Times New Roman"/>
                <w:sz w:val="21"/>
                <w:szCs w:val="21"/>
              </w:rPr>
              <w:t>矿井水主要是处理后作为生产生活供水水源，剩余部分可处理达到地表水III类水水质标准后，就近排入井田内地势低洼的淖尔，增加淖尔水量，改善淖尔水质及周边生态，也可根据临近的鄂尔多斯江苏工业园区用水需求，送到该工业园区作为生产、生活及园区绿化用水等综合利用。</w:t>
            </w:r>
          </w:p>
          <w:p>
            <w:pPr>
              <w:ind w:left="120" w:leftChars="50" w:right="120" w:rightChars="50"/>
              <w:rPr>
                <w:rFonts w:ascii="Times New Roman" w:hAnsi="Times New Roman"/>
                <w:sz w:val="21"/>
                <w:szCs w:val="21"/>
              </w:rPr>
            </w:pP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21"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《内蒙古自治区节能减排“十三五规划”》</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大力发展循环经济，推动煤矸石、粉煤灰、工业副产品石膏等工业固体废物综合利用，一般工业固体废弃物综合利用率由2015年的46%提高到55%左右</w:t>
            </w:r>
            <w:r>
              <w:rPr>
                <w:rStyle w:val="74"/>
                <w:rFonts w:ascii="Times New Roman" w:hAnsi="Times New Roman"/>
              </w:rPr>
              <w:t>。</w:t>
            </w:r>
          </w:p>
          <w:p>
            <w:pPr>
              <w:ind w:left="120" w:leftChars="50" w:right="120" w:rightChars="50"/>
              <w:rPr>
                <w:rFonts w:ascii="Times New Roman" w:hAnsi="Times New Roman"/>
                <w:sz w:val="21"/>
                <w:szCs w:val="21"/>
              </w:rPr>
            </w:pPr>
            <w:r>
              <w:rPr>
                <w:rFonts w:ascii="Times New Roman" w:hAnsi="Times New Roman"/>
                <w:sz w:val="21"/>
                <w:szCs w:val="21"/>
              </w:rPr>
              <w:t>严格控制煤炭新增产能，有序退出过剩产能。推进煤炭清洁化利用，实现煤炭全面洗选和分质分级利用。</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规划矿井掘进矸石全部用于井下充填废弃巷道不出井。洗选矸石初期运往矸石周转场地临时堆存，后期主要用于井下充填采空区。矿区煤矸石综合利用率可达到95%以上，矸石处置率100%。矿区内各矿井均配套同等规模选煤厂，实现煤炭全面洗选。</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21"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《内蒙古自治区人民政府关于印发自治区国家重点生态功能区产业准入负面清单（试行）的通知》（内政发〔2018〕11号）</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kern w:val="0"/>
                <w:sz w:val="21"/>
                <w:szCs w:val="21"/>
                <w:shd w:val="clear" w:color="auto" w:fill="FFFFFF"/>
                <w:lang w:bidi="ar"/>
              </w:rPr>
              <w:t>《内蒙古自治区人民政府关于印发自治区国家重点生态功能区产业准入负面清单（试行）的通知》（内政发〔2018〕11号）对内蒙古自治区43个国家重点生态功能区旗县(市)行政区全域产业准入划分为限制和禁止两种类型。该通知对煤炭开采和洗选业提出的管控要求为：“禁止新建。现有矿山开展资源整合和技术改造工作，生产工艺、设备水平、清洁生产水平必须提升至国内先进水平。对关闭及废弃矿山开展地质环境治理及生态修复工作”。</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矿区属于《内蒙古自治区主体功能区规划》中的国家级重点开发区域，非国家重点生态功能区，不在负面清单划定的范围内。</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90"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《内蒙古自治区生态红线划定方案》</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内蒙古自治区生态红线区已划定，矿区范围与生态保护红线无重叠</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矿区范围与生态保护红线区无重叠，勘查区处生态红线区已剔除矿区范围。</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706"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auto"/>
            <w:vAlign w:val="center"/>
          </w:tcPr>
          <w:p>
            <w:pPr>
              <w:ind w:left="120" w:leftChars="50" w:right="120" w:rightChars="50"/>
              <w:rPr>
                <w:rFonts w:ascii="Times New Roman" w:hAnsi="Times New Roman"/>
                <w:sz w:val="21"/>
                <w:szCs w:val="21"/>
              </w:rPr>
            </w:pPr>
            <w:r>
              <w:rPr>
                <w:rFonts w:ascii="Times New Roman" w:hAnsi="Times New Roman"/>
                <w:sz w:val="21"/>
                <w:szCs w:val="21"/>
              </w:rPr>
              <w:t>内蒙古自治区人民政府办公厅关于进一步加强煤矿安全生产工作的实施意见 内政办发〔2014〕54</w:t>
            </w:r>
          </w:p>
        </w:tc>
        <w:tc>
          <w:tcPr>
            <w:tcW w:w="6190" w:type="dxa"/>
            <w:tcBorders>
              <w:top w:val="single" w:color="auto" w:sz="4" w:space="0"/>
              <w:left w:val="single" w:color="auto" w:sz="4" w:space="0"/>
              <w:bottom w:val="single" w:color="auto" w:sz="4" w:space="0"/>
              <w:right w:val="single" w:color="auto" w:sz="4" w:space="0"/>
            </w:tcBorders>
            <w:shd w:val="clear" w:color="auto" w:fill="auto"/>
            <w:vAlign w:val="center"/>
          </w:tcPr>
          <w:p>
            <w:pPr>
              <w:ind w:left="120" w:leftChars="50" w:right="120" w:rightChars="50"/>
              <w:rPr>
                <w:rFonts w:ascii="Times New Roman" w:hAnsi="Times New Roman"/>
                <w:sz w:val="21"/>
                <w:szCs w:val="21"/>
              </w:rPr>
            </w:pPr>
            <w:r>
              <w:rPr>
                <w:rFonts w:ascii="Times New Roman" w:hAnsi="Times New Roman"/>
                <w:sz w:val="21"/>
                <w:szCs w:val="21"/>
              </w:rPr>
              <w:t>严格煤矿建设项目核准和生产能力核定。完善自治区煤矿建设项目准入制度，严格依规依标组织煤矿生产能力核定。新建井工煤矿生产能力不得低于120万吨/年、露天煤矿不得低于300万吨/年，其中新建褐煤井工煤矿生产能力不低于300万吨/年、露天煤矿不低于500万吨/年。</w:t>
            </w:r>
          </w:p>
        </w:tc>
        <w:tc>
          <w:tcPr>
            <w:tcW w:w="4255" w:type="dxa"/>
            <w:tcBorders>
              <w:top w:val="single" w:color="auto" w:sz="4" w:space="0"/>
              <w:left w:val="single" w:color="auto" w:sz="4" w:space="0"/>
              <w:bottom w:val="single" w:color="auto" w:sz="4" w:space="0"/>
              <w:right w:val="single" w:color="auto" w:sz="4" w:space="0"/>
            </w:tcBorders>
            <w:shd w:val="clear" w:color="auto" w:fill="auto"/>
            <w:vAlign w:val="center"/>
          </w:tcPr>
          <w:p>
            <w:pPr>
              <w:ind w:left="120" w:leftChars="50" w:right="120" w:rightChars="50"/>
              <w:rPr>
                <w:rFonts w:ascii="Times New Roman" w:hAnsi="Times New Roman"/>
                <w:sz w:val="21"/>
                <w:szCs w:val="21"/>
              </w:rPr>
            </w:pPr>
            <w:r>
              <w:rPr>
                <w:rStyle w:val="74"/>
                <w:rFonts w:ascii="Times New Roman" w:hAnsi="Times New Roman"/>
              </w:rPr>
              <w:t>本矿区煤炭为不粘煤，</w:t>
            </w:r>
            <w:r>
              <w:rPr>
                <w:rFonts w:ascii="Times New Roman" w:hAnsi="Times New Roman"/>
                <w:sz w:val="21"/>
                <w:szCs w:val="21"/>
              </w:rPr>
              <w:t>矿区规划4个矿井，各矿井规模均为8Mt/a，规划总规模32.00Mt/a。</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443"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auto"/>
            <w:vAlign w:val="center"/>
          </w:tcPr>
          <w:p>
            <w:pPr>
              <w:ind w:left="120" w:leftChars="50" w:right="120" w:rightChars="50"/>
              <w:rPr>
                <w:rFonts w:ascii="Times New Roman" w:hAnsi="Times New Roman"/>
                <w:sz w:val="21"/>
                <w:szCs w:val="21"/>
              </w:rPr>
            </w:pPr>
            <w:r>
              <w:rPr>
                <w:rFonts w:ascii="Times New Roman" w:hAnsi="Times New Roman"/>
                <w:sz w:val="21"/>
                <w:szCs w:val="21"/>
              </w:rPr>
              <w:t>《内蒙古生态环境功能区划》</w:t>
            </w:r>
          </w:p>
        </w:tc>
        <w:tc>
          <w:tcPr>
            <w:tcW w:w="6190" w:type="dxa"/>
            <w:tcBorders>
              <w:top w:val="single" w:color="auto" w:sz="4" w:space="0"/>
              <w:left w:val="single" w:color="auto" w:sz="4" w:space="0"/>
              <w:bottom w:val="single" w:color="auto" w:sz="4" w:space="0"/>
              <w:right w:val="single" w:color="auto" w:sz="4" w:space="0"/>
            </w:tcBorders>
            <w:shd w:val="clear" w:color="auto" w:fill="auto"/>
            <w:vAlign w:val="center"/>
          </w:tcPr>
          <w:p>
            <w:pPr>
              <w:ind w:left="120" w:leftChars="50" w:right="120" w:rightChars="50"/>
              <w:rPr>
                <w:rFonts w:ascii="Times New Roman" w:hAnsi="Times New Roman"/>
                <w:sz w:val="21"/>
                <w:szCs w:val="21"/>
              </w:rPr>
            </w:pPr>
            <w:r>
              <w:rPr>
                <w:rFonts w:ascii="Times New Roman" w:hAnsi="Times New Roman"/>
                <w:sz w:val="21"/>
                <w:szCs w:val="21"/>
              </w:rPr>
              <w:t>矿区属于III-5-2鄂尔多斯高原典型草原沙漠化控制生态功能区</w:t>
            </w:r>
          </w:p>
        </w:tc>
        <w:tc>
          <w:tcPr>
            <w:tcW w:w="4255" w:type="dxa"/>
            <w:tcBorders>
              <w:top w:val="single" w:color="auto" w:sz="4" w:space="0"/>
              <w:left w:val="single" w:color="auto" w:sz="4" w:space="0"/>
              <w:bottom w:val="single" w:color="auto" w:sz="4" w:space="0"/>
              <w:right w:val="single" w:color="auto" w:sz="4" w:space="0"/>
            </w:tcBorders>
            <w:shd w:val="clear" w:color="auto" w:fill="auto"/>
            <w:vAlign w:val="center"/>
          </w:tcPr>
          <w:p>
            <w:pPr>
              <w:ind w:left="120" w:leftChars="50" w:right="120" w:rightChars="50"/>
              <w:rPr>
                <w:rFonts w:ascii="Times New Roman" w:hAnsi="Times New Roman"/>
                <w:sz w:val="21"/>
                <w:szCs w:val="21"/>
              </w:rPr>
            </w:pPr>
            <w:r>
              <w:rPr>
                <w:rFonts w:ascii="Times New Roman" w:hAnsi="Times New Roman"/>
                <w:kern w:val="0"/>
                <w:sz w:val="21"/>
                <w:szCs w:val="21"/>
              </w:rPr>
              <w:t>规划提出了一些生态保护措施，但不够具体，本次评价将根据该生态功能区的特点提出有针对性的具体生态整治与恢复措施，维护其生态红能。</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89"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shd w:val="clear" w:color="auto" w:fill="917A5F"/>
              </w:rPr>
            </w:pPr>
            <w:r>
              <w:rPr>
                <w:rFonts w:ascii="Times New Roman" w:hAnsi="Times New Roman"/>
                <w:sz w:val="21"/>
                <w:szCs w:val="21"/>
              </w:rPr>
              <w:t>《内蒙古自治区“十四五”生态环境保护规划》</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ind w:left="120" w:leftChars="50" w:right="120" w:rightChars="50"/>
              <w:rPr>
                <w:rFonts w:ascii="Times New Roman" w:hAnsi="Times New Roman"/>
                <w:sz w:val="21"/>
                <w:szCs w:val="21"/>
              </w:rPr>
            </w:pPr>
            <w:r>
              <w:rPr>
                <w:rFonts w:ascii="Times New Roman" w:hAnsi="Times New Roman"/>
                <w:sz w:val="21"/>
                <w:szCs w:val="21"/>
              </w:rPr>
              <w:t>鼓励煤炭清洁化利用，严控煤电项目，有序推荐锡林郭勒、鄂尔多斯两大现有煤炭基地配套电源项目建设，...</w:t>
            </w:r>
          </w:p>
          <w:p>
            <w:pPr>
              <w:widowControl/>
              <w:ind w:left="120" w:leftChars="50" w:right="120" w:rightChars="50"/>
              <w:rPr>
                <w:rFonts w:ascii="Times New Roman" w:hAnsi="Times New Roman"/>
                <w:sz w:val="21"/>
                <w:szCs w:val="21"/>
              </w:rPr>
            </w:pPr>
            <w:r>
              <w:rPr>
                <w:rFonts w:ascii="Times New Roman" w:hAnsi="Times New Roman"/>
                <w:sz w:val="21"/>
                <w:szCs w:val="21"/>
              </w:rPr>
              <w:t>优化交通运输结构，加大运输结构调整力度，继续落实“公转铁”货运增量要求，推进铁路进入大型工矿企业和物流园区，大宗货物年货运量在150万吨以上的矿区、工业企业和新建物流园区重点布局专用线，力争到2025年，接入及覆盖比例达到85%，满足自治区煤炭及其他货物铁路运输需求。</w:t>
            </w:r>
          </w:p>
          <w:p>
            <w:pPr>
              <w:widowControl/>
              <w:ind w:left="120" w:leftChars="50" w:right="120" w:rightChars="50"/>
              <w:rPr>
                <w:rFonts w:ascii="Times New Roman" w:hAnsi="Times New Roman"/>
                <w:sz w:val="21"/>
                <w:szCs w:val="21"/>
              </w:rPr>
            </w:pPr>
            <w:r>
              <w:rPr>
                <w:rFonts w:ascii="Times New Roman" w:hAnsi="Times New Roman"/>
                <w:sz w:val="21"/>
                <w:szCs w:val="21"/>
              </w:rPr>
              <w:t>推荐燃煤污染综合整治。按照“宜电则电、宜气则气、宜煤则煤、宜热则热、”的原则，持续推进清洁取暖改造。大力推广热电联产集中供热，继续做好工业余热和大型区域锅炉房集中供热。实施小散燃煤热源替代，鼓励采取太阳能+风能多能互补清洁取暖，推进燃煤热源清洁化改造。到2025年，全区城镇清洁取暖率达到93%以上，加大燃煤小锅炉淘汰力度，30万千瓦及以上热点联产电厂供热半径15公里范围内的燃煤锅炉全部关停整合。</w:t>
            </w:r>
          </w:p>
          <w:p>
            <w:pPr>
              <w:widowControl/>
              <w:ind w:left="120" w:leftChars="50" w:right="120" w:rightChars="50"/>
              <w:rPr>
                <w:rFonts w:ascii="Times New Roman" w:hAnsi="Times New Roman"/>
                <w:sz w:val="21"/>
                <w:szCs w:val="21"/>
                <w:shd w:val="clear" w:color="auto" w:fill="917A5F"/>
              </w:rPr>
            </w:pPr>
            <w:r>
              <w:rPr>
                <w:rFonts w:ascii="Times New Roman" w:hAnsi="Times New Roman"/>
                <w:sz w:val="21"/>
                <w:szCs w:val="21"/>
              </w:rPr>
              <w:t>加强运输扬尘监管，运输煤炭、渣土、石料、水泥、垃圾等物料的车辆采取密闭、全面苫盖等措施...加快推进绿色矿山建设，加大露天矿山综合整治力度，强化矿产开采、储存、装卸、运输过程中污染防治和减尘抑尘，……，到2025年底前全部达到绿色矿山标准。</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Style w:val="74"/>
                <w:rFonts w:ascii="Times New Roman" w:hAnsi="Times New Roman"/>
              </w:rPr>
            </w:pPr>
            <w:r>
              <w:rPr>
                <w:rFonts w:ascii="Times New Roman" w:hAnsi="Times New Roman"/>
                <w:sz w:val="21"/>
                <w:szCs w:val="21"/>
              </w:rPr>
              <w:t>本项目规划建设一条铁路专用线，由独贵加汗车站南咽喉引出，全长27.6km，各矿井煤炭通过铁路运输至周边工业园区。矿区距伊金霍洛旗旗政府所在地阿勒腾席热镇约40km，无集中供热条件。本次评价有针对性的提出了锅炉除尘脱硫脱硝措施及扬尘污染防治措施，在采取本次评价提出的措施后矿区扬尘排放可满足要求。</w:t>
            </w:r>
          </w:p>
          <w:p>
            <w:pPr>
              <w:ind w:left="120" w:leftChars="50" w:right="120" w:rightChars="50"/>
              <w:rPr>
                <w:rFonts w:ascii="Times New Roman" w:hAnsi="Times New Roman"/>
                <w:sz w:val="21"/>
                <w:szCs w:val="21"/>
              </w:rPr>
            </w:pPr>
            <w:r>
              <w:rPr>
                <w:rFonts w:ascii="Times New Roman" w:hAnsi="Times New Roman"/>
                <w:sz w:val="21"/>
                <w:szCs w:val="21"/>
              </w:rPr>
              <w:t>本矿区规划4个井工矿，均为新建煤矿。本次规划提出均按照绿色矿山建设标准进行建设。</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89"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《内蒙古自治区“十四五”节能减排综合工作实施方案》</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ind w:left="120" w:leftChars="50" w:right="120" w:rightChars="50"/>
              <w:rPr>
                <w:rFonts w:ascii="Times New Roman" w:hAnsi="Times New Roman"/>
                <w:sz w:val="21"/>
                <w:szCs w:val="21"/>
              </w:rPr>
            </w:pPr>
            <w:r>
              <w:rPr>
                <w:rFonts w:hint="eastAsia" w:ascii="Times New Roman" w:hAnsi="Times New Roman"/>
                <w:sz w:val="21"/>
                <w:szCs w:val="21"/>
              </w:rPr>
              <w:t>严格合理控制煤炭消费增长，抓好煤炭清洁效利用，稳妥有序推进存量煤电机组节煤降耗改造、供热改造、灵活性改造“三改联动”，持续推动煤电机组超低排放改造。加大燃煤小锅炉和落后燃煤小热电（含自备电厂）淘汰力度，完成30万千瓦及以上热电联产电厂供热半径15公里范围内的燃煤锅炉关停整合任务。</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本次评价提出生产工艺和装备水平各指标应达到《煤炭采选业清洁生产评价指标体系》清洁生产水</w:t>
            </w:r>
            <w:r>
              <w:rPr>
                <w:rFonts w:ascii="Times New Roman" w:hAnsi="Times New Roman"/>
                <w:sz w:val="21"/>
                <w:szCs w:val="21"/>
              </w:rPr>
              <w:t>平Ⅰ级水平。</w:t>
            </w:r>
            <w:r>
              <w:rPr>
                <w:rFonts w:hint="eastAsia" w:ascii="Times New Roman" w:hAnsi="Times New Roman"/>
                <w:sz w:val="21"/>
                <w:szCs w:val="21"/>
              </w:rPr>
              <w:t>由于矿区周边无热电厂，无集中供热条件，规划在各矿井均设28MW(折合蒸发量40t/h)热水锅炉，本次评价建议矿区各矿井燃煤锅炉均配置高效除尘脱硫脱硝的设备和装置。除尘效率不低于99%，脱硫效率不低于80%，脱硝效率不低于40%。</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hint="eastAsia"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89" w:hRule="atLeast"/>
        </w:trPr>
        <w:tc>
          <w:tcPr>
            <w:tcW w:w="845" w:type="dxa"/>
            <w:vMerge w:val="continue"/>
            <w:tcBorders>
              <w:left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《关于进一步完善矿业权管理做好生态环境保护工作的通知》（内自然资字[2022]332号）</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ind w:left="120" w:leftChars="50" w:right="120" w:rightChars="50"/>
              <w:rPr>
                <w:rFonts w:ascii="Times New Roman" w:hAnsi="Times New Roman"/>
                <w:sz w:val="21"/>
                <w:szCs w:val="21"/>
              </w:rPr>
            </w:pPr>
            <w:r>
              <w:rPr>
                <w:rFonts w:hint="eastAsia" w:ascii="Times New Roman" w:hAnsi="Times New Roman"/>
                <w:sz w:val="21"/>
                <w:szCs w:val="21"/>
              </w:rPr>
              <w:t>（一）严格新设采矿权准入管控</w:t>
            </w:r>
          </w:p>
          <w:p>
            <w:pPr>
              <w:widowControl/>
              <w:ind w:left="120" w:leftChars="50" w:right="120" w:rightChars="50"/>
              <w:rPr>
                <w:rFonts w:ascii="Times New Roman" w:hAnsi="Times New Roman"/>
                <w:sz w:val="21"/>
                <w:szCs w:val="21"/>
              </w:rPr>
            </w:pPr>
            <w:r>
              <w:rPr>
                <w:rFonts w:hint="eastAsia" w:ascii="Times New Roman" w:hAnsi="Times New Roman"/>
                <w:sz w:val="21"/>
                <w:szCs w:val="21"/>
              </w:rPr>
              <w:t>各地新设采矿权要强化国土空间用途管控，严格执行《内蒙古自治区矿产资源总体规划（</w:t>
            </w:r>
            <w:r>
              <w:rPr>
                <w:rFonts w:ascii="Times New Roman" w:hAnsi="Times New Roman"/>
                <w:sz w:val="21"/>
                <w:szCs w:val="21"/>
              </w:rPr>
              <w:t>2021—2025年）》，落实生态保护红线、环境质量底线、资源利用上线、生态环境准入清单、生态环境分区管控以及征占用草原林地分区用途管控要求。对新设采矿权的，矿山所在地旗县（市、区）人民政府对是否符合资源环境承载力要求进行论证并出具同意新设采矿权的意见后，自然资源主管部门再办理采矿权新立登记。……除煤层气、富铁、金、地热、矿泉水外，原则上不再新建小型及以下矿山。</w:t>
            </w:r>
          </w:p>
          <w:p>
            <w:pPr>
              <w:widowControl/>
              <w:ind w:left="120" w:leftChars="50" w:right="120" w:rightChars="50"/>
              <w:rPr>
                <w:rFonts w:ascii="Times New Roman" w:hAnsi="Times New Roman"/>
                <w:sz w:val="21"/>
                <w:szCs w:val="21"/>
              </w:rPr>
            </w:pPr>
            <w:r>
              <w:rPr>
                <w:rFonts w:hint="eastAsia" w:ascii="Times New Roman" w:hAnsi="Times New Roman"/>
                <w:sz w:val="21"/>
                <w:szCs w:val="21"/>
              </w:rPr>
              <w:t>二、严格已设采矿权管理</w:t>
            </w:r>
          </w:p>
          <w:p>
            <w:pPr>
              <w:widowControl/>
              <w:ind w:left="120" w:leftChars="50" w:right="120" w:rightChars="50"/>
              <w:rPr>
                <w:rFonts w:ascii="Times New Roman" w:hAnsi="Times New Roman"/>
                <w:sz w:val="21"/>
                <w:szCs w:val="21"/>
              </w:rPr>
            </w:pPr>
            <w:r>
              <w:rPr>
                <w:rFonts w:hint="eastAsia" w:ascii="Times New Roman" w:hAnsi="Times New Roman"/>
                <w:sz w:val="21"/>
                <w:szCs w:val="21"/>
              </w:rPr>
              <w:t>对符合资源环境承载力要求，需办理采矿权延续的，矿山所在地旗县（市、区）人民政府出具同意延续采矿权的意见后，自然资源主管部门再办理采矿权延续登记。</w:t>
            </w:r>
          </w:p>
          <w:p>
            <w:pPr>
              <w:widowControl/>
              <w:ind w:left="120" w:leftChars="50" w:right="120" w:rightChars="50"/>
              <w:rPr>
                <w:rFonts w:ascii="Times New Roman" w:hAnsi="Times New Roman"/>
                <w:sz w:val="21"/>
                <w:szCs w:val="21"/>
              </w:rPr>
            </w:pPr>
            <w:r>
              <w:rPr>
                <w:rFonts w:hint="eastAsia" w:ascii="Times New Roman" w:hAnsi="Times New Roman"/>
                <w:sz w:val="21"/>
                <w:szCs w:val="21"/>
              </w:rPr>
              <w:t>六、严格绿色矿山建设标准</w:t>
            </w:r>
          </w:p>
          <w:p>
            <w:pPr>
              <w:widowControl/>
              <w:ind w:left="120" w:leftChars="50" w:right="120" w:rightChars="50"/>
              <w:rPr>
                <w:rFonts w:ascii="Times New Roman" w:hAnsi="Times New Roman"/>
                <w:sz w:val="21"/>
                <w:szCs w:val="21"/>
              </w:rPr>
            </w:pPr>
            <w:r>
              <w:rPr>
                <w:rFonts w:hint="eastAsia" w:ascii="Times New Roman" w:hAnsi="Times New Roman"/>
                <w:sz w:val="21"/>
                <w:szCs w:val="21"/>
              </w:rPr>
              <w:t>旗县（市、区）人民政府……严把绿色矿山评估质量关，评估结果向社会公开。要强化绿色矿山动态监管，已列入绿色矿山名录的，旗县（市、区）人民政府要组织相关部门开展入库绿色矿山年度评估，对不符合绿色矿山建设要求、不能立行立改的，坚决移出绿色矿山名录。要强化绿色矿山评估机构监管，对发现把关不严、弄虚作假的，禁止再从事绿色矿山评估工作，并向社会公告。</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right="120" w:rightChars="50"/>
              <w:rPr>
                <w:rFonts w:ascii="Times New Roman" w:hAnsi="Times New Roman"/>
                <w:sz w:val="21"/>
                <w:szCs w:val="21"/>
              </w:rPr>
            </w:pPr>
            <w:r>
              <w:rPr>
                <w:rFonts w:hint="eastAsia" w:ascii="Times New Roman" w:hAnsi="Times New Roman"/>
                <w:sz w:val="21"/>
                <w:szCs w:val="21"/>
              </w:rPr>
              <w:t>本矿区规划新建</w:t>
            </w:r>
            <w:r>
              <w:rPr>
                <w:rFonts w:ascii="Times New Roman" w:hAnsi="Times New Roman"/>
                <w:sz w:val="21"/>
                <w:szCs w:val="21"/>
              </w:rPr>
              <w:t>4个矿井，各矿井规模均为8Mt/a</w:t>
            </w:r>
            <w:r>
              <w:rPr>
                <w:rFonts w:hint="eastAsia" w:ascii="Times New Roman" w:hAnsi="Times New Roman"/>
                <w:sz w:val="21"/>
                <w:szCs w:val="21"/>
              </w:rPr>
              <w:t>，均为大型煤矿；</w:t>
            </w:r>
            <w:r>
              <w:rPr>
                <w:rFonts w:ascii="Times New Roman" w:hAnsi="Times New Roman"/>
                <w:sz w:val="21"/>
                <w:szCs w:val="21"/>
              </w:rPr>
              <w:t>矿区范围与生态保护红线区无重叠，勘查区处生态红线区已剔除矿区范围</w:t>
            </w:r>
            <w:r>
              <w:rPr>
                <w:rFonts w:hint="eastAsia" w:ascii="Times New Roman" w:hAnsi="Times New Roman"/>
                <w:sz w:val="21"/>
                <w:szCs w:val="21"/>
              </w:rPr>
              <w:t>；矿区属于鄂尔多斯市重点管控单元</w:t>
            </w:r>
            <w:r>
              <w:rPr>
                <w:rFonts w:ascii="Times New Roman" w:hAnsi="Times New Roman"/>
                <w:sz w:val="21"/>
                <w:szCs w:val="21"/>
              </w:rPr>
              <w:t>，涉及的重</w:t>
            </w:r>
            <w:r>
              <w:rPr>
                <w:rFonts w:hint="eastAsia" w:ascii="Times New Roman" w:hAnsi="Times New Roman"/>
                <w:sz w:val="21"/>
                <w:szCs w:val="21"/>
              </w:rPr>
              <w:t>点</w:t>
            </w:r>
            <w:r>
              <w:rPr>
                <w:rFonts w:ascii="Times New Roman" w:hAnsi="Times New Roman"/>
                <w:sz w:val="21"/>
                <w:szCs w:val="21"/>
              </w:rPr>
              <w:t>管控单</w:t>
            </w:r>
            <w:r>
              <w:rPr>
                <w:rFonts w:hint="eastAsia" w:ascii="Times New Roman" w:hAnsi="Times New Roman"/>
                <w:sz w:val="21"/>
                <w:szCs w:val="21"/>
              </w:rPr>
              <w:t>元</w:t>
            </w:r>
            <w:r>
              <w:rPr>
                <w:rFonts w:ascii="Times New Roman" w:hAnsi="Times New Roman"/>
                <w:sz w:val="21"/>
                <w:szCs w:val="21"/>
              </w:rPr>
              <w:t>有蒙苏经济开发区（管控单元编码：ZH15062720001）及纳林希里矿区（管控单元编码：ZH15062720012）</w:t>
            </w:r>
            <w:r>
              <w:rPr>
                <w:rFonts w:hint="eastAsia" w:ascii="Times New Roman" w:hAnsi="Times New Roman"/>
                <w:sz w:val="21"/>
                <w:szCs w:val="21"/>
              </w:rPr>
              <w:t>；根据本次评价资源环境承载力分析，区域资源环境可以承载矿区开发建设需要。</w:t>
            </w:r>
          </w:p>
          <w:p>
            <w:pPr>
              <w:pStyle w:val="2"/>
              <w:jc w:val="both"/>
              <w:rPr>
                <w:color w:val="auto"/>
              </w:rPr>
            </w:pPr>
            <w:r>
              <w:rPr>
                <w:rFonts w:ascii="Times New Roman" w:eastAsia="宋体"/>
                <w:color w:val="auto"/>
                <w:kern w:val="2"/>
                <w:sz w:val="21"/>
                <w:szCs w:val="21"/>
              </w:rPr>
              <w:t>本次规划提出</w:t>
            </w:r>
            <w:r>
              <w:rPr>
                <w:rFonts w:hint="eastAsia" w:ascii="Times New Roman" w:eastAsia="宋体"/>
                <w:color w:val="auto"/>
                <w:kern w:val="2"/>
                <w:sz w:val="21"/>
                <w:szCs w:val="21"/>
              </w:rPr>
              <w:t>各矿</w:t>
            </w:r>
            <w:r>
              <w:rPr>
                <w:rFonts w:ascii="Times New Roman" w:eastAsia="宋体"/>
                <w:color w:val="auto"/>
                <w:kern w:val="2"/>
                <w:sz w:val="21"/>
                <w:szCs w:val="21"/>
              </w:rPr>
              <w:t>均按照绿色矿山建设标准进行建设。</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789" w:hRule="atLeast"/>
        </w:trPr>
        <w:tc>
          <w:tcPr>
            <w:tcW w:w="845" w:type="dxa"/>
            <w:vMerge w:val="continue"/>
            <w:tcBorders>
              <w:left w:val="single" w:color="auto" w:sz="4" w:space="0"/>
              <w:bottom w:val="single" w:color="auto" w:sz="4" w:space="0"/>
              <w:right w:val="single" w:color="auto" w:sz="4" w:space="0"/>
            </w:tcBorders>
            <w:shd w:val="clear" w:color="auto" w:fill="FFFFFF"/>
            <w:vAlign w:val="center"/>
          </w:tcPr>
          <w:p>
            <w:pPr>
              <w:widowControl/>
              <w:ind w:left="120" w:leftChars="50" w:right="120" w:rightChars="50"/>
              <w:jc w:val="left"/>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hint="eastAsia" w:ascii="Times New Roman" w:hAnsi="Times New Roman"/>
                <w:sz w:val="21"/>
                <w:szCs w:val="21"/>
              </w:rPr>
              <w:t>《内蒙古自治区矿产资源总体规划（2</w:t>
            </w:r>
            <w:r>
              <w:rPr>
                <w:rFonts w:ascii="Times New Roman" w:hAnsi="Times New Roman"/>
                <w:sz w:val="21"/>
                <w:szCs w:val="21"/>
              </w:rPr>
              <w:t>021-2025</w:t>
            </w:r>
            <w:r>
              <w:rPr>
                <w:rFonts w:hint="eastAsia" w:ascii="Times New Roman" w:hAnsi="Times New Roman"/>
                <w:sz w:val="21"/>
                <w:szCs w:val="21"/>
              </w:rPr>
              <w:t>年）》</w:t>
            </w:r>
            <w:r>
              <w:rPr>
                <w:rFonts w:ascii="Times New Roman" w:hAnsi="Times New Roman"/>
                <w:sz w:val="21"/>
                <w:szCs w:val="21"/>
              </w:rPr>
              <w:t>（内政发</w:t>
            </w:r>
            <w:r>
              <w:rPr>
                <w:rFonts w:hint="eastAsia" w:ascii="Times New Roman" w:hAnsi="Times New Roman"/>
                <w:sz w:val="21"/>
                <w:szCs w:val="21"/>
              </w:rPr>
              <w:t>[2022]24号</w:t>
            </w:r>
            <w:r>
              <w:rPr>
                <w:rFonts w:ascii="Times New Roman" w:hAnsi="Times New Roman"/>
                <w:sz w:val="21"/>
                <w:szCs w:val="21"/>
              </w:rPr>
              <w:t>）</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spacing w:line="240" w:lineRule="atLeast"/>
              <w:ind w:right="120" w:rightChars="50"/>
              <w:rPr>
                <w:rFonts w:ascii="Times New Roman" w:hAnsi="Times New Roman"/>
                <w:sz w:val="21"/>
                <w:szCs w:val="21"/>
              </w:rPr>
            </w:pPr>
            <w:r>
              <w:rPr>
                <w:rFonts w:hint="eastAsia" w:ascii="Times New Roman" w:hAnsi="Times New Roman"/>
                <w:sz w:val="21"/>
                <w:szCs w:val="21"/>
              </w:rPr>
              <w:t>严守生态安全边界。严格落实国土空间管控要求，认真落实“三线一单”（生态保护红线、环境质量底线、资源利用上线和生态环境准入清单）生态环境分区管控要求，落实最严格的草原生态环境保护制度。……呼和浩特市、包头市、乌兰察布市、鄂尔多斯市、巴彦淖尔市和乌海市位于黄河“几字弯”地区，是生态重要区，也是自治区重点发展区域，要积极推动资源绿色开发、清洁高效利用，开展城市综合地质调查及地热等非常规能源勘查开发。高标准打造煤炭基地，优化提升鄂尔多斯市煤炭产能，稳步推进现代化大型煤矿建设，科学有序发展优质产能。</w:t>
            </w:r>
          </w:p>
          <w:p>
            <w:pPr>
              <w:pStyle w:val="2"/>
              <w:rPr>
                <w:color w:val="auto"/>
              </w:rPr>
            </w:pPr>
            <w:r>
              <w:rPr>
                <w:rFonts w:hint="eastAsia" w:ascii="Times New Roman" w:eastAsia="宋体"/>
                <w:color w:val="auto"/>
                <w:kern w:val="2"/>
                <w:sz w:val="21"/>
                <w:szCs w:val="21"/>
              </w:rPr>
              <w:t>强化煤炭基地资源保障作用。基地内煤炭产能占全区9</w:t>
            </w:r>
            <w:r>
              <w:rPr>
                <w:rFonts w:ascii="Times New Roman" w:eastAsia="宋体"/>
                <w:color w:val="auto"/>
                <w:kern w:val="2"/>
                <w:sz w:val="21"/>
                <w:szCs w:val="21"/>
              </w:rPr>
              <w:t>0%</w:t>
            </w:r>
            <w:r>
              <w:rPr>
                <w:rFonts w:hint="eastAsia" w:ascii="Times New Roman" w:eastAsia="宋体"/>
                <w:color w:val="auto"/>
                <w:kern w:val="2"/>
                <w:sz w:val="21"/>
                <w:szCs w:val="21"/>
              </w:rPr>
              <w:t>以上，鄂尔多斯市地区通过新建和核增释放优质产能；有效发挥内蒙古东部地区“以储保供”作用，有利保障东北地区煤炭供应。</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right="120" w:rightChars="50"/>
              <w:rPr>
                <w:rFonts w:ascii="Times New Roman" w:hAnsi="Times New Roman"/>
                <w:sz w:val="21"/>
                <w:szCs w:val="21"/>
              </w:rPr>
            </w:pPr>
            <w:r>
              <w:rPr>
                <w:rFonts w:hint="eastAsia" w:ascii="Times New Roman" w:hAnsi="Times New Roman"/>
                <w:sz w:val="21"/>
                <w:szCs w:val="21"/>
              </w:rPr>
              <w:t>纳林希里</w:t>
            </w:r>
            <w:r>
              <w:rPr>
                <w:rFonts w:ascii="Times New Roman" w:hAnsi="Times New Roman"/>
                <w:sz w:val="21"/>
                <w:szCs w:val="21"/>
              </w:rPr>
              <w:t>矿区范围与生态保护红线区无重叠，勘查区处生态红线区已剔除矿区范围</w:t>
            </w:r>
            <w:r>
              <w:rPr>
                <w:rFonts w:hint="eastAsia" w:ascii="Times New Roman" w:hAnsi="Times New Roman"/>
                <w:sz w:val="21"/>
                <w:szCs w:val="21"/>
              </w:rPr>
              <w:t>；矿区属于鄂尔多斯市重点管控单元。</w:t>
            </w:r>
          </w:p>
          <w:p>
            <w:pPr>
              <w:adjustRightInd w:val="0"/>
              <w:snapToGrid w:val="0"/>
              <w:rPr>
                <w:rFonts w:ascii="Times New Roman" w:hAnsi="Times New Roman"/>
                <w:sz w:val="21"/>
                <w:szCs w:val="21"/>
              </w:rPr>
            </w:pPr>
            <w:r>
              <w:rPr>
                <w:rFonts w:hint="eastAsia" w:ascii="Times New Roman" w:hAnsi="Times New Roman"/>
                <w:sz w:val="21"/>
                <w:szCs w:val="21"/>
              </w:rPr>
              <w:t>矿区位于鄂尔多斯市，区内煤炭是</w:t>
            </w:r>
            <w:r>
              <w:rPr>
                <w:rFonts w:ascii="Times New Roman" w:hAnsi="Times New Roman"/>
                <w:sz w:val="21"/>
                <w:szCs w:val="21"/>
              </w:rPr>
              <w:t>有害成分低，发热量高，是良好的民用及动力用煤</w:t>
            </w:r>
            <w:r>
              <w:rPr>
                <w:rFonts w:hint="eastAsia" w:ascii="Times New Roman" w:hAnsi="Times New Roman"/>
                <w:sz w:val="21"/>
                <w:szCs w:val="21"/>
              </w:rPr>
              <w:t>，属于优质产能，矿区规划目标为就地转化以及</w:t>
            </w:r>
            <w:r>
              <w:rPr>
                <w:rFonts w:ascii="Times New Roman" w:hAnsi="Times New Roman"/>
                <w:sz w:val="21"/>
                <w:szCs w:val="21"/>
              </w:rPr>
              <w:t>作为“西北至华中”的煤源地之一，通过铁路及公路外运，供华中地区用户作燃料用煤</w:t>
            </w:r>
            <w:r>
              <w:rPr>
                <w:rFonts w:hint="eastAsia" w:ascii="Times New Roman" w:hAnsi="Times New Roman"/>
                <w:sz w:val="21"/>
                <w:szCs w:val="21"/>
              </w:rPr>
              <w:t>，有利于华中地区煤炭供应。</w:t>
            </w:r>
          </w:p>
          <w:p>
            <w:pPr>
              <w:pStyle w:val="2"/>
              <w:rPr>
                <w:rFonts w:ascii="Times New Roman" w:eastAsia="宋体"/>
                <w:color w:val="auto"/>
                <w:kern w:val="2"/>
                <w:sz w:val="21"/>
                <w:szCs w:val="21"/>
              </w:rPr>
            </w:pP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835" w:hRule="atLeast"/>
        </w:trPr>
        <w:tc>
          <w:tcPr>
            <w:tcW w:w="845" w:type="dxa"/>
            <w:vMerge w:val="restart"/>
            <w:tcBorders>
              <w:top w:val="single" w:color="auto" w:sz="4" w:space="0"/>
              <w:left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盟</w:t>
            </w:r>
          </w:p>
          <w:p>
            <w:pPr>
              <w:ind w:left="120" w:leftChars="50" w:right="120" w:rightChars="50"/>
              <w:jc w:val="center"/>
              <w:rPr>
                <w:rFonts w:ascii="Times New Roman" w:hAnsi="Times New Roman"/>
                <w:sz w:val="21"/>
                <w:szCs w:val="21"/>
              </w:rPr>
            </w:pPr>
            <w:r>
              <w:rPr>
                <w:rFonts w:ascii="Times New Roman" w:hAnsi="Times New Roman"/>
                <w:sz w:val="21"/>
                <w:szCs w:val="21"/>
              </w:rPr>
              <w:t>市</w:t>
            </w:r>
          </w:p>
          <w:p>
            <w:pPr>
              <w:ind w:left="120" w:leftChars="50" w:right="120" w:rightChars="50"/>
              <w:jc w:val="center"/>
              <w:rPr>
                <w:rFonts w:ascii="Times New Roman" w:hAnsi="Times New Roman"/>
                <w:sz w:val="21"/>
                <w:szCs w:val="21"/>
              </w:rPr>
            </w:pPr>
            <w:r>
              <w:rPr>
                <w:rFonts w:ascii="Times New Roman" w:hAnsi="Times New Roman"/>
                <w:sz w:val="21"/>
                <w:szCs w:val="21"/>
              </w:rPr>
              <w:t>级</w:t>
            </w: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《鄂尔多斯市国民经济和社会发展第十四个五年规划纲要和2035年远景目标纲要》</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ind w:left="120" w:leftChars="50" w:right="120" w:rightChars="50"/>
              <w:rPr>
                <w:rFonts w:ascii="Times New Roman" w:hAnsi="Times New Roman"/>
                <w:kern w:val="0"/>
                <w:sz w:val="21"/>
                <w:szCs w:val="21"/>
              </w:rPr>
            </w:pPr>
            <w:r>
              <w:rPr>
                <w:rFonts w:ascii="Times New Roman" w:hAnsi="Times New Roman"/>
                <w:kern w:val="0"/>
                <w:sz w:val="21"/>
                <w:szCs w:val="21"/>
              </w:rPr>
              <w:t>完善绿色矿山规划体系，严格执行《鄂尔多斯绿色矿山建设管理条例》，将全市生产矿山、新建矿山全部纳入绿色矿山建设规划，编制完成以依法办矿、规范管理、综合利用、技术创新、节能减排、环境保护、土地复垦、社区和谐、企业文化等为主要内容的绿色矿山建设规划。全面推广以井工煤矿保水开采、充填开采为主的绿色开采技术，采取固坡、喷淋、种草等工程与生物措施，实施矸石固废物人工造山，推进矿山复垦绿化和绿色生态矿区建设。</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规划矿井掘进矸石全部用于井下充填废弃巷道不出井。洗选矸石初期运往矸石周转场地临时堆存，后期主要用于井下充填采空区，是以充填开采为主的绿色开采技术</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259" w:hRule="atLeast"/>
        </w:trPr>
        <w:tc>
          <w:tcPr>
            <w:tcW w:w="845" w:type="dxa"/>
            <w:vMerge w:val="continue"/>
            <w:tcBorders>
              <w:left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color w:val="FF0000"/>
                <w:sz w:val="21"/>
                <w:szCs w:val="21"/>
              </w:rPr>
            </w:pPr>
            <w:r>
              <w:rPr>
                <w:rFonts w:ascii="Times New Roman" w:hAnsi="Times New Roman"/>
                <w:color w:val="FF0000"/>
                <w:sz w:val="21"/>
                <w:szCs w:val="21"/>
              </w:rPr>
              <w:t>《鄂尔多斯市生态环境保护“十四五”规划》</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ind w:left="120" w:leftChars="50" w:right="120" w:rightChars="50"/>
              <w:rPr>
                <w:rFonts w:ascii="Times New Roman" w:hAnsi="Times New Roman"/>
                <w:color w:val="FF0000"/>
                <w:sz w:val="21"/>
                <w:szCs w:val="21"/>
              </w:rPr>
            </w:pPr>
            <w:r>
              <w:rPr>
                <w:rFonts w:ascii="Times New Roman" w:hAnsi="Times New Roman"/>
                <w:color w:val="FF0000"/>
                <w:sz w:val="21"/>
                <w:szCs w:val="21"/>
              </w:rPr>
              <w:t>开展生态修复试验示范基地建设。根据鄂尔多斯生态环境现状和生态气候区域差异，建议以中煤西北能源有限公司、神东煤炭集团公司、准能集团公司和乌审旗、伊金霍洛旗、准尔旗为试点，开展以水平衡与生态功能提升为核心的生态修复试验示范。</w:t>
            </w:r>
          </w:p>
          <w:p>
            <w:pPr>
              <w:widowControl/>
              <w:ind w:left="120" w:leftChars="50" w:right="120" w:rightChars="50"/>
              <w:rPr>
                <w:rFonts w:ascii="Times New Roman" w:hAnsi="Times New Roman"/>
                <w:color w:val="FF0000"/>
                <w:sz w:val="21"/>
                <w:szCs w:val="21"/>
              </w:rPr>
            </w:pPr>
            <w:r>
              <w:rPr>
                <w:rFonts w:ascii="Times New Roman" w:hAnsi="Times New Roman"/>
                <w:color w:val="FF0000"/>
                <w:sz w:val="21"/>
                <w:szCs w:val="21"/>
              </w:rPr>
              <w:t>“十四五”期间，对建设矸石回填工程的矿企增加其采煤配额，并对未建设矸石回填工程的矿企增加其采煤配额，并对未建设矸石回填工程的矿企核减其采煤配额。并严格执行环保准入制度，不予审批不具备回填矸石能力的煤炭开采企业，已建设的煤炭企业分区域、分阶段实施矸石回填工程。</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color w:val="FF0000"/>
                <w:sz w:val="21"/>
                <w:szCs w:val="21"/>
              </w:rPr>
            </w:pPr>
            <w:r>
              <w:rPr>
                <w:rFonts w:ascii="Times New Roman" w:hAnsi="Times New Roman"/>
                <w:color w:val="FF0000"/>
                <w:sz w:val="21"/>
                <w:szCs w:val="21"/>
              </w:rPr>
              <w:t>本矿区建设初期矸石运至矸石周转场，后期进行井下充填，满足规划要求。</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494" w:hRule="atLeast"/>
        </w:trPr>
        <w:tc>
          <w:tcPr>
            <w:tcW w:w="845" w:type="dxa"/>
            <w:vMerge w:val="continue"/>
            <w:tcBorders>
              <w:left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内蒙古鄂尔多斯遗鸥国家级自然保护区总体规划</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ind w:left="120" w:leftChars="50" w:right="120" w:rightChars="50"/>
              <w:rPr>
                <w:rFonts w:ascii="Times New Roman" w:hAnsi="Times New Roman"/>
                <w:sz w:val="21"/>
                <w:szCs w:val="21"/>
              </w:rPr>
            </w:pPr>
            <w:r>
              <w:rPr>
                <w:rFonts w:ascii="Times New Roman" w:hAnsi="Times New Roman"/>
                <w:sz w:val="21"/>
                <w:szCs w:val="21"/>
              </w:rPr>
              <w:t>鄂尔多斯遗鸥国家级自然保护区始建于1998年，2000年经国务院批准为国家级自然保护区，主要保护对象是鄂尔多斯遗鸥种群及其栖息地，特别是繁殖区、觅食区和活动区的湿地生态系统。保护区划分为核心区、缓冲区和实验区，实验区面积8397hm</w:t>
            </w:r>
            <w:r>
              <w:rPr>
                <w:rFonts w:ascii="Times New Roman" w:hAnsi="Times New Roman"/>
                <w:sz w:val="21"/>
                <w:szCs w:val="21"/>
                <w:vertAlign w:val="superscript"/>
              </w:rPr>
              <w:t>2</w:t>
            </w:r>
            <w:r>
              <w:rPr>
                <w:rFonts w:ascii="Times New Roman" w:hAnsi="Times New Roman"/>
                <w:sz w:val="21"/>
                <w:szCs w:val="21"/>
              </w:rPr>
              <w:t>，占保护区面积的56.82%。</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鄂尔多斯遗鸥国家级自然保护区与纳林希里矿区北侧边界相接，本次规划矿区范围与鄂尔多斯遗鸥国家级自然保护区无重叠，为确保保护区不受矿区开发影响，本次评价提出了留设保护煤柱等措施。</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21" w:hRule="atLeast"/>
        </w:trPr>
        <w:tc>
          <w:tcPr>
            <w:tcW w:w="845" w:type="dxa"/>
            <w:vMerge w:val="continue"/>
            <w:tcBorders>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p>
        </w:tc>
        <w:tc>
          <w:tcPr>
            <w:tcW w:w="176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《鄂尔多斯市人民政府关于“三线一单”</w:t>
            </w:r>
            <w:r>
              <w:rPr>
                <w:rStyle w:val="74"/>
                <w:rFonts w:ascii="Times New Roman" w:hAnsi="Times New Roman"/>
              </w:rPr>
              <w:t>生态环境分区管控的实施意见》鄂府发</w:t>
            </w:r>
            <w:r>
              <w:rPr>
                <w:rFonts w:ascii="Times New Roman" w:hAnsi="Times New Roman"/>
                <w:sz w:val="21"/>
                <w:szCs w:val="21"/>
              </w:rPr>
              <w:t>〔2021〕218</w:t>
            </w:r>
          </w:p>
        </w:tc>
        <w:tc>
          <w:tcPr>
            <w:tcW w:w="6190"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25"/>
              <w:autoSpaceDE w:val="0"/>
              <w:autoSpaceDN w:val="0"/>
              <w:ind w:left="120" w:leftChars="50" w:right="120" w:rightChars="50"/>
              <w:rPr>
                <w:rFonts w:ascii="Times New Roman"/>
                <w:color w:val="auto"/>
                <w:szCs w:val="21"/>
              </w:rPr>
            </w:pPr>
            <w:r>
              <w:rPr>
                <w:rFonts w:ascii="Times New Roman" w:eastAsia="宋体"/>
                <w:color w:val="auto"/>
                <w:szCs w:val="21"/>
              </w:rPr>
              <w:t>鄂尔多斯市共划定环境管控单元163个，其中重点管控单元共87个。主要包括工业园区、城市、矿区等开发强度高、污染排放量大、环境问题相对集中的区域，以及生态需水补给区等。该区域应不断提升资源利用效率，有针对性地加强污染物排放控制和环境风险防控，解决生态环境质量不达标、生态环境风险高等问题。</w:t>
            </w:r>
          </w:p>
        </w:tc>
        <w:tc>
          <w:tcPr>
            <w:tcW w:w="4255"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rPr>
                <w:rFonts w:ascii="Times New Roman" w:hAnsi="Times New Roman"/>
                <w:sz w:val="21"/>
                <w:szCs w:val="21"/>
              </w:rPr>
            </w:pPr>
            <w:r>
              <w:rPr>
                <w:rFonts w:ascii="Times New Roman" w:hAnsi="Times New Roman"/>
                <w:sz w:val="21"/>
                <w:szCs w:val="21"/>
              </w:rPr>
              <w:t>本矿区位于鄂尔多斯市重点管控单元。煤矿开采不属于重点管控区禁入的内容。本次评价在开展过程中针对以上要求提出了生活污水全部回用不外排等提升资源利用效率，加强污染物排放控制，提出了设置危废暂存库等风险防治措施，有效的保护了矿区开发对地下水、环境污染、风险的影响。</w:t>
            </w:r>
          </w:p>
        </w:tc>
        <w:tc>
          <w:tcPr>
            <w:tcW w:w="1148" w:type="dxa"/>
            <w:tcBorders>
              <w:top w:val="single" w:color="auto" w:sz="4" w:space="0"/>
              <w:left w:val="single" w:color="auto" w:sz="4" w:space="0"/>
              <w:bottom w:val="single" w:color="auto" w:sz="4" w:space="0"/>
              <w:right w:val="single" w:color="auto" w:sz="4" w:space="0"/>
            </w:tcBorders>
            <w:shd w:val="clear" w:color="auto" w:fill="FFFFFF"/>
            <w:vAlign w:val="center"/>
          </w:tcPr>
          <w:p>
            <w:pPr>
              <w:ind w:left="120" w:leftChars="50" w:right="120" w:rightChars="50"/>
              <w:jc w:val="center"/>
              <w:rPr>
                <w:rFonts w:ascii="Times New Roman" w:hAnsi="Times New Roman"/>
                <w:sz w:val="21"/>
                <w:szCs w:val="21"/>
              </w:rPr>
            </w:pPr>
            <w:r>
              <w:rPr>
                <w:rFonts w:ascii="Times New Roman" w:hAnsi="Times New Roman"/>
                <w:sz w:val="21"/>
                <w:szCs w:val="21"/>
              </w:rPr>
              <w:t>符合</w:t>
            </w:r>
          </w:p>
        </w:tc>
      </w:tr>
    </w:tbl>
    <w:p>
      <w:pPr>
        <w:widowControl/>
        <w:spacing w:beforeAutospacing="1" w:afterAutospacing="1"/>
        <w:jc w:val="left"/>
        <w:rPr>
          <w:rFonts w:ascii="Times New Roman" w:hAnsi="Times New Roman"/>
        </w:rPr>
        <w:sectPr>
          <w:headerReference r:id="rId10" w:type="default"/>
          <w:pgSz w:w="16838" w:h="11906" w:orient="landscape"/>
          <w:pgMar w:top="1531" w:right="1304" w:bottom="1418" w:left="1304" w:header="1134" w:footer="851" w:gutter="0"/>
          <w:cols w:space="720" w:num="1"/>
          <w:docGrid w:linePitch="326" w:charSpace="0"/>
        </w:sectPr>
      </w:pPr>
    </w:p>
    <w:p>
      <w:pPr>
        <w:pStyle w:val="5"/>
        <w:spacing w:before="120" w:after="120" w:line="440" w:lineRule="exact"/>
        <w:rPr>
          <w:sz w:val="24"/>
          <w:szCs w:val="22"/>
        </w:rPr>
      </w:pPr>
      <w:bookmarkStart w:id="112" w:name="_Toc437006594"/>
      <w:bookmarkStart w:id="113" w:name="_Toc247104437"/>
      <w:bookmarkStart w:id="114" w:name="_Toc308776792"/>
      <w:bookmarkStart w:id="115" w:name="_Toc255477092"/>
      <w:r>
        <w:rPr>
          <w:sz w:val="24"/>
          <w:szCs w:val="22"/>
        </w:rPr>
        <w:t>2.2.2内部协调性分析</w:t>
      </w:r>
      <w:bookmarkEnd w:id="112"/>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对于本矿区而言，内部协调性分析主要分析矿区内煤矿与选煤厂、采煤与运煤、矿区地面总布置等在规模、能力和建设时序上是否协调一致，是否出现配套环节的空缺或需要中转场地等。分析结果见表2.2-2。</w:t>
      </w:r>
    </w:p>
    <w:p>
      <w:pPr>
        <w:tabs>
          <w:tab w:val="left" w:pos="6840"/>
        </w:tabs>
        <w:topLinePunct/>
        <w:adjustRightInd w:val="0"/>
        <w:snapToGrid w:val="0"/>
        <w:spacing w:line="440" w:lineRule="exact"/>
        <w:jc w:val="center"/>
        <w:rPr>
          <w:rFonts w:ascii="Times New Roman" w:hAnsi="Times New Roman"/>
          <w:b/>
          <w:bCs/>
          <w:kern w:val="0"/>
          <w:szCs w:val="28"/>
        </w:rPr>
      </w:pPr>
      <w:r>
        <w:rPr>
          <w:rFonts w:ascii="Times New Roman" w:hAnsi="Times New Roman"/>
          <w:b/>
          <w:bCs/>
          <w:kern w:val="0"/>
          <w:szCs w:val="28"/>
        </w:rPr>
        <w:t>规划方案内部协调性分析结果一览表</w:t>
      </w:r>
    </w:p>
    <w:p>
      <w:pPr>
        <w:widowControl/>
        <w:adjustRightInd w:val="0"/>
        <w:snapToGrid w:val="0"/>
        <w:spacing w:line="440" w:lineRule="exact"/>
        <w:ind w:firstLine="240" w:firstLineChars="100"/>
        <w:outlineLvl w:val="4"/>
        <w:rPr>
          <w:rFonts w:ascii="Times New Roman" w:hAnsi="Times New Roman"/>
          <w:kern w:val="0"/>
          <w:szCs w:val="24"/>
        </w:rPr>
      </w:pPr>
      <w:r>
        <w:rPr>
          <w:rFonts w:ascii="Times New Roman" w:hAnsi="Times New Roman"/>
          <w:kern w:val="0"/>
          <w:szCs w:val="24"/>
        </w:rPr>
        <w:t>表2.2-2</w:t>
      </w:r>
    </w:p>
    <w:tbl>
      <w:tblPr>
        <w:tblStyle w:val="59"/>
        <w:tblW w:w="88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33"/>
        <w:gridCol w:w="1449"/>
        <w:gridCol w:w="1449"/>
        <w:gridCol w:w="13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4633"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项    目</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规模</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布局</w:t>
            </w:r>
          </w:p>
        </w:tc>
        <w:tc>
          <w:tcPr>
            <w:tcW w:w="131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建设时序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4633"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煤矿与选煤厂</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31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4633"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采煤与运煤</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31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4633"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矿区地面总布置</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31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4633"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给水与排水</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31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4633"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矿坑水、生活污水处理站</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31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4633"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采暖供热</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44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c>
          <w:tcPr>
            <w:tcW w:w="131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sz w:val="21"/>
                <w:szCs w:val="21"/>
              </w:rPr>
            </w:pPr>
            <w:r>
              <w:rPr>
                <w:rFonts w:ascii="Times New Roman" w:hAnsi="Times New Roman"/>
                <w:sz w:val="21"/>
                <w:szCs w:val="21"/>
              </w:rPr>
              <w:t>+++</w:t>
            </w:r>
          </w:p>
        </w:tc>
      </w:tr>
    </w:tbl>
    <w:p>
      <w:pPr>
        <w:spacing w:line="440" w:lineRule="exact"/>
        <w:ind w:firstLine="420" w:firstLineChars="200"/>
        <w:rPr>
          <w:rFonts w:ascii="Times New Roman" w:hAnsi="Times New Roman"/>
          <w:sz w:val="21"/>
          <w:szCs w:val="21"/>
        </w:rPr>
      </w:pPr>
      <w:r>
        <w:rPr>
          <w:rFonts w:ascii="Times New Roman" w:hAnsi="Times New Roman"/>
          <w:sz w:val="21"/>
          <w:szCs w:val="21"/>
        </w:rPr>
        <w:t>注：+++表示协调性较高，++表示协调，+表示协调性较低</w:t>
      </w:r>
    </w:p>
    <w:p>
      <w:pPr>
        <w:numPr>
          <w:ilvl w:val="0"/>
          <w:numId w:val="14"/>
        </w:numPr>
        <w:spacing w:before="120" w:beforeLines="50" w:line="440" w:lineRule="exact"/>
        <w:rPr>
          <w:rFonts w:ascii="Times New Roman" w:hAnsi="Times New Roman"/>
          <w:b/>
          <w:szCs w:val="24"/>
        </w:rPr>
      </w:pPr>
      <w:r>
        <w:rPr>
          <w:rFonts w:ascii="Times New Roman" w:hAnsi="Times New Roman"/>
          <w:b/>
          <w:szCs w:val="24"/>
        </w:rPr>
        <w:t>煤矿与选煤厂</w:t>
      </w:r>
    </w:p>
    <w:p>
      <w:pPr>
        <w:spacing w:line="440" w:lineRule="exact"/>
        <w:ind w:firstLine="480" w:firstLineChars="200"/>
        <w:rPr>
          <w:rFonts w:ascii="Times New Roman" w:hAnsi="Times New Roman"/>
          <w:szCs w:val="24"/>
        </w:rPr>
      </w:pPr>
      <w:r>
        <w:rPr>
          <w:rFonts w:ascii="Times New Roman" w:hAnsi="Times New Roman"/>
          <w:szCs w:val="24"/>
        </w:rPr>
        <w:t>矿区内各矿井单独配套建设选煤厂，选煤厂厂址与矿井建于同一工业场地，规模同矿井，选煤工艺均采用重介浅槽工艺，矿井与选煤厂在布局、规模及建设时序方面均协调。</w:t>
      </w:r>
    </w:p>
    <w:p>
      <w:pPr>
        <w:spacing w:line="440" w:lineRule="exact"/>
        <w:ind w:firstLine="482" w:firstLineChars="200"/>
        <w:rPr>
          <w:rFonts w:ascii="Times New Roman" w:hAnsi="Times New Roman"/>
          <w:b/>
          <w:bCs/>
          <w:szCs w:val="24"/>
        </w:rPr>
      </w:pPr>
      <w:r>
        <w:rPr>
          <w:rFonts w:ascii="Times New Roman" w:hAnsi="Times New Roman"/>
          <w:b/>
          <w:bCs/>
          <w:szCs w:val="24"/>
        </w:rPr>
        <w:t>（2）采煤和运煤</w:t>
      </w:r>
    </w:p>
    <w:p>
      <w:pPr>
        <w:spacing w:line="480" w:lineRule="exact"/>
        <w:ind w:firstLine="480" w:firstLineChars="200"/>
        <w:rPr>
          <w:rFonts w:ascii="Times New Roman" w:hAnsi="Times New Roman"/>
        </w:rPr>
      </w:pPr>
      <w:r>
        <w:rPr>
          <w:rFonts w:ascii="Times New Roman" w:hAnsi="Times New Roman"/>
          <w:snapToGrid w:val="0"/>
          <w:kern w:val="0"/>
        </w:rPr>
        <w:t>矿区交通条件十分便利，矿区东侧约60km有包神铁路包西铁路，南部境界内有东乌铁路自西向东通过，西侧有蒙西华中铁路和规划的乌（拉山）-乌（审旗）的地方铁路。</w:t>
      </w:r>
      <w:r>
        <w:rPr>
          <w:rFonts w:ascii="Times New Roman" w:hAnsi="Times New Roman"/>
          <w:szCs w:val="21"/>
        </w:rPr>
        <w:t>荣（荣城）—乌（乌海）高速公路从矿区北部境内东西向穿过，矿区西侧有阿小公路和省道S215（乌拉特前旗至乌审旗段），国道G210从矿区东侧通过，阿乌公路从矿区南部境内东西向穿过，途径红庆河镇，阿四公路位于阿乌公路北侧，从矿区中部境内东西向穿过。</w:t>
      </w:r>
    </w:p>
    <w:p>
      <w:pPr>
        <w:spacing w:line="440" w:lineRule="exact"/>
        <w:ind w:firstLine="480" w:firstLineChars="200"/>
        <w:rPr>
          <w:rFonts w:ascii="Times New Roman" w:hAnsi="Times New Roman"/>
          <w:szCs w:val="24"/>
        </w:rPr>
      </w:pPr>
      <w:r>
        <w:rPr>
          <w:rFonts w:ascii="Times New Roman" w:hAnsi="Times New Roman"/>
          <w:szCs w:val="24"/>
        </w:rPr>
        <w:t>矿区规划建设铁路专用线及一条矿区公路，地面运输采用铁路运输的方式为主，其余辅助运输采用公路汽车运输。矿区运输可以满足矿区煤炭外运的需求。</w:t>
      </w:r>
    </w:p>
    <w:p>
      <w:pPr>
        <w:spacing w:line="440" w:lineRule="exact"/>
        <w:ind w:firstLine="482" w:firstLineChars="200"/>
        <w:rPr>
          <w:rFonts w:ascii="Times New Roman" w:hAnsi="Times New Roman"/>
          <w:b/>
        </w:rPr>
      </w:pPr>
      <w:r>
        <w:rPr>
          <w:rFonts w:ascii="Times New Roman" w:hAnsi="Times New Roman"/>
          <w:b/>
        </w:rPr>
        <w:t>（3）矿区地面总布置</w:t>
      </w:r>
    </w:p>
    <w:p>
      <w:pPr>
        <w:adjustRightInd w:val="0"/>
        <w:spacing w:line="440" w:lineRule="exact"/>
        <w:ind w:firstLine="480" w:firstLineChars="200"/>
        <w:rPr>
          <w:rFonts w:ascii="Times New Roman" w:hAnsi="Times New Roman"/>
        </w:rPr>
      </w:pPr>
      <w:r>
        <w:rPr>
          <w:rFonts w:ascii="Times New Roman" w:hAnsi="Times New Roman"/>
          <w:szCs w:val="24"/>
        </w:rPr>
        <w:t>矿区由北向南共划分4个井田（奎腾沟井田8.00Mt/a、苏布尔嘎井田8.00Mt/a、壕赖苏井田8.00Mt/a、纳林希里井田8.00Mt/a），矿区西部普查区划分为1个勘查区。</w:t>
      </w:r>
    </w:p>
    <w:p>
      <w:pPr>
        <w:adjustRightInd w:val="0"/>
        <w:spacing w:line="440" w:lineRule="exact"/>
        <w:ind w:firstLine="480" w:firstLineChars="200"/>
        <w:rPr>
          <w:rFonts w:ascii="Times New Roman" w:hAnsi="Times New Roman"/>
        </w:rPr>
      </w:pPr>
      <w:r>
        <w:rPr>
          <w:rFonts w:ascii="Times New Roman" w:hAnsi="Times New Roman"/>
        </w:rPr>
        <w:t>各井田分别规划建设工业场地及同等规划的选煤厂。辅助企业区布置在矿区中心，靠近壕赖苏井田边界，爆炸材料库单独布置，建于西侧勘查区内，供4个井田使用。</w:t>
      </w:r>
    </w:p>
    <w:p>
      <w:pPr>
        <w:adjustRightInd w:val="0"/>
        <w:spacing w:line="440" w:lineRule="exact"/>
        <w:ind w:firstLine="480" w:firstLineChars="200"/>
        <w:rPr>
          <w:rFonts w:ascii="Times New Roman" w:hAnsi="Times New Roman"/>
        </w:rPr>
      </w:pPr>
      <w:r>
        <w:rPr>
          <w:rFonts w:ascii="Times New Roman" w:hAnsi="Times New Roman"/>
        </w:rPr>
        <w:t>矿区总体布置较合理。</w:t>
      </w:r>
    </w:p>
    <w:p>
      <w:pPr>
        <w:adjustRightInd w:val="0"/>
        <w:spacing w:line="440" w:lineRule="exact"/>
        <w:ind w:left="480" w:leftChars="200"/>
        <w:rPr>
          <w:rFonts w:ascii="Times New Roman" w:hAnsi="Times New Roman"/>
          <w:b/>
          <w:szCs w:val="24"/>
        </w:rPr>
      </w:pPr>
      <w:r>
        <w:rPr>
          <w:rFonts w:ascii="Times New Roman" w:hAnsi="Times New Roman"/>
          <w:b/>
          <w:szCs w:val="24"/>
        </w:rPr>
        <w:t>（4）给水与排水</w:t>
      </w:r>
    </w:p>
    <w:p>
      <w:pPr>
        <w:adjustRightInd w:val="0"/>
        <w:spacing w:line="440" w:lineRule="exact"/>
        <w:ind w:firstLine="480" w:firstLineChars="200"/>
        <w:rPr>
          <w:rFonts w:ascii="Times New Roman" w:hAnsi="Times New Roman"/>
          <w:bCs/>
          <w:snapToGrid w:val="0"/>
          <w:kern w:val="24"/>
          <w:szCs w:val="24"/>
          <w:lang w:val="zh-CN"/>
        </w:rPr>
      </w:pPr>
      <w:r>
        <w:rPr>
          <w:rFonts w:ascii="Times New Roman" w:hAnsi="Times New Roman"/>
          <w:snapToGrid w:val="0"/>
        </w:rPr>
        <w:t>矿区达产时矿井正常涌水量3300m</w:t>
      </w:r>
      <w:r>
        <w:rPr>
          <w:rFonts w:ascii="Times New Roman" w:hAnsi="Times New Roman"/>
          <w:snapToGrid w:val="0"/>
          <w:vertAlign w:val="superscript"/>
        </w:rPr>
        <w:t>3</w:t>
      </w:r>
      <w:r>
        <w:rPr>
          <w:rFonts w:ascii="Times New Roman" w:hAnsi="Times New Roman"/>
          <w:snapToGrid w:val="0"/>
        </w:rPr>
        <w:t>/h，</w:t>
      </w:r>
      <w:r>
        <w:rPr>
          <w:rFonts w:ascii="Times New Roman" w:hAnsi="Times New Roman"/>
          <w:snapToGrid w:val="0"/>
          <w:lang w:val="zh-CN"/>
        </w:rPr>
        <w:t>可复用量总计</w:t>
      </w:r>
      <w:r>
        <w:rPr>
          <w:rFonts w:ascii="Times New Roman" w:hAnsi="Times New Roman"/>
          <w:snapToGrid w:val="0"/>
        </w:rPr>
        <w:t>55440</w:t>
      </w:r>
      <w:r>
        <w:rPr>
          <w:rFonts w:ascii="Times New Roman" w:hAnsi="Times New Roman"/>
          <w:snapToGrid w:val="0"/>
          <w:lang w:val="zh-CN"/>
        </w:rPr>
        <w:t>m</w:t>
      </w:r>
      <w:r>
        <w:rPr>
          <w:rFonts w:ascii="Times New Roman" w:hAnsi="Times New Roman"/>
          <w:snapToGrid w:val="0"/>
          <w:vertAlign w:val="superscript"/>
          <w:lang w:val="zh-CN"/>
        </w:rPr>
        <w:t>3</w:t>
      </w:r>
      <w:r>
        <w:rPr>
          <w:rFonts w:ascii="Times New Roman" w:hAnsi="Times New Roman"/>
          <w:snapToGrid w:val="0"/>
          <w:lang w:val="zh-CN"/>
        </w:rPr>
        <w:t>/d，处理后主要用于井下消防洒水、选煤厂洗煤用水、防火灌浆用水等，</w:t>
      </w:r>
      <w:r>
        <w:rPr>
          <w:rFonts w:ascii="Times New Roman" w:hAnsi="Times New Roman"/>
          <w:snapToGrid w:val="0"/>
        </w:rPr>
        <w:t>经深度处理后用于矿井生活用水。</w:t>
      </w:r>
    </w:p>
    <w:p>
      <w:pPr>
        <w:pStyle w:val="36"/>
        <w:adjustRightInd w:val="0"/>
        <w:snapToGrid w:val="0"/>
        <w:spacing w:after="0" w:line="440" w:lineRule="exact"/>
        <w:ind w:left="0" w:leftChars="0" w:firstLine="480" w:firstLineChars="200"/>
        <w:rPr>
          <w:sz w:val="24"/>
          <w:szCs w:val="24"/>
        </w:rPr>
      </w:pPr>
      <w:r>
        <w:rPr>
          <w:sz w:val="24"/>
          <w:szCs w:val="24"/>
        </w:rPr>
        <w:t>各矿井工业场地污废水经排水管网收集排入生活污水处理站处理后全部回用，井下排水分别排入各矿矿井水处理站经分质处理后回用于矿井井下消防洒水、选煤厂生产补充水、辅助企业生产用水，后期经深度处理可用于矿井生活用水。富裕水量通过输水管线送至附近化工园区或其和淖尔/马奶湖做景观用水。</w:t>
      </w:r>
    </w:p>
    <w:p>
      <w:pPr>
        <w:adjustRightInd w:val="0"/>
        <w:spacing w:line="440" w:lineRule="exact"/>
        <w:ind w:left="480" w:leftChars="200" w:firstLine="480" w:firstLineChars="200"/>
        <w:rPr>
          <w:rFonts w:ascii="Times New Roman" w:hAnsi="Times New Roman"/>
          <w:bCs/>
          <w:snapToGrid w:val="0"/>
          <w:kern w:val="24"/>
          <w:szCs w:val="24"/>
        </w:rPr>
      </w:pPr>
      <w:r>
        <w:rPr>
          <w:rFonts w:ascii="Times New Roman" w:hAnsi="Times New Roman"/>
          <w:bCs/>
          <w:snapToGrid w:val="0"/>
          <w:kern w:val="24"/>
          <w:szCs w:val="24"/>
        </w:rPr>
        <w:t>矿区给水与排水规划基本合理。</w:t>
      </w:r>
    </w:p>
    <w:p>
      <w:pPr>
        <w:adjustRightInd w:val="0"/>
        <w:spacing w:line="440" w:lineRule="exact"/>
        <w:ind w:firstLine="472" w:firstLineChars="196"/>
        <w:rPr>
          <w:rFonts w:ascii="Times New Roman" w:hAnsi="Times New Roman"/>
          <w:b/>
          <w:szCs w:val="24"/>
        </w:rPr>
      </w:pPr>
      <w:r>
        <w:rPr>
          <w:rFonts w:ascii="Times New Roman" w:hAnsi="Times New Roman"/>
          <w:b/>
          <w:szCs w:val="24"/>
        </w:rPr>
        <w:t>（5）采暖与供热</w:t>
      </w:r>
    </w:p>
    <w:p>
      <w:pPr>
        <w:adjustRightInd w:val="0"/>
        <w:snapToGrid w:val="0"/>
        <w:spacing w:line="440" w:lineRule="exact"/>
        <w:ind w:firstLine="480" w:firstLineChars="200"/>
        <w:rPr>
          <w:rFonts w:ascii="Times New Roman" w:hAnsi="Times New Roman"/>
          <w:szCs w:val="24"/>
        </w:rPr>
      </w:pPr>
      <w:r>
        <w:rPr>
          <w:rFonts w:ascii="Times New Roman" w:hAnsi="Times New Roman"/>
        </w:rPr>
        <w:t>矿区规划</w:t>
      </w:r>
      <w:r>
        <w:rPr>
          <w:rFonts w:ascii="Times New Roman" w:hAnsi="Times New Roman"/>
          <w:szCs w:val="24"/>
        </w:rPr>
        <w:t>在每个矿井工业场地分别建1座锅炉房，其中奎腾沟、苏布尔噶、纳林希里锅炉房内均设28MW(折合蒸发量40t/h)热水锅炉2台，壕赖苏矿井锅炉房内设28MW(折合蒸发量40t/h)热水锅炉3台，分别为矿井及选煤厂供热。各矿井非采暖季采用水源热泵及空气源热泵的供热方式。各矿井及中心区也可根据实际情况在场地内设置电锅炉，满足非采暖季的热负荷要求。</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矿区供热规划合理，与矿区生产协调。</w:t>
      </w:r>
    </w:p>
    <w:p>
      <w:pPr>
        <w:pStyle w:val="5"/>
        <w:spacing w:before="0" w:after="0" w:line="440" w:lineRule="exact"/>
        <w:rPr>
          <w:sz w:val="24"/>
        </w:rPr>
      </w:pPr>
      <w:r>
        <w:rPr>
          <w:sz w:val="24"/>
        </w:rPr>
        <w:t>2.2.3规划方案存在的</w:t>
      </w:r>
      <w:bookmarkEnd w:id="113"/>
      <w:bookmarkEnd w:id="114"/>
      <w:bookmarkEnd w:id="115"/>
      <w:r>
        <w:rPr>
          <w:sz w:val="24"/>
        </w:rPr>
        <w:t>不足或问题</w:t>
      </w:r>
    </w:p>
    <w:p>
      <w:pPr>
        <w:numPr>
          <w:ilvl w:val="255"/>
          <w:numId w:val="0"/>
        </w:numPr>
        <w:spacing w:line="400" w:lineRule="exact"/>
        <w:ind w:firstLine="480" w:firstLineChars="200"/>
        <w:rPr>
          <w:rFonts w:ascii="Times New Roman" w:hAnsi="Times New Roman"/>
          <w:b/>
        </w:rPr>
      </w:pPr>
      <w:r>
        <w:rPr>
          <w:rFonts w:ascii="Times New Roman" w:hAnsi="Times New Roman"/>
          <w:szCs w:val="24"/>
        </w:rPr>
        <w:t>根据上述分析，规划方案总体上与相关政策、规划基本是协调的，但也存在不协调的地方，主要为：</w:t>
      </w:r>
      <w:r>
        <w:rPr>
          <w:rFonts w:ascii="Times New Roman" w:hAnsi="Times New Roman"/>
          <w:b/>
        </w:rPr>
        <w:t>矿区勘查区分布有生态保护红线，矿区北侧与生态保护红线相接。</w:t>
      </w:r>
    </w:p>
    <w:p>
      <w:pPr>
        <w:adjustRightInd w:val="0"/>
        <w:snapToGrid w:val="0"/>
        <w:spacing w:line="400" w:lineRule="exact"/>
        <w:ind w:firstLine="480" w:firstLineChars="200"/>
        <w:rPr>
          <w:rFonts w:ascii="Times New Roman" w:hAnsi="Times New Roman"/>
          <w:color w:val="FF0000"/>
        </w:rPr>
      </w:pPr>
      <w:r>
        <w:rPr>
          <w:rFonts w:ascii="Times New Roman" w:hAnsi="Times New Roman"/>
          <w:color w:val="FF0000"/>
        </w:rPr>
        <w:t>矿区涉及的生态保护红线区分</w:t>
      </w:r>
      <w:r>
        <w:rPr>
          <w:rFonts w:hint="eastAsia" w:ascii="Times New Roman" w:hAnsi="Times New Roman"/>
          <w:color w:val="FF0000"/>
        </w:rPr>
        <w:t>三</w:t>
      </w:r>
      <w:r>
        <w:rPr>
          <w:rFonts w:ascii="Times New Roman" w:hAnsi="Times New Roman"/>
          <w:color w:val="FF0000"/>
        </w:rPr>
        <w:t>部分：一部分位于矿区勘查区处，面积约28.47km</w:t>
      </w:r>
      <w:r>
        <w:rPr>
          <w:rFonts w:ascii="Times New Roman" w:hAnsi="Times New Roman"/>
          <w:color w:val="FF0000"/>
          <w:vertAlign w:val="superscript"/>
        </w:rPr>
        <w:t>2</w:t>
      </w:r>
      <w:r>
        <w:rPr>
          <w:rFonts w:ascii="Times New Roman" w:hAnsi="Times New Roman"/>
          <w:color w:val="FF0000"/>
        </w:rPr>
        <w:t>，本次规划已将该区域剔除矿区范围；一部分位于矿区北边界外，其实验区南边界紧邻矿区东北边界（奎腾沟井田东北边界）</w:t>
      </w:r>
      <w:r>
        <w:rPr>
          <w:rFonts w:hint="eastAsia" w:ascii="Times New Roman" w:hAnsi="Times New Roman"/>
          <w:color w:val="FF0000"/>
        </w:rPr>
        <w:t>；另一部分位于矿区东侧，苏布尔嘎东部边界外</w:t>
      </w:r>
      <w:r>
        <w:rPr>
          <w:rFonts w:ascii="Times New Roman" w:hAnsi="Times New Roman"/>
          <w:color w:val="FF0000"/>
        </w:rPr>
        <w:t>。</w:t>
      </w:r>
      <w:r>
        <w:rPr>
          <w:rFonts w:hint="eastAsia" w:ascii="Times New Roman" w:hAnsi="Times New Roman"/>
          <w:color w:val="FF0000"/>
        </w:rPr>
        <w:t>勘查区内生态保护红线区及苏布尔嘎井田东部边界外</w:t>
      </w:r>
      <w:r>
        <w:rPr>
          <w:rFonts w:ascii="Times New Roman" w:hAnsi="Times New Roman"/>
          <w:color w:val="FF0000"/>
        </w:rPr>
        <w:t>生态保护红线区</w:t>
      </w:r>
      <w:r>
        <w:rPr>
          <w:rFonts w:hint="eastAsia" w:ascii="Times New Roman" w:hAnsi="Times New Roman"/>
          <w:color w:val="FF0000"/>
        </w:rPr>
        <w:t>为伊金霍洛旗-生物多样性维护</w:t>
      </w:r>
      <w:r>
        <w:rPr>
          <w:rFonts w:ascii="Times New Roman" w:hAnsi="Times New Roman"/>
          <w:color w:val="FF0000"/>
        </w:rPr>
        <w:t>生态功能重要区域，</w:t>
      </w:r>
      <w:r>
        <w:rPr>
          <w:rFonts w:hint="eastAsia" w:ascii="Times New Roman" w:hAnsi="Times New Roman"/>
          <w:color w:val="FF0000"/>
        </w:rPr>
        <w:t>矿区北边界外鄂尔多斯遗鸥国家级自然保护区已划定为生态保护红线区</w:t>
      </w:r>
      <w:r>
        <w:rPr>
          <w:rFonts w:ascii="Times New Roman" w:hAnsi="Times New Roman"/>
          <w:color w:val="FF0000"/>
        </w:rPr>
        <w:t>。</w:t>
      </w:r>
    </w:p>
    <w:p>
      <w:pPr>
        <w:spacing w:line="400" w:lineRule="exact"/>
        <w:ind w:firstLine="480" w:firstLineChars="200"/>
        <w:rPr>
          <w:rFonts w:ascii="Times New Roman" w:hAnsi="Times New Roman"/>
          <w:color w:val="FF0000"/>
        </w:rPr>
      </w:pPr>
      <w:r>
        <w:rPr>
          <w:rFonts w:ascii="Times New Roman" w:hAnsi="Times New Roman"/>
          <w:color w:val="FF0000"/>
        </w:rPr>
        <w:t>根据本次评价地表沉陷预测结果，位于矿区勘查区的生态保护红线区不受开采沉陷的影响；</w:t>
      </w:r>
      <w:r>
        <w:rPr>
          <w:rFonts w:ascii="Times New Roman" w:hAnsi="Times New Roman"/>
          <w:color w:val="FF0000"/>
          <w:szCs w:val="21"/>
        </w:rPr>
        <w:t>为确保</w:t>
      </w:r>
      <w:r>
        <w:rPr>
          <w:rFonts w:ascii="Times New Roman" w:hAnsi="Times New Roman"/>
          <w:color w:val="FF0000"/>
        </w:rPr>
        <w:t>生态保护红线</w:t>
      </w:r>
      <w:r>
        <w:rPr>
          <w:rFonts w:ascii="Times New Roman" w:hAnsi="Times New Roman"/>
          <w:color w:val="FF0000"/>
          <w:szCs w:val="21"/>
        </w:rPr>
        <w:t>区不受矿区开发影响，本次评价在北边界内侧</w:t>
      </w:r>
      <w:r>
        <w:rPr>
          <w:rFonts w:hint="eastAsia" w:ascii="Times New Roman" w:hAnsi="Times New Roman"/>
          <w:color w:val="FF0000"/>
          <w:szCs w:val="21"/>
        </w:rPr>
        <w:t>及苏布尔嘎井田东部边界内侧</w:t>
      </w:r>
      <w:r>
        <w:rPr>
          <w:rFonts w:ascii="Times New Roman" w:hAnsi="Times New Roman"/>
          <w:color w:val="FF0000"/>
          <w:szCs w:val="21"/>
        </w:rPr>
        <w:t>暂留设400m宽的保护煤柱。</w:t>
      </w:r>
      <w:r>
        <w:rPr>
          <w:rFonts w:ascii="Times New Roman" w:hAnsi="Times New Roman"/>
          <w:color w:val="FF0000"/>
        </w:rPr>
        <w:t>本次评价要求在下一步编制项目环境影响评价的时候，留设保护煤柱根据开采情况及地表岩移观测结果实时修正，确保生态保护红线区不受开采沉陷影响。</w:t>
      </w:r>
    </w:p>
    <w:p>
      <w:pPr>
        <w:spacing w:line="440" w:lineRule="exact"/>
        <w:ind w:firstLine="480" w:firstLineChars="200"/>
        <w:rPr>
          <w:rFonts w:ascii="Times New Roman" w:hAnsi="Times New Roman"/>
        </w:rPr>
        <w:sectPr>
          <w:headerReference r:id="rId11" w:type="default"/>
          <w:pgSz w:w="11910" w:h="16840"/>
          <w:pgMar w:top="1701" w:right="1417" w:bottom="1417" w:left="1417" w:header="1134" w:footer="851" w:gutter="0"/>
          <w:cols w:space="720" w:num="1"/>
          <w:docGrid w:linePitch="326" w:charSpace="0"/>
        </w:sectPr>
      </w:pPr>
    </w:p>
    <w:p>
      <w:pPr>
        <w:pStyle w:val="3"/>
        <w:spacing w:before="360" w:after="360" w:line="440" w:lineRule="exact"/>
        <w:jc w:val="center"/>
        <w:rPr>
          <w:sz w:val="32"/>
          <w:szCs w:val="32"/>
        </w:rPr>
      </w:pPr>
      <w:bookmarkStart w:id="116" w:name="_Toc168280770"/>
      <w:bookmarkStart w:id="117" w:name="_Toc168281206"/>
      <w:bookmarkStart w:id="118" w:name="_Toc163444142"/>
      <w:bookmarkStart w:id="119" w:name="_Toc13841"/>
      <w:bookmarkStart w:id="120" w:name="_Toc2146"/>
      <w:bookmarkStart w:id="121" w:name="_Toc23519327"/>
      <w:bookmarkStart w:id="122" w:name="_Toc437006596"/>
      <w:bookmarkStart w:id="123" w:name="_Toc3474"/>
      <w:r>
        <w:rPr>
          <w:sz w:val="32"/>
          <w:szCs w:val="32"/>
        </w:rPr>
        <w:t xml:space="preserve">3 </w:t>
      </w:r>
      <w:bookmarkEnd w:id="116"/>
      <w:bookmarkEnd w:id="117"/>
      <w:bookmarkEnd w:id="118"/>
      <w:r>
        <w:rPr>
          <w:sz w:val="32"/>
          <w:szCs w:val="32"/>
        </w:rPr>
        <w:t>区域自然环境和社会经济概况</w:t>
      </w:r>
      <w:bookmarkEnd w:id="119"/>
      <w:bookmarkEnd w:id="120"/>
      <w:bookmarkEnd w:id="121"/>
      <w:bookmarkEnd w:id="122"/>
      <w:bookmarkEnd w:id="123"/>
    </w:p>
    <w:p>
      <w:pPr>
        <w:pStyle w:val="4"/>
        <w:snapToGrid w:val="0"/>
        <w:spacing w:line="440" w:lineRule="exact"/>
        <w:rPr>
          <w:rFonts w:ascii="Times New Roman" w:hAnsi="Times New Roman" w:eastAsia="宋体"/>
          <w:sz w:val="28"/>
        </w:rPr>
      </w:pPr>
      <w:bookmarkStart w:id="124" w:name="_Toc168280772"/>
      <w:bookmarkStart w:id="125" w:name="_Toc12697"/>
      <w:bookmarkStart w:id="126" w:name="_Toc14129"/>
      <w:bookmarkStart w:id="127" w:name="_Toc23519328"/>
      <w:bookmarkStart w:id="128" w:name="_Toc437006597"/>
      <w:bookmarkStart w:id="129" w:name="_Toc6117"/>
      <w:r>
        <w:rPr>
          <w:rFonts w:ascii="Times New Roman" w:hAnsi="Times New Roman" w:eastAsia="宋体"/>
          <w:sz w:val="28"/>
        </w:rPr>
        <w:t>3.1 自然环境</w:t>
      </w:r>
      <w:bookmarkEnd w:id="124"/>
      <w:r>
        <w:rPr>
          <w:rFonts w:ascii="Times New Roman" w:hAnsi="Times New Roman" w:eastAsia="宋体"/>
          <w:sz w:val="28"/>
        </w:rPr>
        <w:t>概况</w:t>
      </w:r>
      <w:bookmarkEnd w:id="125"/>
      <w:bookmarkEnd w:id="126"/>
      <w:bookmarkEnd w:id="127"/>
      <w:bookmarkEnd w:id="128"/>
      <w:bookmarkEnd w:id="129"/>
    </w:p>
    <w:p>
      <w:pPr>
        <w:pStyle w:val="5"/>
        <w:spacing w:before="120" w:after="120" w:line="440" w:lineRule="exact"/>
        <w:rPr>
          <w:sz w:val="24"/>
        </w:rPr>
      </w:pPr>
      <w:r>
        <w:rPr>
          <w:sz w:val="24"/>
        </w:rPr>
        <w:t>3.1.1地形地貌</w:t>
      </w:r>
    </w:p>
    <w:p>
      <w:pPr>
        <w:spacing w:line="440" w:lineRule="exact"/>
        <w:ind w:firstLine="480" w:firstLineChars="200"/>
        <w:rPr>
          <w:rFonts w:ascii="Times New Roman" w:hAnsi="Times New Roman" w:eastAsia="汉鼎简书宋"/>
        </w:rPr>
      </w:pPr>
      <w:r>
        <w:rPr>
          <w:rFonts w:ascii="Times New Roman" w:hAnsi="Times New Roman"/>
          <w:snapToGrid w:val="0"/>
        </w:rPr>
        <w:t>东胜煤田位于鄂尔多斯高原东北部，海拔高程1100～1700m，相对高差30～80m。地形总体起伏平缓，北部和中部地势偏高，东南偏低。由东胜—四十里梁—乌海以及四十里梁向西南经乌兰镇东南侧乌日都音淖，至敖勒召其镇西侧，构成了断续分布的“厂”字型鄂尔多斯中脊，形成了与鄂尔多斯构造盆地反向的微背斜式逆地形地貌，地势由鄂尔多斯中脊向四周递降。</w:t>
      </w:r>
    </w:p>
    <w:p>
      <w:pPr>
        <w:adjustRightInd w:val="0"/>
        <w:snapToGrid w:val="0"/>
        <w:spacing w:line="440" w:lineRule="exact"/>
        <w:ind w:firstLine="480" w:firstLineChars="200"/>
        <w:rPr>
          <w:rFonts w:ascii="Times New Roman" w:hAnsi="Times New Roman"/>
        </w:rPr>
      </w:pPr>
      <w:r>
        <w:rPr>
          <w:rFonts w:ascii="Times New Roman" w:hAnsi="Times New Roman"/>
          <w:snapToGrid w:val="0"/>
        </w:rPr>
        <w:t>煤田内受基底形态、流水及风向等因素影响，形成了北西、南东向条带状梁、滩相间的地貌形态。煤田内湖盆众多，河流稀少，阶地不发育。季节性河流多在丘陵区及周边地带分布，范围小，数量少，河谷多呈“U”型或“V”型。</w:t>
      </w:r>
    </w:p>
    <w:p>
      <w:pPr>
        <w:pStyle w:val="5"/>
        <w:spacing w:before="120" w:after="120" w:line="440" w:lineRule="exact"/>
      </w:pPr>
      <w:r>
        <w:rPr>
          <w:sz w:val="24"/>
        </w:rPr>
        <w:t>3.1.2地表水系</w:t>
      </w:r>
    </w:p>
    <w:p>
      <w:pPr>
        <w:spacing w:line="440" w:lineRule="exact"/>
        <w:ind w:firstLine="480" w:firstLineChars="200"/>
        <w:rPr>
          <w:rFonts w:ascii="Times New Roman" w:hAnsi="Times New Roman"/>
        </w:rPr>
      </w:pPr>
      <w:r>
        <w:rPr>
          <w:rFonts w:ascii="Times New Roman" w:hAnsi="Times New Roman"/>
        </w:rPr>
        <w:t>鄂尔多斯属高原型地貌，根据地表水流域及地貌状况，该区属黄河水系鄂尔多斯高原地下水系统(Ⅶ)。东北西三面被黄河环绕，为排泄边界。</w:t>
      </w:r>
    </w:p>
    <w:p>
      <w:pPr>
        <w:spacing w:line="440" w:lineRule="exact"/>
        <w:ind w:firstLine="480" w:firstLineChars="200"/>
        <w:rPr>
          <w:rFonts w:ascii="Times New Roman" w:hAnsi="Times New Roman"/>
          <w:snapToGrid w:val="0"/>
        </w:rPr>
      </w:pPr>
      <w:r>
        <w:rPr>
          <w:rFonts w:ascii="Times New Roman" w:hAnsi="Times New Roman"/>
        </w:rPr>
        <w:t>该区水系分外流与内流两部分，外流水系均属黄河水系。</w:t>
      </w:r>
      <w:r>
        <w:rPr>
          <w:rFonts w:ascii="Times New Roman" w:hAnsi="Times New Roman"/>
          <w:snapToGrid w:val="0"/>
        </w:rPr>
        <w:t>内流水系分为五大水系，以分水岭为界，即为：东流水系以伊旗新街镇—红庆河—苏伯尔嘎苏木的残丘山脊为界；北流水系，以库布齐沙漠南缘为界；西流水系，北部以桌子山残山丘陵为界，南部基本和“厂”字型北东、南东向分水岭吻合；南流水系以鄂托克前旗珠日和苏木—乌审旗嘎鲁图苏木—图克苏木境内的沙丘、梁地为界。中间为闭流区。</w:t>
      </w:r>
    </w:p>
    <w:p>
      <w:pPr>
        <w:spacing w:line="440" w:lineRule="exact"/>
        <w:ind w:firstLine="480" w:firstLineChars="200"/>
        <w:rPr>
          <w:rFonts w:ascii="Times New Roman" w:hAnsi="Times New Roman"/>
        </w:rPr>
      </w:pPr>
      <w:r>
        <w:rPr>
          <w:rFonts w:ascii="Times New Roman" w:hAnsi="Times New Roman"/>
        </w:rPr>
        <w:t>煤田内水系不发育，水文网稀疏，河流较短小，河床多宽浅，流量小且多为季节性水流，水质一般较好，在地形低洼处由内流河汇聚形成众多湖泊，因蒸发强烈，多形成盐、碱湖。黄河水系中，较大的一级支流发育在东南部的无定河。较小的一级支流发育在西部和北部，有都思图河、毛不拉孔兑沟，卜尔色太沟、黑赖沟、西柳沟、罕台川、哈什拉川等，南部有陶赖沟、红庆河等10多条沟谷。</w:t>
      </w:r>
    </w:p>
    <w:p>
      <w:pPr>
        <w:spacing w:line="440" w:lineRule="exact"/>
        <w:ind w:firstLine="480" w:firstLineChars="200"/>
        <w:rPr>
          <w:rFonts w:ascii="Times New Roman" w:hAnsi="Times New Roman" w:eastAsia="汉鼎简书宋"/>
        </w:rPr>
      </w:pPr>
      <w:r>
        <w:rPr>
          <w:rFonts w:ascii="Times New Roman" w:hAnsi="Times New Roman"/>
        </w:rPr>
        <w:t>由于内流区河流均流入高原内的洼地或消失在沙漠中，因而形成许多湖泊（淖尔），以红碱淖最大，水面面积57.6km</w:t>
      </w:r>
      <w:r>
        <w:rPr>
          <w:rFonts w:ascii="Times New Roman" w:hAnsi="Times New Roman"/>
          <w:vertAlign w:val="superscript"/>
        </w:rPr>
        <w:t>2</w:t>
      </w:r>
      <w:r>
        <w:rPr>
          <w:rFonts w:ascii="Times New Roman" w:hAnsi="Times New Roman"/>
        </w:rPr>
        <w:t>，平均水深6.68m，水质尚好，矿化度2.23g/</w:t>
      </w:r>
      <w:r>
        <w:rPr>
          <w:rFonts w:ascii="Times New Roman" w:hAnsi="Times New Roman"/>
          <w:i/>
        </w:rPr>
        <w:t>l</w:t>
      </w:r>
      <w:r>
        <w:rPr>
          <w:rFonts w:ascii="Times New Roman" w:hAnsi="Times New Roman"/>
        </w:rPr>
        <w:t>。井田内湖泊主要特征是受气候干燥，降水量小、蒸发量大的影响，水量浓缩、水质多含盐碱硝。由河流入低洼地形成星罗棋布的大小湖泊。其补给充足，排泄困难，雨季易积水，地表沼泽化，部分地方盐碱化，常形成草甸草原。</w:t>
      </w:r>
    </w:p>
    <w:p>
      <w:pPr>
        <w:pStyle w:val="5"/>
        <w:spacing w:before="120" w:after="120" w:line="440" w:lineRule="exact"/>
        <w:rPr>
          <w:sz w:val="24"/>
        </w:rPr>
      </w:pPr>
      <w:r>
        <w:rPr>
          <w:sz w:val="24"/>
        </w:rPr>
        <w:t>3.1.3气象</w:t>
      </w:r>
    </w:p>
    <w:p>
      <w:pPr>
        <w:tabs>
          <w:tab w:val="left" w:pos="2160"/>
        </w:tabs>
        <w:spacing w:line="440" w:lineRule="exact"/>
        <w:ind w:firstLine="470" w:firstLineChars="196"/>
        <w:rPr>
          <w:rFonts w:ascii="Times New Roman" w:hAnsi="Times New Roman"/>
          <w:szCs w:val="24"/>
        </w:rPr>
      </w:pPr>
      <w:r>
        <w:rPr>
          <w:rFonts w:ascii="Times New Roman" w:hAnsi="Times New Roman"/>
          <w:szCs w:val="24"/>
        </w:rPr>
        <w:t>本区地处我国西北部内陆，为典型的中温带半干旱高原大陆性气候。气候特点：太阳辐射强烈，日照较丰富；干燥少雨，蒸发量大，全年降水量分布极不均匀，降水多集中在七、八、九三个月，占年降水量的66%；风大沙多，昼夜温差悬殊；春季西北季风盛行，是主要风沙期；全年无霜期短，十月初上冻，次年四月解冻；四季冷热多变，冬季漫长且寒冷，夏季炎热而短暂，春季回暖升温快，秋季气温下降显著。</w:t>
      </w:r>
    </w:p>
    <w:p>
      <w:pPr>
        <w:pStyle w:val="573"/>
        <w:spacing w:line="440" w:lineRule="exact"/>
        <w:ind w:firstLine="480"/>
        <w:jc w:val="both"/>
        <w:rPr>
          <w:rFonts w:ascii="Times New Roman" w:hAnsi="Times New Roman" w:cs="Times New Roman"/>
        </w:rPr>
      </w:pPr>
      <w:r>
        <w:rPr>
          <w:rFonts w:ascii="Times New Roman" w:hAnsi="Times New Roman" w:eastAsia="宋体" w:cs="Times New Roman"/>
          <w:bCs w:val="0"/>
        </w:rPr>
        <w:t>据鄂尔多斯市气象局近十年气象资料统计，当地最高气温37.3斯，最低气温为-31.4为，年平均气温6.2均气无霜期130～140日；多年平均相对湿度51%；年降水量为194.7～531.6mm，平均为396.0mm，且多集中于7、8、9三个月内；年蒸发量为2297.4～2833mm，平均为2534.2mm；区内风多雨少，最大风速为28.7m/s，一般风速2.3～</w:t>
      </w:r>
      <w:r>
        <w:rPr>
          <w:rFonts w:ascii="Times New Roman" w:hAnsi="Times New Roman" w:cs="Times New Roman"/>
        </w:rPr>
        <w:t>4.5m/s，</w:t>
      </w:r>
      <w:r>
        <w:rPr>
          <w:rFonts w:ascii="Times New Roman" w:hAnsi="Times New Roman" w:eastAsia="宋体" w:cs="Times New Roman"/>
          <w:bCs w:val="0"/>
        </w:rPr>
        <w:t>且以西北风为主；最大冻土深度为1.80m，最大沙尘暴日为40日/年。</w:t>
      </w:r>
    </w:p>
    <w:p>
      <w:pPr>
        <w:pStyle w:val="5"/>
        <w:spacing w:before="120" w:after="120" w:line="440" w:lineRule="exact"/>
      </w:pPr>
      <w:r>
        <w:rPr>
          <w:sz w:val="24"/>
        </w:rPr>
        <w:t>3.1.4地震及地质灾害</w:t>
      </w:r>
    </w:p>
    <w:p>
      <w:pPr>
        <w:pStyle w:val="573"/>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本区位于鄂尔多斯台向斜东北缘，鄂尔多斯台向斜被认为是中国现存最完整、最稳定的构造单元，近百年来本区从未发生过大破坏性地震。据“中国地震裂度区划图”划分，本区所处区域的地震裂度小于Ⅵ度，地震动峰值加速度为0.05（g），属弱震区。区内亦无泥石流、滑坡及塌陷等地质灾害现象发生。</w:t>
      </w:r>
    </w:p>
    <w:p>
      <w:pPr>
        <w:pStyle w:val="4"/>
        <w:snapToGrid w:val="0"/>
        <w:spacing w:before="140" w:after="140" w:line="440" w:lineRule="exact"/>
        <w:rPr>
          <w:rFonts w:ascii="Times New Roman" w:hAnsi="Times New Roman" w:eastAsia="宋体"/>
          <w:sz w:val="28"/>
        </w:rPr>
      </w:pPr>
      <w:bookmarkStart w:id="130" w:name="_Toc25051"/>
      <w:bookmarkStart w:id="131" w:name="_Toc23519329"/>
      <w:bookmarkStart w:id="132" w:name="_Toc255477095"/>
      <w:bookmarkStart w:id="133" w:name="_Toc8912"/>
      <w:bookmarkStart w:id="134" w:name="_Toc437006598"/>
      <w:bookmarkStart w:id="135" w:name="_Toc8636"/>
      <w:bookmarkStart w:id="136" w:name="_Toc247104440"/>
      <w:r>
        <w:rPr>
          <w:rFonts w:ascii="Times New Roman" w:hAnsi="Times New Roman" w:eastAsia="宋体"/>
          <w:sz w:val="28"/>
        </w:rPr>
        <w:t>3.2社会经济概况</w:t>
      </w:r>
      <w:bookmarkEnd w:id="130"/>
      <w:bookmarkEnd w:id="131"/>
      <w:bookmarkEnd w:id="132"/>
      <w:bookmarkEnd w:id="133"/>
      <w:bookmarkEnd w:id="134"/>
      <w:bookmarkEnd w:id="135"/>
      <w:bookmarkEnd w:id="136"/>
    </w:p>
    <w:p>
      <w:pPr>
        <w:pStyle w:val="573"/>
        <w:numPr>
          <w:ilvl w:val="0"/>
          <w:numId w:val="15"/>
        </w:numPr>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鄂尔多斯市社会经济概况</w:t>
      </w:r>
    </w:p>
    <w:p>
      <w:pPr>
        <w:pStyle w:val="573"/>
        <w:numPr>
          <w:ilvl w:val="255"/>
          <w:numId w:val="0"/>
        </w:numPr>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鄂尔多斯市是内蒙古自治区下辖的一个地级市，政府所在地是康巴什新区党政大楼，全市常住人口208.76万人，其中，城镇人口156.74万人，城镇化率为75.1%，地区生产总值3605.0亿元，其中，第一产业123.7亿元、第二产业2092.3亿元、第三产业1389.1亿元，公共财政预算收入501.0亿元，依托“羊煤土气”等资源优势，成为拉动黄河经济带高质量发展的重要引擎。</w:t>
      </w:r>
    </w:p>
    <w:p>
      <w:pPr>
        <w:pStyle w:val="573"/>
        <w:numPr>
          <w:ilvl w:val="255"/>
          <w:numId w:val="0"/>
        </w:numPr>
        <w:spacing w:line="440" w:lineRule="exact"/>
        <w:ind w:firstLine="480" w:firstLineChars="200"/>
        <w:jc w:val="both"/>
        <w:rPr>
          <w:rFonts w:ascii="Times New Roman" w:hAnsi="Times New Roman" w:eastAsia="宋体" w:cs="Times New Roman"/>
          <w:bCs w:val="0"/>
          <w:szCs w:val="20"/>
        </w:rPr>
      </w:pPr>
      <w:r>
        <w:rPr>
          <w:rFonts w:ascii="Times New Roman" w:hAnsi="Times New Roman" w:eastAsia="宋体" w:cs="Times New Roman"/>
          <w:bCs w:val="0"/>
          <w:szCs w:val="20"/>
        </w:rPr>
        <w:t>鄂尔多斯是改革开放30年来的18个典型地区之一，是内蒙古的经济新兴城市，呼包鄂城市群的中心城市，被自治区政府定位为省域副中心城市之一，鄂尔多斯是国家文明城市、中国城市综合实力50强、全国首批资源综合利用“双百工程”示范基地。</w:t>
      </w:r>
    </w:p>
    <w:p>
      <w:pPr>
        <w:pStyle w:val="573"/>
        <w:numPr>
          <w:ilvl w:val="0"/>
          <w:numId w:val="15"/>
        </w:numPr>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伊金霍洛旗社会经济概况</w:t>
      </w:r>
    </w:p>
    <w:p>
      <w:pPr>
        <w:pStyle w:val="573"/>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伊金霍洛旗位于鄂尔多斯市中南部，全旗总面积5600平方公里，辖7个镇、138个行政村，常住人口25万，其中少数民族1.4万人。区位优越、交通便捷，鄂尔多斯伊金霍洛国际机场和鄂尔多斯火车站坐落旗境，是呼包鄂榆及周边地区重要的立体化交通枢纽。当地煤炭资源量多、质好、易采，全旗已查明煤炭资源储量约560亿吨，保有储量325亿吨，全旗年产煤炭2亿吨，是全国第三大产煤县和国家重要的能源战略基地之一，也是内蒙古重要的清洁能源输出基地。生态良好、环境优美。</w:t>
      </w:r>
    </w:p>
    <w:p>
      <w:pPr>
        <w:pStyle w:val="573"/>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全旗森林覆盖率达到36.8%，成功申创成吉思汗国家森林公园，是“中国十佳绿色城市”“中国绿色名旗” 和“国家园林县城”。文化悠久、历史灿烂。境内有成吉思汗陵、苏泊罕大草原、有距今4000年的“朱开沟文化”遗址和距今2000多年的战国秦长城遗址，有全国最大的沙漠淡水湖红碱淖和北方地区罕有的红海子湿地等一大批历史、文化、宗教和自然景观。</w:t>
      </w:r>
    </w:p>
    <w:p>
      <w:pPr>
        <w:pStyle w:val="573"/>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近年来，伊金霍洛旗立足资源禀赋、产业基础和发展条件，规划建设了2个工业园区、3个物流园区、1个文化产业园区，形成了煤炭、煤电、煤化工、装备制造、全域旅游、现代物流等多元发展、多极支撑的现代化产业新体系，县域经济实力显著增强。2018年，完成地区生产总值601.6亿元，县域经济综合竞争力位居全国百强县第20位。</w:t>
      </w:r>
    </w:p>
    <w:p>
      <w:pPr>
        <w:pStyle w:val="573"/>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（3）杭锦旗社会经济概况</w:t>
      </w:r>
    </w:p>
    <w:p>
      <w:pPr>
        <w:pStyle w:val="573"/>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杭锦旗地处内蒙古鄂尔多斯西北部，北与巴彦淖尔市隔黄河相望，地跨鄂尔多斯高原与河套平原。黄河流经全旗249公里，库布其沙漠横亘东西。全旗总面积1.89万平方公里，下辖2个工业园区、5镇1苏木1管委会，总人口14.6万，其中蒙古族人口2.7万，是一个以蒙古族为主体，汉族占多数的少数民族地区。2018年，全旗完成地区生产总值102.8亿元。</w:t>
      </w:r>
    </w:p>
    <w:p>
      <w:pPr>
        <w:pStyle w:val="573"/>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杭锦旗盛产优质羊绒，“西北沟”甘草畅销世界；已探明石膏储量6500万吨、食盐储量505万吨、天然碱储量700万吨、芒硝储量5000万吨，是无机化工的主要原料；境内有煤面积8319平方公里，煤炭总储量786亿吨。新能源资源包括风力、太阳能。天然气等。</w:t>
      </w:r>
    </w:p>
    <w:p>
      <w:pPr>
        <w:pStyle w:val="573"/>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杭锦旗有菩提济度寺、朔方郡古城遗址等历史悠久的文化遗产，有黄河、鄂尔多斯草原、库布其沙漠、七星湖、摩林河温泉、夜鸣沙等独具特色的自然景观。霍洛柴登古城遗址被国务院列为第六批国家重点文物保护单位。</w:t>
      </w:r>
    </w:p>
    <w:p>
      <w:pPr>
        <w:pStyle w:val="4"/>
        <w:snapToGrid w:val="0"/>
        <w:spacing w:before="140" w:after="140" w:line="440" w:lineRule="exact"/>
        <w:rPr>
          <w:rFonts w:ascii="Times New Roman" w:hAnsi="Times New Roman" w:eastAsia="宋体"/>
          <w:sz w:val="28"/>
        </w:rPr>
      </w:pPr>
      <w:bookmarkStart w:id="137" w:name="_Toc168281208"/>
      <w:bookmarkStart w:id="138" w:name="_Toc437006599"/>
      <w:bookmarkStart w:id="139" w:name="_Toc23519330"/>
      <w:bookmarkStart w:id="140" w:name="_Toc6441"/>
      <w:bookmarkStart w:id="141" w:name="_Toc168280774"/>
      <w:bookmarkStart w:id="142" w:name="_Toc29706"/>
      <w:bookmarkStart w:id="143" w:name="_Toc13562"/>
      <w:r>
        <w:rPr>
          <w:rFonts w:ascii="Times New Roman" w:hAnsi="Times New Roman" w:eastAsia="宋体"/>
          <w:sz w:val="28"/>
        </w:rPr>
        <w:t>3.3 矿区</w:t>
      </w:r>
      <w:bookmarkEnd w:id="137"/>
      <w:bookmarkEnd w:id="138"/>
      <w:bookmarkEnd w:id="139"/>
      <w:bookmarkEnd w:id="140"/>
      <w:bookmarkEnd w:id="141"/>
      <w:bookmarkEnd w:id="142"/>
      <w:r>
        <w:rPr>
          <w:rFonts w:ascii="Times New Roman" w:hAnsi="Times New Roman" w:eastAsia="宋体"/>
          <w:sz w:val="28"/>
        </w:rPr>
        <w:t>开发现状</w:t>
      </w:r>
      <w:bookmarkEnd w:id="143"/>
    </w:p>
    <w:p>
      <w:pPr>
        <w:pStyle w:val="573"/>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本矿区尚未进行煤炭资源的矿井建设及生产工作，现无生产矿井及小窑。</w:t>
      </w:r>
    </w:p>
    <w:p>
      <w:pPr>
        <w:pStyle w:val="4"/>
        <w:snapToGrid w:val="0"/>
        <w:spacing w:line="440" w:lineRule="exact"/>
        <w:rPr>
          <w:rFonts w:ascii="Times New Roman" w:hAnsi="Times New Roman" w:eastAsia="宋体"/>
          <w:sz w:val="28"/>
        </w:rPr>
      </w:pPr>
      <w:bookmarkStart w:id="144" w:name="_Toc9530"/>
      <w:bookmarkStart w:id="145" w:name="_Toc18838442"/>
      <w:r>
        <w:rPr>
          <w:rFonts w:ascii="Times New Roman" w:hAnsi="Times New Roman" w:eastAsia="宋体"/>
          <w:sz w:val="28"/>
        </w:rPr>
        <w:t>3.4 矿区环境质量现状调查与评价</w:t>
      </w:r>
      <w:bookmarkEnd w:id="144"/>
      <w:bookmarkEnd w:id="145"/>
    </w:p>
    <w:p>
      <w:pPr>
        <w:pStyle w:val="5"/>
        <w:spacing w:before="120" w:after="120" w:line="440" w:lineRule="exact"/>
        <w:rPr>
          <w:sz w:val="24"/>
        </w:rPr>
      </w:pPr>
      <w:r>
        <w:rPr>
          <w:sz w:val="24"/>
        </w:rPr>
        <w:t>3.4.1 环境空气质量现状</w:t>
      </w:r>
    </w:p>
    <w:p>
      <w:pPr>
        <w:keepNext/>
        <w:keepLines/>
        <w:spacing w:line="440" w:lineRule="exact"/>
        <w:outlineLvl w:val="3"/>
        <w:rPr>
          <w:rFonts w:ascii="Times New Roman" w:hAnsi="Times New Roman"/>
          <w:b/>
        </w:rPr>
      </w:pPr>
      <w:r>
        <w:rPr>
          <w:rFonts w:ascii="Times New Roman" w:hAnsi="Times New Roman"/>
          <w:b/>
        </w:rPr>
        <w:t>3.4.1.1 区域环境空气质量</w:t>
      </w:r>
    </w:p>
    <w:p>
      <w:pPr>
        <w:adjustRightInd w:val="0"/>
        <w:snapToGrid w:val="0"/>
        <w:spacing w:line="440" w:lineRule="exact"/>
        <w:ind w:firstLine="464" w:firstLineChars="200"/>
        <w:rPr>
          <w:rFonts w:ascii="Times New Roman" w:hAnsi="Times New Roman"/>
          <w:spacing w:val="-4"/>
          <w:kern w:val="0"/>
          <w:position w:val="2"/>
          <w:lang w:bidi="ar"/>
        </w:rPr>
      </w:pPr>
      <w:r>
        <w:rPr>
          <w:rFonts w:hint="eastAsia" w:ascii="Times New Roman" w:hAnsi="Times New Roman"/>
          <w:spacing w:val="-4"/>
          <w:kern w:val="0"/>
          <w:position w:val="2"/>
          <w:lang w:bidi="ar"/>
        </w:rPr>
        <w:t>（1）区域环境空气质量</w:t>
      </w:r>
      <w:r>
        <w:rPr>
          <w:rFonts w:ascii="Times New Roman" w:hAnsi="Times New Roman"/>
          <w:spacing w:val="-4"/>
          <w:kern w:val="0"/>
          <w:position w:val="2"/>
          <w:lang w:bidi="ar"/>
        </w:rPr>
        <w:t>达标判断</w:t>
      </w:r>
    </w:p>
    <w:p>
      <w:pPr>
        <w:adjustRightInd w:val="0"/>
        <w:snapToGrid w:val="0"/>
        <w:spacing w:line="440" w:lineRule="exact"/>
        <w:ind w:firstLine="464" w:firstLineChars="200"/>
        <w:rPr>
          <w:rFonts w:ascii="Times New Roman" w:hAnsi="Times New Roman"/>
          <w:kern w:val="0"/>
          <w:position w:val="2"/>
          <w:lang w:bidi="ar"/>
        </w:rPr>
      </w:pPr>
      <w:r>
        <w:rPr>
          <w:rFonts w:ascii="Times New Roman" w:hAnsi="Times New Roman"/>
          <w:spacing w:val="-4"/>
          <w:kern w:val="0"/>
          <w:position w:val="2"/>
          <w:lang w:bidi="ar"/>
        </w:rPr>
        <w:t>根据鄂尔多斯市生态环境质量报告书，鄂尔多斯市2021年城市环境空气质量全年好于国家二级标准优良天数313天，污染52天，其中重度污染0天，全市</w:t>
      </w:r>
      <w:r>
        <w:rPr>
          <w:rFonts w:ascii="Times New Roman" w:hAnsi="Times New Roman"/>
          <w:kern w:val="0"/>
          <w:position w:val="2"/>
          <w:lang w:bidi="ar"/>
        </w:rPr>
        <w:t>SO</w:t>
      </w:r>
      <w:r>
        <w:rPr>
          <w:rFonts w:ascii="Times New Roman" w:hAnsi="Times New Roman"/>
          <w:kern w:val="0"/>
          <w:sz w:val="16"/>
          <w:szCs w:val="16"/>
          <w:lang w:bidi="ar"/>
        </w:rPr>
        <w:t>2</w:t>
      </w:r>
      <w:r>
        <w:rPr>
          <w:rFonts w:ascii="Times New Roman" w:hAnsi="Times New Roman"/>
          <w:kern w:val="0"/>
          <w:position w:val="2"/>
          <w:lang w:bidi="ar"/>
        </w:rPr>
        <w:t>、NO</w:t>
      </w:r>
      <w:r>
        <w:rPr>
          <w:rFonts w:ascii="Times New Roman" w:hAnsi="Times New Roman"/>
          <w:kern w:val="0"/>
          <w:sz w:val="16"/>
          <w:szCs w:val="16"/>
          <w:lang w:bidi="ar"/>
        </w:rPr>
        <w:t>2</w:t>
      </w:r>
      <w:r>
        <w:rPr>
          <w:rFonts w:ascii="Times New Roman" w:hAnsi="Times New Roman"/>
          <w:kern w:val="0"/>
          <w:position w:val="2"/>
          <w:lang w:bidi="ar"/>
        </w:rPr>
        <w:t>、PM</w:t>
      </w:r>
      <w:r>
        <w:rPr>
          <w:rFonts w:ascii="Times New Roman" w:hAnsi="Times New Roman"/>
          <w:kern w:val="0"/>
          <w:sz w:val="16"/>
          <w:szCs w:val="16"/>
          <w:lang w:bidi="ar"/>
        </w:rPr>
        <w:t>10</w:t>
      </w:r>
      <w:r>
        <w:rPr>
          <w:rFonts w:ascii="Times New Roman" w:hAnsi="Times New Roman"/>
          <w:kern w:val="0"/>
          <w:position w:val="2"/>
          <w:lang w:bidi="ar"/>
        </w:rPr>
        <w:t>、PM</w:t>
      </w:r>
      <w:r>
        <w:rPr>
          <w:rFonts w:ascii="Times New Roman" w:hAnsi="Times New Roman"/>
          <w:kern w:val="0"/>
          <w:sz w:val="16"/>
          <w:szCs w:val="16"/>
          <w:lang w:bidi="ar"/>
        </w:rPr>
        <w:t>2.5</w:t>
      </w:r>
      <w:r>
        <w:rPr>
          <w:rFonts w:ascii="Times New Roman" w:hAnsi="Times New Roman"/>
          <w:kern w:val="0"/>
          <w:position w:val="2"/>
          <w:lang w:bidi="ar"/>
        </w:rPr>
        <w:t>年均浓度分别</w:t>
      </w:r>
      <w:r>
        <w:rPr>
          <w:rFonts w:ascii="Times New Roman" w:hAnsi="Times New Roman"/>
          <w:kern w:val="0"/>
          <w:lang w:bidi="ar"/>
        </w:rPr>
        <w:t>为11ug/m</w:t>
      </w:r>
      <w:r>
        <w:rPr>
          <w:rFonts w:ascii="Times New Roman" w:hAnsi="Times New Roman"/>
          <w:kern w:val="0"/>
          <w:position w:val="9"/>
          <w:sz w:val="16"/>
          <w:szCs w:val="16"/>
          <w:lang w:bidi="ar"/>
        </w:rPr>
        <w:t>3</w:t>
      </w:r>
      <w:r>
        <w:rPr>
          <w:rFonts w:ascii="Times New Roman" w:hAnsi="Times New Roman"/>
          <w:kern w:val="0"/>
          <w:lang w:bidi="ar"/>
        </w:rPr>
        <w:t>、22ug/m</w:t>
      </w:r>
      <w:r>
        <w:rPr>
          <w:rFonts w:ascii="Times New Roman" w:hAnsi="Times New Roman"/>
          <w:kern w:val="0"/>
          <w:position w:val="9"/>
          <w:sz w:val="16"/>
          <w:szCs w:val="16"/>
          <w:lang w:bidi="ar"/>
        </w:rPr>
        <w:t>3</w:t>
      </w:r>
      <w:r>
        <w:rPr>
          <w:rFonts w:ascii="Times New Roman" w:hAnsi="Times New Roman"/>
          <w:kern w:val="0"/>
          <w:lang w:bidi="ar"/>
        </w:rPr>
        <w:t>、57ug/m</w:t>
      </w:r>
      <w:r>
        <w:rPr>
          <w:rFonts w:ascii="Times New Roman" w:hAnsi="Times New Roman"/>
          <w:kern w:val="0"/>
          <w:position w:val="9"/>
          <w:sz w:val="16"/>
          <w:szCs w:val="16"/>
          <w:lang w:bidi="ar"/>
        </w:rPr>
        <w:t>3</w:t>
      </w:r>
      <w:r>
        <w:rPr>
          <w:rFonts w:ascii="Times New Roman" w:hAnsi="Times New Roman"/>
          <w:kern w:val="0"/>
          <w:lang w:bidi="ar"/>
        </w:rPr>
        <w:t>、22ug/m</w:t>
      </w:r>
      <w:r>
        <w:rPr>
          <w:rFonts w:ascii="Times New Roman" w:hAnsi="Times New Roman"/>
          <w:kern w:val="0"/>
          <w:position w:val="9"/>
          <w:sz w:val="16"/>
          <w:szCs w:val="16"/>
          <w:lang w:bidi="ar"/>
        </w:rPr>
        <w:t>3</w:t>
      </w:r>
      <w:r>
        <w:rPr>
          <w:rFonts w:ascii="Times New Roman" w:hAnsi="Times New Roman"/>
          <w:kern w:val="0"/>
          <w:lang w:bidi="ar"/>
        </w:rPr>
        <w:t>；CO24小时平均第95百分位数为0.9mg/m</w:t>
      </w:r>
      <w:r>
        <w:rPr>
          <w:rFonts w:ascii="Times New Roman" w:hAnsi="Times New Roman"/>
          <w:kern w:val="0"/>
          <w:position w:val="9"/>
          <w:sz w:val="16"/>
          <w:szCs w:val="16"/>
          <w:lang w:bidi="ar"/>
        </w:rPr>
        <w:t>3</w:t>
      </w:r>
      <w:r>
        <w:rPr>
          <w:rFonts w:ascii="Times New Roman" w:hAnsi="Times New Roman"/>
          <w:kern w:val="0"/>
          <w:lang w:bidi="ar"/>
        </w:rPr>
        <w:t>，</w:t>
      </w:r>
      <w:r>
        <w:rPr>
          <w:rFonts w:ascii="Times New Roman" w:hAnsi="Times New Roman"/>
          <w:kern w:val="0"/>
          <w:position w:val="2"/>
          <w:lang w:bidi="ar"/>
        </w:rPr>
        <w:t>O</w:t>
      </w:r>
      <w:r>
        <w:rPr>
          <w:rFonts w:ascii="Times New Roman" w:hAnsi="Times New Roman"/>
          <w:kern w:val="0"/>
          <w:sz w:val="16"/>
          <w:szCs w:val="16"/>
          <w:lang w:bidi="ar"/>
        </w:rPr>
        <w:t>3</w:t>
      </w:r>
      <w:r>
        <w:rPr>
          <w:rFonts w:ascii="Times New Roman" w:hAnsi="Times New Roman"/>
          <w:kern w:val="0"/>
          <w:position w:val="2"/>
          <w:lang w:bidi="ar"/>
        </w:rPr>
        <w:t>日最大8小时平均第90百分位数为151ug/m</w:t>
      </w:r>
      <w:r>
        <w:rPr>
          <w:rFonts w:ascii="Times New Roman" w:hAnsi="Times New Roman"/>
          <w:kern w:val="0"/>
          <w:position w:val="2"/>
          <w:vertAlign w:val="superscript"/>
          <w:lang w:bidi="ar"/>
        </w:rPr>
        <w:t>3</w:t>
      </w:r>
      <w:r>
        <w:rPr>
          <w:rFonts w:ascii="Times New Roman" w:hAnsi="Times New Roman"/>
          <w:kern w:val="0"/>
          <w:position w:val="2"/>
          <w:lang w:bidi="ar"/>
        </w:rPr>
        <w:t>，各污染物平均浓度均优于</w:t>
      </w:r>
      <w:r>
        <w:rPr>
          <w:rFonts w:ascii="Times New Roman" w:hAnsi="Times New Roman"/>
          <w:kern w:val="0"/>
          <w:lang w:bidi="ar"/>
        </w:rPr>
        <w:t>《环境空气质量标准》（GB3095-2012）中二级标准限值，项目所在鄂尔多斯市区域属于达标区。</w:t>
      </w:r>
    </w:p>
    <w:p>
      <w:pPr>
        <w:adjustRightInd w:val="0"/>
        <w:snapToGrid w:val="0"/>
        <w:spacing w:line="440" w:lineRule="exact"/>
        <w:ind w:firstLine="480" w:firstLineChars="200"/>
        <w:rPr>
          <w:rFonts w:ascii="Times New Roman" w:hAnsi="Times New Roman"/>
        </w:rPr>
      </w:pPr>
      <w:r>
        <w:rPr>
          <w:rFonts w:ascii="Times New Roman" w:hAnsi="Times New Roman"/>
        </w:rPr>
        <w:t>本次评价收集了鄂尔多斯市生态环境局2015~2020年环境空气质量统计数据，见表3.4-1。由下表可知，鄂尔多斯市2017、2018年可吸入颗粒物物略有超标，2019</w:t>
      </w:r>
      <w:r>
        <w:rPr>
          <w:rFonts w:hint="eastAsia" w:ascii="Times New Roman" w:hAnsi="Times New Roman"/>
        </w:rPr>
        <w:t>、2</w:t>
      </w:r>
      <w:r>
        <w:rPr>
          <w:rFonts w:ascii="Times New Roman" w:hAnsi="Times New Roman"/>
        </w:rPr>
        <w:t>020年各项污染物均达标。</w:t>
      </w:r>
    </w:p>
    <w:p>
      <w:pPr>
        <w:jc w:val="center"/>
        <w:rPr>
          <w:rFonts w:ascii="Times New Roman" w:hAnsi="Times New Roman"/>
          <w:b/>
        </w:rPr>
      </w:pPr>
      <w:r>
        <w:rPr>
          <w:rFonts w:ascii="Times New Roman" w:hAnsi="Times New Roman"/>
          <w:b/>
        </w:rPr>
        <w:t>基本污染物环境质量现状统计表</w:t>
      </w:r>
    </w:p>
    <w:p>
      <w:pPr>
        <w:adjustRightInd w:val="0"/>
        <w:snapToGrid w:val="0"/>
        <w:spacing w:line="440" w:lineRule="exact"/>
        <w:outlineLvl w:val="4"/>
        <w:rPr>
          <w:rFonts w:ascii="Times New Roman" w:hAnsi="Times New Roman"/>
          <w:lang w:val="zh-CN"/>
        </w:rPr>
      </w:pPr>
      <w:r>
        <w:rPr>
          <w:rFonts w:ascii="Times New Roman" w:hAnsi="Times New Roman"/>
          <w:lang w:val="zh-CN"/>
        </w:rPr>
        <w:t>表3.4-1</w:t>
      </w:r>
    </w:p>
    <w:tbl>
      <w:tblPr>
        <w:tblStyle w:val="5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6"/>
        <w:gridCol w:w="866"/>
        <w:gridCol w:w="1560"/>
        <w:gridCol w:w="1134"/>
        <w:gridCol w:w="992"/>
        <w:gridCol w:w="992"/>
        <w:gridCol w:w="1134"/>
        <w:gridCol w:w="1134"/>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376" w:type="dxa"/>
            <w:vMerge w:val="restart"/>
            <w:vAlign w:val="center"/>
          </w:tcPr>
          <w:p>
            <w:pPr>
              <w:jc w:val="center"/>
              <w:rPr>
                <w:rFonts w:ascii="Times New Roman" w:hAnsi="Times New Roman"/>
                <w:sz w:val="21"/>
                <w:szCs w:val="21"/>
              </w:rPr>
            </w:pPr>
            <w:r>
              <w:rPr>
                <w:rFonts w:ascii="Times New Roman" w:hAnsi="Times New Roman"/>
                <w:sz w:val="21"/>
                <w:szCs w:val="21"/>
              </w:rPr>
              <w:t>站点</w:t>
            </w:r>
          </w:p>
          <w:p>
            <w:pPr>
              <w:jc w:val="center"/>
              <w:rPr>
                <w:rFonts w:ascii="Times New Roman" w:hAnsi="Times New Roman"/>
                <w:sz w:val="21"/>
                <w:szCs w:val="21"/>
              </w:rPr>
            </w:pPr>
            <w:r>
              <w:rPr>
                <w:rFonts w:ascii="Times New Roman" w:hAnsi="Times New Roman"/>
                <w:sz w:val="21"/>
                <w:szCs w:val="21"/>
              </w:rPr>
              <w:t>位置</w:t>
            </w:r>
          </w:p>
        </w:tc>
        <w:tc>
          <w:tcPr>
            <w:tcW w:w="866" w:type="dxa"/>
            <w:vMerge w:val="restart"/>
            <w:vAlign w:val="center"/>
          </w:tcPr>
          <w:p>
            <w:pPr>
              <w:jc w:val="center"/>
              <w:rPr>
                <w:rFonts w:ascii="Times New Roman" w:hAnsi="Times New Roman"/>
                <w:sz w:val="21"/>
                <w:szCs w:val="21"/>
              </w:rPr>
            </w:pPr>
            <w:r>
              <w:rPr>
                <w:rFonts w:ascii="Times New Roman" w:hAnsi="Times New Roman"/>
                <w:sz w:val="21"/>
                <w:szCs w:val="21"/>
              </w:rPr>
              <w:t>污染物</w:t>
            </w:r>
          </w:p>
        </w:tc>
        <w:tc>
          <w:tcPr>
            <w:tcW w:w="1560" w:type="dxa"/>
            <w:vMerge w:val="restart"/>
            <w:vAlign w:val="center"/>
          </w:tcPr>
          <w:p>
            <w:pPr>
              <w:jc w:val="center"/>
              <w:rPr>
                <w:rFonts w:ascii="Times New Roman" w:hAnsi="Times New Roman"/>
                <w:sz w:val="21"/>
                <w:szCs w:val="21"/>
              </w:rPr>
            </w:pPr>
            <w:r>
              <w:rPr>
                <w:rFonts w:ascii="Times New Roman" w:hAnsi="Times New Roman"/>
                <w:sz w:val="21"/>
                <w:szCs w:val="21"/>
              </w:rPr>
              <w:t>评价指标</w:t>
            </w:r>
          </w:p>
        </w:tc>
        <w:tc>
          <w:tcPr>
            <w:tcW w:w="6488" w:type="dxa"/>
            <w:gridSpan w:val="6"/>
            <w:vAlign w:val="center"/>
          </w:tcPr>
          <w:p>
            <w:pPr>
              <w:jc w:val="center"/>
              <w:rPr>
                <w:rFonts w:ascii="Times New Roman" w:hAnsi="Times New Roman"/>
                <w:sz w:val="21"/>
                <w:szCs w:val="21"/>
              </w:rPr>
            </w:pPr>
            <w:r>
              <w:rPr>
                <w:rFonts w:ascii="Times New Roman" w:hAnsi="Times New Roman"/>
                <w:sz w:val="21"/>
                <w:szCs w:val="21"/>
              </w:rPr>
              <w:t>环境空气质量监测数据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6" w:type="dxa"/>
            <w:vMerge w:val="continue"/>
            <w:vAlign w:val="center"/>
          </w:tcPr>
          <w:p>
            <w:pPr>
              <w:jc w:val="center"/>
              <w:rPr>
                <w:rFonts w:ascii="Times New Roman" w:hAnsi="Times New Roman"/>
                <w:sz w:val="21"/>
                <w:szCs w:val="21"/>
              </w:rPr>
            </w:pPr>
          </w:p>
        </w:tc>
        <w:tc>
          <w:tcPr>
            <w:tcW w:w="866" w:type="dxa"/>
            <w:vMerge w:val="continue"/>
            <w:vAlign w:val="center"/>
          </w:tcPr>
          <w:p>
            <w:pPr>
              <w:jc w:val="center"/>
              <w:rPr>
                <w:rFonts w:ascii="Times New Roman" w:hAnsi="Times New Roman"/>
                <w:sz w:val="21"/>
                <w:szCs w:val="21"/>
              </w:rPr>
            </w:pPr>
          </w:p>
        </w:tc>
        <w:tc>
          <w:tcPr>
            <w:tcW w:w="1560" w:type="dxa"/>
            <w:vMerge w:val="continue"/>
            <w:vAlign w:val="center"/>
          </w:tcPr>
          <w:p>
            <w:pPr>
              <w:jc w:val="center"/>
              <w:rPr>
                <w:rFonts w:ascii="Times New Roman" w:hAnsi="Times New Roman"/>
                <w:sz w:val="21"/>
                <w:szCs w:val="21"/>
              </w:rPr>
            </w:pPr>
          </w:p>
        </w:tc>
        <w:tc>
          <w:tcPr>
            <w:tcW w:w="1134" w:type="dxa"/>
            <w:vAlign w:val="center"/>
          </w:tcPr>
          <w:p>
            <w:pPr>
              <w:jc w:val="center"/>
              <w:rPr>
                <w:rFonts w:ascii="Times New Roman" w:hAnsi="Times New Roman"/>
                <w:sz w:val="21"/>
                <w:szCs w:val="21"/>
              </w:rPr>
            </w:pPr>
            <w:r>
              <w:rPr>
                <w:rFonts w:ascii="Times New Roman" w:hAnsi="Times New Roman"/>
                <w:sz w:val="21"/>
                <w:szCs w:val="21"/>
              </w:rPr>
              <w:t>2015</w:t>
            </w:r>
          </w:p>
        </w:tc>
        <w:tc>
          <w:tcPr>
            <w:tcW w:w="992" w:type="dxa"/>
            <w:vAlign w:val="center"/>
          </w:tcPr>
          <w:p>
            <w:pPr>
              <w:jc w:val="center"/>
              <w:rPr>
                <w:rFonts w:ascii="Times New Roman" w:hAnsi="Times New Roman"/>
                <w:sz w:val="21"/>
                <w:szCs w:val="21"/>
              </w:rPr>
            </w:pPr>
            <w:r>
              <w:rPr>
                <w:rFonts w:ascii="Times New Roman" w:hAnsi="Times New Roman"/>
                <w:sz w:val="21"/>
                <w:szCs w:val="21"/>
              </w:rPr>
              <w:t>2016</w:t>
            </w:r>
          </w:p>
        </w:tc>
        <w:tc>
          <w:tcPr>
            <w:tcW w:w="992" w:type="dxa"/>
            <w:vAlign w:val="center"/>
          </w:tcPr>
          <w:p>
            <w:pPr>
              <w:jc w:val="center"/>
              <w:rPr>
                <w:rFonts w:ascii="Times New Roman" w:hAnsi="Times New Roman"/>
                <w:sz w:val="21"/>
                <w:szCs w:val="21"/>
              </w:rPr>
            </w:pPr>
            <w:r>
              <w:rPr>
                <w:rFonts w:ascii="Times New Roman" w:hAnsi="Times New Roman"/>
                <w:sz w:val="21"/>
                <w:szCs w:val="21"/>
              </w:rPr>
              <w:t>2017</w:t>
            </w:r>
          </w:p>
        </w:tc>
        <w:tc>
          <w:tcPr>
            <w:tcW w:w="1134" w:type="dxa"/>
            <w:vAlign w:val="center"/>
          </w:tcPr>
          <w:p>
            <w:pPr>
              <w:jc w:val="center"/>
              <w:rPr>
                <w:rFonts w:ascii="Times New Roman" w:hAnsi="Times New Roman"/>
                <w:sz w:val="21"/>
                <w:szCs w:val="21"/>
              </w:rPr>
            </w:pPr>
            <w:r>
              <w:rPr>
                <w:rFonts w:ascii="Times New Roman" w:hAnsi="Times New Roman"/>
                <w:sz w:val="21"/>
                <w:szCs w:val="21"/>
              </w:rPr>
              <w:t>2018</w:t>
            </w:r>
          </w:p>
        </w:tc>
        <w:tc>
          <w:tcPr>
            <w:tcW w:w="1134" w:type="dxa"/>
            <w:vAlign w:val="center"/>
          </w:tcPr>
          <w:p>
            <w:pPr>
              <w:jc w:val="center"/>
              <w:rPr>
                <w:rFonts w:ascii="Times New Roman" w:hAnsi="Times New Roman"/>
                <w:sz w:val="21"/>
                <w:szCs w:val="21"/>
              </w:rPr>
            </w:pPr>
            <w:r>
              <w:rPr>
                <w:rFonts w:ascii="Times New Roman" w:hAnsi="Times New Roman"/>
                <w:sz w:val="21"/>
                <w:szCs w:val="21"/>
              </w:rPr>
              <w:t>2019</w:t>
            </w:r>
          </w:p>
        </w:tc>
        <w:tc>
          <w:tcPr>
            <w:tcW w:w="1102" w:type="dxa"/>
            <w:vAlign w:val="center"/>
          </w:tcPr>
          <w:p>
            <w:pPr>
              <w:jc w:val="center"/>
              <w:rPr>
                <w:rFonts w:ascii="Times New Roman" w:hAnsi="Times New Roman"/>
                <w:sz w:val="21"/>
                <w:szCs w:val="21"/>
              </w:rPr>
            </w:pPr>
            <w:r>
              <w:rPr>
                <w:rFonts w:hint="eastAsia" w:ascii="Times New Roman" w:hAnsi="Times New Roman"/>
                <w:sz w:val="21"/>
                <w:szCs w:val="21"/>
              </w:rPr>
              <w:t>2</w:t>
            </w:r>
            <w:r>
              <w:rPr>
                <w:rFonts w:ascii="Times New Roman" w:hAnsi="Times New Roman"/>
                <w:sz w:val="21"/>
                <w:szCs w:val="21"/>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6" w:type="dxa"/>
            <w:vMerge w:val="restart"/>
            <w:vAlign w:val="center"/>
          </w:tcPr>
          <w:p>
            <w:pPr>
              <w:jc w:val="center"/>
              <w:rPr>
                <w:rFonts w:ascii="Times New Roman" w:hAnsi="Times New Roman"/>
                <w:sz w:val="21"/>
                <w:szCs w:val="21"/>
              </w:rPr>
            </w:pPr>
            <w:r>
              <w:rPr>
                <w:rFonts w:ascii="Times New Roman" w:hAnsi="Times New Roman"/>
                <w:sz w:val="21"/>
                <w:szCs w:val="21"/>
              </w:rPr>
              <w:t>鄂尔多斯市</w:t>
            </w:r>
          </w:p>
        </w:tc>
        <w:tc>
          <w:tcPr>
            <w:tcW w:w="866" w:type="dxa"/>
            <w:vAlign w:val="center"/>
          </w:tcPr>
          <w:p>
            <w:pPr>
              <w:jc w:val="center"/>
              <w:rPr>
                <w:rFonts w:ascii="Times New Roman" w:hAnsi="Times New Roman"/>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p>
            <w:pPr>
              <w:jc w:val="center"/>
              <w:rPr>
                <w:rFonts w:ascii="Times New Roman" w:hAnsi="Times New Roman"/>
                <w:sz w:val="21"/>
                <w:szCs w:val="21"/>
              </w:rPr>
            </w:pPr>
            <w:r>
              <w:rPr>
                <w:rFonts w:ascii="Times New Roman" w:hAnsi="Times New Roman"/>
                <w:sz w:val="21"/>
                <w:szCs w:val="21"/>
              </w:rPr>
              <w:t>ug/m</w:t>
            </w:r>
            <w:r>
              <w:rPr>
                <w:rFonts w:ascii="Times New Roman" w:hAnsi="Times New Roman"/>
                <w:sz w:val="21"/>
                <w:szCs w:val="21"/>
                <w:vertAlign w:val="superscript"/>
              </w:rPr>
              <w:t>3</w:t>
            </w:r>
          </w:p>
        </w:tc>
        <w:tc>
          <w:tcPr>
            <w:tcW w:w="1560" w:type="dxa"/>
            <w:vAlign w:val="center"/>
          </w:tcPr>
          <w:p>
            <w:pPr>
              <w:spacing w:line="240" w:lineRule="exact"/>
              <w:jc w:val="center"/>
              <w:rPr>
                <w:rFonts w:ascii="Times New Roman" w:hAnsi="Times New Roman"/>
                <w:sz w:val="21"/>
                <w:szCs w:val="21"/>
              </w:rPr>
            </w:pPr>
            <w:r>
              <w:rPr>
                <w:rFonts w:ascii="Times New Roman" w:hAnsi="Times New Roman"/>
                <w:sz w:val="21"/>
                <w:szCs w:val="21"/>
              </w:rPr>
              <w:t>年平均</w:t>
            </w:r>
          </w:p>
        </w:tc>
        <w:tc>
          <w:tcPr>
            <w:tcW w:w="1134" w:type="dxa"/>
            <w:vAlign w:val="center"/>
          </w:tcPr>
          <w:p>
            <w:pPr>
              <w:jc w:val="center"/>
              <w:rPr>
                <w:rFonts w:ascii="Times New Roman" w:hAnsi="Times New Roman"/>
                <w:sz w:val="21"/>
                <w:szCs w:val="21"/>
              </w:rPr>
            </w:pPr>
            <w:r>
              <w:rPr>
                <w:rFonts w:ascii="Times New Roman" w:hAnsi="Times New Roman"/>
                <w:sz w:val="21"/>
                <w:szCs w:val="21"/>
              </w:rPr>
              <w:t>20</w:t>
            </w:r>
          </w:p>
        </w:tc>
        <w:tc>
          <w:tcPr>
            <w:tcW w:w="992" w:type="dxa"/>
            <w:vAlign w:val="center"/>
          </w:tcPr>
          <w:p>
            <w:pPr>
              <w:jc w:val="center"/>
              <w:rPr>
                <w:rFonts w:ascii="Times New Roman" w:hAnsi="Times New Roman"/>
                <w:sz w:val="21"/>
                <w:szCs w:val="21"/>
              </w:rPr>
            </w:pPr>
            <w:r>
              <w:rPr>
                <w:rFonts w:ascii="Times New Roman" w:hAnsi="Times New Roman"/>
                <w:sz w:val="21"/>
                <w:szCs w:val="21"/>
              </w:rPr>
              <w:t>15</w:t>
            </w:r>
          </w:p>
        </w:tc>
        <w:tc>
          <w:tcPr>
            <w:tcW w:w="992" w:type="dxa"/>
            <w:vAlign w:val="center"/>
          </w:tcPr>
          <w:p>
            <w:pPr>
              <w:jc w:val="center"/>
              <w:rPr>
                <w:rFonts w:ascii="Times New Roman" w:hAnsi="Times New Roman"/>
                <w:sz w:val="21"/>
                <w:szCs w:val="21"/>
              </w:rPr>
            </w:pPr>
            <w:r>
              <w:rPr>
                <w:rFonts w:ascii="Times New Roman" w:hAnsi="Times New Roman"/>
                <w:sz w:val="21"/>
                <w:szCs w:val="21"/>
              </w:rPr>
              <w:t>14</w:t>
            </w:r>
          </w:p>
        </w:tc>
        <w:tc>
          <w:tcPr>
            <w:tcW w:w="1134" w:type="dxa"/>
            <w:vAlign w:val="center"/>
          </w:tcPr>
          <w:p>
            <w:pPr>
              <w:jc w:val="center"/>
              <w:rPr>
                <w:rFonts w:ascii="Times New Roman" w:hAnsi="Times New Roman"/>
                <w:sz w:val="21"/>
                <w:szCs w:val="21"/>
              </w:rPr>
            </w:pPr>
            <w:r>
              <w:rPr>
                <w:rFonts w:ascii="Times New Roman" w:hAnsi="Times New Roman"/>
                <w:sz w:val="21"/>
                <w:szCs w:val="21"/>
              </w:rPr>
              <w:t>12</w:t>
            </w:r>
          </w:p>
        </w:tc>
        <w:tc>
          <w:tcPr>
            <w:tcW w:w="1134" w:type="dxa"/>
            <w:vAlign w:val="center"/>
          </w:tcPr>
          <w:p>
            <w:pPr>
              <w:jc w:val="center"/>
              <w:rPr>
                <w:rFonts w:ascii="Times New Roman" w:hAnsi="Times New Roman"/>
                <w:sz w:val="21"/>
                <w:szCs w:val="21"/>
              </w:rPr>
            </w:pPr>
            <w:r>
              <w:rPr>
                <w:rFonts w:ascii="Times New Roman" w:hAnsi="Times New Roman"/>
                <w:sz w:val="21"/>
                <w:szCs w:val="21"/>
              </w:rPr>
              <w:t>13</w:t>
            </w:r>
          </w:p>
        </w:tc>
        <w:tc>
          <w:tcPr>
            <w:tcW w:w="1102" w:type="dxa"/>
            <w:vAlign w:val="center"/>
          </w:tcPr>
          <w:p>
            <w:pPr>
              <w:jc w:val="center"/>
              <w:rPr>
                <w:rFonts w:ascii="Times New Roman" w:hAnsi="Times New Roman"/>
                <w:sz w:val="21"/>
                <w:szCs w:val="21"/>
              </w:rPr>
            </w:pPr>
            <w:r>
              <w:rPr>
                <w:rFonts w:hint="eastAsia" w:ascii="Times New Roman" w:hAnsi="Times New Roman"/>
                <w:sz w:val="21"/>
                <w:szCs w:val="21"/>
              </w:rPr>
              <w:t>1</w:t>
            </w:r>
            <w:r>
              <w:rPr>
                <w:rFonts w:ascii="Times New Roman" w:hAnsi="Times New Roman"/>
                <w:sz w:val="21"/>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6" w:type="dxa"/>
            <w:vMerge w:val="continue"/>
            <w:vAlign w:val="center"/>
          </w:tcPr>
          <w:p>
            <w:pPr>
              <w:jc w:val="center"/>
              <w:rPr>
                <w:rFonts w:ascii="Times New Roman" w:hAnsi="Times New Roman"/>
                <w:sz w:val="21"/>
                <w:szCs w:val="21"/>
              </w:rPr>
            </w:pPr>
          </w:p>
        </w:tc>
        <w:tc>
          <w:tcPr>
            <w:tcW w:w="866" w:type="dxa"/>
            <w:vAlign w:val="center"/>
          </w:tcPr>
          <w:p>
            <w:pPr>
              <w:jc w:val="center"/>
              <w:rPr>
                <w:rFonts w:ascii="Times New Roman" w:hAnsi="Times New Roman"/>
                <w:sz w:val="21"/>
                <w:szCs w:val="21"/>
              </w:rPr>
            </w:pPr>
            <w:r>
              <w:rPr>
                <w:rFonts w:ascii="Times New Roman" w:hAnsi="Times New Roman"/>
                <w:kern w:val="0"/>
                <w:sz w:val="21"/>
                <w:szCs w:val="21"/>
              </w:rPr>
              <w:t>NO</w:t>
            </w:r>
            <w:r>
              <w:rPr>
                <w:rFonts w:ascii="Times New Roman" w:hAnsi="Times New Roman"/>
                <w:kern w:val="0"/>
                <w:sz w:val="21"/>
                <w:szCs w:val="21"/>
                <w:vertAlign w:val="subscript"/>
              </w:rPr>
              <w:t>2</w:t>
            </w:r>
          </w:p>
          <w:p>
            <w:pPr>
              <w:jc w:val="center"/>
              <w:rPr>
                <w:rFonts w:ascii="Times New Roman" w:hAnsi="Times New Roman"/>
                <w:sz w:val="21"/>
                <w:szCs w:val="21"/>
              </w:rPr>
            </w:pPr>
            <w:r>
              <w:rPr>
                <w:rFonts w:ascii="Times New Roman" w:hAnsi="Times New Roman"/>
                <w:sz w:val="21"/>
                <w:szCs w:val="21"/>
              </w:rPr>
              <w:t>ug/m</w:t>
            </w:r>
            <w:r>
              <w:rPr>
                <w:rFonts w:ascii="Times New Roman" w:hAnsi="Times New Roman"/>
                <w:sz w:val="21"/>
                <w:szCs w:val="21"/>
                <w:vertAlign w:val="superscript"/>
              </w:rPr>
              <w:t>3</w:t>
            </w:r>
          </w:p>
        </w:tc>
        <w:tc>
          <w:tcPr>
            <w:tcW w:w="1560" w:type="dxa"/>
            <w:vAlign w:val="center"/>
          </w:tcPr>
          <w:p>
            <w:pPr>
              <w:spacing w:line="240" w:lineRule="exact"/>
              <w:jc w:val="center"/>
              <w:rPr>
                <w:rFonts w:ascii="Times New Roman" w:hAnsi="Times New Roman"/>
                <w:sz w:val="21"/>
                <w:szCs w:val="21"/>
              </w:rPr>
            </w:pPr>
            <w:r>
              <w:rPr>
                <w:rFonts w:ascii="Times New Roman" w:hAnsi="Times New Roman"/>
                <w:sz w:val="21"/>
                <w:szCs w:val="21"/>
              </w:rPr>
              <w:t>年平均</w:t>
            </w:r>
          </w:p>
        </w:tc>
        <w:tc>
          <w:tcPr>
            <w:tcW w:w="1134" w:type="dxa"/>
            <w:vAlign w:val="center"/>
          </w:tcPr>
          <w:p>
            <w:pPr>
              <w:jc w:val="center"/>
              <w:rPr>
                <w:rFonts w:ascii="Times New Roman" w:hAnsi="Times New Roman"/>
                <w:sz w:val="21"/>
                <w:szCs w:val="21"/>
              </w:rPr>
            </w:pPr>
            <w:r>
              <w:rPr>
                <w:rFonts w:ascii="Times New Roman" w:hAnsi="Times New Roman"/>
                <w:sz w:val="21"/>
                <w:szCs w:val="21"/>
              </w:rPr>
              <w:t>24</w:t>
            </w:r>
          </w:p>
        </w:tc>
        <w:tc>
          <w:tcPr>
            <w:tcW w:w="992" w:type="dxa"/>
            <w:vAlign w:val="center"/>
          </w:tcPr>
          <w:p>
            <w:pPr>
              <w:jc w:val="center"/>
              <w:rPr>
                <w:rFonts w:ascii="Times New Roman" w:hAnsi="Times New Roman"/>
                <w:sz w:val="21"/>
                <w:szCs w:val="21"/>
              </w:rPr>
            </w:pPr>
            <w:r>
              <w:rPr>
                <w:rFonts w:ascii="Times New Roman" w:hAnsi="Times New Roman"/>
                <w:sz w:val="21"/>
                <w:szCs w:val="21"/>
              </w:rPr>
              <w:t>23</w:t>
            </w:r>
          </w:p>
        </w:tc>
        <w:tc>
          <w:tcPr>
            <w:tcW w:w="992" w:type="dxa"/>
            <w:vAlign w:val="center"/>
          </w:tcPr>
          <w:p>
            <w:pPr>
              <w:jc w:val="center"/>
              <w:rPr>
                <w:rFonts w:ascii="Times New Roman" w:hAnsi="Times New Roman"/>
                <w:sz w:val="21"/>
                <w:szCs w:val="21"/>
              </w:rPr>
            </w:pPr>
            <w:r>
              <w:rPr>
                <w:rFonts w:ascii="Times New Roman" w:hAnsi="Times New Roman"/>
                <w:sz w:val="21"/>
                <w:szCs w:val="21"/>
              </w:rPr>
              <w:t>28</w:t>
            </w:r>
          </w:p>
        </w:tc>
        <w:tc>
          <w:tcPr>
            <w:tcW w:w="1134" w:type="dxa"/>
            <w:vAlign w:val="center"/>
          </w:tcPr>
          <w:p>
            <w:pPr>
              <w:jc w:val="center"/>
              <w:rPr>
                <w:rFonts w:ascii="Times New Roman" w:hAnsi="Times New Roman"/>
                <w:sz w:val="21"/>
                <w:szCs w:val="21"/>
              </w:rPr>
            </w:pPr>
            <w:r>
              <w:rPr>
                <w:rFonts w:ascii="Times New Roman" w:hAnsi="Times New Roman"/>
                <w:sz w:val="21"/>
                <w:szCs w:val="21"/>
              </w:rPr>
              <w:t>25</w:t>
            </w:r>
          </w:p>
        </w:tc>
        <w:tc>
          <w:tcPr>
            <w:tcW w:w="1134" w:type="dxa"/>
            <w:vAlign w:val="center"/>
          </w:tcPr>
          <w:p>
            <w:pPr>
              <w:jc w:val="center"/>
              <w:rPr>
                <w:rFonts w:ascii="Times New Roman" w:hAnsi="Times New Roman"/>
                <w:sz w:val="21"/>
                <w:szCs w:val="21"/>
              </w:rPr>
            </w:pPr>
            <w:r>
              <w:rPr>
                <w:rFonts w:ascii="Times New Roman" w:hAnsi="Times New Roman"/>
                <w:sz w:val="21"/>
                <w:szCs w:val="21"/>
              </w:rPr>
              <w:t>26</w:t>
            </w:r>
          </w:p>
        </w:tc>
        <w:tc>
          <w:tcPr>
            <w:tcW w:w="1102" w:type="dxa"/>
            <w:vAlign w:val="center"/>
          </w:tcPr>
          <w:p>
            <w:pPr>
              <w:jc w:val="center"/>
              <w:rPr>
                <w:rFonts w:ascii="Times New Roman" w:hAnsi="Times New Roman"/>
                <w:sz w:val="21"/>
                <w:szCs w:val="21"/>
              </w:rPr>
            </w:pPr>
            <w:r>
              <w:rPr>
                <w:rFonts w:hint="eastAsia" w:ascii="Times New Roman" w:hAnsi="Times New Roman"/>
                <w:sz w:val="21"/>
                <w:szCs w:val="21"/>
              </w:rPr>
              <w:t>2</w:t>
            </w:r>
            <w:r>
              <w:rPr>
                <w:rFonts w:ascii="Times New Roman" w:hAnsi="Times New Roman"/>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6" w:type="dxa"/>
            <w:vMerge w:val="continue"/>
            <w:vAlign w:val="center"/>
          </w:tcPr>
          <w:p>
            <w:pPr>
              <w:jc w:val="center"/>
              <w:rPr>
                <w:rFonts w:ascii="Times New Roman" w:hAnsi="Times New Roman"/>
                <w:sz w:val="21"/>
                <w:szCs w:val="21"/>
              </w:rPr>
            </w:pPr>
          </w:p>
        </w:tc>
        <w:tc>
          <w:tcPr>
            <w:tcW w:w="866" w:type="dxa"/>
            <w:vAlign w:val="center"/>
          </w:tcPr>
          <w:p>
            <w:pPr>
              <w:jc w:val="center"/>
              <w:rPr>
                <w:rFonts w:ascii="Times New Roman" w:hAnsi="Times New Roman"/>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p>
            <w:pPr>
              <w:jc w:val="center"/>
              <w:rPr>
                <w:rFonts w:ascii="Times New Roman" w:hAnsi="Times New Roman"/>
                <w:sz w:val="21"/>
                <w:szCs w:val="21"/>
              </w:rPr>
            </w:pPr>
            <w:r>
              <w:rPr>
                <w:rFonts w:ascii="Times New Roman" w:hAnsi="Times New Roman"/>
                <w:kern w:val="0"/>
                <w:sz w:val="21"/>
                <w:szCs w:val="21"/>
              </w:rPr>
              <w:t>ug/m</w:t>
            </w:r>
            <w:r>
              <w:rPr>
                <w:rFonts w:ascii="Times New Roman" w:hAnsi="Times New Roman"/>
                <w:kern w:val="0"/>
                <w:sz w:val="21"/>
                <w:szCs w:val="21"/>
                <w:vertAlign w:val="superscript"/>
              </w:rPr>
              <w:t>3</w:t>
            </w:r>
          </w:p>
        </w:tc>
        <w:tc>
          <w:tcPr>
            <w:tcW w:w="1560" w:type="dxa"/>
            <w:vAlign w:val="center"/>
          </w:tcPr>
          <w:p>
            <w:pPr>
              <w:spacing w:line="240" w:lineRule="exact"/>
              <w:jc w:val="center"/>
              <w:rPr>
                <w:rFonts w:ascii="Times New Roman" w:hAnsi="Times New Roman"/>
                <w:sz w:val="21"/>
                <w:szCs w:val="21"/>
              </w:rPr>
            </w:pPr>
            <w:r>
              <w:rPr>
                <w:rFonts w:ascii="Times New Roman" w:hAnsi="Times New Roman"/>
                <w:sz w:val="21"/>
                <w:szCs w:val="21"/>
              </w:rPr>
              <w:t>年平均</w:t>
            </w:r>
          </w:p>
        </w:tc>
        <w:tc>
          <w:tcPr>
            <w:tcW w:w="1134" w:type="dxa"/>
            <w:vAlign w:val="center"/>
          </w:tcPr>
          <w:p>
            <w:pPr>
              <w:jc w:val="center"/>
              <w:rPr>
                <w:rFonts w:ascii="Times New Roman" w:hAnsi="Times New Roman"/>
                <w:sz w:val="21"/>
                <w:szCs w:val="21"/>
              </w:rPr>
            </w:pPr>
            <w:r>
              <w:rPr>
                <w:rFonts w:ascii="Times New Roman" w:hAnsi="Times New Roman"/>
                <w:sz w:val="21"/>
                <w:szCs w:val="21"/>
              </w:rPr>
              <w:t>69</w:t>
            </w:r>
          </w:p>
        </w:tc>
        <w:tc>
          <w:tcPr>
            <w:tcW w:w="992" w:type="dxa"/>
            <w:vAlign w:val="center"/>
          </w:tcPr>
          <w:p>
            <w:pPr>
              <w:jc w:val="center"/>
              <w:rPr>
                <w:rFonts w:ascii="Times New Roman" w:hAnsi="Times New Roman"/>
                <w:sz w:val="21"/>
                <w:szCs w:val="21"/>
              </w:rPr>
            </w:pPr>
            <w:r>
              <w:rPr>
                <w:rFonts w:ascii="Times New Roman" w:hAnsi="Times New Roman"/>
                <w:sz w:val="21"/>
                <w:szCs w:val="21"/>
              </w:rPr>
              <w:t>63</w:t>
            </w:r>
          </w:p>
        </w:tc>
        <w:tc>
          <w:tcPr>
            <w:tcW w:w="992" w:type="dxa"/>
            <w:vAlign w:val="center"/>
          </w:tcPr>
          <w:p>
            <w:pPr>
              <w:jc w:val="center"/>
              <w:rPr>
                <w:rFonts w:ascii="Times New Roman" w:hAnsi="Times New Roman"/>
                <w:sz w:val="21"/>
                <w:szCs w:val="21"/>
                <w:shd w:val="clear" w:color="FFFFFF" w:fill="D9D9D9"/>
              </w:rPr>
            </w:pPr>
            <w:r>
              <w:rPr>
                <w:rFonts w:ascii="Times New Roman" w:hAnsi="Times New Roman"/>
                <w:sz w:val="21"/>
                <w:szCs w:val="21"/>
                <w:shd w:val="clear" w:color="FFFFFF" w:fill="D9D9D9"/>
              </w:rPr>
              <w:t>73</w:t>
            </w:r>
          </w:p>
        </w:tc>
        <w:tc>
          <w:tcPr>
            <w:tcW w:w="1134" w:type="dxa"/>
            <w:vAlign w:val="center"/>
          </w:tcPr>
          <w:p>
            <w:pPr>
              <w:jc w:val="center"/>
              <w:rPr>
                <w:rFonts w:ascii="Times New Roman" w:hAnsi="Times New Roman"/>
                <w:sz w:val="21"/>
                <w:szCs w:val="21"/>
              </w:rPr>
            </w:pPr>
            <w:r>
              <w:rPr>
                <w:rFonts w:ascii="Times New Roman" w:hAnsi="Times New Roman"/>
                <w:sz w:val="21"/>
                <w:szCs w:val="21"/>
                <w:shd w:val="clear" w:color="FFFFFF" w:fill="D9D9D9"/>
              </w:rPr>
              <w:t>86</w:t>
            </w:r>
          </w:p>
        </w:tc>
        <w:tc>
          <w:tcPr>
            <w:tcW w:w="1134" w:type="dxa"/>
            <w:vAlign w:val="center"/>
          </w:tcPr>
          <w:p>
            <w:pPr>
              <w:jc w:val="center"/>
              <w:rPr>
                <w:rFonts w:ascii="Times New Roman" w:hAnsi="Times New Roman"/>
                <w:sz w:val="21"/>
                <w:szCs w:val="21"/>
              </w:rPr>
            </w:pPr>
            <w:r>
              <w:rPr>
                <w:rFonts w:ascii="Times New Roman" w:hAnsi="Times New Roman"/>
                <w:sz w:val="21"/>
                <w:szCs w:val="21"/>
              </w:rPr>
              <w:t>65</w:t>
            </w:r>
          </w:p>
        </w:tc>
        <w:tc>
          <w:tcPr>
            <w:tcW w:w="1102" w:type="dxa"/>
            <w:vAlign w:val="center"/>
          </w:tcPr>
          <w:p>
            <w:pPr>
              <w:jc w:val="center"/>
              <w:rPr>
                <w:rFonts w:ascii="Times New Roman" w:hAnsi="Times New Roman"/>
                <w:sz w:val="21"/>
                <w:szCs w:val="21"/>
              </w:rPr>
            </w:pPr>
            <w:r>
              <w:rPr>
                <w:rFonts w:hint="eastAsia" w:ascii="Times New Roman" w:hAnsi="Times New Roman"/>
                <w:sz w:val="21"/>
                <w:szCs w:val="21"/>
              </w:rPr>
              <w:t>5</w:t>
            </w:r>
            <w:r>
              <w:rPr>
                <w:rFonts w:ascii="Times New Roman" w:hAnsi="Times New Roman"/>
                <w:sz w:val="21"/>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376" w:type="dxa"/>
            <w:vMerge w:val="continue"/>
            <w:vAlign w:val="center"/>
          </w:tcPr>
          <w:p>
            <w:pPr>
              <w:jc w:val="center"/>
              <w:rPr>
                <w:rFonts w:ascii="Times New Roman" w:hAnsi="Times New Roman"/>
                <w:sz w:val="21"/>
                <w:szCs w:val="21"/>
              </w:rPr>
            </w:pPr>
          </w:p>
        </w:tc>
        <w:tc>
          <w:tcPr>
            <w:tcW w:w="866" w:type="dxa"/>
            <w:vAlign w:val="center"/>
          </w:tcPr>
          <w:p>
            <w:pPr>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2.5</w:t>
            </w:r>
          </w:p>
          <w:p>
            <w:pPr>
              <w:jc w:val="center"/>
              <w:rPr>
                <w:rFonts w:ascii="Times New Roman" w:hAnsi="Times New Roman"/>
                <w:kern w:val="0"/>
                <w:sz w:val="21"/>
                <w:szCs w:val="21"/>
              </w:rPr>
            </w:pPr>
            <w:r>
              <w:rPr>
                <w:rFonts w:ascii="Times New Roman" w:hAnsi="Times New Roman"/>
                <w:kern w:val="0"/>
                <w:sz w:val="21"/>
                <w:szCs w:val="21"/>
              </w:rPr>
              <w:t>ug/m</w:t>
            </w:r>
            <w:r>
              <w:rPr>
                <w:rFonts w:ascii="Times New Roman" w:hAnsi="Times New Roman"/>
                <w:kern w:val="0"/>
                <w:sz w:val="21"/>
                <w:szCs w:val="21"/>
                <w:vertAlign w:val="superscript"/>
              </w:rPr>
              <w:t>3</w:t>
            </w:r>
          </w:p>
        </w:tc>
        <w:tc>
          <w:tcPr>
            <w:tcW w:w="1560" w:type="dxa"/>
            <w:vAlign w:val="center"/>
          </w:tcPr>
          <w:p>
            <w:pPr>
              <w:spacing w:line="240" w:lineRule="exact"/>
              <w:jc w:val="center"/>
              <w:rPr>
                <w:rFonts w:ascii="Times New Roman" w:hAnsi="Times New Roman"/>
                <w:sz w:val="21"/>
                <w:szCs w:val="21"/>
              </w:rPr>
            </w:pPr>
            <w:r>
              <w:rPr>
                <w:rFonts w:ascii="Times New Roman" w:hAnsi="Times New Roman"/>
                <w:sz w:val="21"/>
                <w:szCs w:val="21"/>
              </w:rPr>
              <w:t>年平均</w:t>
            </w:r>
          </w:p>
        </w:tc>
        <w:tc>
          <w:tcPr>
            <w:tcW w:w="1134" w:type="dxa"/>
            <w:vAlign w:val="center"/>
          </w:tcPr>
          <w:p>
            <w:pPr>
              <w:jc w:val="center"/>
              <w:rPr>
                <w:rFonts w:ascii="Times New Roman" w:hAnsi="Times New Roman"/>
                <w:sz w:val="21"/>
                <w:szCs w:val="21"/>
              </w:rPr>
            </w:pPr>
            <w:r>
              <w:rPr>
                <w:rFonts w:ascii="Times New Roman" w:hAnsi="Times New Roman"/>
                <w:sz w:val="21"/>
                <w:szCs w:val="21"/>
              </w:rPr>
              <w:t>27</w:t>
            </w:r>
          </w:p>
        </w:tc>
        <w:tc>
          <w:tcPr>
            <w:tcW w:w="992" w:type="dxa"/>
            <w:vAlign w:val="center"/>
          </w:tcPr>
          <w:p>
            <w:pPr>
              <w:jc w:val="center"/>
              <w:rPr>
                <w:rFonts w:ascii="Times New Roman" w:hAnsi="Times New Roman"/>
                <w:sz w:val="21"/>
                <w:szCs w:val="21"/>
              </w:rPr>
            </w:pPr>
            <w:r>
              <w:rPr>
                <w:rFonts w:ascii="Times New Roman" w:hAnsi="Times New Roman"/>
                <w:sz w:val="21"/>
                <w:szCs w:val="21"/>
              </w:rPr>
              <w:t>24</w:t>
            </w:r>
          </w:p>
        </w:tc>
        <w:tc>
          <w:tcPr>
            <w:tcW w:w="992" w:type="dxa"/>
            <w:vAlign w:val="center"/>
          </w:tcPr>
          <w:p>
            <w:pPr>
              <w:jc w:val="center"/>
              <w:rPr>
                <w:rFonts w:ascii="Times New Roman" w:hAnsi="Times New Roman"/>
                <w:sz w:val="21"/>
                <w:szCs w:val="21"/>
              </w:rPr>
            </w:pPr>
            <w:r>
              <w:rPr>
                <w:rFonts w:ascii="Times New Roman" w:hAnsi="Times New Roman"/>
                <w:sz w:val="21"/>
                <w:szCs w:val="21"/>
              </w:rPr>
              <w:t>25</w:t>
            </w:r>
          </w:p>
        </w:tc>
        <w:tc>
          <w:tcPr>
            <w:tcW w:w="1134" w:type="dxa"/>
            <w:vAlign w:val="center"/>
          </w:tcPr>
          <w:p>
            <w:pPr>
              <w:jc w:val="center"/>
              <w:rPr>
                <w:rFonts w:ascii="Times New Roman" w:hAnsi="Times New Roman"/>
                <w:sz w:val="21"/>
                <w:szCs w:val="21"/>
              </w:rPr>
            </w:pPr>
            <w:r>
              <w:rPr>
                <w:rFonts w:ascii="Times New Roman" w:hAnsi="Times New Roman"/>
                <w:sz w:val="21"/>
                <w:szCs w:val="21"/>
              </w:rPr>
              <w:t>26</w:t>
            </w:r>
          </w:p>
        </w:tc>
        <w:tc>
          <w:tcPr>
            <w:tcW w:w="1134" w:type="dxa"/>
            <w:vAlign w:val="center"/>
          </w:tcPr>
          <w:p>
            <w:pPr>
              <w:jc w:val="center"/>
              <w:rPr>
                <w:rFonts w:ascii="Times New Roman" w:hAnsi="Times New Roman"/>
                <w:sz w:val="21"/>
                <w:szCs w:val="21"/>
              </w:rPr>
            </w:pPr>
            <w:r>
              <w:rPr>
                <w:rFonts w:ascii="Times New Roman" w:hAnsi="Times New Roman"/>
                <w:sz w:val="21"/>
                <w:szCs w:val="21"/>
              </w:rPr>
              <w:t>23</w:t>
            </w:r>
          </w:p>
        </w:tc>
        <w:tc>
          <w:tcPr>
            <w:tcW w:w="1102" w:type="dxa"/>
            <w:vAlign w:val="center"/>
          </w:tcPr>
          <w:p>
            <w:pPr>
              <w:jc w:val="center"/>
              <w:rPr>
                <w:rFonts w:ascii="Times New Roman" w:hAnsi="Times New Roman"/>
                <w:sz w:val="21"/>
                <w:szCs w:val="21"/>
              </w:rPr>
            </w:pPr>
            <w:r>
              <w:rPr>
                <w:rFonts w:hint="eastAsia" w:ascii="Times New Roman" w:hAnsi="Times New Roman"/>
                <w:sz w:val="21"/>
                <w:szCs w:val="21"/>
              </w:rPr>
              <w:t>2</w:t>
            </w:r>
            <w:r>
              <w:rPr>
                <w:rFonts w:ascii="Times New Roman" w:hAnsi="Times New Roman"/>
                <w:sz w:val="21"/>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6" w:type="dxa"/>
            <w:vMerge w:val="continue"/>
            <w:vAlign w:val="center"/>
          </w:tcPr>
          <w:p>
            <w:pPr>
              <w:jc w:val="center"/>
              <w:rPr>
                <w:rFonts w:ascii="Times New Roman" w:hAnsi="Times New Roman"/>
                <w:sz w:val="21"/>
                <w:szCs w:val="21"/>
              </w:rPr>
            </w:pPr>
          </w:p>
        </w:tc>
        <w:tc>
          <w:tcPr>
            <w:tcW w:w="866" w:type="dxa"/>
            <w:vAlign w:val="center"/>
          </w:tcPr>
          <w:p>
            <w:pPr>
              <w:jc w:val="center"/>
              <w:rPr>
                <w:rFonts w:ascii="Times New Roman" w:hAnsi="Times New Roman"/>
                <w:kern w:val="0"/>
                <w:sz w:val="21"/>
                <w:szCs w:val="21"/>
              </w:rPr>
            </w:pPr>
            <w:r>
              <w:rPr>
                <w:rFonts w:ascii="Times New Roman" w:hAnsi="Times New Roman"/>
                <w:kern w:val="0"/>
                <w:sz w:val="21"/>
                <w:szCs w:val="21"/>
              </w:rPr>
              <w:t>CO</w:t>
            </w:r>
          </w:p>
          <w:p>
            <w:pPr>
              <w:jc w:val="center"/>
              <w:rPr>
                <w:rFonts w:ascii="Times New Roman" w:hAnsi="Times New Roman"/>
                <w:kern w:val="0"/>
                <w:sz w:val="21"/>
                <w:szCs w:val="21"/>
              </w:rPr>
            </w:pPr>
            <w:r>
              <w:rPr>
                <w:rFonts w:ascii="Times New Roman" w:hAnsi="Times New Roman"/>
                <w:kern w:val="0"/>
                <w:sz w:val="21"/>
                <w:szCs w:val="21"/>
              </w:rPr>
              <w:t>mg/m</w:t>
            </w:r>
            <w:r>
              <w:rPr>
                <w:rFonts w:ascii="Times New Roman" w:hAnsi="Times New Roman"/>
                <w:kern w:val="0"/>
                <w:sz w:val="21"/>
                <w:szCs w:val="21"/>
                <w:vertAlign w:val="superscript"/>
              </w:rPr>
              <w:t>3</w:t>
            </w:r>
          </w:p>
        </w:tc>
        <w:tc>
          <w:tcPr>
            <w:tcW w:w="1560" w:type="dxa"/>
            <w:vAlign w:val="center"/>
          </w:tcPr>
          <w:p>
            <w:pPr>
              <w:spacing w:line="240" w:lineRule="exact"/>
              <w:jc w:val="center"/>
              <w:rPr>
                <w:rFonts w:ascii="Times New Roman" w:hAnsi="Times New Roman"/>
                <w:sz w:val="21"/>
                <w:szCs w:val="21"/>
              </w:rPr>
            </w:pPr>
            <w:r>
              <w:rPr>
                <w:rFonts w:ascii="Times New Roman" w:hAnsi="Times New Roman"/>
                <w:sz w:val="21"/>
                <w:szCs w:val="21"/>
              </w:rPr>
              <w:t>24小时平均</w:t>
            </w:r>
          </w:p>
          <w:p>
            <w:pPr>
              <w:spacing w:line="240" w:lineRule="exact"/>
              <w:jc w:val="center"/>
              <w:rPr>
                <w:rFonts w:ascii="Times New Roman" w:hAnsi="Times New Roman"/>
                <w:sz w:val="21"/>
                <w:szCs w:val="21"/>
              </w:rPr>
            </w:pPr>
            <w:r>
              <w:rPr>
                <w:rFonts w:ascii="Times New Roman" w:hAnsi="Times New Roman"/>
                <w:sz w:val="21"/>
                <w:szCs w:val="21"/>
              </w:rPr>
              <w:t>第95百分位数</w:t>
            </w:r>
          </w:p>
        </w:tc>
        <w:tc>
          <w:tcPr>
            <w:tcW w:w="1134" w:type="dxa"/>
            <w:vAlign w:val="center"/>
          </w:tcPr>
          <w:p>
            <w:pPr>
              <w:jc w:val="center"/>
              <w:rPr>
                <w:rFonts w:ascii="Times New Roman" w:hAnsi="Times New Roman"/>
                <w:sz w:val="21"/>
                <w:szCs w:val="21"/>
              </w:rPr>
            </w:pPr>
            <w:r>
              <w:rPr>
                <w:rFonts w:ascii="Times New Roman" w:hAnsi="Times New Roman"/>
                <w:sz w:val="21"/>
                <w:szCs w:val="21"/>
              </w:rPr>
              <w:t>1.1</w:t>
            </w:r>
          </w:p>
        </w:tc>
        <w:tc>
          <w:tcPr>
            <w:tcW w:w="992" w:type="dxa"/>
            <w:vAlign w:val="center"/>
          </w:tcPr>
          <w:p>
            <w:pPr>
              <w:jc w:val="center"/>
              <w:rPr>
                <w:rFonts w:ascii="Times New Roman" w:hAnsi="Times New Roman"/>
                <w:sz w:val="21"/>
                <w:szCs w:val="21"/>
              </w:rPr>
            </w:pPr>
            <w:r>
              <w:rPr>
                <w:rFonts w:ascii="Times New Roman" w:hAnsi="Times New Roman"/>
                <w:sz w:val="21"/>
                <w:szCs w:val="21"/>
              </w:rPr>
              <w:t>1.1</w:t>
            </w:r>
          </w:p>
        </w:tc>
        <w:tc>
          <w:tcPr>
            <w:tcW w:w="992" w:type="dxa"/>
            <w:vAlign w:val="center"/>
          </w:tcPr>
          <w:p>
            <w:pPr>
              <w:jc w:val="center"/>
              <w:rPr>
                <w:rFonts w:ascii="Times New Roman" w:hAnsi="Times New Roman"/>
                <w:sz w:val="21"/>
                <w:szCs w:val="21"/>
              </w:rPr>
            </w:pPr>
            <w:r>
              <w:rPr>
                <w:rFonts w:ascii="Times New Roman" w:hAnsi="Times New Roman"/>
                <w:sz w:val="21"/>
                <w:szCs w:val="21"/>
              </w:rPr>
              <w:t>1.12</w:t>
            </w:r>
          </w:p>
        </w:tc>
        <w:tc>
          <w:tcPr>
            <w:tcW w:w="1134" w:type="dxa"/>
            <w:vAlign w:val="center"/>
          </w:tcPr>
          <w:p>
            <w:pPr>
              <w:jc w:val="center"/>
              <w:rPr>
                <w:rFonts w:ascii="Times New Roman" w:hAnsi="Times New Roman"/>
                <w:sz w:val="21"/>
                <w:szCs w:val="21"/>
                <w:shd w:val="clear" w:color="FFFFFF" w:fill="D9D9D9"/>
              </w:rPr>
            </w:pPr>
            <w:r>
              <w:rPr>
                <w:rFonts w:ascii="Times New Roman" w:hAnsi="Times New Roman"/>
                <w:sz w:val="21"/>
                <w:szCs w:val="21"/>
              </w:rPr>
              <w:t>1.1</w:t>
            </w:r>
          </w:p>
        </w:tc>
        <w:tc>
          <w:tcPr>
            <w:tcW w:w="1134" w:type="dxa"/>
            <w:vAlign w:val="center"/>
          </w:tcPr>
          <w:p>
            <w:pPr>
              <w:jc w:val="center"/>
              <w:rPr>
                <w:rFonts w:ascii="Times New Roman" w:hAnsi="Times New Roman"/>
                <w:sz w:val="21"/>
                <w:szCs w:val="21"/>
              </w:rPr>
            </w:pPr>
            <w:r>
              <w:rPr>
                <w:rFonts w:ascii="Times New Roman" w:hAnsi="Times New Roman"/>
                <w:sz w:val="21"/>
                <w:szCs w:val="21"/>
              </w:rPr>
              <w:t>1.1</w:t>
            </w:r>
          </w:p>
        </w:tc>
        <w:tc>
          <w:tcPr>
            <w:tcW w:w="1102" w:type="dxa"/>
            <w:vAlign w:val="center"/>
          </w:tcPr>
          <w:p>
            <w:pPr>
              <w:jc w:val="center"/>
              <w:rPr>
                <w:rFonts w:ascii="Times New Roman" w:hAnsi="Times New Roman"/>
                <w:sz w:val="21"/>
                <w:szCs w:val="21"/>
              </w:rPr>
            </w:pPr>
            <w:r>
              <w:rPr>
                <w:rFonts w:hint="eastAsia" w:ascii="Times New Roman" w:hAnsi="Times New Roman"/>
                <w:sz w:val="21"/>
                <w:szCs w:val="21"/>
              </w:rPr>
              <w:t>1</w:t>
            </w:r>
            <w:r>
              <w:rPr>
                <w:rFonts w:ascii="Times New Roman" w:hAnsi="Times New Roman"/>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376" w:type="dxa"/>
            <w:vMerge w:val="continue"/>
            <w:vAlign w:val="center"/>
          </w:tcPr>
          <w:p>
            <w:pPr>
              <w:jc w:val="center"/>
              <w:rPr>
                <w:rFonts w:ascii="Times New Roman" w:hAnsi="Times New Roman"/>
                <w:sz w:val="21"/>
                <w:szCs w:val="21"/>
              </w:rPr>
            </w:pPr>
          </w:p>
        </w:tc>
        <w:tc>
          <w:tcPr>
            <w:tcW w:w="866" w:type="dxa"/>
            <w:vAlign w:val="center"/>
          </w:tcPr>
          <w:p>
            <w:pPr>
              <w:jc w:val="center"/>
              <w:rPr>
                <w:rFonts w:ascii="Times New Roman" w:hAnsi="Times New Roman"/>
                <w:kern w:val="0"/>
                <w:sz w:val="21"/>
                <w:szCs w:val="21"/>
              </w:rPr>
            </w:pPr>
            <w:r>
              <w:rPr>
                <w:rFonts w:ascii="Times New Roman" w:hAnsi="Times New Roman"/>
                <w:kern w:val="0"/>
                <w:sz w:val="21"/>
                <w:szCs w:val="21"/>
              </w:rPr>
              <w:t>O</w:t>
            </w:r>
            <w:r>
              <w:rPr>
                <w:rFonts w:ascii="Times New Roman" w:hAnsi="Times New Roman"/>
                <w:kern w:val="0"/>
                <w:sz w:val="21"/>
                <w:szCs w:val="21"/>
                <w:vertAlign w:val="subscript"/>
              </w:rPr>
              <w:t>3</w:t>
            </w:r>
            <w:r>
              <w:rPr>
                <w:rFonts w:ascii="Times New Roman" w:hAnsi="Times New Roman"/>
                <w:kern w:val="0"/>
                <w:sz w:val="21"/>
                <w:szCs w:val="21"/>
              </w:rPr>
              <w:t>(8)</w:t>
            </w:r>
          </w:p>
          <w:p>
            <w:pPr>
              <w:jc w:val="center"/>
              <w:rPr>
                <w:rFonts w:ascii="Times New Roman" w:hAnsi="Times New Roman"/>
                <w:kern w:val="0"/>
                <w:sz w:val="21"/>
                <w:szCs w:val="21"/>
              </w:rPr>
            </w:pPr>
            <w:r>
              <w:rPr>
                <w:rFonts w:ascii="Times New Roman" w:hAnsi="Times New Roman"/>
                <w:kern w:val="0"/>
                <w:sz w:val="21"/>
                <w:szCs w:val="21"/>
              </w:rPr>
              <w:t>ug/m</w:t>
            </w:r>
            <w:r>
              <w:rPr>
                <w:rFonts w:ascii="Times New Roman" w:hAnsi="Times New Roman"/>
                <w:kern w:val="0"/>
                <w:sz w:val="21"/>
                <w:szCs w:val="21"/>
                <w:vertAlign w:val="superscript"/>
              </w:rPr>
              <w:t>3</w:t>
            </w:r>
          </w:p>
        </w:tc>
        <w:tc>
          <w:tcPr>
            <w:tcW w:w="1560" w:type="dxa"/>
            <w:vAlign w:val="center"/>
          </w:tcPr>
          <w:p>
            <w:pPr>
              <w:spacing w:line="240" w:lineRule="exact"/>
              <w:jc w:val="center"/>
              <w:rPr>
                <w:rFonts w:ascii="Times New Roman" w:hAnsi="Times New Roman"/>
                <w:sz w:val="21"/>
                <w:szCs w:val="21"/>
              </w:rPr>
            </w:pPr>
            <w:r>
              <w:rPr>
                <w:rFonts w:ascii="Times New Roman" w:hAnsi="Times New Roman"/>
                <w:sz w:val="21"/>
                <w:szCs w:val="21"/>
              </w:rPr>
              <w:t>8h滑动平均值</w:t>
            </w:r>
          </w:p>
          <w:p>
            <w:pPr>
              <w:spacing w:line="240" w:lineRule="exact"/>
              <w:jc w:val="center"/>
              <w:rPr>
                <w:rFonts w:ascii="Times New Roman" w:hAnsi="Times New Roman"/>
                <w:sz w:val="21"/>
                <w:szCs w:val="21"/>
              </w:rPr>
            </w:pPr>
            <w:r>
              <w:rPr>
                <w:rFonts w:ascii="Times New Roman" w:hAnsi="Times New Roman"/>
                <w:sz w:val="21"/>
                <w:szCs w:val="21"/>
              </w:rPr>
              <w:t>第90百分位数</w:t>
            </w:r>
          </w:p>
        </w:tc>
        <w:tc>
          <w:tcPr>
            <w:tcW w:w="1134" w:type="dxa"/>
            <w:vAlign w:val="center"/>
          </w:tcPr>
          <w:p>
            <w:pPr>
              <w:jc w:val="center"/>
              <w:rPr>
                <w:rFonts w:ascii="Times New Roman" w:hAnsi="Times New Roman"/>
                <w:sz w:val="21"/>
                <w:szCs w:val="21"/>
              </w:rPr>
            </w:pPr>
            <w:r>
              <w:rPr>
                <w:rFonts w:ascii="Times New Roman" w:hAnsi="Times New Roman"/>
                <w:sz w:val="21"/>
                <w:szCs w:val="21"/>
              </w:rPr>
              <w:t>158</w:t>
            </w:r>
          </w:p>
        </w:tc>
        <w:tc>
          <w:tcPr>
            <w:tcW w:w="992" w:type="dxa"/>
            <w:vAlign w:val="center"/>
          </w:tcPr>
          <w:p>
            <w:pPr>
              <w:jc w:val="center"/>
              <w:rPr>
                <w:rFonts w:ascii="Times New Roman" w:hAnsi="Times New Roman"/>
                <w:sz w:val="21"/>
                <w:szCs w:val="21"/>
              </w:rPr>
            </w:pPr>
            <w:r>
              <w:rPr>
                <w:rFonts w:ascii="Times New Roman" w:hAnsi="Times New Roman"/>
                <w:sz w:val="21"/>
                <w:szCs w:val="21"/>
              </w:rPr>
              <w:t>151</w:t>
            </w:r>
          </w:p>
        </w:tc>
        <w:tc>
          <w:tcPr>
            <w:tcW w:w="992" w:type="dxa"/>
            <w:vAlign w:val="center"/>
          </w:tcPr>
          <w:p>
            <w:pPr>
              <w:jc w:val="center"/>
              <w:rPr>
                <w:rFonts w:ascii="Times New Roman" w:hAnsi="Times New Roman"/>
                <w:sz w:val="21"/>
                <w:szCs w:val="21"/>
              </w:rPr>
            </w:pPr>
            <w:r>
              <w:rPr>
                <w:rFonts w:ascii="Times New Roman" w:hAnsi="Times New Roman"/>
                <w:sz w:val="21"/>
                <w:szCs w:val="21"/>
              </w:rPr>
              <w:t>158</w:t>
            </w:r>
          </w:p>
        </w:tc>
        <w:tc>
          <w:tcPr>
            <w:tcW w:w="1134" w:type="dxa"/>
            <w:vAlign w:val="center"/>
          </w:tcPr>
          <w:p>
            <w:pPr>
              <w:jc w:val="center"/>
              <w:rPr>
                <w:rFonts w:ascii="Times New Roman" w:hAnsi="Times New Roman"/>
                <w:sz w:val="21"/>
                <w:szCs w:val="21"/>
              </w:rPr>
            </w:pPr>
            <w:r>
              <w:rPr>
                <w:rFonts w:ascii="Times New Roman" w:hAnsi="Times New Roman"/>
                <w:sz w:val="21"/>
                <w:szCs w:val="21"/>
                <w:shd w:val="clear" w:color="FFFFFF" w:fill="D9D9D9"/>
              </w:rPr>
              <w:t>163</w:t>
            </w:r>
          </w:p>
        </w:tc>
        <w:tc>
          <w:tcPr>
            <w:tcW w:w="1134" w:type="dxa"/>
            <w:vAlign w:val="center"/>
          </w:tcPr>
          <w:p>
            <w:pPr>
              <w:jc w:val="center"/>
              <w:rPr>
                <w:rFonts w:ascii="Times New Roman" w:hAnsi="Times New Roman"/>
                <w:sz w:val="21"/>
                <w:szCs w:val="21"/>
              </w:rPr>
            </w:pPr>
            <w:r>
              <w:rPr>
                <w:rFonts w:ascii="Times New Roman" w:hAnsi="Times New Roman"/>
                <w:sz w:val="21"/>
                <w:szCs w:val="21"/>
              </w:rPr>
              <w:t>155</w:t>
            </w:r>
          </w:p>
        </w:tc>
        <w:tc>
          <w:tcPr>
            <w:tcW w:w="1102" w:type="dxa"/>
            <w:vAlign w:val="center"/>
          </w:tcPr>
          <w:p>
            <w:pPr>
              <w:jc w:val="center"/>
              <w:rPr>
                <w:rFonts w:ascii="Times New Roman" w:hAnsi="Times New Roman"/>
                <w:sz w:val="21"/>
                <w:szCs w:val="21"/>
              </w:rPr>
            </w:pPr>
            <w:r>
              <w:rPr>
                <w:rFonts w:hint="eastAsia" w:ascii="Times New Roman" w:hAnsi="Times New Roman"/>
                <w:sz w:val="21"/>
                <w:szCs w:val="21"/>
              </w:rPr>
              <w:t>1</w:t>
            </w:r>
            <w:r>
              <w:rPr>
                <w:rFonts w:ascii="Times New Roman" w:hAnsi="Times New Roman"/>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02" w:type="dxa"/>
            <w:gridSpan w:val="3"/>
            <w:vAlign w:val="center"/>
          </w:tcPr>
          <w:p>
            <w:pPr>
              <w:spacing w:line="240" w:lineRule="exact"/>
              <w:jc w:val="center"/>
              <w:rPr>
                <w:rFonts w:ascii="Times New Roman" w:hAnsi="Times New Roman"/>
                <w:sz w:val="21"/>
                <w:szCs w:val="21"/>
              </w:rPr>
            </w:pPr>
            <w:r>
              <w:rPr>
                <w:rFonts w:ascii="Times New Roman" w:hAnsi="Times New Roman"/>
                <w:sz w:val="21"/>
                <w:szCs w:val="21"/>
              </w:rPr>
              <w:t>达标情况</w:t>
            </w:r>
          </w:p>
        </w:tc>
        <w:tc>
          <w:tcPr>
            <w:tcW w:w="1134" w:type="dxa"/>
            <w:vAlign w:val="center"/>
          </w:tcPr>
          <w:p>
            <w:pPr>
              <w:jc w:val="center"/>
              <w:rPr>
                <w:rFonts w:ascii="Times New Roman" w:hAnsi="Times New Roman"/>
                <w:sz w:val="21"/>
                <w:szCs w:val="21"/>
              </w:rPr>
            </w:pPr>
            <w:r>
              <w:rPr>
                <w:rFonts w:ascii="Times New Roman" w:hAnsi="Times New Roman"/>
                <w:sz w:val="21"/>
                <w:szCs w:val="21"/>
              </w:rPr>
              <w:t>达标</w:t>
            </w:r>
          </w:p>
        </w:tc>
        <w:tc>
          <w:tcPr>
            <w:tcW w:w="992" w:type="dxa"/>
            <w:vAlign w:val="center"/>
          </w:tcPr>
          <w:p>
            <w:pPr>
              <w:jc w:val="center"/>
              <w:rPr>
                <w:rFonts w:ascii="Times New Roman" w:hAnsi="Times New Roman"/>
                <w:sz w:val="21"/>
                <w:szCs w:val="21"/>
              </w:rPr>
            </w:pPr>
            <w:r>
              <w:rPr>
                <w:rFonts w:ascii="Times New Roman" w:hAnsi="Times New Roman"/>
                <w:sz w:val="21"/>
                <w:szCs w:val="21"/>
              </w:rPr>
              <w:t>达标</w:t>
            </w:r>
          </w:p>
        </w:tc>
        <w:tc>
          <w:tcPr>
            <w:tcW w:w="992" w:type="dxa"/>
            <w:vAlign w:val="center"/>
          </w:tcPr>
          <w:p>
            <w:pPr>
              <w:jc w:val="center"/>
              <w:rPr>
                <w:rFonts w:ascii="Times New Roman" w:hAnsi="Times New Roman"/>
                <w:sz w:val="21"/>
                <w:szCs w:val="21"/>
              </w:rPr>
            </w:pPr>
            <w:r>
              <w:rPr>
                <w:rFonts w:ascii="Times New Roman" w:hAnsi="Times New Roman"/>
                <w:sz w:val="21"/>
                <w:szCs w:val="21"/>
              </w:rPr>
              <w:t>不达标</w:t>
            </w:r>
          </w:p>
        </w:tc>
        <w:tc>
          <w:tcPr>
            <w:tcW w:w="1134" w:type="dxa"/>
            <w:vAlign w:val="center"/>
          </w:tcPr>
          <w:p>
            <w:pPr>
              <w:jc w:val="center"/>
              <w:rPr>
                <w:rFonts w:ascii="Times New Roman" w:hAnsi="Times New Roman"/>
                <w:sz w:val="21"/>
                <w:szCs w:val="21"/>
              </w:rPr>
            </w:pPr>
            <w:r>
              <w:rPr>
                <w:rFonts w:ascii="Times New Roman" w:hAnsi="Times New Roman"/>
                <w:sz w:val="21"/>
                <w:szCs w:val="21"/>
              </w:rPr>
              <w:t>不达标</w:t>
            </w:r>
          </w:p>
        </w:tc>
        <w:tc>
          <w:tcPr>
            <w:tcW w:w="1134" w:type="dxa"/>
            <w:vAlign w:val="center"/>
          </w:tcPr>
          <w:p>
            <w:pPr>
              <w:jc w:val="center"/>
              <w:rPr>
                <w:rFonts w:ascii="Times New Roman" w:hAnsi="Times New Roman"/>
                <w:sz w:val="21"/>
                <w:szCs w:val="21"/>
              </w:rPr>
            </w:pPr>
            <w:r>
              <w:rPr>
                <w:rFonts w:ascii="Times New Roman" w:hAnsi="Times New Roman"/>
                <w:sz w:val="21"/>
                <w:szCs w:val="21"/>
              </w:rPr>
              <w:t>达标</w:t>
            </w:r>
          </w:p>
        </w:tc>
        <w:tc>
          <w:tcPr>
            <w:tcW w:w="1102" w:type="dxa"/>
            <w:vAlign w:val="center"/>
          </w:tcPr>
          <w:p>
            <w:pPr>
              <w:jc w:val="center"/>
              <w:rPr>
                <w:rFonts w:ascii="Times New Roman" w:hAnsi="Times New Roman"/>
                <w:sz w:val="21"/>
                <w:szCs w:val="21"/>
              </w:rPr>
            </w:pPr>
            <w:r>
              <w:rPr>
                <w:rFonts w:ascii="Times New Roman" w:hAnsi="Times New Roman"/>
                <w:sz w:val="21"/>
                <w:szCs w:val="21"/>
              </w:rPr>
              <w:t>达标</w:t>
            </w:r>
          </w:p>
        </w:tc>
      </w:tr>
    </w:tbl>
    <w:p>
      <w:pPr>
        <w:adjustRightInd w:val="0"/>
        <w:snapToGrid w:val="0"/>
        <w:spacing w:line="440" w:lineRule="exact"/>
        <w:ind w:firstLine="464" w:firstLineChars="200"/>
        <w:rPr>
          <w:rFonts w:ascii="Times New Roman" w:hAnsi="Times New Roman"/>
          <w:spacing w:val="-4"/>
          <w:kern w:val="0"/>
          <w:position w:val="2"/>
          <w:lang w:bidi="ar"/>
        </w:rPr>
      </w:pPr>
      <w:r>
        <w:rPr>
          <w:rFonts w:hint="eastAsia" w:ascii="Times New Roman" w:hAnsi="Times New Roman"/>
          <w:spacing w:val="-4"/>
          <w:kern w:val="0"/>
          <w:position w:val="2"/>
          <w:lang w:bidi="ar"/>
        </w:rPr>
        <w:t>（2）区域环境空气质量变化趋势</w:t>
      </w:r>
    </w:p>
    <w:p>
      <w:pPr>
        <w:spacing w:line="440" w:lineRule="exact"/>
        <w:ind w:firstLine="480" w:firstLineChars="200"/>
        <w:rPr>
          <w:rFonts w:ascii="Times New Roman" w:hAnsi="Times New Roman"/>
          <w:kern w:val="32"/>
          <w:szCs w:val="24"/>
        </w:rPr>
      </w:pPr>
      <w:r>
        <w:rPr>
          <w:rFonts w:hint="eastAsia" w:cs="宋体"/>
          <w:kern w:val="32"/>
          <w:szCs w:val="24"/>
          <w:lang w:bidi="ar"/>
        </w:rPr>
        <w:t>根据鄂尔多斯市生态环境局</w:t>
      </w:r>
      <w:r>
        <w:rPr>
          <w:rFonts w:ascii="Times New Roman" w:hAnsi="Times New Roman"/>
          <w:kern w:val="32"/>
          <w:szCs w:val="24"/>
          <w:lang w:bidi="ar"/>
        </w:rPr>
        <w:t>2020</w:t>
      </w:r>
      <w:r>
        <w:rPr>
          <w:rFonts w:hint="eastAsia" w:cs="宋体"/>
          <w:kern w:val="32"/>
          <w:szCs w:val="24"/>
          <w:lang w:bidi="ar"/>
        </w:rPr>
        <w:t>年</w:t>
      </w:r>
      <w:r>
        <w:rPr>
          <w:rFonts w:ascii="Times New Roman" w:hAnsi="Times New Roman"/>
          <w:kern w:val="32"/>
          <w:szCs w:val="24"/>
          <w:lang w:bidi="ar"/>
        </w:rPr>
        <w:t>6</w:t>
      </w:r>
      <w:r>
        <w:rPr>
          <w:rFonts w:hint="eastAsia" w:cs="宋体"/>
          <w:kern w:val="32"/>
          <w:szCs w:val="24"/>
          <w:lang w:bidi="ar"/>
        </w:rPr>
        <w:t>月发布的《鄂尔多斯市生态环境质量评估报告》及</w:t>
      </w:r>
      <w:r>
        <w:rPr>
          <w:rFonts w:ascii="Times New Roman" w:hAnsi="Times New Roman"/>
          <w:kern w:val="32"/>
          <w:szCs w:val="24"/>
          <w:lang w:bidi="ar"/>
        </w:rPr>
        <w:t>2021</w:t>
      </w:r>
      <w:r>
        <w:rPr>
          <w:rFonts w:hint="eastAsia" w:cs="宋体"/>
          <w:kern w:val="32"/>
          <w:szCs w:val="24"/>
          <w:lang w:bidi="ar"/>
        </w:rPr>
        <w:t>年《鄂尔多斯生态环境质量报告书》，鄂尔多斯市环境空气质量年均变化特征及近两年各旗区环境空气质量状况如下：</w:t>
      </w:r>
    </w:p>
    <w:p>
      <w:pPr>
        <w:numPr>
          <w:ilvl w:val="0"/>
          <w:numId w:val="16"/>
        </w:numPr>
        <w:spacing w:line="440" w:lineRule="exact"/>
        <w:ind w:firstLine="480" w:firstLineChars="200"/>
        <w:rPr>
          <w:rFonts w:ascii="Times New Roman" w:hAnsi="Times New Roman"/>
          <w:kern w:val="32"/>
          <w:szCs w:val="24"/>
        </w:rPr>
      </w:pPr>
      <w:r>
        <w:rPr>
          <w:rFonts w:hint="eastAsia" w:cs="宋体"/>
          <w:kern w:val="32"/>
          <w:szCs w:val="24"/>
          <w:lang w:bidi="ar"/>
        </w:rPr>
        <w:t>二氧化硫</w:t>
      </w:r>
    </w:p>
    <w:p>
      <w:pPr>
        <w:spacing w:line="440" w:lineRule="exact"/>
        <w:ind w:firstLine="480" w:firstLineChars="200"/>
        <w:rPr>
          <w:rFonts w:ascii="Times New Roman" w:hAnsi="Times New Roman"/>
          <w:kern w:val="32"/>
          <w:szCs w:val="24"/>
          <w:vertAlign w:val="subscript"/>
        </w:rPr>
      </w:pPr>
      <w:r>
        <w:rPr>
          <w:rFonts w:ascii="Times New Roman" w:hAnsi="Times New Roman"/>
          <w:kern w:val="32"/>
          <w:szCs w:val="24"/>
          <w:lang w:bidi="ar"/>
        </w:rPr>
        <w:t>2001~2018</w:t>
      </w:r>
      <w:r>
        <w:rPr>
          <w:rFonts w:hint="eastAsia" w:cs="宋体"/>
          <w:kern w:val="32"/>
          <w:szCs w:val="24"/>
          <w:lang w:bidi="ar"/>
        </w:rPr>
        <w:t>年全市</w:t>
      </w:r>
      <w:r>
        <w:rPr>
          <w:rFonts w:ascii="Times New Roman" w:hAnsi="Times New Roman"/>
          <w:bCs/>
          <w:szCs w:val="24"/>
          <w:lang w:bidi="ar"/>
        </w:rPr>
        <w:t>SO</w:t>
      </w:r>
      <w:r>
        <w:rPr>
          <w:rFonts w:ascii="Times New Roman" w:hAnsi="Times New Roman"/>
          <w:bCs/>
          <w:szCs w:val="24"/>
          <w:vertAlign w:val="subscript"/>
          <w:lang w:bidi="ar"/>
        </w:rPr>
        <w:t>2</w:t>
      </w:r>
      <w:r>
        <w:rPr>
          <w:rFonts w:hint="eastAsia" w:cs="宋体"/>
          <w:bCs/>
          <w:szCs w:val="24"/>
          <w:lang w:bidi="ar"/>
        </w:rPr>
        <w:t>年均浓度呈波动下降趋势，从</w:t>
      </w:r>
      <w:r>
        <w:rPr>
          <w:rFonts w:ascii="Times New Roman" w:hAnsi="Times New Roman"/>
          <w:bCs/>
          <w:szCs w:val="24"/>
          <w:lang w:bidi="ar"/>
        </w:rPr>
        <w:t>2001</w:t>
      </w:r>
      <w:r>
        <w:rPr>
          <w:rFonts w:hint="eastAsia" w:cs="宋体"/>
          <w:bCs/>
          <w:szCs w:val="24"/>
          <w:lang w:bidi="ar"/>
        </w:rPr>
        <w:t>年</w:t>
      </w:r>
      <w:r>
        <w:rPr>
          <w:rFonts w:ascii="Times New Roman" w:hAnsi="Times New Roman"/>
          <w:bCs/>
          <w:szCs w:val="24"/>
          <w:lang w:bidi="ar"/>
        </w:rPr>
        <w:t>44</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bCs/>
          <w:szCs w:val="24"/>
          <w:lang w:bidi="ar"/>
        </w:rPr>
        <w:t>增加至</w:t>
      </w:r>
      <w:r>
        <w:rPr>
          <w:rFonts w:ascii="Times New Roman" w:hAnsi="Times New Roman"/>
          <w:bCs/>
          <w:szCs w:val="24"/>
          <w:lang w:bidi="ar"/>
        </w:rPr>
        <w:t>2004</w:t>
      </w:r>
      <w:r>
        <w:rPr>
          <w:rFonts w:hint="eastAsia" w:cs="宋体"/>
          <w:bCs/>
          <w:szCs w:val="24"/>
          <w:lang w:bidi="ar"/>
        </w:rPr>
        <w:t>年</w:t>
      </w:r>
      <w:r>
        <w:rPr>
          <w:rFonts w:ascii="Times New Roman" w:hAnsi="Times New Roman"/>
          <w:szCs w:val="24"/>
          <w:lang w:bidi="ar"/>
        </w:rPr>
        <w:t>92</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szCs w:val="24"/>
          <w:lang w:bidi="ar"/>
        </w:rPr>
        <w:t>，到</w:t>
      </w:r>
      <w:r>
        <w:rPr>
          <w:rFonts w:ascii="Times New Roman" w:hAnsi="Times New Roman"/>
          <w:szCs w:val="24"/>
          <w:lang w:bidi="ar"/>
        </w:rPr>
        <w:t>2018</w:t>
      </w:r>
      <w:r>
        <w:rPr>
          <w:rFonts w:hint="eastAsia" w:cs="宋体"/>
          <w:szCs w:val="24"/>
          <w:lang w:bidi="ar"/>
        </w:rPr>
        <w:t>年降低至</w:t>
      </w:r>
      <w:r>
        <w:rPr>
          <w:rFonts w:ascii="Times New Roman" w:hAnsi="Times New Roman"/>
          <w:szCs w:val="24"/>
          <w:lang w:bidi="ar"/>
        </w:rPr>
        <w:t>12</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szCs w:val="24"/>
          <w:lang w:bidi="ar"/>
        </w:rPr>
        <w:t>。</w:t>
      </w:r>
      <w:r>
        <w:rPr>
          <w:rFonts w:ascii="Times New Roman" w:hAnsi="Times New Roman"/>
          <w:szCs w:val="24"/>
          <w:lang w:bidi="ar"/>
        </w:rPr>
        <w:t>18</w:t>
      </w:r>
      <w:r>
        <w:rPr>
          <w:rFonts w:hint="eastAsia" w:cs="宋体"/>
          <w:szCs w:val="24"/>
          <w:lang w:bidi="ar"/>
        </w:rPr>
        <w:t>年间</w:t>
      </w:r>
      <w:r>
        <w:rPr>
          <w:rFonts w:ascii="Times New Roman" w:hAnsi="Times New Roman"/>
          <w:bCs/>
          <w:szCs w:val="24"/>
          <w:lang w:bidi="ar"/>
        </w:rPr>
        <w:t>SO</w:t>
      </w:r>
      <w:r>
        <w:rPr>
          <w:rFonts w:ascii="Times New Roman" w:hAnsi="Times New Roman"/>
          <w:bCs/>
          <w:szCs w:val="24"/>
          <w:vertAlign w:val="subscript"/>
          <w:lang w:bidi="ar"/>
        </w:rPr>
        <w:t>2</w:t>
      </w:r>
      <w:r>
        <w:rPr>
          <w:rFonts w:hint="eastAsia" w:cs="宋体"/>
          <w:szCs w:val="24"/>
          <w:lang w:bidi="ar"/>
        </w:rPr>
        <w:t>年均浓度值范围</w:t>
      </w:r>
      <w:r>
        <w:rPr>
          <w:rFonts w:ascii="Times New Roman" w:hAnsi="Times New Roman"/>
          <w:szCs w:val="24"/>
          <w:lang w:bidi="ar"/>
        </w:rPr>
        <w:t>12</w:t>
      </w:r>
      <w:r>
        <w:rPr>
          <w:rFonts w:hint="eastAsia" w:cs="宋体"/>
          <w:szCs w:val="24"/>
          <w:lang w:bidi="ar"/>
        </w:rPr>
        <w:t>～</w:t>
      </w:r>
      <w:r>
        <w:rPr>
          <w:rFonts w:ascii="Times New Roman" w:hAnsi="Times New Roman"/>
          <w:szCs w:val="24"/>
          <w:lang w:bidi="ar"/>
        </w:rPr>
        <w:t>92</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szCs w:val="24"/>
          <w:lang w:bidi="ar"/>
        </w:rPr>
        <w:t>，年均浓度平均为</w:t>
      </w:r>
      <w:r>
        <w:rPr>
          <w:rFonts w:ascii="Times New Roman" w:hAnsi="Times New Roman"/>
          <w:szCs w:val="24"/>
          <w:lang w:bidi="ar"/>
        </w:rPr>
        <w:t>32</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szCs w:val="24"/>
          <w:lang w:bidi="ar"/>
        </w:rPr>
        <w:t>。近</w:t>
      </w:r>
      <w:r>
        <w:rPr>
          <w:rFonts w:ascii="Times New Roman" w:hAnsi="Times New Roman"/>
          <w:szCs w:val="24"/>
          <w:lang w:bidi="ar"/>
        </w:rPr>
        <w:t>18</w:t>
      </w:r>
      <w:r>
        <w:rPr>
          <w:rFonts w:hint="eastAsia" w:cs="宋体"/>
          <w:szCs w:val="24"/>
          <w:lang w:bidi="ar"/>
        </w:rPr>
        <w:t>年来，仅</w:t>
      </w:r>
      <w:r>
        <w:rPr>
          <w:rFonts w:ascii="Times New Roman" w:hAnsi="Times New Roman"/>
          <w:szCs w:val="24"/>
          <w:lang w:bidi="ar"/>
        </w:rPr>
        <w:t>2004</w:t>
      </w:r>
      <w:r>
        <w:rPr>
          <w:rFonts w:hint="eastAsia" w:cs="宋体"/>
          <w:szCs w:val="24"/>
          <w:lang w:bidi="ar"/>
        </w:rPr>
        <w:t>年</w:t>
      </w:r>
      <w:r>
        <w:rPr>
          <w:rFonts w:ascii="Times New Roman" w:hAnsi="Times New Roman"/>
          <w:bCs/>
          <w:szCs w:val="24"/>
          <w:lang w:bidi="ar"/>
        </w:rPr>
        <w:t>SO</w:t>
      </w:r>
      <w:r>
        <w:rPr>
          <w:rFonts w:ascii="Times New Roman" w:hAnsi="Times New Roman"/>
          <w:bCs/>
          <w:szCs w:val="24"/>
          <w:vertAlign w:val="subscript"/>
          <w:lang w:bidi="ar"/>
        </w:rPr>
        <w:t>2</w:t>
      </w:r>
      <w:r>
        <w:rPr>
          <w:rFonts w:hint="eastAsia" w:cs="宋体"/>
          <w:szCs w:val="24"/>
          <w:lang w:bidi="ar"/>
        </w:rPr>
        <w:t>年均浓度值超标。从</w:t>
      </w:r>
      <w:r>
        <w:rPr>
          <w:rFonts w:ascii="Times New Roman" w:hAnsi="Times New Roman"/>
          <w:szCs w:val="24"/>
          <w:lang w:bidi="ar"/>
        </w:rPr>
        <w:t>2007</w:t>
      </w:r>
      <w:r>
        <w:rPr>
          <w:rFonts w:hint="eastAsia" w:cs="宋体"/>
          <w:szCs w:val="24"/>
          <w:lang w:bidi="ar"/>
        </w:rPr>
        <w:t>年起，全市</w:t>
      </w:r>
      <w:r>
        <w:rPr>
          <w:rFonts w:ascii="Times New Roman" w:hAnsi="Times New Roman"/>
          <w:bCs/>
          <w:szCs w:val="24"/>
          <w:lang w:bidi="ar"/>
        </w:rPr>
        <w:t>SO</w:t>
      </w:r>
      <w:r>
        <w:rPr>
          <w:rFonts w:ascii="Times New Roman" w:hAnsi="Times New Roman"/>
          <w:bCs/>
          <w:szCs w:val="24"/>
          <w:vertAlign w:val="subscript"/>
          <w:lang w:bidi="ar"/>
        </w:rPr>
        <w:t>2</w:t>
      </w:r>
      <w:r>
        <w:rPr>
          <w:rFonts w:hint="eastAsia" w:cs="宋体"/>
          <w:szCs w:val="24"/>
          <w:lang w:bidi="ar"/>
        </w:rPr>
        <w:t>年均浓度呈显著下降趋势，</w:t>
      </w:r>
      <w:r>
        <w:rPr>
          <w:rFonts w:ascii="Times New Roman" w:hAnsi="Times New Roman"/>
          <w:bCs/>
          <w:szCs w:val="24"/>
          <w:lang w:bidi="ar"/>
        </w:rPr>
        <w:t>SO</w:t>
      </w:r>
      <w:r>
        <w:rPr>
          <w:rFonts w:ascii="Times New Roman" w:hAnsi="Times New Roman"/>
          <w:bCs/>
          <w:szCs w:val="24"/>
          <w:vertAlign w:val="subscript"/>
          <w:lang w:bidi="ar"/>
        </w:rPr>
        <w:t>2</w:t>
      </w:r>
      <w:r>
        <w:rPr>
          <w:rFonts w:hint="eastAsia" w:cs="宋体"/>
          <w:szCs w:val="24"/>
          <w:lang w:bidi="ar"/>
        </w:rPr>
        <w:t>年均浓度低于环境空气质量年均二级标准。</w:t>
      </w:r>
    </w:p>
    <w:p>
      <w:pPr>
        <w:spacing w:line="440" w:lineRule="exact"/>
        <w:ind w:firstLine="480" w:firstLineChars="200"/>
        <w:rPr>
          <w:rFonts w:ascii="Times New Roman" w:hAnsi="Times New Roman"/>
          <w:kern w:val="32"/>
          <w:szCs w:val="24"/>
        </w:rPr>
      </w:pPr>
      <w:r>
        <w:rPr>
          <w:rFonts w:ascii="Times New Roman" w:hAnsi="Times New Roman"/>
          <w:kern w:val="32"/>
          <w:szCs w:val="24"/>
          <w:lang w:bidi="ar"/>
        </w:rPr>
        <w:t>2021</w:t>
      </w:r>
      <w:r>
        <w:rPr>
          <w:rFonts w:hint="eastAsia" w:cs="宋体"/>
          <w:kern w:val="32"/>
          <w:szCs w:val="24"/>
          <w:lang w:bidi="ar"/>
        </w:rPr>
        <w:t>年鄂尔多斯市各旗区年平均浓度范围在</w:t>
      </w:r>
      <w:r>
        <w:rPr>
          <w:rFonts w:ascii="Times New Roman" w:hAnsi="Times New Roman"/>
          <w:kern w:val="32"/>
          <w:szCs w:val="24"/>
          <w:lang w:bidi="ar"/>
        </w:rPr>
        <w:t>6</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（伊金霍洛旗）～</w:t>
      </w:r>
      <w:r>
        <w:rPr>
          <w:rFonts w:ascii="Times New Roman" w:hAnsi="Times New Roman"/>
          <w:kern w:val="32"/>
          <w:szCs w:val="24"/>
          <w:lang w:bidi="ar"/>
        </w:rPr>
        <w:t>19</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（杭锦旗），年均值未超过《环境空气质量标准》（</w:t>
      </w:r>
      <w:r>
        <w:rPr>
          <w:rFonts w:ascii="Times New Roman" w:hAnsi="Times New Roman"/>
          <w:kern w:val="32"/>
          <w:szCs w:val="24"/>
          <w:lang w:bidi="ar"/>
        </w:rPr>
        <w:t>GB3095-2012</w:t>
      </w:r>
      <w:r>
        <w:rPr>
          <w:rFonts w:hint="eastAsia" w:cs="宋体"/>
          <w:kern w:val="32"/>
          <w:szCs w:val="24"/>
          <w:lang w:bidi="ar"/>
        </w:rPr>
        <w:t>）二级浓度限值。矿区所在的伊金霍洛旗环境空气质量良好。</w:t>
      </w:r>
    </w:p>
    <w:tbl>
      <w:tblPr>
        <w:tblStyle w:val="5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5"/>
        <w:gridCol w:w="4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rPr>
                <w:rFonts w:ascii="Times New Roman" w:hAnsi="Times New Roman"/>
                <w:color w:val="auto"/>
                <w:sz w:val="20"/>
              </w:rPr>
            </w:pPr>
            <w:bookmarkStart w:id="146" w:name="_Hlk107403868"/>
            <w:r>
              <w:rPr>
                <w:rFonts w:ascii="Times New Roman" w:hAnsi="Times New Roman"/>
                <w:color w:val="auto"/>
                <w:sz w:val="20"/>
                <w:lang w:bidi="ar"/>
              </w:rPr>
              <w:drawing>
                <wp:inline distT="0" distB="0" distL="114300" distR="114300">
                  <wp:extent cx="2943225" cy="1952625"/>
                  <wp:effectExtent l="0" t="0" r="9525" b="9525"/>
                  <wp:docPr id="111"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7" descr="IMG_256"/>
                          <pic:cNvPicPr>
                            <a:picLocks noChangeAspect="1"/>
                          </pic:cNvPicPr>
                        </pic:nvPicPr>
                        <pic:blipFill>
                          <a:blip r:embed="rId59"/>
                          <a:stretch>
                            <a:fillRect/>
                          </a:stretch>
                        </pic:blipFill>
                        <pic:spPr>
                          <a:xfrm>
                            <a:off x="0" y="0"/>
                            <a:ext cx="2943225" cy="1952625"/>
                          </a:xfrm>
                          <a:prstGeom prst="rect">
                            <a:avLst/>
                          </a:prstGeom>
                          <a:noFill/>
                          <a:ln w="9525">
                            <a:noFill/>
                          </a:ln>
                        </pic:spPr>
                      </pic:pic>
                    </a:graphicData>
                  </a:graphic>
                </wp:inline>
              </w:drawing>
            </w:r>
            <w:bookmarkEnd w:id="146"/>
          </w:p>
        </w:tc>
        <w:tc>
          <w:tcPr>
            <w:tcW w:w="478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rPr>
                <w:rFonts w:ascii="Times New Roman" w:hAnsi="Times New Roman"/>
                <w:color w:val="auto"/>
                <w:sz w:val="20"/>
              </w:rPr>
            </w:pPr>
            <w:r>
              <w:rPr>
                <w:rFonts w:ascii="Times New Roman" w:hAnsi="Times New Roman"/>
                <w:color w:val="auto"/>
                <w:sz w:val="20"/>
                <w:lang w:bidi="ar"/>
              </w:rPr>
              <w:drawing>
                <wp:inline distT="0" distB="0" distL="114300" distR="114300">
                  <wp:extent cx="2943225" cy="1962150"/>
                  <wp:effectExtent l="0" t="0" r="9525" b="0"/>
                  <wp:docPr id="104" name="图片 5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8" descr="IMG_257"/>
                          <pic:cNvPicPr>
                            <a:picLocks noChangeAspect="1"/>
                          </pic:cNvPicPr>
                        </pic:nvPicPr>
                        <pic:blipFill>
                          <a:blip r:embed="rId60"/>
                          <a:stretch>
                            <a:fillRect/>
                          </a:stretch>
                        </pic:blipFill>
                        <pic:spPr>
                          <a:xfrm>
                            <a:off x="0" y="0"/>
                            <a:ext cx="2943225" cy="196215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jc w:val="center"/>
              <w:rPr>
                <w:rFonts w:ascii="Times New Roman" w:hAnsi="Times New Roman"/>
                <w:b/>
                <w:bCs/>
                <w:color w:val="auto"/>
                <w:sz w:val="18"/>
                <w:szCs w:val="18"/>
              </w:rPr>
            </w:pPr>
            <w:r>
              <w:rPr>
                <w:rFonts w:ascii="Times New Roman" w:hAnsi="Times New Roman"/>
                <w:b/>
                <w:bCs/>
                <w:color w:val="auto"/>
                <w:kern w:val="32"/>
                <w:sz w:val="18"/>
                <w:szCs w:val="18"/>
                <w:lang w:bidi="ar"/>
              </w:rPr>
              <w:t>2001~2018</w:t>
            </w:r>
            <w:r>
              <w:rPr>
                <w:rFonts w:hint="eastAsia" w:cs="宋体"/>
                <w:b/>
                <w:bCs/>
                <w:color w:val="auto"/>
                <w:kern w:val="32"/>
                <w:sz w:val="18"/>
                <w:szCs w:val="18"/>
                <w:lang w:bidi="ar"/>
              </w:rPr>
              <w:t>年全市</w:t>
            </w:r>
            <w:r>
              <w:rPr>
                <w:rFonts w:ascii="Times New Roman" w:hAnsi="Times New Roman"/>
                <w:b/>
                <w:bCs/>
                <w:color w:val="auto"/>
                <w:sz w:val="18"/>
                <w:szCs w:val="18"/>
                <w:lang w:bidi="ar"/>
              </w:rPr>
              <w:t>SO</w:t>
            </w:r>
            <w:r>
              <w:rPr>
                <w:rFonts w:ascii="Times New Roman" w:hAnsi="Times New Roman"/>
                <w:b/>
                <w:bCs/>
                <w:color w:val="auto"/>
                <w:sz w:val="18"/>
                <w:szCs w:val="18"/>
                <w:vertAlign w:val="subscript"/>
                <w:lang w:bidi="ar"/>
              </w:rPr>
              <w:t>2</w:t>
            </w:r>
            <w:r>
              <w:rPr>
                <w:rFonts w:hint="eastAsia" w:cs="宋体"/>
                <w:b/>
                <w:bCs/>
                <w:color w:val="auto"/>
                <w:sz w:val="18"/>
                <w:szCs w:val="18"/>
                <w:lang w:bidi="ar"/>
              </w:rPr>
              <w:t>年均值变化图</w:t>
            </w:r>
          </w:p>
        </w:tc>
        <w:tc>
          <w:tcPr>
            <w:tcW w:w="478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ind w:firstLine="361" w:firstLineChars="200"/>
              <w:rPr>
                <w:rFonts w:ascii="Times New Roman" w:hAnsi="Times New Roman"/>
                <w:color w:val="auto"/>
                <w:sz w:val="18"/>
                <w:szCs w:val="18"/>
              </w:rPr>
            </w:pPr>
            <w:r>
              <w:rPr>
                <w:rFonts w:ascii="Times New Roman" w:hAnsi="Times New Roman"/>
                <w:b/>
                <w:bCs/>
                <w:color w:val="auto"/>
                <w:kern w:val="32"/>
                <w:sz w:val="18"/>
                <w:szCs w:val="18"/>
                <w:lang w:bidi="ar"/>
              </w:rPr>
              <w:t>2020</w:t>
            </w:r>
            <w:r>
              <w:rPr>
                <w:rFonts w:hint="eastAsia" w:cs="宋体"/>
                <w:b/>
                <w:bCs/>
                <w:color w:val="auto"/>
                <w:kern w:val="32"/>
                <w:sz w:val="18"/>
                <w:szCs w:val="18"/>
                <w:lang w:bidi="ar"/>
              </w:rPr>
              <w:t>、</w:t>
            </w:r>
            <w:r>
              <w:rPr>
                <w:rFonts w:ascii="Times New Roman" w:hAnsi="Times New Roman"/>
                <w:b/>
                <w:bCs/>
                <w:color w:val="auto"/>
                <w:kern w:val="32"/>
                <w:sz w:val="18"/>
                <w:szCs w:val="18"/>
                <w:lang w:bidi="ar"/>
              </w:rPr>
              <w:t>2021</w:t>
            </w:r>
            <w:r>
              <w:rPr>
                <w:rFonts w:hint="eastAsia" w:cs="宋体"/>
                <w:b/>
                <w:bCs/>
                <w:color w:val="auto"/>
                <w:kern w:val="32"/>
                <w:sz w:val="18"/>
                <w:szCs w:val="18"/>
                <w:lang w:bidi="ar"/>
              </w:rPr>
              <w:t>年鄂尔多斯市各旗区</w:t>
            </w:r>
            <w:r>
              <w:rPr>
                <w:rFonts w:ascii="Times New Roman" w:hAnsi="Times New Roman"/>
                <w:b/>
                <w:bCs/>
                <w:color w:val="auto"/>
                <w:sz w:val="18"/>
                <w:szCs w:val="18"/>
                <w:lang w:bidi="ar"/>
              </w:rPr>
              <w:t>SO</w:t>
            </w:r>
            <w:r>
              <w:rPr>
                <w:rFonts w:ascii="Times New Roman" w:hAnsi="Times New Roman"/>
                <w:b/>
                <w:bCs/>
                <w:color w:val="auto"/>
                <w:sz w:val="18"/>
                <w:szCs w:val="18"/>
                <w:vertAlign w:val="subscript"/>
                <w:lang w:bidi="ar"/>
              </w:rPr>
              <w:t>2</w:t>
            </w:r>
            <w:r>
              <w:rPr>
                <w:rFonts w:hint="eastAsia" w:cs="宋体"/>
                <w:b/>
                <w:bCs/>
                <w:color w:val="auto"/>
                <w:sz w:val="18"/>
                <w:szCs w:val="18"/>
                <w:lang w:bidi="ar"/>
              </w:rPr>
              <w:t>年均值变化图</w:t>
            </w:r>
          </w:p>
        </w:tc>
      </w:tr>
    </w:tbl>
    <w:p>
      <w:pPr>
        <w:pStyle w:val="54"/>
        <w:widowControl w:val="0"/>
        <w:autoSpaceDE w:val="0"/>
        <w:autoSpaceDN w:val="0"/>
        <w:adjustRightInd w:val="0"/>
        <w:spacing w:before="0" w:beforeAutospacing="0" w:after="0" w:afterAutospacing="0"/>
        <w:jc w:val="center"/>
        <w:rPr>
          <w:rFonts w:ascii="Times New Roman" w:hAnsi="Times New Roman"/>
          <w:b/>
          <w:bCs/>
          <w:color w:val="auto"/>
          <w:szCs w:val="24"/>
        </w:rPr>
      </w:pPr>
      <w:r>
        <w:rPr>
          <w:rFonts w:hint="eastAsia" w:cs="宋体"/>
          <w:b/>
          <w:bCs/>
          <w:color w:val="auto"/>
          <w:kern w:val="32"/>
          <w:szCs w:val="24"/>
          <w:lang w:bidi="ar"/>
        </w:rPr>
        <w:t>鄂尔多斯全市及各旗区</w:t>
      </w:r>
      <w:r>
        <w:rPr>
          <w:rFonts w:ascii="Times New Roman" w:hAnsi="Times New Roman"/>
          <w:bCs/>
          <w:color w:val="auto"/>
          <w:szCs w:val="24"/>
          <w:lang w:bidi="ar"/>
        </w:rPr>
        <w:t>SO</w:t>
      </w:r>
      <w:r>
        <w:rPr>
          <w:rFonts w:ascii="Times New Roman" w:hAnsi="Times New Roman"/>
          <w:bCs/>
          <w:color w:val="auto"/>
          <w:szCs w:val="24"/>
          <w:vertAlign w:val="subscript"/>
          <w:lang w:bidi="ar"/>
        </w:rPr>
        <w:t>2</w:t>
      </w:r>
      <w:r>
        <w:rPr>
          <w:rFonts w:hint="eastAsia" w:cs="宋体"/>
          <w:b/>
          <w:bCs/>
          <w:color w:val="auto"/>
          <w:kern w:val="32"/>
          <w:szCs w:val="24"/>
          <w:lang w:bidi="ar"/>
        </w:rPr>
        <w:t>年均值变化图</w:t>
      </w:r>
    </w:p>
    <w:p>
      <w:pPr>
        <w:pStyle w:val="54"/>
        <w:widowControl w:val="0"/>
        <w:autoSpaceDE w:val="0"/>
        <w:autoSpaceDN w:val="0"/>
        <w:adjustRightInd w:val="0"/>
        <w:spacing w:before="0" w:beforeAutospacing="0" w:after="0" w:afterAutospacing="0"/>
        <w:ind w:left="482"/>
        <w:rPr>
          <w:rFonts w:ascii="Times New Roman" w:hAnsi="Times New Roman"/>
          <w:b/>
          <w:bCs/>
          <w:color w:val="auto"/>
          <w:szCs w:val="24"/>
        </w:rPr>
      </w:pPr>
      <w:r>
        <w:rPr>
          <w:rFonts w:ascii="Times New Roman" w:hAnsi="Times New Roman"/>
          <w:b/>
          <w:bCs/>
          <w:color w:val="auto"/>
          <w:szCs w:val="24"/>
          <w:lang w:bidi="ar"/>
        </w:rPr>
        <w:t>2</w:t>
      </w:r>
      <w:r>
        <w:rPr>
          <w:rFonts w:hint="eastAsia" w:cs="宋体"/>
          <w:b/>
          <w:bCs/>
          <w:color w:val="auto"/>
          <w:szCs w:val="24"/>
          <w:lang w:bidi="ar"/>
        </w:rPr>
        <w:t>）二氧化氮</w:t>
      </w:r>
    </w:p>
    <w:p>
      <w:pPr>
        <w:spacing w:line="440" w:lineRule="exact"/>
        <w:ind w:firstLine="480" w:firstLineChars="200"/>
        <w:rPr>
          <w:rFonts w:ascii="Times New Roman" w:hAnsi="Times New Roman"/>
        </w:rPr>
      </w:pPr>
      <w:r>
        <w:rPr>
          <w:rFonts w:ascii="Times New Roman" w:hAnsi="Times New Roman"/>
          <w:kern w:val="32"/>
          <w:szCs w:val="24"/>
          <w:lang w:bidi="ar"/>
        </w:rPr>
        <w:t>2001</w:t>
      </w:r>
      <w:r>
        <w:rPr>
          <w:rFonts w:hint="eastAsia" w:cs="宋体"/>
          <w:kern w:val="32"/>
          <w:szCs w:val="24"/>
          <w:lang w:bidi="ar"/>
        </w:rPr>
        <w:t>～</w:t>
      </w:r>
      <w:r>
        <w:rPr>
          <w:rFonts w:ascii="Times New Roman" w:hAnsi="Times New Roman"/>
          <w:kern w:val="32"/>
          <w:szCs w:val="24"/>
          <w:lang w:bidi="ar"/>
        </w:rPr>
        <w:t>2018</w:t>
      </w:r>
      <w:r>
        <w:rPr>
          <w:rFonts w:hint="eastAsia" w:cs="宋体"/>
          <w:kern w:val="32"/>
          <w:szCs w:val="24"/>
          <w:lang w:bidi="ar"/>
        </w:rPr>
        <w:t>年全市</w:t>
      </w:r>
      <w:r>
        <w:rPr>
          <w:rFonts w:ascii="Times New Roman" w:hAnsi="Times New Roman"/>
          <w:kern w:val="32"/>
          <w:szCs w:val="24"/>
          <w:lang w:bidi="ar"/>
        </w:rPr>
        <w:t>NO</w:t>
      </w:r>
      <w:r>
        <w:rPr>
          <w:rFonts w:ascii="Times New Roman" w:hAnsi="Times New Roman"/>
          <w:kern w:val="32"/>
          <w:szCs w:val="24"/>
          <w:vertAlign w:val="subscript"/>
          <w:lang w:bidi="ar"/>
        </w:rPr>
        <w:t>2</w:t>
      </w:r>
      <w:r>
        <w:rPr>
          <w:rFonts w:hint="eastAsia" w:cs="宋体"/>
          <w:kern w:val="32"/>
          <w:szCs w:val="24"/>
          <w:lang w:bidi="ar"/>
        </w:rPr>
        <w:t>年均浓度呈现波动下降趋势，从</w:t>
      </w:r>
      <w:r>
        <w:rPr>
          <w:rFonts w:ascii="Times New Roman" w:hAnsi="Times New Roman"/>
          <w:kern w:val="32"/>
          <w:szCs w:val="24"/>
          <w:lang w:bidi="ar"/>
        </w:rPr>
        <w:t>2001</w:t>
      </w:r>
      <w:r>
        <w:rPr>
          <w:rFonts w:hint="eastAsia" w:cs="宋体"/>
          <w:kern w:val="32"/>
          <w:szCs w:val="24"/>
          <w:lang w:bidi="ar"/>
        </w:rPr>
        <w:t>年的</w:t>
      </w:r>
      <w:r>
        <w:rPr>
          <w:rFonts w:ascii="Times New Roman" w:hAnsi="Times New Roman"/>
          <w:kern w:val="32"/>
          <w:szCs w:val="24"/>
          <w:lang w:bidi="ar"/>
        </w:rPr>
        <w:t>21</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增加至</w:t>
      </w:r>
      <w:r>
        <w:rPr>
          <w:rFonts w:ascii="Times New Roman" w:hAnsi="Times New Roman"/>
          <w:kern w:val="32"/>
          <w:szCs w:val="24"/>
          <w:lang w:bidi="ar"/>
        </w:rPr>
        <w:t>2004</w:t>
      </w:r>
      <w:r>
        <w:rPr>
          <w:rFonts w:hint="eastAsia" w:cs="宋体"/>
          <w:kern w:val="32"/>
          <w:szCs w:val="24"/>
          <w:lang w:bidi="ar"/>
        </w:rPr>
        <w:t>年的</w:t>
      </w:r>
      <w:r>
        <w:rPr>
          <w:rFonts w:ascii="Times New Roman" w:hAnsi="Times New Roman"/>
          <w:kern w:val="32"/>
          <w:szCs w:val="24"/>
          <w:lang w:bidi="ar"/>
        </w:rPr>
        <w:t>56</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，到</w:t>
      </w:r>
      <w:r>
        <w:rPr>
          <w:rFonts w:ascii="Times New Roman" w:hAnsi="Times New Roman"/>
          <w:kern w:val="32"/>
          <w:szCs w:val="24"/>
          <w:lang w:bidi="ar"/>
        </w:rPr>
        <w:t>2018</w:t>
      </w:r>
      <w:r>
        <w:rPr>
          <w:rFonts w:hint="eastAsia" w:cs="宋体"/>
          <w:kern w:val="32"/>
          <w:szCs w:val="24"/>
          <w:lang w:bidi="ar"/>
        </w:rPr>
        <w:t>年降低到</w:t>
      </w:r>
      <w:r>
        <w:rPr>
          <w:rFonts w:ascii="Times New Roman" w:hAnsi="Times New Roman"/>
          <w:kern w:val="32"/>
          <w:szCs w:val="24"/>
          <w:lang w:bidi="ar"/>
        </w:rPr>
        <w:t>25</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w:t>
      </w:r>
      <w:r>
        <w:rPr>
          <w:rFonts w:ascii="Times New Roman" w:hAnsi="Times New Roman"/>
          <w:kern w:val="32"/>
          <w:szCs w:val="24"/>
          <w:lang w:bidi="ar"/>
        </w:rPr>
        <w:t>18</w:t>
      </w:r>
      <w:r>
        <w:rPr>
          <w:rFonts w:hint="eastAsia" w:cs="宋体"/>
          <w:kern w:val="32"/>
          <w:szCs w:val="24"/>
          <w:lang w:bidi="ar"/>
        </w:rPr>
        <w:t>年间</w:t>
      </w:r>
      <w:r>
        <w:rPr>
          <w:rFonts w:ascii="Times New Roman" w:hAnsi="Times New Roman"/>
          <w:kern w:val="32"/>
          <w:szCs w:val="24"/>
          <w:lang w:bidi="ar"/>
        </w:rPr>
        <w:t>NO</w:t>
      </w:r>
      <w:r>
        <w:rPr>
          <w:rFonts w:ascii="Times New Roman" w:hAnsi="Times New Roman"/>
          <w:kern w:val="32"/>
          <w:szCs w:val="24"/>
          <w:vertAlign w:val="subscript"/>
          <w:lang w:bidi="ar"/>
        </w:rPr>
        <w:t>2</w:t>
      </w:r>
      <w:r>
        <w:rPr>
          <w:rFonts w:hint="eastAsia" w:cs="宋体"/>
          <w:kern w:val="32"/>
          <w:szCs w:val="24"/>
          <w:lang w:bidi="ar"/>
        </w:rPr>
        <w:t>年均浓度值范围</w:t>
      </w:r>
      <w:r>
        <w:rPr>
          <w:rFonts w:ascii="Times New Roman" w:hAnsi="Times New Roman"/>
          <w:kern w:val="32"/>
          <w:szCs w:val="24"/>
          <w:lang w:bidi="ar"/>
        </w:rPr>
        <w:t>20</w:t>
      </w:r>
      <w:r>
        <w:rPr>
          <w:rFonts w:hint="eastAsia" w:cs="宋体"/>
          <w:kern w:val="32"/>
          <w:szCs w:val="24"/>
          <w:lang w:bidi="ar"/>
        </w:rPr>
        <w:t>～</w:t>
      </w:r>
      <w:r>
        <w:rPr>
          <w:rFonts w:ascii="Times New Roman" w:hAnsi="Times New Roman"/>
          <w:kern w:val="32"/>
          <w:szCs w:val="24"/>
          <w:lang w:bidi="ar"/>
        </w:rPr>
        <w:t>56</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w:t>
      </w:r>
      <w:r>
        <w:rPr>
          <w:rFonts w:ascii="Times New Roman" w:hAnsi="Times New Roman"/>
          <w:kern w:val="32"/>
          <w:szCs w:val="24"/>
          <w:lang w:bidi="ar"/>
        </w:rPr>
        <w:t>18</w:t>
      </w:r>
      <w:r>
        <w:rPr>
          <w:rFonts w:hint="eastAsia" w:cs="宋体"/>
          <w:kern w:val="32"/>
          <w:szCs w:val="24"/>
          <w:lang w:bidi="ar"/>
        </w:rPr>
        <w:t>年平均年均浓度</w:t>
      </w:r>
      <w:r>
        <w:rPr>
          <w:rFonts w:ascii="Times New Roman" w:hAnsi="Times New Roman"/>
          <w:kern w:val="32"/>
          <w:szCs w:val="24"/>
          <w:lang w:bidi="ar"/>
        </w:rPr>
        <w:t>30</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，只有</w:t>
      </w:r>
      <w:r>
        <w:rPr>
          <w:rFonts w:ascii="Times New Roman" w:hAnsi="Times New Roman"/>
          <w:kern w:val="32"/>
          <w:szCs w:val="24"/>
          <w:lang w:bidi="ar"/>
        </w:rPr>
        <w:t>2004</w:t>
      </w:r>
      <w:r>
        <w:rPr>
          <w:rFonts w:hint="eastAsia" w:cs="宋体"/>
          <w:kern w:val="32"/>
          <w:szCs w:val="24"/>
          <w:lang w:bidi="ar"/>
        </w:rPr>
        <w:t>年</w:t>
      </w:r>
      <w:r>
        <w:rPr>
          <w:rFonts w:ascii="Times New Roman" w:hAnsi="Times New Roman"/>
          <w:kern w:val="32"/>
          <w:szCs w:val="24"/>
          <w:lang w:bidi="ar"/>
        </w:rPr>
        <w:t>NO</w:t>
      </w:r>
      <w:r>
        <w:rPr>
          <w:rFonts w:ascii="Times New Roman" w:hAnsi="Times New Roman"/>
          <w:kern w:val="32"/>
          <w:szCs w:val="24"/>
          <w:vertAlign w:val="subscript"/>
          <w:lang w:bidi="ar"/>
        </w:rPr>
        <w:t>2</w:t>
      </w:r>
      <w:r>
        <w:rPr>
          <w:rFonts w:hint="eastAsia" w:cs="宋体"/>
          <w:kern w:val="32"/>
          <w:szCs w:val="24"/>
          <w:lang w:bidi="ar"/>
        </w:rPr>
        <w:t>年均浓度和</w:t>
      </w:r>
      <w:r>
        <w:rPr>
          <w:rFonts w:ascii="Times New Roman" w:hAnsi="Times New Roman"/>
          <w:kern w:val="32"/>
          <w:szCs w:val="24"/>
          <w:lang w:bidi="ar"/>
        </w:rPr>
        <w:t>2011</w:t>
      </w:r>
      <w:r>
        <w:rPr>
          <w:rFonts w:hint="eastAsia" w:cs="宋体"/>
          <w:kern w:val="32"/>
          <w:szCs w:val="24"/>
          <w:lang w:bidi="ar"/>
        </w:rPr>
        <w:t>年</w:t>
      </w:r>
      <w:r>
        <w:rPr>
          <w:rFonts w:ascii="Times New Roman" w:hAnsi="Times New Roman"/>
          <w:kern w:val="32"/>
          <w:szCs w:val="24"/>
          <w:lang w:bidi="ar"/>
        </w:rPr>
        <w:t>NO</w:t>
      </w:r>
      <w:r>
        <w:rPr>
          <w:rFonts w:ascii="Times New Roman" w:hAnsi="Times New Roman"/>
          <w:kern w:val="32"/>
          <w:szCs w:val="24"/>
          <w:vertAlign w:val="subscript"/>
          <w:lang w:bidi="ar"/>
        </w:rPr>
        <w:t>2</w:t>
      </w:r>
      <w:r>
        <w:rPr>
          <w:rFonts w:hint="eastAsia" w:cs="宋体"/>
          <w:kern w:val="32"/>
          <w:szCs w:val="24"/>
          <w:lang w:bidi="ar"/>
        </w:rPr>
        <w:t>年均浓度超标。从</w:t>
      </w:r>
      <w:r>
        <w:rPr>
          <w:rFonts w:ascii="Times New Roman" w:hAnsi="Times New Roman"/>
          <w:kern w:val="32"/>
          <w:szCs w:val="24"/>
          <w:lang w:bidi="ar"/>
        </w:rPr>
        <w:t>2011</w:t>
      </w:r>
      <w:r>
        <w:rPr>
          <w:rFonts w:hint="eastAsia" w:cs="宋体"/>
          <w:kern w:val="32"/>
          <w:szCs w:val="24"/>
          <w:lang w:bidi="ar"/>
        </w:rPr>
        <w:t>年开始，全市</w:t>
      </w:r>
      <w:r>
        <w:rPr>
          <w:rFonts w:ascii="Times New Roman" w:hAnsi="Times New Roman"/>
          <w:kern w:val="32"/>
          <w:szCs w:val="24"/>
          <w:lang w:bidi="ar"/>
        </w:rPr>
        <w:t>NO</w:t>
      </w:r>
      <w:r>
        <w:rPr>
          <w:rFonts w:ascii="Times New Roman" w:hAnsi="Times New Roman"/>
          <w:kern w:val="32"/>
          <w:szCs w:val="24"/>
          <w:vertAlign w:val="subscript"/>
          <w:lang w:bidi="ar"/>
        </w:rPr>
        <w:t>2</w:t>
      </w:r>
      <w:r>
        <w:rPr>
          <w:rFonts w:hint="eastAsia" w:cs="宋体"/>
          <w:kern w:val="32"/>
          <w:szCs w:val="24"/>
          <w:lang w:bidi="ar"/>
        </w:rPr>
        <w:t>年均浓度呈现显著下降趋势，近些年</w:t>
      </w:r>
      <w:r>
        <w:rPr>
          <w:rFonts w:ascii="Times New Roman" w:hAnsi="Times New Roman"/>
          <w:kern w:val="32"/>
          <w:szCs w:val="24"/>
          <w:lang w:bidi="ar"/>
        </w:rPr>
        <w:t>NO</w:t>
      </w:r>
      <w:r>
        <w:rPr>
          <w:rFonts w:ascii="Times New Roman" w:hAnsi="Times New Roman"/>
          <w:kern w:val="32"/>
          <w:szCs w:val="24"/>
          <w:vertAlign w:val="subscript"/>
          <w:lang w:bidi="ar"/>
        </w:rPr>
        <w:t>2</w:t>
      </w:r>
      <w:r>
        <w:rPr>
          <w:rFonts w:hint="eastAsia" w:cs="宋体"/>
          <w:kern w:val="32"/>
          <w:szCs w:val="24"/>
          <w:lang w:bidi="ar"/>
        </w:rPr>
        <w:t>年均浓度低于环境空气质量年均二级标准。</w:t>
      </w:r>
    </w:p>
    <w:p>
      <w:pPr>
        <w:pStyle w:val="54"/>
        <w:widowControl w:val="0"/>
        <w:autoSpaceDE w:val="0"/>
        <w:autoSpaceDN w:val="0"/>
        <w:adjustRightInd w:val="0"/>
        <w:spacing w:before="0" w:beforeAutospacing="0" w:after="0" w:afterAutospacing="0" w:line="440" w:lineRule="exact"/>
        <w:ind w:firstLine="480" w:firstLineChars="200"/>
        <w:jc w:val="left"/>
        <w:rPr>
          <w:rFonts w:ascii="Times New Roman" w:hAnsi="Times New Roman"/>
          <w:color w:val="auto"/>
        </w:rPr>
      </w:pPr>
      <w:r>
        <w:rPr>
          <w:rFonts w:ascii="Times New Roman" w:hAnsi="Times New Roman"/>
          <w:color w:val="auto"/>
          <w:kern w:val="32"/>
          <w:szCs w:val="24"/>
          <w:lang w:bidi="ar"/>
        </w:rPr>
        <w:t>2021</w:t>
      </w:r>
      <w:r>
        <w:rPr>
          <w:rFonts w:hint="eastAsia" w:cs="宋体"/>
          <w:color w:val="auto"/>
          <w:kern w:val="32"/>
          <w:szCs w:val="24"/>
          <w:lang w:bidi="ar"/>
        </w:rPr>
        <w:t>年各旗区年平均浓度范围在</w:t>
      </w:r>
      <w:r>
        <w:rPr>
          <w:rFonts w:ascii="Times New Roman" w:hAnsi="Times New Roman"/>
          <w:color w:val="auto"/>
          <w:kern w:val="32"/>
          <w:szCs w:val="24"/>
          <w:lang w:bidi="ar"/>
        </w:rPr>
        <w:t>13</w:t>
      </w:r>
      <w:r>
        <w:rPr>
          <w:rFonts w:ascii="Times New Roman" w:hAnsi="Times New Roman"/>
          <w:color w:val="auto"/>
          <w:szCs w:val="24"/>
          <w:lang w:bidi="ar"/>
        </w:rPr>
        <w:t>µg/m</w:t>
      </w:r>
      <w:r>
        <w:rPr>
          <w:rFonts w:ascii="Times New Roman" w:hAnsi="Times New Roman"/>
          <w:color w:val="auto"/>
          <w:szCs w:val="24"/>
          <w:vertAlign w:val="superscript"/>
          <w:lang w:bidi="ar"/>
        </w:rPr>
        <w:t>3</w:t>
      </w:r>
      <w:r>
        <w:rPr>
          <w:rFonts w:hint="eastAsia" w:cs="宋体"/>
          <w:color w:val="auto"/>
          <w:kern w:val="32"/>
          <w:szCs w:val="24"/>
          <w:lang w:bidi="ar"/>
        </w:rPr>
        <w:t>（鄂托克旗）～</w:t>
      </w:r>
      <w:r>
        <w:rPr>
          <w:rFonts w:ascii="Times New Roman" w:hAnsi="Times New Roman"/>
          <w:color w:val="auto"/>
          <w:kern w:val="32"/>
          <w:szCs w:val="24"/>
          <w:lang w:bidi="ar"/>
        </w:rPr>
        <w:t>27</w:t>
      </w:r>
      <w:r>
        <w:rPr>
          <w:rFonts w:ascii="Times New Roman" w:hAnsi="Times New Roman"/>
          <w:color w:val="auto"/>
          <w:szCs w:val="24"/>
          <w:lang w:bidi="ar"/>
        </w:rPr>
        <w:t>µg/m</w:t>
      </w:r>
      <w:r>
        <w:rPr>
          <w:rFonts w:ascii="Times New Roman" w:hAnsi="Times New Roman"/>
          <w:color w:val="auto"/>
          <w:szCs w:val="24"/>
          <w:vertAlign w:val="superscript"/>
          <w:lang w:bidi="ar"/>
        </w:rPr>
        <w:t>3</w:t>
      </w:r>
      <w:r>
        <w:rPr>
          <w:rFonts w:hint="eastAsia" w:cs="宋体"/>
          <w:color w:val="auto"/>
          <w:kern w:val="32"/>
          <w:szCs w:val="24"/>
          <w:lang w:bidi="ar"/>
        </w:rPr>
        <w:t>（准格尔旗）之间，年均值未超过《环境空气质量标准》（</w:t>
      </w:r>
      <w:r>
        <w:rPr>
          <w:rFonts w:ascii="Times New Roman" w:hAnsi="Times New Roman"/>
          <w:color w:val="auto"/>
          <w:kern w:val="32"/>
          <w:szCs w:val="24"/>
          <w:lang w:bidi="ar"/>
        </w:rPr>
        <w:t>GB3095-2012</w:t>
      </w:r>
      <w:r>
        <w:rPr>
          <w:rFonts w:hint="eastAsia" w:cs="宋体"/>
          <w:color w:val="auto"/>
          <w:kern w:val="32"/>
          <w:szCs w:val="24"/>
          <w:lang w:bidi="ar"/>
        </w:rPr>
        <w:t>）二级浓度限值。</w:t>
      </w:r>
    </w:p>
    <w:tbl>
      <w:tblPr>
        <w:tblStyle w:val="5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45"/>
        <w:gridCol w:w="45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rPr>
                <w:rFonts w:ascii="Times New Roman" w:hAnsi="Times New Roman"/>
                <w:color w:val="auto"/>
                <w:sz w:val="20"/>
              </w:rPr>
            </w:pPr>
            <w:r>
              <w:rPr>
                <w:rFonts w:ascii="Times New Roman" w:hAnsi="Times New Roman"/>
                <w:color w:val="auto"/>
                <w:sz w:val="20"/>
                <w:lang w:bidi="ar"/>
              </w:rPr>
              <w:drawing>
                <wp:inline distT="0" distB="0" distL="114300" distR="114300">
                  <wp:extent cx="3019425" cy="1971675"/>
                  <wp:effectExtent l="0" t="0" r="9525" b="9525"/>
                  <wp:docPr id="110" name="图片 5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9" descr="IMG_258"/>
                          <pic:cNvPicPr>
                            <a:picLocks noChangeAspect="1"/>
                          </pic:cNvPicPr>
                        </pic:nvPicPr>
                        <pic:blipFill>
                          <a:blip r:embed="rId61"/>
                          <a:stretch>
                            <a:fillRect/>
                          </a:stretch>
                        </pic:blipFill>
                        <pic:spPr>
                          <a:xfrm>
                            <a:off x="0" y="0"/>
                            <a:ext cx="3019425" cy="1971675"/>
                          </a:xfrm>
                          <a:prstGeom prst="rect">
                            <a:avLst/>
                          </a:prstGeom>
                          <a:noFill/>
                          <a:ln w="9525">
                            <a:noFill/>
                          </a:ln>
                        </pic:spPr>
                      </pic:pic>
                    </a:graphicData>
                  </a:graphic>
                </wp:inline>
              </w:drawing>
            </w:r>
          </w:p>
        </w:tc>
        <w:tc>
          <w:tcPr>
            <w:tcW w:w="478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rPr>
                <w:rFonts w:ascii="Times New Roman" w:hAnsi="Times New Roman"/>
                <w:color w:val="auto"/>
                <w:sz w:val="20"/>
              </w:rPr>
            </w:pPr>
            <w:r>
              <w:rPr>
                <w:rFonts w:ascii="Times New Roman" w:hAnsi="Times New Roman"/>
                <w:color w:val="auto"/>
                <w:sz w:val="20"/>
                <w:lang w:bidi="ar"/>
              </w:rPr>
              <w:drawing>
                <wp:inline distT="0" distB="0" distL="114300" distR="114300">
                  <wp:extent cx="2886075" cy="1895475"/>
                  <wp:effectExtent l="0" t="0" r="9525" b="9525"/>
                  <wp:docPr id="109" name="图片 6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0" descr="IMG_259"/>
                          <pic:cNvPicPr>
                            <a:picLocks noChangeAspect="1"/>
                          </pic:cNvPicPr>
                        </pic:nvPicPr>
                        <pic:blipFill>
                          <a:blip r:embed="rId62"/>
                          <a:stretch>
                            <a:fillRect/>
                          </a:stretch>
                        </pic:blipFill>
                        <pic:spPr>
                          <a:xfrm>
                            <a:off x="0" y="0"/>
                            <a:ext cx="2886075" cy="1895475"/>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jc w:val="center"/>
              <w:rPr>
                <w:rFonts w:ascii="Times New Roman" w:hAnsi="Times New Roman"/>
                <w:b/>
                <w:bCs/>
                <w:color w:val="auto"/>
                <w:sz w:val="18"/>
                <w:szCs w:val="18"/>
              </w:rPr>
            </w:pPr>
            <w:r>
              <w:rPr>
                <w:rFonts w:ascii="Times New Roman" w:hAnsi="Times New Roman"/>
                <w:b/>
                <w:bCs/>
                <w:color w:val="auto"/>
                <w:kern w:val="32"/>
                <w:sz w:val="18"/>
                <w:szCs w:val="18"/>
                <w:lang w:bidi="ar"/>
              </w:rPr>
              <w:t>2001~2018</w:t>
            </w:r>
            <w:r>
              <w:rPr>
                <w:rFonts w:hint="eastAsia" w:cs="宋体"/>
                <w:b/>
                <w:bCs/>
                <w:color w:val="auto"/>
                <w:kern w:val="32"/>
                <w:sz w:val="18"/>
                <w:szCs w:val="18"/>
                <w:lang w:bidi="ar"/>
              </w:rPr>
              <w:t>年全市</w:t>
            </w:r>
            <w:r>
              <w:rPr>
                <w:rFonts w:ascii="Times New Roman" w:hAnsi="Times New Roman"/>
                <w:b/>
                <w:bCs/>
                <w:color w:val="auto"/>
                <w:sz w:val="18"/>
                <w:szCs w:val="18"/>
                <w:lang w:bidi="ar"/>
              </w:rPr>
              <w:t>NO</w:t>
            </w:r>
            <w:r>
              <w:rPr>
                <w:rFonts w:ascii="Times New Roman" w:hAnsi="Times New Roman"/>
                <w:b/>
                <w:bCs/>
                <w:color w:val="auto"/>
                <w:sz w:val="18"/>
                <w:szCs w:val="18"/>
                <w:vertAlign w:val="subscript"/>
                <w:lang w:bidi="ar"/>
              </w:rPr>
              <w:t>2</w:t>
            </w:r>
            <w:r>
              <w:rPr>
                <w:rFonts w:hint="eastAsia" w:cs="宋体"/>
                <w:b/>
                <w:bCs/>
                <w:color w:val="auto"/>
                <w:sz w:val="18"/>
                <w:szCs w:val="18"/>
                <w:lang w:bidi="ar"/>
              </w:rPr>
              <w:t>年均值变化图</w:t>
            </w:r>
          </w:p>
        </w:tc>
        <w:tc>
          <w:tcPr>
            <w:tcW w:w="478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ind w:firstLine="361" w:firstLineChars="200"/>
              <w:rPr>
                <w:rFonts w:ascii="Times New Roman" w:hAnsi="Times New Roman"/>
                <w:color w:val="auto"/>
                <w:sz w:val="18"/>
                <w:szCs w:val="18"/>
              </w:rPr>
            </w:pPr>
            <w:r>
              <w:rPr>
                <w:rFonts w:ascii="Times New Roman" w:hAnsi="Times New Roman"/>
                <w:b/>
                <w:bCs/>
                <w:color w:val="auto"/>
                <w:kern w:val="32"/>
                <w:sz w:val="18"/>
                <w:szCs w:val="18"/>
                <w:lang w:bidi="ar"/>
              </w:rPr>
              <w:t>2020</w:t>
            </w:r>
            <w:r>
              <w:rPr>
                <w:rFonts w:hint="eastAsia" w:cs="宋体"/>
                <w:b/>
                <w:bCs/>
                <w:color w:val="auto"/>
                <w:kern w:val="32"/>
                <w:sz w:val="18"/>
                <w:szCs w:val="18"/>
                <w:lang w:bidi="ar"/>
              </w:rPr>
              <w:t>、</w:t>
            </w:r>
            <w:r>
              <w:rPr>
                <w:rFonts w:ascii="Times New Roman" w:hAnsi="Times New Roman"/>
                <w:b/>
                <w:bCs/>
                <w:color w:val="auto"/>
                <w:kern w:val="32"/>
                <w:sz w:val="18"/>
                <w:szCs w:val="18"/>
                <w:lang w:bidi="ar"/>
              </w:rPr>
              <w:t>2021</w:t>
            </w:r>
            <w:r>
              <w:rPr>
                <w:rFonts w:hint="eastAsia" w:cs="宋体"/>
                <w:b/>
                <w:bCs/>
                <w:color w:val="auto"/>
                <w:kern w:val="32"/>
                <w:sz w:val="18"/>
                <w:szCs w:val="18"/>
                <w:lang w:bidi="ar"/>
              </w:rPr>
              <w:t>年鄂尔多斯市各旗区</w:t>
            </w:r>
            <w:r>
              <w:rPr>
                <w:rFonts w:ascii="Times New Roman" w:hAnsi="Times New Roman"/>
                <w:b/>
                <w:bCs/>
                <w:color w:val="auto"/>
                <w:sz w:val="18"/>
                <w:szCs w:val="18"/>
                <w:lang w:bidi="ar"/>
              </w:rPr>
              <w:t>NO</w:t>
            </w:r>
            <w:r>
              <w:rPr>
                <w:rFonts w:ascii="Times New Roman" w:hAnsi="Times New Roman"/>
                <w:b/>
                <w:bCs/>
                <w:color w:val="auto"/>
                <w:sz w:val="18"/>
                <w:szCs w:val="18"/>
                <w:vertAlign w:val="subscript"/>
                <w:lang w:bidi="ar"/>
              </w:rPr>
              <w:t>2</w:t>
            </w:r>
            <w:r>
              <w:rPr>
                <w:rFonts w:hint="eastAsia" w:cs="宋体"/>
                <w:b/>
                <w:bCs/>
                <w:color w:val="auto"/>
                <w:sz w:val="18"/>
                <w:szCs w:val="18"/>
                <w:lang w:bidi="ar"/>
              </w:rPr>
              <w:t>年均值变化图</w:t>
            </w:r>
          </w:p>
        </w:tc>
      </w:tr>
    </w:tbl>
    <w:p>
      <w:pPr>
        <w:pStyle w:val="54"/>
        <w:widowControl w:val="0"/>
        <w:autoSpaceDE w:val="0"/>
        <w:autoSpaceDN w:val="0"/>
        <w:adjustRightInd w:val="0"/>
        <w:spacing w:before="120" w:beforeLines="50" w:beforeAutospacing="0" w:after="120" w:afterLines="50" w:afterAutospacing="0"/>
        <w:jc w:val="center"/>
        <w:rPr>
          <w:rFonts w:ascii="Times New Roman" w:hAnsi="Times New Roman"/>
          <w:b/>
          <w:bCs/>
          <w:color w:val="auto"/>
          <w:szCs w:val="24"/>
        </w:rPr>
      </w:pPr>
      <w:r>
        <w:rPr>
          <w:rFonts w:hint="eastAsia" w:cs="宋体"/>
          <w:b/>
          <w:bCs/>
          <w:color w:val="auto"/>
          <w:kern w:val="32"/>
          <w:szCs w:val="24"/>
          <w:lang w:bidi="ar"/>
        </w:rPr>
        <w:t>鄂尔多斯全市及各旗区</w:t>
      </w:r>
      <w:r>
        <w:rPr>
          <w:rFonts w:ascii="Times New Roman" w:hAnsi="Times New Roman"/>
          <w:bCs/>
          <w:color w:val="auto"/>
          <w:szCs w:val="24"/>
          <w:lang w:bidi="ar"/>
        </w:rPr>
        <w:t>NO</w:t>
      </w:r>
      <w:r>
        <w:rPr>
          <w:rFonts w:ascii="Times New Roman" w:hAnsi="Times New Roman"/>
          <w:bCs/>
          <w:color w:val="auto"/>
          <w:szCs w:val="24"/>
          <w:vertAlign w:val="subscript"/>
          <w:lang w:bidi="ar"/>
        </w:rPr>
        <w:t>2</w:t>
      </w:r>
      <w:r>
        <w:rPr>
          <w:rFonts w:hint="eastAsia" w:cs="宋体"/>
          <w:b/>
          <w:bCs/>
          <w:color w:val="auto"/>
          <w:kern w:val="32"/>
          <w:szCs w:val="24"/>
          <w:lang w:bidi="ar"/>
        </w:rPr>
        <w:t>年均值变化图</w:t>
      </w:r>
    </w:p>
    <w:p>
      <w:pPr>
        <w:pStyle w:val="54"/>
        <w:widowControl w:val="0"/>
        <w:autoSpaceDE w:val="0"/>
        <w:autoSpaceDN w:val="0"/>
        <w:adjustRightInd w:val="0"/>
        <w:spacing w:before="0" w:beforeAutospacing="0" w:after="0" w:afterAutospacing="0"/>
        <w:ind w:left="480" w:leftChars="200"/>
        <w:rPr>
          <w:rFonts w:ascii="Times New Roman" w:hAnsi="Times New Roman"/>
          <w:b/>
          <w:bCs/>
          <w:color w:val="auto"/>
          <w:szCs w:val="24"/>
        </w:rPr>
      </w:pPr>
      <w:r>
        <w:rPr>
          <w:rFonts w:ascii="Times New Roman" w:hAnsi="Times New Roman"/>
          <w:b/>
          <w:bCs/>
          <w:color w:val="auto"/>
          <w:szCs w:val="24"/>
          <w:lang w:bidi="ar"/>
        </w:rPr>
        <w:t>3</w:t>
      </w:r>
      <w:r>
        <w:rPr>
          <w:rFonts w:hint="eastAsia" w:cs="宋体"/>
          <w:b/>
          <w:bCs/>
          <w:color w:val="auto"/>
          <w:szCs w:val="24"/>
          <w:lang w:bidi="ar"/>
        </w:rPr>
        <w:t>）可吸入颗粒物</w:t>
      </w:r>
    </w:p>
    <w:p>
      <w:pPr>
        <w:spacing w:line="440" w:lineRule="exact"/>
        <w:ind w:firstLine="480" w:firstLineChars="200"/>
        <w:rPr>
          <w:rFonts w:ascii="Times New Roman" w:hAnsi="Times New Roman"/>
          <w:kern w:val="32"/>
          <w:szCs w:val="24"/>
        </w:rPr>
      </w:pPr>
      <w:r>
        <w:rPr>
          <w:rFonts w:ascii="Times New Roman" w:hAnsi="Times New Roman"/>
          <w:kern w:val="32"/>
          <w:szCs w:val="24"/>
          <w:lang w:bidi="ar"/>
        </w:rPr>
        <w:t>2001</w:t>
      </w:r>
      <w:r>
        <w:rPr>
          <w:rFonts w:hint="eastAsia" w:cs="宋体"/>
          <w:kern w:val="32"/>
          <w:szCs w:val="24"/>
          <w:lang w:bidi="ar"/>
        </w:rPr>
        <w:t>～</w:t>
      </w:r>
      <w:r>
        <w:rPr>
          <w:rFonts w:ascii="Times New Roman" w:hAnsi="Times New Roman"/>
          <w:kern w:val="32"/>
          <w:szCs w:val="24"/>
          <w:lang w:bidi="ar"/>
        </w:rPr>
        <w:t>2018</w:t>
      </w:r>
      <w:r>
        <w:rPr>
          <w:rFonts w:hint="eastAsia" w:cs="宋体"/>
          <w:kern w:val="32"/>
          <w:szCs w:val="24"/>
          <w:lang w:bidi="ar"/>
        </w:rPr>
        <w:t>年全市</w:t>
      </w:r>
      <w:r>
        <w:rPr>
          <w:rFonts w:ascii="Times New Roman" w:hAnsi="Times New Roman"/>
          <w:kern w:val="32"/>
          <w:szCs w:val="24"/>
          <w:lang w:bidi="ar"/>
        </w:rPr>
        <w:t>PM</w:t>
      </w:r>
      <w:r>
        <w:rPr>
          <w:rFonts w:ascii="Times New Roman" w:hAnsi="Times New Roman"/>
          <w:kern w:val="32"/>
          <w:szCs w:val="24"/>
          <w:vertAlign w:val="subscript"/>
          <w:lang w:bidi="ar"/>
        </w:rPr>
        <w:t>10</w:t>
      </w:r>
      <w:r>
        <w:rPr>
          <w:rFonts w:hint="eastAsia" w:cs="宋体"/>
          <w:kern w:val="32"/>
          <w:szCs w:val="24"/>
          <w:lang w:bidi="ar"/>
        </w:rPr>
        <w:t>年均浓度呈现波动下降趋势，从</w:t>
      </w:r>
      <w:r>
        <w:rPr>
          <w:rFonts w:ascii="Times New Roman" w:hAnsi="Times New Roman"/>
          <w:kern w:val="32"/>
          <w:szCs w:val="24"/>
          <w:lang w:bidi="ar"/>
        </w:rPr>
        <w:t>2001</w:t>
      </w:r>
      <w:r>
        <w:rPr>
          <w:rFonts w:hint="eastAsia" w:cs="宋体"/>
          <w:kern w:val="32"/>
          <w:szCs w:val="24"/>
          <w:lang w:bidi="ar"/>
        </w:rPr>
        <w:t>年</w:t>
      </w:r>
      <w:r>
        <w:rPr>
          <w:rFonts w:ascii="Times New Roman" w:hAnsi="Times New Roman"/>
          <w:kern w:val="32"/>
          <w:szCs w:val="24"/>
          <w:lang w:bidi="ar"/>
        </w:rPr>
        <w:t>220</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下降到</w:t>
      </w:r>
      <w:r>
        <w:rPr>
          <w:rFonts w:ascii="Times New Roman" w:hAnsi="Times New Roman"/>
          <w:kern w:val="32"/>
          <w:szCs w:val="24"/>
          <w:lang w:bidi="ar"/>
        </w:rPr>
        <w:t>2005</w:t>
      </w:r>
      <w:r>
        <w:rPr>
          <w:rFonts w:hint="eastAsia" w:cs="宋体"/>
          <w:kern w:val="32"/>
          <w:szCs w:val="24"/>
          <w:lang w:bidi="ar"/>
        </w:rPr>
        <w:t>年的</w:t>
      </w:r>
      <w:r>
        <w:rPr>
          <w:rFonts w:ascii="Times New Roman" w:hAnsi="Times New Roman"/>
          <w:kern w:val="32"/>
          <w:szCs w:val="24"/>
          <w:lang w:bidi="ar"/>
        </w:rPr>
        <w:t>69</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，到</w:t>
      </w:r>
      <w:r>
        <w:rPr>
          <w:rFonts w:ascii="Times New Roman" w:hAnsi="Times New Roman"/>
          <w:kern w:val="32"/>
          <w:szCs w:val="24"/>
          <w:lang w:bidi="ar"/>
        </w:rPr>
        <w:t>2018</w:t>
      </w:r>
      <w:r>
        <w:rPr>
          <w:rFonts w:hint="eastAsia" w:cs="宋体"/>
          <w:kern w:val="32"/>
          <w:szCs w:val="24"/>
          <w:lang w:bidi="ar"/>
        </w:rPr>
        <w:t>年增加至</w:t>
      </w:r>
      <w:r>
        <w:rPr>
          <w:rFonts w:ascii="Times New Roman" w:hAnsi="Times New Roman"/>
          <w:kern w:val="32"/>
          <w:szCs w:val="24"/>
          <w:lang w:bidi="ar"/>
        </w:rPr>
        <w:t>86</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w:t>
      </w:r>
      <w:r>
        <w:rPr>
          <w:rFonts w:ascii="Times New Roman" w:hAnsi="Times New Roman"/>
          <w:kern w:val="32"/>
          <w:szCs w:val="24"/>
          <w:lang w:bidi="ar"/>
        </w:rPr>
        <w:t>18</w:t>
      </w:r>
      <w:r>
        <w:rPr>
          <w:rFonts w:hint="eastAsia" w:cs="宋体"/>
          <w:kern w:val="32"/>
          <w:szCs w:val="24"/>
          <w:lang w:bidi="ar"/>
        </w:rPr>
        <w:t>年间</w:t>
      </w:r>
      <w:r>
        <w:rPr>
          <w:rFonts w:ascii="Times New Roman" w:hAnsi="Times New Roman"/>
          <w:kern w:val="32"/>
          <w:szCs w:val="24"/>
          <w:lang w:bidi="ar"/>
        </w:rPr>
        <w:t>PM</w:t>
      </w:r>
      <w:r>
        <w:rPr>
          <w:rFonts w:ascii="Times New Roman" w:hAnsi="Times New Roman"/>
          <w:kern w:val="32"/>
          <w:szCs w:val="24"/>
          <w:vertAlign w:val="subscript"/>
          <w:lang w:bidi="ar"/>
        </w:rPr>
        <w:t>10</w:t>
      </w:r>
      <w:r>
        <w:rPr>
          <w:rFonts w:hint="eastAsia" w:cs="宋体"/>
          <w:kern w:val="32"/>
          <w:szCs w:val="24"/>
          <w:lang w:bidi="ar"/>
        </w:rPr>
        <w:t>年均浓度范围</w:t>
      </w:r>
      <w:r>
        <w:rPr>
          <w:rFonts w:ascii="Times New Roman" w:hAnsi="Times New Roman"/>
          <w:kern w:val="32"/>
          <w:szCs w:val="24"/>
          <w:lang w:bidi="ar"/>
        </w:rPr>
        <w:t>53</w:t>
      </w:r>
      <w:r>
        <w:rPr>
          <w:rFonts w:hint="eastAsia" w:cs="宋体"/>
          <w:kern w:val="32"/>
          <w:szCs w:val="24"/>
          <w:lang w:bidi="ar"/>
        </w:rPr>
        <w:t>～</w:t>
      </w:r>
      <w:r>
        <w:rPr>
          <w:rFonts w:ascii="Times New Roman" w:hAnsi="Times New Roman"/>
          <w:kern w:val="32"/>
          <w:szCs w:val="24"/>
          <w:lang w:bidi="ar"/>
        </w:rPr>
        <w:t>220</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w:t>
      </w:r>
      <w:r>
        <w:rPr>
          <w:rFonts w:ascii="Times New Roman" w:hAnsi="Times New Roman"/>
          <w:kern w:val="32"/>
          <w:szCs w:val="24"/>
          <w:lang w:bidi="ar"/>
        </w:rPr>
        <w:t>PM</w:t>
      </w:r>
      <w:r>
        <w:rPr>
          <w:rFonts w:ascii="Times New Roman" w:hAnsi="Times New Roman"/>
          <w:kern w:val="32"/>
          <w:szCs w:val="24"/>
          <w:vertAlign w:val="subscript"/>
          <w:lang w:bidi="ar"/>
        </w:rPr>
        <w:t>10</w:t>
      </w:r>
      <w:r>
        <w:rPr>
          <w:rFonts w:hint="eastAsia" w:cs="宋体"/>
          <w:kern w:val="32"/>
          <w:szCs w:val="24"/>
          <w:lang w:bidi="ar"/>
        </w:rPr>
        <w:t>年均浓度超标年份为</w:t>
      </w:r>
      <w:r>
        <w:rPr>
          <w:rFonts w:ascii="Times New Roman" w:hAnsi="Times New Roman"/>
          <w:kern w:val="32"/>
          <w:szCs w:val="24"/>
          <w:lang w:bidi="ar"/>
        </w:rPr>
        <w:t>2001~2004</w:t>
      </w:r>
      <w:r>
        <w:rPr>
          <w:rFonts w:hint="eastAsia" w:cs="宋体"/>
          <w:kern w:val="32"/>
          <w:szCs w:val="24"/>
          <w:lang w:bidi="ar"/>
        </w:rPr>
        <w:t>年，</w:t>
      </w:r>
      <w:r>
        <w:rPr>
          <w:rFonts w:ascii="Times New Roman" w:hAnsi="Times New Roman"/>
          <w:kern w:val="32"/>
          <w:szCs w:val="24"/>
          <w:lang w:bidi="ar"/>
        </w:rPr>
        <w:t>2014</w:t>
      </w:r>
      <w:r>
        <w:rPr>
          <w:rFonts w:hint="eastAsia" w:cs="宋体"/>
          <w:kern w:val="32"/>
          <w:szCs w:val="24"/>
          <w:lang w:bidi="ar"/>
        </w:rPr>
        <w:t>年、</w:t>
      </w:r>
      <w:r>
        <w:rPr>
          <w:rFonts w:ascii="Times New Roman" w:hAnsi="Times New Roman"/>
          <w:kern w:val="32"/>
          <w:szCs w:val="24"/>
          <w:lang w:bidi="ar"/>
        </w:rPr>
        <w:t>2017</w:t>
      </w:r>
      <w:r>
        <w:rPr>
          <w:rFonts w:hint="eastAsia" w:cs="宋体"/>
          <w:kern w:val="32"/>
          <w:szCs w:val="24"/>
          <w:lang w:bidi="ar"/>
        </w:rPr>
        <w:t>年和</w:t>
      </w:r>
      <w:r>
        <w:rPr>
          <w:rFonts w:ascii="Times New Roman" w:hAnsi="Times New Roman"/>
          <w:kern w:val="32"/>
          <w:szCs w:val="24"/>
          <w:lang w:bidi="ar"/>
        </w:rPr>
        <w:t>2018</w:t>
      </w:r>
      <w:r>
        <w:rPr>
          <w:rFonts w:hint="eastAsia" w:cs="宋体"/>
          <w:kern w:val="32"/>
          <w:szCs w:val="24"/>
          <w:lang w:bidi="ar"/>
        </w:rPr>
        <w:t>年未超标。</w:t>
      </w:r>
    </w:p>
    <w:p>
      <w:pPr>
        <w:pStyle w:val="54"/>
        <w:widowControl w:val="0"/>
        <w:autoSpaceDE w:val="0"/>
        <w:autoSpaceDN w:val="0"/>
        <w:adjustRightInd w:val="0"/>
        <w:spacing w:before="0" w:beforeAutospacing="0" w:after="0" w:afterAutospacing="0" w:line="440" w:lineRule="exact"/>
        <w:ind w:firstLine="480" w:firstLineChars="200"/>
        <w:jc w:val="left"/>
        <w:rPr>
          <w:rFonts w:ascii="Times New Roman" w:hAnsi="Times New Roman"/>
          <w:color w:val="auto"/>
          <w:kern w:val="32"/>
          <w:szCs w:val="24"/>
        </w:rPr>
      </w:pPr>
      <w:r>
        <w:rPr>
          <w:rFonts w:ascii="Times New Roman" w:hAnsi="Times New Roman"/>
          <w:color w:val="auto"/>
          <w:kern w:val="32"/>
          <w:szCs w:val="24"/>
          <w:lang w:bidi="ar"/>
        </w:rPr>
        <w:t>2021</w:t>
      </w:r>
      <w:r>
        <w:rPr>
          <w:rFonts w:hint="eastAsia" w:cs="宋体"/>
          <w:color w:val="auto"/>
          <w:kern w:val="32"/>
          <w:szCs w:val="24"/>
          <w:lang w:bidi="ar"/>
        </w:rPr>
        <w:t>年各旗区</w:t>
      </w:r>
      <w:r>
        <w:rPr>
          <w:rFonts w:ascii="Times New Roman" w:hAnsi="Times New Roman"/>
          <w:color w:val="auto"/>
          <w:kern w:val="32"/>
          <w:szCs w:val="24"/>
          <w:lang w:bidi="ar"/>
        </w:rPr>
        <w:t>PM</w:t>
      </w:r>
      <w:r>
        <w:rPr>
          <w:rFonts w:ascii="Times New Roman" w:hAnsi="Times New Roman"/>
          <w:color w:val="auto"/>
          <w:kern w:val="32"/>
          <w:szCs w:val="24"/>
          <w:vertAlign w:val="subscript"/>
          <w:lang w:bidi="ar"/>
        </w:rPr>
        <w:t>10</w:t>
      </w:r>
      <w:r>
        <w:rPr>
          <w:rFonts w:hint="eastAsia" w:cs="宋体"/>
          <w:color w:val="auto"/>
          <w:kern w:val="32"/>
          <w:szCs w:val="24"/>
          <w:lang w:bidi="ar"/>
        </w:rPr>
        <w:t>年平均浓度范围在</w:t>
      </w:r>
      <w:r>
        <w:rPr>
          <w:rFonts w:ascii="Times New Roman" w:hAnsi="Times New Roman"/>
          <w:color w:val="auto"/>
          <w:kern w:val="32"/>
          <w:szCs w:val="24"/>
          <w:lang w:bidi="ar"/>
        </w:rPr>
        <w:t>43</w:t>
      </w:r>
      <w:r>
        <w:rPr>
          <w:rFonts w:ascii="Times New Roman" w:hAnsi="Times New Roman"/>
          <w:color w:val="auto"/>
          <w:szCs w:val="24"/>
          <w:lang w:bidi="ar"/>
        </w:rPr>
        <w:t>µg/m</w:t>
      </w:r>
      <w:r>
        <w:rPr>
          <w:rFonts w:ascii="Times New Roman" w:hAnsi="Times New Roman"/>
          <w:color w:val="auto"/>
          <w:szCs w:val="24"/>
          <w:vertAlign w:val="superscript"/>
          <w:lang w:bidi="ar"/>
        </w:rPr>
        <w:t>3</w:t>
      </w:r>
      <w:r>
        <w:rPr>
          <w:rFonts w:hint="eastAsia" w:cs="宋体"/>
          <w:color w:val="auto"/>
          <w:kern w:val="32"/>
          <w:szCs w:val="24"/>
          <w:lang w:bidi="ar"/>
        </w:rPr>
        <w:t>（杭锦旗）～</w:t>
      </w:r>
      <w:r>
        <w:rPr>
          <w:rFonts w:ascii="Times New Roman" w:hAnsi="Times New Roman"/>
          <w:color w:val="auto"/>
          <w:kern w:val="32"/>
          <w:szCs w:val="24"/>
          <w:lang w:bidi="ar"/>
        </w:rPr>
        <w:t>61</w:t>
      </w:r>
      <w:r>
        <w:rPr>
          <w:rFonts w:ascii="Times New Roman" w:hAnsi="Times New Roman"/>
          <w:color w:val="auto"/>
          <w:szCs w:val="24"/>
          <w:lang w:bidi="ar"/>
        </w:rPr>
        <w:t>µg/m</w:t>
      </w:r>
      <w:r>
        <w:rPr>
          <w:rFonts w:ascii="Times New Roman" w:hAnsi="Times New Roman"/>
          <w:color w:val="auto"/>
          <w:szCs w:val="24"/>
          <w:vertAlign w:val="superscript"/>
          <w:lang w:bidi="ar"/>
        </w:rPr>
        <w:t>3</w:t>
      </w:r>
      <w:r>
        <w:rPr>
          <w:rFonts w:hint="eastAsia" w:cs="宋体"/>
          <w:color w:val="auto"/>
          <w:kern w:val="32"/>
          <w:szCs w:val="24"/>
          <w:lang w:bidi="ar"/>
        </w:rPr>
        <w:t>（东胜区和达拉特旗）之间，年均值未超过《环境空气质量标准》（</w:t>
      </w:r>
      <w:r>
        <w:rPr>
          <w:rFonts w:ascii="Times New Roman" w:hAnsi="Times New Roman"/>
          <w:color w:val="auto"/>
          <w:kern w:val="32"/>
          <w:szCs w:val="24"/>
          <w:lang w:bidi="ar"/>
        </w:rPr>
        <w:t>GB3095-2012</w:t>
      </w:r>
      <w:r>
        <w:rPr>
          <w:rFonts w:hint="eastAsia" w:cs="宋体"/>
          <w:color w:val="auto"/>
          <w:kern w:val="32"/>
          <w:szCs w:val="24"/>
          <w:lang w:bidi="ar"/>
        </w:rPr>
        <w:t>）二级浓度限值。</w:t>
      </w:r>
    </w:p>
    <w:tbl>
      <w:tblPr>
        <w:tblStyle w:val="5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rPr>
                <w:rFonts w:ascii="Times New Roman" w:hAnsi="Times New Roman"/>
                <w:color w:val="auto"/>
                <w:sz w:val="20"/>
              </w:rPr>
            </w:pPr>
            <w:r>
              <w:rPr>
                <w:rFonts w:ascii="Times New Roman" w:hAnsi="Times New Roman"/>
                <w:color w:val="auto"/>
                <w:sz w:val="20"/>
                <w:lang w:bidi="ar"/>
              </w:rPr>
              <w:drawing>
                <wp:inline distT="0" distB="0" distL="114300" distR="114300">
                  <wp:extent cx="3009900" cy="2009775"/>
                  <wp:effectExtent l="0" t="0" r="0" b="9525"/>
                  <wp:docPr id="105" name="图片 6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1" descr="IMG_260"/>
                          <pic:cNvPicPr>
                            <a:picLocks noChangeAspect="1"/>
                          </pic:cNvPicPr>
                        </pic:nvPicPr>
                        <pic:blipFill>
                          <a:blip r:embed="rId63"/>
                          <a:stretch>
                            <a:fillRect/>
                          </a:stretch>
                        </pic:blipFill>
                        <pic:spPr>
                          <a:xfrm>
                            <a:off x="0" y="0"/>
                            <a:ext cx="3009900" cy="2009775"/>
                          </a:xfrm>
                          <a:prstGeom prst="rect">
                            <a:avLst/>
                          </a:prstGeom>
                          <a:noFill/>
                          <a:ln w="9525">
                            <a:noFill/>
                          </a:ln>
                        </pic:spPr>
                      </pic:pic>
                    </a:graphicData>
                  </a:graphic>
                </wp:inline>
              </w:drawing>
            </w:r>
          </w:p>
        </w:tc>
        <w:tc>
          <w:tcPr>
            <w:tcW w:w="478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rPr>
                <w:rFonts w:ascii="Times New Roman" w:hAnsi="Times New Roman"/>
                <w:color w:val="auto"/>
                <w:sz w:val="20"/>
              </w:rPr>
            </w:pPr>
            <w:r>
              <w:rPr>
                <w:rFonts w:ascii="Times New Roman" w:hAnsi="Times New Roman"/>
                <w:color w:val="auto"/>
                <w:sz w:val="20"/>
                <w:lang w:bidi="ar"/>
              </w:rPr>
              <w:drawing>
                <wp:inline distT="0" distB="0" distL="114300" distR="114300">
                  <wp:extent cx="2924175" cy="2162175"/>
                  <wp:effectExtent l="0" t="0" r="9525" b="9525"/>
                  <wp:docPr id="112" name="图片 6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2" descr="IMG_261"/>
                          <pic:cNvPicPr>
                            <a:picLocks noChangeAspect="1"/>
                          </pic:cNvPicPr>
                        </pic:nvPicPr>
                        <pic:blipFill>
                          <a:blip r:embed="rId64"/>
                          <a:stretch>
                            <a:fillRect/>
                          </a:stretch>
                        </pic:blipFill>
                        <pic:spPr>
                          <a:xfrm>
                            <a:off x="0" y="0"/>
                            <a:ext cx="2924175" cy="2162175"/>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jc w:val="center"/>
              <w:rPr>
                <w:rFonts w:ascii="Times New Roman" w:hAnsi="Times New Roman"/>
                <w:b/>
                <w:bCs/>
                <w:color w:val="auto"/>
                <w:sz w:val="18"/>
                <w:szCs w:val="18"/>
              </w:rPr>
            </w:pPr>
            <w:r>
              <w:rPr>
                <w:rFonts w:ascii="Times New Roman" w:hAnsi="Times New Roman"/>
                <w:b/>
                <w:bCs/>
                <w:color w:val="auto"/>
                <w:kern w:val="32"/>
                <w:sz w:val="18"/>
                <w:szCs w:val="18"/>
                <w:lang w:bidi="ar"/>
              </w:rPr>
              <w:t>2001~2018</w:t>
            </w:r>
            <w:r>
              <w:rPr>
                <w:rFonts w:hint="eastAsia" w:cs="宋体"/>
                <w:b/>
                <w:bCs/>
                <w:color w:val="auto"/>
                <w:kern w:val="32"/>
                <w:sz w:val="18"/>
                <w:szCs w:val="18"/>
                <w:lang w:bidi="ar"/>
              </w:rPr>
              <w:t>年全市</w:t>
            </w:r>
            <w:r>
              <w:rPr>
                <w:rFonts w:ascii="Times New Roman" w:hAnsi="Times New Roman"/>
                <w:color w:val="auto"/>
                <w:kern w:val="32"/>
                <w:sz w:val="18"/>
                <w:szCs w:val="18"/>
                <w:lang w:bidi="ar"/>
              </w:rPr>
              <w:t>PM</w:t>
            </w:r>
            <w:r>
              <w:rPr>
                <w:rFonts w:ascii="Times New Roman" w:hAnsi="Times New Roman"/>
                <w:color w:val="auto"/>
                <w:kern w:val="32"/>
                <w:sz w:val="18"/>
                <w:szCs w:val="18"/>
                <w:vertAlign w:val="subscript"/>
                <w:lang w:bidi="ar"/>
              </w:rPr>
              <w:t>10</w:t>
            </w:r>
            <w:r>
              <w:rPr>
                <w:rFonts w:hint="eastAsia" w:cs="宋体"/>
                <w:b/>
                <w:bCs/>
                <w:color w:val="auto"/>
                <w:sz w:val="18"/>
                <w:szCs w:val="18"/>
                <w:lang w:bidi="ar"/>
              </w:rPr>
              <w:t>年均值变化图</w:t>
            </w:r>
          </w:p>
        </w:tc>
        <w:tc>
          <w:tcPr>
            <w:tcW w:w="478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ind w:firstLine="361" w:firstLineChars="200"/>
              <w:rPr>
                <w:rFonts w:ascii="Times New Roman" w:hAnsi="Times New Roman"/>
                <w:color w:val="auto"/>
                <w:sz w:val="18"/>
                <w:szCs w:val="18"/>
              </w:rPr>
            </w:pPr>
            <w:r>
              <w:rPr>
                <w:rFonts w:ascii="Times New Roman" w:hAnsi="Times New Roman"/>
                <w:b/>
                <w:bCs/>
                <w:color w:val="auto"/>
                <w:kern w:val="32"/>
                <w:sz w:val="18"/>
                <w:szCs w:val="18"/>
                <w:lang w:bidi="ar"/>
              </w:rPr>
              <w:t>2020</w:t>
            </w:r>
            <w:r>
              <w:rPr>
                <w:rFonts w:hint="eastAsia" w:cs="宋体"/>
                <w:b/>
                <w:bCs/>
                <w:color w:val="auto"/>
                <w:kern w:val="32"/>
                <w:sz w:val="18"/>
                <w:szCs w:val="18"/>
                <w:lang w:bidi="ar"/>
              </w:rPr>
              <w:t>、</w:t>
            </w:r>
            <w:r>
              <w:rPr>
                <w:rFonts w:ascii="Times New Roman" w:hAnsi="Times New Roman"/>
                <w:b/>
                <w:bCs/>
                <w:color w:val="auto"/>
                <w:kern w:val="32"/>
                <w:sz w:val="18"/>
                <w:szCs w:val="18"/>
                <w:lang w:bidi="ar"/>
              </w:rPr>
              <w:t>2021</w:t>
            </w:r>
            <w:r>
              <w:rPr>
                <w:rFonts w:hint="eastAsia" w:cs="宋体"/>
                <w:b/>
                <w:bCs/>
                <w:color w:val="auto"/>
                <w:kern w:val="32"/>
                <w:sz w:val="18"/>
                <w:szCs w:val="18"/>
                <w:lang w:bidi="ar"/>
              </w:rPr>
              <w:t>年鄂尔多斯市各旗区</w:t>
            </w:r>
            <w:r>
              <w:rPr>
                <w:rFonts w:ascii="Times New Roman" w:hAnsi="Times New Roman"/>
                <w:color w:val="auto"/>
                <w:kern w:val="32"/>
                <w:sz w:val="18"/>
                <w:szCs w:val="18"/>
                <w:lang w:bidi="ar"/>
              </w:rPr>
              <w:t>PM</w:t>
            </w:r>
            <w:r>
              <w:rPr>
                <w:rFonts w:ascii="Times New Roman" w:hAnsi="Times New Roman"/>
                <w:color w:val="auto"/>
                <w:kern w:val="32"/>
                <w:sz w:val="18"/>
                <w:szCs w:val="18"/>
                <w:vertAlign w:val="subscript"/>
                <w:lang w:bidi="ar"/>
              </w:rPr>
              <w:t>10</w:t>
            </w:r>
            <w:r>
              <w:rPr>
                <w:rFonts w:hint="eastAsia" w:cs="宋体"/>
                <w:b/>
                <w:bCs/>
                <w:color w:val="auto"/>
                <w:sz w:val="18"/>
                <w:szCs w:val="18"/>
                <w:lang w:bidi="ar"/>
              </w:rPr>
              <w:t>年均值变化图</w:t>
            </w:r>
          </w:p>
        </w:tc>
      </w:tr>
    </w:tbl>
    <w:p>
      <w:pPr>
        <w:pStyle w:val="54"/>
        <w:widowControl w:val="0"/>
        <w:autoSpaceDE w:val="0"/>
        <w:autoSpaceDN w:val="0"/>
        <w:adjustRightInd w:val="0"/>
        <w:spacing w:before="120" w:beforeLines="50" w:beforeAutospacing="0" w:after="120" w:afterLines="50" w:afterAutospacing="0"/>
        <w:jc w:val="center"/>
        <w:rPr>
          <w:rFonts w:ascii="Times New Roman" w:hAnsi="Times New Roman"/>
          <w:b/>
          <w:bCs/>
          <w:color w:val="auto"/>
          <w:szCs w:val="24"/>
        </w:rPr>
      </w:pPr>
      <w:r>
        <w:rPr>
          <w:rFonts w:hint="eastAsia" w:cs="宋体"/>
          <w:b/>
          <w:bCs/>
          <w:color w:val="auto"/>
          <w:kern w:val="32"/>
          <w:szCs w:val="24"/>
          <w:lang w:bidi="ar"/>
        </w:rPr>
        <w:t>鄂尔多斯全市及各旗区</w:t>
      </w:r>
      <w:r>
        <w:rPr>
          <w:rFonts w:ascii="Times New Roman" w:hAnsi="Times New Roman"/>
          <w:b/>
          <w:bCs/>
          <w:color w:val="auto"/>
          <w:kern w:val="32"/>
          <w:szCs w:val="24"/>
          <w:lang w:bidi="ar"/>
        </w:rPr>
        <w:t>PM</w:t>
      </w:r>
      <w:r>
        <w:rPr>
          <w:rFonts w:ascii="Times New Roman" w:hAnsi="Times New Roman"/>
          <w:b/>
          <w:bCs/>
          <w:color w:val="auto"/>
          <w:kern w:val="32"/>
          <w:szCs w:val="24"/>
          <w:vertAlign w:val="subscript"/>
          <w:lang w:bidi="ar"/>
        </w:rPr>
        <w:t>10</w:t>
      </w:r>
      <w:r>
        <w:rPr>
          <w:rFonts w:hint="eastAsia" w:cs="宋体"/>
          <w:b/>
          <w:bCs/>
          <w:color w:val="auto"/>
          <w:kern w:val="32"/>
          <w:szCs w:val="24"/>
          <w:lang w:bidi="ar"/>
        </w:rPr>
        <w:t>年均值变化图</w:t>
      </w:r>
      <w:r>
        <w:rPr>
          <w:rFonts w:hint="eastAsia" w:cs="宋体"/>
          <w:b/>
          <w:bCs/>
          <w:color w:val="auto"/>
          <w:szCs w:val="24"/>
          <w:lang w:bidi="ar"/>
        </w:rPr>
        <w:t>图</w:t>
      </w:r>
    </w:p>
    <w:p>
      <w:pPr>
        <w:spacing w:line="440" w:lineRule="exact"/>
        <w:ind w:firstLine="480" w:firstLineChars="200"/>
        <w:rPr>
          <w:rFonts w:ascii="Times New Roman" w:hAnsi="Times New Roman"/>
          <w:szCs w:val="24"/>
        </w:rPr>
      </w:pPr>
      <w:r>
        <w:rPr>
          <w:rFonts w:hint="eastAsia" w:cs="宋体"/>
          <w:szCs w:val="24"/>
          <w:lang w:bidi="ar"/>
        </w:rPr>
        <w:t>全市剔除沙尘天气影响后，</w:t>
      </w:r>
      <w:r>
        <w:rPr>
          <w:rFonts w:ascii="Times New Roman" w:hAnsi="Times New Roman"/>
          <w:szCs w:val="24"/>
          <w:lang w:bidi="ar"/>
        </w:rPr>
        <w:t>2016</w:t>
      </w:r>
      <w:r>
        <w:rPr>
          <w:rFonts w:hint="eastAsia" w:cs="宋体"/>
          <w:szCs w:val="24"/>
          <w:lang w:bidi="ar"/>
        </w:rPr>
        <w:t>～</w:t>
      </w:r>
      <w:r>
        <w:rPr>
          <w:rFonts w:ascii="Times New Roman" w:hAnsi="Times New Roman"/>
          <w:szCs w:val="24"/>
          <w:lang w:bidi="ar"/>
        </w:rPr>
        <w:t>2018</w:t>
      </w:r>
      <w:r>
        <w:rPr>
          <w:rFonts w:hint="eastAsia" w:cs="宋体"/>
          <w:szCs w:val="24"/>
          <w:lang w:bidi="ar"/>
        </w:rPr>
        <w:t>年</w:t>
      </w:r>
      <w:r>
        <w:rPr>
          <w:rFonts w:ascii="Times New Roman" w:hAnsi="Times New Roman"/>
          <w:szCs w:val="24"/>
          <w:lang w:bidi="ar"/>
        </w:rPr>
        <w:t>PM</w:t>
      </w:r>
      <w:r>
        <w:rPr>
          <w:rFonts w:ascii="Times New Roman" w:hAnsi="Times New Roman"/>
          <w:szCs w:val="24"/>
          <w:vertAlign w:val="subscript"/>
          <w:lang w:bidi="ar"/>
        </w:rPr>
        <w:t>10</w:t>
      </w:r>
      <w:r>
        <w:rPr>
          <w:rFonts w:hint="eastAsia" w:cs="宋体"/>
          <w:szCs w:val="24"/>
          <w:lang w:bidi="ar"/>
        </w:rPr>
        <w:t>年均浓度范围</w:t>
      </w:r>
      <w:r>
        <w:rPr>
          <w:rFonts w:ascii="Times New Roman" w:hAnsi="Times New Roman"/>
          <w:szCs w:val="24"/>
          <w:lang w:bidi="ar"/>
        </w:rPr>
        <w:t>59</w:t>
      </w:r>
      <w:r>
        <w:rPr>
          <w:rFonts w:hint="eastAsia" w:cs="宋体"/>
          <w:szCs w:val="24"/>
          <w:lang w:bidi="ar"/>
        </w:rPr>
        <w:t>～</w:t>
      </w:r>
      <w:r>
        <w:rPr>
          <w:rFonts w:ascii="Times New Roman" w:hAnsi="Times New Roman"/>
          <w:szCs w:val="24"/>
          <w:lang w:bidi="ar"/>
        </w:rPr>
        <w:t>67μg/m</w:t>
      </w:r>
      <w:r>
        <w:rPr>
          <w:rFonts w:ascii="Times New Roman" w:hAnsi="Times New Roman"/>
          <w:szCs w:val="24"/>
          <w:vertAlign w:val="superscript"/>
          <w:lang w:bidi="ar"/>
        </w:rPr>
        <w:t>3</w:t>
      </w:r>
      <w:r>
        <w:rPr>
          <w:rFonts w:hint="eastAsia" w:cs="宋体"/>
          <w:szCs w:val="24"/>
          <w:lang w:bidi="ar"/>
        </w:rPr>
        <w:t>，每年的</w:t>
      </w:r>
      <w:r>
        <w:rPr>
          <w:rFonts w:ascii="Times New Roman" w:hAnsi="Times New Roman"/>
          <w:szCs w:val="24"/>
          <w:lang w:bidi="ar"/>
        </w:rPr>
        <w:t>PM</w:t>
      </w:r>
      <w:r>
        <w:rPr>
          <w:rFonts w:ascii="Times New Roman" w:hAnsi="Times New Roman"/>
          <w:szCs w:val="24"/>
          <w:vertAlign w:val="subscript"/>
          <w:lang w:bidi="ar"/>
        </w:rPr>
        <w:t>10</w:t>
      </w:r>
      <w:r>
        <w:rPr>
          <w:rFonts w:hint="eastAsia" w:cs="宋体"/>
          <w:szCs w:val="24"/>
          <w:lang w:bidi="ar"/>
        </w:rPr>
        <w:t>年均浓度均达标。</w:t>
      </w:r>
    </w:p>
    <w:p>
      <w:pPr>
        <w:pStyle w:val="54"/>
        <w:widowControl w:val="0"/>
        <w:autoSpaceDE w:val="0"/>
        <w:autoSpaceDN w:val="0"/>
        <w:adjustRightInd w:val="0"/>
        <w:spacing w:before="0" w:beforeAutospacing="0" w:after="0" w:afterAutospacing="0"/>
        <w:rPr>
          <w:rFonts w:ascii="Times New Roman" w:hAnsi="Times New Roman"/>
          <w:color w:val="auto"/>
        </w:rPr>
      </w:pPr>
      <w:r>
        <w:rPr>
          <w:rFonts w:hint="eastAsia" w:cs="宋体"/>
          <w:color w:val="auto"/>
          <w:szCs w:val="24"/>
          <w:lang w:bidi="ar"/>
        </w:rPr>
        <w:drawing>
          <wp:inline distT="0" distB="0" distL="114300" distR="114300">
            <wp:extent cx="5381625" cy="2266950"/>
            <wp:effectExtent l="0" t="0" r="9525" b="0"/>
            <wp:docPr id="106" name="图片 6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3" descr="IMG_262"/>
                    <pic:cNvPicPr>
                      <a:picLocks noChangeAspect="1"/>
                    </pic:cNvPicPr>
                  </pic:nvPicPr>
                  <pic:blipFill>
                    <a:blip r:embed="rId65"/>
                    <a:stretch>
                      <a:fillRect/>
                    </a:stretch>
                  </pic:blipFill>
                  <pic:spPr>
                    <a:xfrm>
                      <a:off x="0" y="0"/>
                      <a:ext cx="5381625" cy="2266950"/>
                    </a:xfrm>
                    <a:prstGeom prst="rect">
                      <a:avLst/>
                    </a:prstGeom>
                    <a:noFill/>
                    <a:ln w="9525">
                      <a:noFill/>
                    </a:ln>
                  </pic:spPr>
                </pic:pic>
              </a:graphicData>
            </a:graphic>
          </wp:inline>
        </w:drawing>
      </w:r>
      <w:r>
        <w:rPr>
          <w:rFonts w:ascii="Times New Roman" w:hAnsi="Times New Roman"/>
          <w:color w:val="auto"/>
          <w:szCs w:val="24"/>
          <w:lang w:bidi="ar"/>
        </w:rPr>
        <w:t xml:space="preserve"> </w:t>
      </w:r>
    </w:p>
    <w:p>
      <w:pPr>
        <w:pStyle w:val="54"/>
        <w:widowControl w:val="0"/>
        <w:autoSpaceDE w:val="0"/>
        <w:autoSpaceDN w:val="0"/>
        <w:adjustRightInd w:val="0"/>
        <w:spacing w:before="0" w:beforeAutospacing="0" w:after="0" w:afterAutospacing="0"/>
        <w:jc w:val="center"/>
        <w:rPr>
          <w:rFonts w:ascii="Times New Roman" w:hAnsi="Times New Roman"/>
          <w:b/>
          <w:bCs/>
          <w:color w:val="auto"/>
          <w:szCs w:val="24"/>
        </w:rPr>
      </w:pPr>
      <w:r>
        <w:rPr>
          <w:rFonts w:ascii="Times New Roman" w:hAnsi="Times New Roman"/>
          <w:b/>
          <w:bCs/>
          <w:color w:val="auto"/>
          <w:kern w:val="32"/>
          <w:szCs w:val="24"/>
          <w:lang w:bidi="ar"/>
        </w:rPr>
        <w:t>2016~2018</w:t>
      </w:r>
      <w:r>
        <w:rPr>
          <w:rFonts w:hint="eastAsia" w:cs="宋体"/>
          <w:b/>
          <w:bCs/>
          <w:color w:val="auto"/>
          <w:kern w:val="32"/>
          <w:szCs w:val="24"/>
          <w:lang w:bidi="ar"/>
        </w:rPr>
        <w:t>年全市</w:t>
      </w:r>
      <w:r>
        <w:rPr>
          <w:rFonts w:ascii="Times New Roman" w:hAnsi="Times New Roman"/>
          <w:b/>
          <w:bCs/>
          <w:color w:val="auto"/>
          <w:kern w:val="32"/>
          <w:szCs w:val="24"/>
          <w:lang w:bidi="ar"/>
        </w:rPr>
        <w:t>PM</w:t>
      </w:r>
      <w:r>
        <w:rPr>
          <w:rFonts w:ascii="Times New Roman" w:hAnsi="Times New Roman"/>
          <w:b/>
          <w:bCs/>
          <w:color w:val="auto"/>
          <w:kern w:val="32"/>
          <w:szCs w:val="24"/>
          <w:vertAlign w:val="subscript"/>
          <w:lang w:bidi="ar"/>
        </w:rPr>
        <w:t>10</w:t>
      </w:r>
      <w:r>
        <w:rPr>
          <w:rFonts w:hint="eastAsia" w:cs="宋体"/>
          <w:b/>
          <w:bCs/>
          <w:color w:val="auto"/>
          <w:szCs w:val="24"/>
          <w:lang w:bidi="ar"/>
        </w:rPr>
        <w:t>年均值变化图（剔除沙尘天气）</w:t>
      </w:r>
    </w:p>
    <w:p>
      <w:pPr>
        <w:pStyle w:val="54"/>
        <w:widowControl w:val="0"/>
        <w:autoSpaceDE w:val="0"/>
        <w:autoSpaceDN w:val="0"/>
        <w:adjustRightInd w:val="0"/>
        <w:spacing w:before="0" w:beforeAutospacing="0" w:after="0" w:afterAutospacing="0" w:line="440" w:lineRule="exact"/>
        <w:ind w:left="482"/>
        <w:rPr>
          <w:rFonts w:ascii="Times New Roman" w:hAnsi="Times New Roman"/>
          <w:b/>
          <w:bCs/>
          <w:color w:val="auto"/>
          <w:szCs w:val="24"/>
        </w:rPr>
      </w:pPr>
      <w:r>
        <w:rPr>
          <w:rFonts w:ascii="Times New Roman" w:hAnsi="Times New Roman"/>
          <w:b/>
          <w:bCs/>
          <w:color w:val="auto"/>
          <w:szCs w:val="24"/>
          <w:lang w:bidi="ar"/>
        </w:rPr>
        <w:t>4</w:t>
      </w:r>
      <w:r>
        <w:rPr>
          <w:rFonts w:hint="eastAsia" w:cs="宋体"/>
          <w:b/>
          <w:bCs/>
          <w:color w:val="auto"/>
          <w:szCs w:val="24"/>
          <w:lang w:bidi="ar"/>
        </w:rPr>
        <w:t>）细颗粒物</w:t>
      </w:r>
    </w:p>
    <w:p>
      <w:pPr>
        <w:spacing w:line="440" w:lineRule="exact"/>
        <w:ind w:firstLine="480" w:firstLineChars="200"/>
        <w:rPr>
          <w:rFonts w:ascii="Times New Roman" w:hAnsi="Times New Roman"/>
          <w:kern w:val="32"/>
          <w:szCs w:val="24"/>
        </w:rPr>
      </w:pPr>
      <w:r>
        <w:rPr>
          <w:rFonts w:ascii="Times New Roman" w:hAnsi="Times New Roman"/>
          <w:kern w:val="32"/>
          <w:szCs w:val="24"/>
          <w:lang w:bidi="ar"/>
        </w:rPr>
        <w:t>2016</w:t>
      </w:r>
      <w:r>
        <w:rPr>
          <w:rFonts w:hint="eastAsia" w:cs="宋体"/>
          <w:kern w:val="32"/>
          <w:szCs w:val="24"/>
          <w:lang w:bidi="ar"/>
        </w:rPr>
        <w:t>～</w:t>
      </w:r>
      <w:r>
        <w:rPr>
          <w:rFonts w:ascii="Times New Roman" w:hAnsi="Times New Roman"/>
          <w:kern w:val="32"/>
          <w:szCs w:val="24"/>
          <w:lang w:bidi="ar"/>
        </w:rPr>
        <w:t>2018</w:t>
      </w:r>
      <w:r>
        <w:rPr>
          <w:rFonts w:hint="eastAsia" w:cs="宋体"/>
          <w:kern w:val="32"/>
          <w:szCs w:val="24"/>
          <w:lang w:bidi="ar"/>
        </w:rPr>
        <w:t>年全市</w:t>
      </w:r>
      <w:r>
        <w:rPr>
          <w:rFonts w:ascii="Times New Roman" w:hAnsi="Times New Roman"/>
          <w:kern w:val="32"/>
          <w:szCs w:val="24"/>
          <w:lang w:bidi="ar"/>
        </w:rPr>
        <w:t>PM</w:t>
      </w:r>
      <w:r>
        <w:rPr>
          <w:rFonts w:ascii="Times New Roman" w:hAnsi="Times New Roman"/>
          <w:kern w:val="32"/>
          <w:szCs w:val="24"/>
          <w:vertAlign w:val="subscript"/>
          <w:lang w:bidi="ar"/>
        </w:rPr>
        <w:t>2.5</w:t>
      </w:r>
      <w:r>
        <w:rPr>
          <w:rFonts w:hint="eastAsia" w:cs="宋体"/>
          <w:kern w:val="32"/>
          <w:szCs w:val="24"/>
          <w:lang w:bidi="ar"/>
        </w:rPr>
        <w:t>年均浓度呈现增加趋势，从</w:t>
      </w:r>
      <w:r>
        <w:rPr>
          <w:rFonts w:ascii="Times New Roman" w:hAnsi="Times New Roman"/>
          <w:kern w:val="32"/>
          <w:szCs w:val="24"/>
          <w:lang w:bidi="ar"/>
        </w:rPr>
        <w:t>2016</w:t>
      </w:r>
      <w:r>
        <w:rPr>
          <w:rFonts w:hint="eastAsia" w:cs="宋体"/>
          <w:kern w:val="32"/>
          <w:szCs w:val="24"/>
          <w:lang w:bidi="ar"/>
        </w:rPr>
        <w:t>年的年均浓度</w:t>
      </w:r>
      <w:r>
        <w:rPr>
          <w:rFonts w:ascii="Times New Roman" w:hAnsi="Times New Roman"/>
          <w:kern w:val="32"/>
          <w:szCs w:val="24"/>
          <w:lang w:bidi="ar"/>
        </w:rPr>
        <w:t>24</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增加到</w:t>
      </w:r>
      <w:r>
        <w:rPr>
          <w:rFonts w:ascii="Times New Roman" w:hAnsi="Times New Roman"/>
          <w:kern w:val="32"/>
          <w:szCs w:val="24"/>
          <w:lang w:bidi="ar"/>
        </w:rPr>
        <w:t>2018</w:t>
      </w:r>
      <w:r>
        <w:rPr>
          <w:rFonts w:hint="eastAsia" w:cs="宋体"/>
          <w:kern w:val="32"/>
          <w:szCs w:val="24"/>
          <w:lang w:bidi="ar"/>
        </w:rPr>
        <w:t>年的年均浓度</w:t>
      </w:r>
      <w:r>
        <w:rPr>
          <w:rFonts w:ascii="Times New Roman" w:hAnsi="Times New Roman"/>
          <w:kern w:val="32"/>
          <w:szCs w:val="24"/>
          <w:lang w:bidi="ar"/>
        </w:rPr>
        <w:t>26</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w:t>
      </w:r>
      <w:r>
        <w:rPr>
          <w:rFonts w:ascii="Times New Roman" w:hAnsi="Times New Roman"/>
          <w:kern w:val="32"/>
          <w:szCs w:val="24"/>
          <w:lang w:bidi="ar"/>
        </w:rPr>
        <w:t>3</w:t>
      </w:r>
      <w:r>
        <w:rPr>
          <w:rFonts w:hint="eastAsia" w:cs="宋体"/>
          <w:kern w:val="32"/>
          <w:szCs w:val="24"/>
          <w:lang w:bidi="ar"/>
        </w:rPr>
        <w:t>年年均浓度增加</w:t>
      </w:r>
      <w:r>
        <w:rPr>
          <w:rFonts w:ascii="Times New Roman" w:hAnsi="Times New Roman"/>
          <w:kern w:val="32"/>
          <w:szCs w:val="24"/>
          <w:lang w:bidi="ar"/>
        </w:rPr>
        <w:t>2</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w:t>
      </w:r>
      <w:r>
        <w:rPr>
          <w:rFonts w:ascii="Times New Roman" w:hAnsi="Times New Roman"/>
          <w:kern w:val="32"/>
          <w:szCs w:val="24"/>
          <w:lang w:bidi="ar"/>
        </w:rPr>
        <w:t>3</w:t>
      </w:r>
      <w:r>
        <w:rPr>
          <w:rFonts w:hint="eastAsia" w:cs="宋体"/>
          <w:kern w:val="32"/>
          <w:szCs w:val="24"/>
          <w:lang w:bidi="ar"/>
        </w:rPr>
        <w:t>年内</w:t>
      </w:r>
      <w:r>
        <w:rPr>
          <w:rFonts w:ascii="Times New Roman" w:hAnsi="Times New Roman"/>
          <w:kern w:val="32"/>
          <w:szCs w:val="24"/>
          <w:lang w:bidi="ar"/>
        </w:rPr>
        <w:t>PM</w:t>
      </w:r>
      <w:r>
        <w:rPr>
          <w:rFonts w:ascii="Times New Roman" w:hAnsi="Times New Roman"/>
          <w:kern w:val="32"/>
          <w:szCs w:val="24"/>
          <w:vertAlign w:val="subscript"/>
          <w:lang w:bidi="ar"/>
        </w:rPr>
        <w:t>2.5</w:t>
      </w:r>
      <w:r>
        <w:rPr>
          <w:rFonts w:hint="eastAsia" w:cs="宋体"/>
          <w:kern w:val="32"/>
          <w:szCs w:val="24"/>
          <w:lang w:bidi="ar"/>
        </w:rPr>
        <w:t>年均浓度均达标。剔除沙尘天气影响后，</w:t>
      </w:r>
      <w:r>
        <w:rPr>
          <w:rFonts w:ascii="Times New Roman" w:hAnsi="Times New Roman"/>
          <w:kern w:val="32"/>
          <w:szCs w:val="24"/>
          <w:lang w:bidi="ar"/>
        </w:rPr>
        <w:t>3</w:t>
      </w:r>
      <w:r>
        <w:rPr>
          <w:rFonts w:hint="eastAsia" w:cs="宋体"/>
          <w:kern w:val="32"/>
          <w:szCs w:val="24"/>
          <w:lang w:bidi="ar"/>
        </w:rPr>
        <w:t>年</w:t>
      </w:r>
      <w:r>
        <w:rPr>
          <w:rFonts w:ascii="Times New Roman" w:hAnsi="Times New Roman"/>
          <w:kern w:val="32"/>
          <w:szCs w:val="24"/>
          <w:lang w:bidi="ar"/>
        </w:rPr>
        <w:t>PM</w:t>
      </w:r>
      <w:r>
        <w:rPr>
          <w:rFonts w:ascii="Times New Roman" w:hAnsi="Times New Roman"/>
          <w:kern w:val="32"/>
          <w:szCs w:val="24"/>
          <w:vertAlign w:val="subscript"/>
          <w:lang w:bidi="ar"/>
        </w:rPr>
        <w:t>2.5</w:t>
      </w:r>
      <w:r>
        <w:rPr>
          <w:rFonts w:hint="eastAsia" w:cs="宋体"/>
          <w:kern w:val="32"/>
          <w:szCs w:val="24"/>
          <w:lang w:bidi="ar"/>
        </w:rPr>
        <w:t>年均浓度呈现波动降低趋势，</w:t>
      </w:r>
      <w:r>
        <w:rPr>
          <w:rFonts w:ascii="Times New Roman" w:hAnsi="Times New Roman"/>
          <w:kern w:val="32"/>
          <w:szCs w:val="24"/>
          <w:lang w:bidi="ar"/>
        </w:rPr>
        <w:t>3</w:t>
      </w:r>
      <w:r>
        <w:rPr>
          <w:rFonts w:hint="eastAsia" w:cs="宋体"/>
          <w:kern w:val="32"/>
          <w:szCs w:val="24"/>
          <w:lang w:bidi="ar"/>
        </w:rPr>
        <w:t>年间</w:t>
      </w:r>
      <w:r>
        <w:rPr>
          <w:rFonts w:ascii="Times New Roman" w:hAnsi="Times New Roman"/>
          <w:kern w:val="32"/>
          <w:szCs w:val="24"/>
          <w:lang w:bidi="ar"/>
        </w:rPr>
        <w:t>PM</w:t>
      </w:r>
      <w:r>
        <w:rPr>
          <w:rFonts w:ascii="Times New Roman" w:hAnsi="Times New Roman"/>
          <w:kern w:val="32"/>
          <w:szCs w:val="24"/>
          <w:vertAlign w:val="subscript"/>
          <w:lang w:bidi="ar"/>
        </w:rPr>
        <w:t>2.5</w:t>
      </w:r>
      <w:r>
        <w:rPr>
          <w:rFonts w:hint="eastAsia" w:cs="宋体"/>
          <w:kern w:val="32"/>
          <w:szCs w:val="24"/>
          <w:lang w:bidi="ar"/>
        </w:rPr>
        <w:t>年均浓度范围</w:t>
      </w:r>
      <w:r>
        <w:rPr>
          <w:rFonts w:ascii="Times New Roman" w:hAnsi="Times New Roman"/>
          <w:kern w:val="32"/>
          <w:szCs w:val="24"/>
          <w:lang w:bidi="ar"/>
        </w:rPr>
        <w:t>23</w:t>
      </w:r>
      <w:r>
        <w:rPr>
          <w:rFonts w:hint="eastAsia" w:cs="宋体"/>
          <w:kern w:val="32"/>
          <w:szCs w:val="24"/>
          <w:lang w:bidi="ar"/>
        </w:rPr>
        <w:t>～</w:t>
      </w:r>
      <w:r>
        <w:rPr>
          <w:rFonts w:ascii="Times New Roman" w:hAnsi="Times New Roman"/>
          <w:kern w:val="32"/>
          <w:szCs w:val="24"/>
          <w:lang w:bidi="ar"/>
        </w:rPr>
        <w:t>24</w:t>
      </w:r>
      <w:r>
        <w:rPr>
          <w:rFonts w:ascii="Times New Roman" w:hAnsi="Times New Roman"/>
          <w:sz w:val="21"/>
          <w:szCs w:val="21"/>
          <w:lang w:bidi="ar"/>
        </w:rPr>
        <w:t>µg/m</w:t>
      </w:r>
      <w:r>
        <w:rPr>
          <w:rFonts w:ascii="Times New Roman" w:hAnsi="Times New Roman"/>
          <w:sz w:val="21"/>
          <w:szCs w:val="21"/>
          <w:vertAlign w:val="superscript"/>
          <w:lang w:bidi="ar"/>
        </w:rPr>
        <w:t>3</w:t>
      </w:r>
      <w:r>
        <w:rPr>
          <w:rFonts w:hint="eastAsia" w:cs="宋体"/>
          <w:kern w:val="32"/>
          <w:szCs w:val="24"/>
          <w:lang w:bidi="ar"/>
        </w:rPr>
        <w:t>，年均浓度均达标。</w:t>
      </w:r>
    </w:p>
    <w:p>
      <w:pPr>
        <w:pStyle w:val="54"/>
        <w:widowControl w:val="0"/>
        <w:autoSpaceDE w:val="0"/>
        <w:autoSpaceDN w:val="0"/>
        <w:adjustRightInd w:val="0"/>
        <w:spacing w:before="0" w:beforeAutospacing="0" w:after="0" w:afterAutospacing="0" w:line="440" w:lineRule="exact"/>
        <w:ind w:firstLine="480" w:firstLineChars="200"/>
        <w:jc w:val="left"/>
        <w:rPr>
          <w:rFonts w:ascii="Times New Roman" w:hAnsi="Times New Roman"/>
          <w:color w:val="auto"/>
          <w:kern w:val="32"/>
          <w:szCs w:val="24"/>
        </w:rPr>
      </w:pPr>
      <w:r>
        <w:rPr>
          <w:rFonts w:hint="eastAsia" w:cs="宋体"/>
          <w:color w:val="auto"/>
          <w:kern w:val="32"/>
          <w:szCs w:val="24"/>
          <w:lang w:bidi="ar"/>
        </w:rPr>
        <w:t>剔除沙尘天气影响后，</w:t>
      </w:r>
      <w:r>
        <w:rPr>
          <w:rFonts w:ascii="Times New Roman" w:hAnsi="Times New Roman"/>
          <w:color w:val="auto"/>
          <w:kern w:val="32"/>
          <w:szCs w:val="24"/>
          <w:lang w:bidi="ar"/>
        </w:rPr>
        <w:t>2021</w:t>
      </w:r>
      <w:r>
        <w:rPr>
          <w:rFonts w:hint="eastAsia" w:cs="宋体"/>
          <w:color w:val="auto"/>
          <w:kern w:val="32"/>
          <w:szCs w:val="24"/>
          <w:lang w:bidi="ar"/>
        </w:rPr>
        <w:t>年各旗区年平均浓度范围在</w:t>
      </w:r>
      <w:r>
        <w:rPr>
          <w:rFonts w:ascii="Times New Roman" w:hAnsi="Times New Roman"/>
          <w:color w:val="auto"/>
          <w:kern w:val="32"/>
          <w:szCs w:val="24"/>
          <w:lang w:bidi="ar"/>
        </w:rPr>
        <w:t>18</w:t>
      </w:r>
      <w:r>
        <w:rPr>
          <w:rFonts w:ascii="Times New Roman" w:hAnsi="Times New Roman"/>
          <w:color w:val="auto"/>
          <w:szCs w:val="24"/>
          <w:lang w:bidi="ar"/>
        </w:rPr>
        <w:t>µg/m</w:t>
      </w:r>
      <w:r>
        <w:rPr>
          <w:rFonts w:ascii="Times New Roman" w:hAnsi="Times New Roman"/>
          <w:color w:val="auto"/>
          <w:szCs w:val="24"/>
          <w:vertAlign w:val="superscript"/>
          <w:lang w:bidi="ar"/>
        </w:rPr>
        <w:t>3</w:t>
      </w:r>
      <w:r>
        <w:rPr>
          <w:rFonts w:hint="eastAsia" w:cs="宋体"/>
          <w:color w:val="auto"/>
          <w:kern w:val="32"/>
          <w:szCs w:val="24"/>
          <w:lang w:bidi="ar"/>
        </w:rPr>
        <w:t>（伊金霍洛旗、鄂托克旗）～</w:t>
      </w:r>
      <w:r>
        <w:rPr>
          <w:rFonts w:ascii="Times New Roman" w:hAnsi="Times New Roman"/>
          <w:color w:val="auto"/>
          <w:kern w:val="32"/>
          <w:szCs w:val="24"/>
          <w:lang w:bidi="ar"/>
        </w:rPr>
        <w:t>27</w:t>
      </w:r>
      <w:r>
        <w:rPr>
          <w:rFonts w:ascii="Times New Roman" w:hAnsi="Times New Roman"/>
          <w:color w:val="auto"/>
          <w:szCs w:val="24"/>
          <w:lang w:bidi="ar"/>
        </w:rPr>
        <w:t>µg/m</w:t>
      </w:r>
      <w:r>
        <w:rPr>
          <w:rFonts w:ascii="Times New Roman" w:hAnsi="Times New Roman"/>
          <w:color w:val="auto"/>
          <w:szCs w:val="24"/>
          <w:vertAlign w:val="superscript"/>
          <w:lang w:bidi="ar"/>
        </w:rPr>
        <w:t>3</w:t>
      </w:r>
      <w:r>
        <w:rPr>
          <w:rFonts w:hint="eastAsia" w:cs="宋体"/>
          <w:color w:val="auto"/>
          <w:kern w:val="32"/>
          <w:szCs w:val="24"/>
          <w:lang w:bidi="ar"/>
        </w:rPr>
        <w:t>（达拉特旗）之间，年均值未超过《环境空气质量标准》（</w:t>
      </w:r>
      <w:r>
        <w:rPr>
          <w:rFonts w:ascii="Times New Roman" w:hAnsi="Times New Roman"/>
          <w:color w:val="auto"/>
          <w:kern w:val="32"/>
          <w:szCs w:val="24"/>
          <w:lang w:bidi="ar"/>
        </w:rPr>
        <w:t>GB3095-2012</w:t>
      </w:r>
      <w:r>
        <w:rPr>
          <w:rFonts w:hint="eastAsia" w:cs="宋体"/>
          <w:color w:val="auto"/>
          <w:kern w:val="32"/>
          <w:szCs w:val="24"/>
          <w:lang w:bidi="ar"/>
        </w:rPr>
        <w:t xml:space="preserve">）二级浓度限值。 </w:t>
      </w:r>
    </w:p>
    <w:tbl>
      <w:tblPr>
        <w:tblStyle w:val="5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9"/>
        <w:gridCol w:w="46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rPr>
                <w:rFonts w:ascii="Times New Roman" w:hAnsi="Times New Roman"/>
                <w:color w:val="auto"/>
                <w:sz w:val="20"/>
              </w:rPr>
            </w:pPr>
            <w:r>
              <w:rPr>
                <w:rFonts w:ascii="Times New Roman" w:hAnsi="Times New Roman"/>
                <w:color w:val="auto"/>
                <w:sz w:val="20"/>
                <w:lang w:bidi="ar"/>
              </w:rPr>
              <w:drawing>
                <wp:inline distT="0" distB="0" distL="114300" distR="114300">
                  <wp:extent cx="2933700" cy="1857375"/>
                  <wp:effectExtent l="0" t="0" r="0" b="9525"/>
                  <wp:docPr id="107" name="图片 6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4" descr="IMG_263"/>
                          <pic:cNvPicPr>
                            <a:picLocks noChangeAspect="1"/>
                          </pic:cNvPicPr>
                        </pic:nvPicPr>
                        <pic:blipFill>
                          <a:blip r:embed="rId66"/>
                          <a:stretch>
                            <a:fillRect/>
                          </a:stretch>
                        </pic:blipFill>
                        <pic:spPr>
                          <a:xfrm>
                            <a:off x="0" y="0"/>
                            <a:ext cx="2933700" cy="1857375"/>
                          </a:xfrm>
                          <a:prstGeom prst="rect">
                            <a:avLst/>
                          </a:prstGeom>
                          <a:noFill/>
                          <a:ln w="9525">
                            <a:noFill/>
                          </a:ln>
                        </pic:spPr>
                      </pic:pic>
                    </a:graphicData>
                  </a:graphic>
                </wp:inline>
              </w:drawing>
            </w:r>
          </w:p>
        </w:tc>
        <w:tc>
          <w:tcPr>
            <w:tcW w:w="478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rPr>
                <w:rFonts w:ascii="Times New Roman" w:hAnsi="Times New Roman"/>
                <w:color w:val="auto"/>
                <w:sz w:val="20"/>
              </w:rPr>
            </w:pPr>
            <w:r>
              <w:rPr>
                <w:rFonts w:ascii="Times New Roman" w:hAnsi="Times New Roman"/>
                <w:color w:val="auto"/>
                <w:sz w:val="20"/>
                <w:lang w:bidi="ar"/>
              </w:rPr>
              <w:drawing>
                <wp:inline distT="0" distB="0" distL="114300" distR="114300">
                  <wp:extent cx="2876550" cy="2019300"/>
                  <wp:effectExtent l="0" t="0" r="0" b="0"/>
                  <wp:docPr id="108" name="图片 6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5" descr="IMG_264"/>
                          <pic:cNvPicPr>
                            <a:picLocks noChangeAspect="1"/>
                          </pic:cNvPicPr>
                        </pic:nvPicPr>
                        <pic:blipFill>
                          <a:blip r:embed="rId67"/>
                          <a:stretch>
                            <a:fillRect/>
                          </a:stretch>
                        </pic:blipFill>
                        <pic:spPr>
                          <a:xfrm>
                            <a:off x="0" y="0"/>
                            <a:ext cx="2876550" cy="201930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jc w:val="center"/>
              <w:rPr>
                <w:rFonts w:ascii="Times New Roman" w:hAnsi="Times New Roman"/>
                <w:b/>
                <w:bCs/>
                <w:color w:val="auto"/>
                <w:sz w:val="18"/>
                <w:szCs w:val="18"/>
              </w:rPr>
            </w:pPr>
            <w:r>
              <w:rPr>
                <w:rFonts w:ascii="Times New Roman" w:hAnsi="Times New Roman"/>
                <w:b/>
                <w:bCs/>
                <w:color w:val="auto"/>
                <w:kern w:val="32"/>
                <w:sz w:val="18"/>
                <w:szCs w:val="18"/>
                <w:lang w:bidi="ar"/>
              </w:rPr>
              <w:t>2016~2018</w:t>
            </w:r>
            <w:r>
              <w:rPr>
                <w:rFonts w:hint="eastAsia" w:cs="宋体"/>
                <w:b/>
                <w:bCs/>
                <w:color w:val="auto"/>
                <w:kern w:val="32"/>
                <w:sz w:val="18"/>
                <w:szCs w:val="18"/>
                <w:lang w:bidi="ar"/>
              </w:rPr>
              <w:t>年全市</w:t>
            </w:r>
            <w:r>
              <w:rPr>
                <w:rFonts w:ascii="Times New Roman" w:hAnsi="Times New Roman"/>
                <w:color w:val="auto"/>
                <w:kern w:val="32"/>
                <w:sz w:val="18"/>
                <w:szCs w:val="18"/>
                <w:lang w:bidi="ar"/>
              </w:rPr>
              <w:t>PM</w:t>
            </w:r>
            <w:r>
              <w:rPr>
                <w:rFonts w:ascii="Times New Roman" w:hAnsi="Times New Roman"/>
                <w:color w:val="auto"/>
                <w:kern w:val="32"/>
                <w:sz w:val="18"/>
                <w:szCs w:val="18"/>
                <w:vertAlign w:val="subscript"/>
                <w:lang w:bidi="ar"/>
              </w:rPr>
              <w:t>2.5</w:t>
            </w:r>
            <w:r>
              <w:rPr>
                <w:rFonts w:hint="eastAsia" w:cs="宋体"/>
                <w:b/>
                <w:bCs/>
                <w:color w:val="auto"/>
                <w:sz w:val="18"/>
                <w:szCs w:val="18"/>
                <w:lang w:bidi="ar"/>
              </w:rPr>
              <w:t>年均值变化图</w:t>
            </w:r>
          </w:p>
        </w:tc>
        <w:tc>
          <w:tcPr>
            <w:tcW w:w="4783" w:type="dxa"/>
            <w:tcBorders>
              <w:top w:val="single" w:color="auto" w:sz="4" w:space="0"/>
              <w:left w:val="single" w:color="auto" w:sz="4" w:space="0"/>
              <w:bottom w:val="single" w:color="auto" w:sz="4" w:space="0"/>
              <w:right w:val="single" w:color="auto" w:sz="4" w:space="0"/>
            </w:tcBorders>
            <w:shd w:val="clear" w:color="auto" w:fill="auto"/>
          </w:tcPr>
          <w:p>
            <w:pPr>
              <w:pStyle w:val="54"/>
              <w:widowControl w:val="0"/>
              <w:autoSpaceDE w:val="0"/>
              <w:autoSpaceDN w:val="0"/>
              <w:adjustRightInd w:val="0"/>
              <w:spacing w:before="0" w:beforeAutospacing="0" w:after="0" w:afterAutospacing="0"/>
              <w:ind w:firstLine="361" w:firstLineChars="200"/>
              <w:rPr>
                <w:rFonts w:ascii="Times New Roman" w:hAnsi="Times New Roman"/>
                <w:color w:val="auto"/>
                <w:sz w:val="18"/>
                <w:szCs w:val="18"/>
              </w:rPr>
            </w:pPr>
            <w:r>
              <w:rPr>
                <w:rFonts w:ascii="Times New Roman" w:hAnsi="Times New Roman"/>
                <w:b/>
                <w:bCs/>
                <w:color w:val="auto"/>
                <w:kern w:val="32"/>
                <w:sz w:val="18"/>
                <w:szCs w:val="18"/>
                <w:lang w:bidi="ar"/>
              </w:rPr>
              <w:t>2020</w:t>
            </w:r>
            <w:r>
              <w:rPr>
                <w:rFonts w:hint="eastAsia" w:cs="宋体"/>
                <w:b/>
                <w:bCs/>
                <w:color w:val="auto"/>
                <w:kern w:val="32"/>
                <w:sz w:val="18"/>
                <w:szCs w:val="18"/>
                <w:lang w:bidi="ar"/>
              </w:rPr>
              <w:t>、</w:t>
            </w:r>
            <w:r>
              <w:rPr>
                <w:rFonts w:ascii="Times New Roman" w:hAnsi="Times New Roman"/>
                <w:b/>
                <w:bCs/>
                <w:color w:val="auto"/>
                <w:kern w:val="32"/>
                <w:sz w:val="18"/>
                <w:szCs w:val="18"/>
                <w:lang w:bidi="ar"/>
              </w:rPr>
              <w:t>2021</w:t>
            </w:r>
            <w:r>
              <w:rPr>
                <w:rFonts w:hint="eastAsia" w:cs="宋体"/>
                <w:b/>
                <w:bCs/>
                <w:color w:val="auto"/>
                <w:kern w:val="32"/>
                <w:sz w:val="18"/>
                <w:szCs w:val="18"/>
                <w:lang w:bidi="ar"/>
              </w:rPr>
              <w:t>年鄂尔多斯市各旗区</w:t>
            </w:r>
            <w:r>
              <w:rPr>
                <w:rFonts w:ascii="Times New Roman" w:hAnsi="Times New Roman"/>
                <w:color w:val="auto"/>
                <w:kern w:val="32"/>
                <w:sz w:val="18"/>
                <w:szCs w:val="18"/>
                <w:lang w:bidi="ar"/>
              </w:rPr>
              <w:t>PM</w:t>
            </w:r>
            <w:r>
              <w:rPr>
                <w:rFonts w:ascii="Times New Roman" w:hAnsi="Times New Roman"/>
                <w:color w:val="auto"/>
                <w:kern w:val="32"/>
                <w:sz w:val="18"/>
                <w:szCs w:val="18"/>
                <w:vertAlign w:val="subscript"/>
                <w:lang w:bidi="ar"/>
              </w:rPr>
              <w:t>2.5</w:t>
            </w:r>
            <w:r>
              <w:rPr>
                <w:rFonts w:hint="eastAsia" w:cs="宋体"/>
                <w:b/>
                <w:bCs/>
                <w:color w:val="auto"/>
                <w:sz w:val="18"/>
                <w:szCs w:val="18"/>
                <w:lang w:bidi="ar"/>
              </w:rPr>
              <w:t>年均值变化图</w:t>
            </w:r>
          </w:p>
        </w:tc>
      </w:tr>
    </w:tbl>
    <w:p>
      <w:pPr>
        <w:pStyle w:val="54"/>
        <w:widowControl w:val="0"/>
        <w:autoSpaceDE w:val="0"/>
        <w:autoSpaceDN w:val="0"/>
        <w:adjustRightInd w:val="0"/>
        <w:spacing w:before="120" w:beforeLines="50" w:beforeAutospacing="0" w:after="120" w:afterLines="50" w:afterAutospacing="0"/>
        <w:jc w:val="center"/>
        <w:rPr>
          <w:rFonts w:ascii="Times New Roman" w:hAnsi="Times New Roman"/>
          <w:b/>
          <w:bCs/>
          <w:color w:val="auto"/>
          <w:szCs w:val="24"/>
        </w:rPr>
      </w:pPr>
      <w:r>
        <w:rPr>
          <w:rFonts w:hint="eastAsia" w:cs="宋体"/>
          <w:b/>
          <w:bCs/>
          <w:color w:val="auto"/>
          <w:kern w:val="32"/>
          <w:szCs w:val="24"/>
          <w:lang w:bidi="ar"/>
        </w:rPr>
        <w:t>鄂尔多斯全市及各旗区</w:t>
      </w:r>
      <w:r>
        <w:rPr>
          <w:rFonts w:ascii="Times New Roman" w:hAnsi="Times New Roman"/>
          <w:b/>
          <w:bCs/>
          <w:color w:val="auto"/>
          <w:kern w:val="32"/>
          <w:szCs w:val="24"/>
          <w:lang w:bidi="ar"/>
        </w:rPr>
        <w:t>PM</w:t>
      </w:r>
      <w:r>
        <w:rPr>
          <w:rFonts w:ascii="Times New Roman" w:hAnsi="Times New Roman"/>
          <w:b/>
          <w:bCs/>
          <w:color w:val="auto"/>
          <w:kern w:val="32"/>
          <w:szCs w:val="24"/>
          <w:vertAlign w:val="subscript"/>
          <w:lang w:bidi="ar"/>
        </w:rPr>
        <w:t>2.5</w:t>
      </w:r>
      <w:r>
        <w:rPr>
          <w:rFonts w:hint="eastAsia" w:cs="宋体"/>
          <w:b/>
          <w:bCs/>
          <w:color w:val="auto"/>
          <w:szCs w:val="24"/>
          <w:lang w:bidi="ar"/>
        </w:rPr>
        <w:t>年均值变化图（剔除沙尘天气）</w:t>
      </w:r>
    </w:p>
    <w:p>
      <w:pPr>
        <w:pStyle w:val="54"/>
        <w:widowControl w:val="0"/>
        <w:autoSpaceDE w:val="0"/>
        <w:autoSpaceDN w:val="0"/>
        <w:adjustRightInd w:val="0"/>
        <w:spacing w:before="120" w:beforeLines="50" w:beforeAutospacing="0" w:after="120" w:afterLines="50" w:afterAutospacing="0"/>
        <w:ind w:firstLine="723" w:firstLineChars="300"/>
        <w:jc w:val="left"/>
        <w:rPr>
          <w:rFonts w:ascii="Times New Roman" w:hAnsi="Times New Roman"/>
          <w:b/>
          <w:bCs/>
          <w:color w:val="auto"/>
          <w:szCs w:val="24"/>
        </w:rPr>
      </w:pPr>
      <w:r>
        <w:rPr>
          <w:rFonts w:ascii="Times New Roman" w:hAnsi="Times New Roman"/>
          <w:b/>
          <w:bCs/>
          <w:color w:val="auto"/>
          <w:szCs w:val="24"/>
          <w:lang w:bidi="ar"/>
        </w:rPr>
        <w:t>5</w:t>
      </w:r>
      <w:r>
        <w:rPr>
          <w:rFonts w:hint="eastAsia" w:cs="宋体"/>
          <w:b/>
          <w:bCs/>
          <w:color w:val="auto"/>
          <w:szCs w:val="24"/>
          <w:lang w:bidi="ar"/>
        </w:rPr>
        <w:t>）一氧化碳</w:t>
      </w:r>
    </w:p>
    <w:p>
      <w:pPr>
        <w:pStyle w:val="54"/>
        <w:widowControl w:val="0"/>
        <w:autoSpaceDE w:val="0"/>
        <w:autoSpaceDN w:val="0"/>
        <w:adjustRightInd w:val="0"/>
        <w:spacing w:before="120" w:beforeLines="50" w:beforeAutospacing="0" w:after="120" w:afterLines="50" w:afterAutospacing="0" w:line="440" w:lineRule="exact"/>
        <w:ind w:firstLine="480" w:firstLineChars="200"/>
        <w:jc w:val="left"/>
        <w:rPr>
          <w:rFonts w:ascii="Times New Roman" w:hAnsi="Times New Roman"/>
          <w:color w:val="auto"/>
          <w:szCs w:val="24"/>
        </w:rPr>
      </w:pPr>
      <w:r>
        <w:rPr>
          <w:rFonts w:ascii="Times New Roman" w:hAnsi="Times New Roman"/>
          <w:color w:val="auto"/>
          <w:szCs w:val="24"/>
          <w:lang w:bidi="ar"/>
        </w:rPr>
        <w:t>2021</w:t>
      </w:r>
      <w:r>
        <w:rPr>
          <w:rFonts w:hint="eastAsia" w:cs="宋体"/>
          <w:color w:val="auto"/>
          <w:szCs w:val="24"/>
          <w:lang w:bidi="ar"/>
        </w:rPr>
        <w:t>年鄂尔多斯市各旗区日均值第</w:t>
      </w:r>
      <w:r>
        <w:rPr>
          <w:rFonts w:ascii="Times New Roman" w:hAnsi="Times New Roman"/>
          <w:color w:val="auto"/>
          <w:szCs w:val="24"/>
          <w:lang w:bidi="ar"/>
        </w:rPr>
        <w:t>95</w:t>
      </w:r>
      <w:r>
        <w:rPr>
          <w:rFonts w:hint="eastAsia" w:cs="宋体"/>
          <w:color w:val="auto"/>
          <w:szCs w:val="24"/>
          <w:lang w:bidi="ar"/>
        </w:rPr>
        <w:t>百分位浓度范围在</w:t>
      </w:r>
      <w:r>
        <w:rPr>
          <w:rFonts w:ascii="Times New Roman" w:hAnsi="Times New Roman"/>
          <w:color w:val="auto"/>
          <w:szCs w:val="24"/>
          <w:lang w:bidi="ar"/>
        </w:rPr>
        <w:t>0.6µg/m</w:t>
      </w:r>
      <w:r>
        <w:rPr>
          <w:rFonts w:ascii="Times New Roman" w:hAnsi="Times New Roman"/>
          <w:color w:val="auto"/>
          <w:szCs w:val="24"/>
          <w:vertAlign w:val="superscript"/>
          <w:lang w:bidi="ar"/>
        </w:rPr>
        <w:t>3</w:t>
      </w:r>
      <w:r>
        <w:rPr>
          <w:rFonts w:hint="eastAsia" w:cs="宋体"/>
          <w:color w:val="auto"/>
          <w:szCs w:val="24"/>
          <w:lang w:bidi="ar"/>
        </w:rPr>
        <w:t>（鄂托克前旗）～</w:t>
      </w:r>
      <w:r>
        <w:rPr>
          <w:rFonts w:ascii="Times New Roman" w:hAnsi="Times New Roman"/>
          <w:color w:val="auto"/>
          <w:szCs w:val="24"/>
          <w:lang w:bidi="ar"/>
        </w:rPr>
        <w:t>1.5µg/m</w:t>
      </w:r>
      <w:r>
        <w:rPr>
          <w:rFonts w:ascii="Times New Roman" w:hAnsi="Times New Roman"/>
          <w:color w:val="auto"/>
          <w:szCs w:val="24"/>
          <w:vertAlign w:val="superscript"/>
          <w:lang w:bidi="ar"/>
        </w:rPr>
        <w:t>3</w:t>
      </w:r>
      <w:r>
        <w:rPr>
          <w:rFonts w:hint="eastAsia" w:cs="宋体"/>
          <w:color w:val="auto"/>
          <w:szCs w:val="24"/>
          <w:lang w:bidi="ar"/>
        </w:rPr>
        <w:t>（达拉特旗）之间，均未超过《</w:t>
      </w:r>
      <w:r>
        <w:rPr>
          <w:rFonts w:hint="eastAsia" w:cs="宋体"/>
          <w:color w:val="auto"/>
          <w:kern w:val="32"/>
          <w:szCs w:val="24"/>
          <w:lang w:bidi="ar"/>
        </w:rPr>
        <w:t>环境空气质量标准》（</w:t>
      </w:r>
      <w:r>
        <w:rPr>
          <w:rFonts w:ascii="Times New Roman" w:hAnsi="Times New Roman"/>
          <w:color w:val="auto"/>
          <w:kern w:val="32"/>
          <w:szCs w:val="24"/>
          <w:lang w:bidi="ar"/>
        </w:rPr>
        <w:t>GB3095-2012</w:t>
      </w:r>
      <w:r>
        <w:rPr>
          <w:rFonts w:hint="eastAsia" w:cs="宋体"/>
          <w:color w:val="auto"/>
          <w:kern w:val="32"/>
          <w:szCs w:val="24"/>
          <w:lang w:bidi="ar"/>
        </w:rPr>
        <w:t>）二级浓度限值</w:t>
      </w:r>
      <w:r>
        <w:rPr>
          <w:rFonts w:hint="eastAsia" w:cs="宋体"/>
          <w:color w:val="auto"/>
          <w:szCs w:val="24"/>
          <w:lang w:bidi="ar"/>
        </w:rPr>
        <w:t>。</w:t>
      </w:r>
    </w:p>
    <w:p>
      <w:pPr>
        <w:pStyle w:val="54"/>
        <w:widowControl w:val="0"/>
        <w:autoSpaceDE w:val="0"/>
        <w:autoSpaceDN w:val="0"/>
        <w:adjustRightInd w:val="0"/>
        <w:spacing w:before="120" w:beforeLines="50" w:beforeAutospacing="0" w:after="120" w:afterLines="50" w:afterAutospacing="0"/>
        <w:ind w:firstLine="480" w:firstLineChars="200"/>
        <w:jc w:val="left"/>
        <w:rPr>
          <w:rFonts w:ascii="Times New Roman" w:hAnsi="Times New Roman"/>
          <w:b/>
          <w:bCs/>
          <w:color w:val="auto"/>
          <w:szCs w:val="24"/>
        </w:rPr>
      </w:pPr>
      <w:r>
        <w:rPr>
          <w:rFonts w:hint="eastAsia" w:cs="宋体"/>
          <w:color w:val="auto"/>
          <w:szCs w:val="24"/>
          <w:lang w:bidi="ar"/>
        </w:rPr>
        <w:drawing>
          <wp:inline distT="0" distB="0" distL="114300" distR="114300">
            <wp:extent cx="5705475" cy="2552700"/>
            <wp:effectExtent l="0" t="0" r="9525" b="0"/>
            <wp:docPr id="114" name="图片 6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6" descr="IMG_265"/>
                    <pic:cNvPicPr>
                      <a:picLocks noChangeAspect="1"/>
                    </pic:cNvPicPr>
                  </pic:nvPicPr>
                  <pic:blipFill>
                    <a:blip r:embed="rId68"/>
                    <a:stretch>
                      <a:fillRect/>
                    </a:stretch>
                  </pic:blipFill>
                  <pic:spPr>
                    <a:xfrm>
                      <a:off x="0" y="0"/>
                      <a:ext cx="5705475" cy="2552700"/>
                    </a:xfrm>
                    <a:prstGeom prst="rect">
                      <a:avLst/>
                    </a:prstGeom>
                    <a:noFill/>
                    <a:ln w="9525">
                      <a:noFill/>
                    </a:ln>
                  </pic:spPr>
                </pic:pic>
              </a:graphicData>
            </a:graphic>
          </wp:inline>
        </w:drawing>
      </w:r>
      <w:r>
        <w:rPr>
          <w:rFonts w:ascii="Times New Roman" w:hAnsi="Times New Roman"/>
          <w:b/>
          <w:bCs/>
          <w:color w:val="auto"/>
          <w:szCs w:val="24"/>
          <w:lang w:bidi="ar"/>
        </w:rPr>
        <w:t xml:space="preserve"> </w:t>
      </w:r>
    </w:p>
    <w:p>
      <w:pPr>
        <w:pStyle w:val="54"/>
        <w:widowControl w:val="0"/>
        <w:autoSpaceDE w:val="0"/>
        <w:autoSpaceDN w:val="0"/>
        <w:adjustRightInd w:val="0"/>
        <w:spacing w:before="120" w:beforeLines="50" w:beforeAutospacing="0" w:after="120" w:afterLines="50" w:afterAutospacing="0"/>
        <w:jc w:val="center"/>
        <w:rPr>
          <w:rFonts w:ascii="Times New Roman" w:hAnsi="Times New Roman"/>
          <w:b/>
          <w:bCs/>
          <w:color w:val="auto"/>
          <w:szCs w:val="24"/>
        </w:rPr>
      </w:pPr>
      <w:r>
        <w:rPr>
          <w:rFonts w:hint="eastAsia" w:cs="宋体"/>
          <w:b/>
          <w:bCs/>
          <w:color w:val="auto"/>
          <w:kern w:val="32"/>
          <w:szCs w:val="24"/>
          <w:lang w:bidi="ar"/>
        </w:rPr>
        <w:t>鄂尔多斯各旗区</w:t>
      </w:r>
      <w:r>
        <w:rPr>
          <w:rFonts w:ascii="Times New Roman" w:hAnsi="Times New Roman"/>
          <w:b/>
          <w:bCs/>
          <w:color w:val="auto"/>
          <w:kern w:val="32"/>
          <w:szCs w:val="24"/>
          <w:lang w:bidi="ar"/>
        </w:rPr>
        <w:t>CO</w:t>
      </w:r>
      <w:r>
        <w:rPr>
          <w:rFonts w:hint="eastAsia" w:cs="宋体"/>
          <w:b/>
          <w:bCs/>
          <w:color w:val="auto"/>
          <w:szCs w:val="24"/>
          <w:lang w:bidi="ar"/>
        </w:rPr>
        <w:t>年均值变化图</w:t>
      </w:r>
    </w:p>
    <w:p>
      <w:pPr>
        <w:pStyle w:val="54"/>
        <w:widowControl w:val="0"/>
        <w:autoSpaceDE w:val="0"/>
        <w:autoSpaceDN w:val="0"/>
        <w:adjustRightInd w:val="0"/>
        <w:spacing w:before="120" w:beforeLines="50" w:beforeAutospacing="0" w:after="120" w:afterLines="50" w:afterAutospacing="0"/>
        <w:ind w:firstLine="723" w:firstLineChars="300"/>
        <w:jc w:val="left"/>
        <w:rPr>
          <w:rFonts w:ascii="Times New Roman" w:hAnsi="Times New Roman"/>
          <w:b/>
          <w:bCs/>
          <w:color w:val="auto"/>
          <w:szCs w:val="24"/>
          <w:lang w:bidi="ar"/>
        </w:rPr>
      </w:pPr>
    </w:p>
    <w:p>
      <w:pPr>
        <w:pStyle w:val="54"/>
        <w:widowControl w:val="0"/>
        <w:autoSpaceDE w:val="0"/>
        <w:autoSpaceDN w:val="0"/>
        <w:adjustRightInd w:val="0"/>
        <w:spacing w:before="120" w:beforeLines="50" w:beforeAutospacing="0" w:after="120" w:afterLines="50" w:afterAutospacing="0"/>
        <w:ind w:firstLine="723" w:firstLineChars="300"/>
        <w:jc w:val="left"/>
        <w:rPr>
          <w:rFonts w:ascii="Times New Roman" w:hAnsi="Times New Roman"/>
          <w:b/>
          <w:bCs/>
          <w:color w:val="auto"/>
          <w:szCs w:val="24"/>
          <w:lang w:bidi="ar"/>
        </w:rPr>
      </w:pPr>
    </w:p>
    <w:p>
      <w:pPr>
        <w:pStyle w:val="54"/>
        <w:widowControl w:val="0"/>
        <w:autoSpaceDE w:val="0"/>
        <w:autoSpaceDN w:val="0"/>
        <w:adjustRightInd w:val="0"/>
        <w:spacing w:before="120" w:beforeLines="50" w:beforeAutospacing="0" w:after="120" w:afterLines="50" w:afterAutospacing="0"/>
        <w:ind w:firstLine="723" w:firstLineChars="300"/>
        <w:jc w:val="left"/>
        <w:rPr>
          <w:rFonts w:ascii="Times New Roman" w:hAnsi="Times New Roman"/>
          <w:b/>
          <w:bCs/>
          <w:color w:val="auto"/>
          <w:szCs w:val="24"/>
          <w:lang w:bidi="ar"/>
        </w:rPr>
      </w:pPr>
    </w:p>
    <w:p>
      <w:pPr>
        <w:pStyle w:val="54"/>
        <w:widowControl w:val="0"/>
        <w:autoSpaceDE w:val="0"/>
        <w:autoSpaceDN w:val="0"/>
        <w:adjustRightInd w:val="0"/>
        <w:spacing w:before="120" w:beforeLines="50" w:beforeAutospacing="0" w:after="120" w:afterLines="50" w:afterAutospacing="0"/>
        <w:ind w:firstLine="723" w:firstLineChars="300"/>
        <w:jc w:val="left"/>
        <w:rPr>
          <w:rFonts w:ascii="Times New Roman" w:hAnsi="Times New Roman"/>
          <w:b/>
          <w:bCs/>
          <w:color w:val="auto"/>
          <w:szCs w:val="24"/>
          <w:lang w:bidi="ar"/>
        </w:rPr>
      </w:pPr>
    </w:p>
    <w:p>
      <w:pPr>
        <w:pStyle w:val="54"/>
        <w:widowControl w:val="0"/>
        <w:autoSpaceDE w:val="0"/>
        <w:autoSpaceDN w:val="0"/>
        <w:adjustRightInd w:val="0"/>
        <w:spacing w:before="120" w:beforeLines="50" w:beforeAutospacing="0" w:after="120" w:afterLines="50" w:afterAutospacing="0"/>
        <w:ind w:firstLine="723" w:firstLineChars="300"/>
        <w:jc w:val="left"/>
        <w:rPr>
          <w:rFonts w:ascii="Times New Roman" w:hAnsi="Times New Roman"/>
          <w:b/>
          <w:bCs/>
          <w:color w:val="auto"/>
          <w:szCs w:val="24"/>
          <w:lang w:bidi="ar"/>
        </w:rPr>
      </w:pPr>
    </w:p>
    <w:p>
      <w:pPr>
        <w:pStyle w:val="54"/>
        <w:widowControl w:val="0"/>
        <w:autoSpaceDE w:val="0"/>
        <w:autoSpaceDN w:val="0"/>
        <w:adjustRightInd w:val="0"/>
        <w:spacing w:before="120" w:beforeLines="50" w:beforeAutospacing="0" w:after="120" w:afterLines="50" w:afterAutospacing="0"/>
        <w:ind w:firstLine="723" w:firstLineChars="300"/>
        <w:jc w:val="left"/>
        <w:rPr>
          <w:rFonts w:ascii="Times New Roman" w:hAnsi="Times New Roman"/>
          <w:b/>
          <w:bCs/>
          <w:color w:val="auto"/>
          <w:szCs w:val="24"/>
        </w:rPr>
      </w:pPr>
      <w:r>
        <w:rPr>
          <w:rFonts w:ascii="Times New Roman" w:hAnsi="Times New Roman"/>
          <w:b/>
          <w:bCs/>
          <w:color w:val="auto"/>
          <w:szCs w:val="24"/>
          <w:lang w:bidi="ar"/>
        </w:rPr>
        <w:t>6</w:t>
      </w:r>
      <w:r>
        <w:rPr>
          <w:rFonts w:hint="eastAsia" w:cs="宋体"/>
          <w:b/>
          <w:bCs/>
          <w:color w:val="auto"/>
          <w:szCs w:val="24"/>
          <w:lang w:bidi="ar"/>
        </w:rPr>
        <w:t>）臭氧</w:t>
      </w:r>
    </w:p>
    <w:p>
      <w:pPr>
        <w:pStyle w:val="925"/>
        <w:widowControl/>
        <w:spacing w:line="440" w:lineRule="exact"/>
        <w:ind w:firstLine="480"/>
        <w:rPr>
          <w:rFonts w:hint="default" w:ascii="Times New Roman" w:hAnsi="Times New Roman"/>
          <w:color w:val="auto"/>
        </w:rPr>
      </w:pPr>
      <w:r>
        <w:rPr>
          <w:rFonts w:hint="default" w:ascii="Times New Roman" w:hAnsi="Times New Roman"/>
          <w:color w:val="auto"/>
        </w:rPr>
        <w:t>2021</w:t>
      </w:r>
      <w:r>
        <w:rPr>
          <w:rFonts w:cs="宋体"/>
          <w:color w:val="auto"/>
        </w:rPr>
        <w:t>年鄂尔多斯市各旗区日最大</w:t>
      </w:r>
      <w:r>
        <w:rPr>
          <w:rFonts w:hint="default" w:ascii="Times New Roman" w:hAnsi="Times New Roman"/>
          <w:color w:val="auto"/>
        </w:rPr>
        <w:t>8</w:t>
      </w:r>
      <w:r>
        <w:rPr>
          <w:rFonts w:cs="宋体"/>
          <w:color w:val="auto"/>
        </w:rPr>
        <w:t>小时滑动平均值第</w:t>
      </w:r>
      <w:r>
        <w:rPr>
          <w:rFonts w:hint="default" w:ascii="Times New Roman" w:hAnsi="Times New Roman"/>
          <w:color w:val="auto"/>
        </w:rPr>
        <w:t>90</w:t>
      </w:r>
      <w:r>
        <w:rPr>
          <w:rFonts w:cs="宋体"/>
          <w:color w:val="auto"/>
        </w:rPr>
        <w:t xml:space="preserve">百分位浓度范围在 </w:t>
      </w:r>
      <w:r>
        <w:rPr>
          <w:rFonts w:hint="default" w:ascii="Times New Roman" w:hAnsi="Times New Roman"/>
          <w:color w:val="auto"/>
        </w:rPr>
        <w:t>130µg/m</w:t>
      </w:r>
      <w:r>
        <w:rPr>
          <w:rFonts w:hint="default" w:ascii="Times New Roman" w:hAnsi="Times New Roman"/>
          <w:color w:val="auto"/>
          <w:vertAlign w:val="superscript"/>
        </w:rPr>
        <w:t>3</w:t>
      </w:r>
      <w:r>
        <w:rPr>
          <w:rFonts w:cs="宋体"/>
          <w:color w:val="auto"/>
        </w:rPr>
        <w:t>（杭锦旗）～</w:t>
      </w:r>
      <w:r>
        <w:rPr>
          <w:rFonts w:hint="default" w:ascii="Times New Roman" w:hAnsi="Times New Roman"/>
          <w:color w:val="auto"/>
        </w:rPr>
        <w:t>153µg/m</w:t>
      </w:r>
      <w:r>
        <w:rPr>
          <w:rFonts w:hint="default" w:ascii="Times New Roman" w:hAnsi="Times New Roman"/>
          <w:color w:val="auto"/>
          <w:vertAlign w:val="superscript"/>
        </w:rPr>
        <w:t>3</w:t>
      </w:r>
      <w:r>
        <w:rPr>
          <w:rFonts w:cs="宋体"/>
          <w:color w:val="auto"/>
        </w:rPr>
        <w:t>（乌审旗）之间，均未超过《环境空气质量标准》（</w:t>
      </w:r>
      <w:r>
        <w:rPr>
          <w:rFonts w:hint="default" w:ascii="Times New Roman" w:hAnsi="Times New Roman"/>
          <w:color w:val="auto"/>
        </w:rPr>
        <w:t>GB3095-2012</w:t>
      </w:r>
      <w:r>
        <w:rPr>
          <w:rFonts w:cs="宋体"/>
          <w:color w:val="auto"/>
        </w:rPr>
        <w:t>）二级浓度限值。</w:t>
      </w:r>
    </w:p>
    <w:p>
      <w:pPr>
        <w:pStyle w:val="925"/>
        <w:widowControl/>
        <w:spacing w:line="240" w:lineRule="auto"/>
        <w:ind w:firstLine="480"/>
        <w:rPr>
          <w:rFonts w:hint="default" w:ascii="Times New Roman" w:hAnsi="Times New Roman"/>
          <w:color w:val="auto"/>
        </w:rPr>
      </w:pPr>
      <w:r>
        <w:rPr>
          <w:color w:val="auto"/>
        </w:rPr>
        <w:drawing>
          <wp:inline distT="0" distB="0" distL="114300" distR="114300">
            <wp:extent cx="5257800" cy="2590800"/>
            <wp:effectExtent l="0" t="0" r="0" b="0"/>
            <wp:docPr id="113" name="图片 6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7" descr="IMG_266"/>
                    <pic:cNvPicPr>
                      <a:picLocks noChangeAspect="1"/>
                    </pic:cNvPicPr>
                  </pic:nvPicPr>
                  <pic:blipFill>
                    <a:blip r:embed="rId69"/>
                    <a:stretch>
                      <a:fillRect/>
                    </a:stretch>
                  </pic:blipFill>
                  <pic:spPr>
                    <a:xfrm>
                      <a:off x="0" y="0"/>
                      <a:ext cx="5257800" cy="2590800"/>
                    </a:xfrm>
                    <a:prstGeom prst="rect">
                      <a:avLst/>
                    </a:prstGeom>
                    <a:noFill/>
                    <a:ln w="9525">
                      <a:noFill/>
                    </a:ln>
                  </pic:spPr>
                </pic:pic>
              </a:graphicData>
            </a:graphic>
          </wp:inline>
        </w:drawing>
      </w:r>
      <w:r>
        <w:rPr>
          <w:rFonts w:hint="default" w:ascii="Times New Roman" w:hAnsi="Times New Roman"/>
          <w:color w:val="auto"/>
        </w:rPr>
        <w:t xml:space="preserve"> </w:t>
      </w:r>
    </w:p>
    <w:p>
      <w:pPr>
        <w:pStyle w:val="54"/>
        <w:widowControl w:val="0"/>
        <w:autoSpaceDE w:val="0"/>
        <w:autoSpaceDN w:val="0"/>
        <w:adjustRightInd w:val="0"/>
        <w:spacing w:before="120" w:beforeLines="50" w:beforeAutospacing="0" w:after="120" w:afterLines="50" w:afterAutospacing="0"/>
        <w:jc w:val="center"/>
        <w:rPr>
          <w:rFonts w:ascii="Times New Roman" w:hAnsi="Times New Roman"/>
          <w:b/>
          <w:bCs/>
          <w:color w:val="auto"/>
          <w:szCs w:val="24"/>
        </w:rPr>
      </w:pPr>
      <w:r>
        <w:rPr>
          <w:rFonts w:hint="eastAsia" w:cs="宋体"/>
          <w:b/>
          <w:bCs/>
          <w:color w:val="auto"/>
          <w:kern w:val="32"/>
          <w:szCs w:val="24"/>
          <w:lang w:bidi="ar"/>
        </w:rPr>
        <w:t>鄂尔多斯各旗区</w:t>
      </w:r>
      <w:r>
        <w:rPr>
          <w:rFonts w:ascii="Times New Roman" w:hAnsi="Times New Roman"/>
          <w:b/>
          <w:bCs/>
          <w:color w:val="auto"/>
          <w:kern w:val="32"/>
          <w:szCs w:val="24"/>
          <w:lang w:bidi="ar"/>
        </w:rPr>
        <w:t>O</w:t>
      </w:r>
      <w:r>
        <w:rPr>
          <w:rFonts w:ascii="Times New Roman" w:hAnsi="Times New Roman"/>
          <w:b/>
          <w:bCs/>
          <w:color w:val="auto"/>
          <w:kern w:val="32"/>
          <w:szCs w:val="24"/>
          <w:vertAlign w:val="subscript"/>
          <w:lang w:bidi="ar"/>
        </w:rPr>
        <w:t>3</w:t>
      </w:r>
      <w:r>
        <w:rPr>
          <w:rFonts w:hint="eastAsia" w:cs="宋体"/>
          <w:b/>
          <w:bCs/>
          <w:color w:val="auto"/>
          <w:szCs w:val="24"/>
          <w:lang w:bidi="ar"/>
        </w:rPr>
        <w:t>年均值变化图</w:t>
      </w:r>
    </w:p>
    <w:p>
      <w:pPr>
        <w:keepNext/>
        <w:keepLines/>
        <w:spacing w:line="440" w:lineRule="exact"/>
        <w:outlineLvl w:val="3"/>
        <w:rPr>
          <w:rFonts w:ascii="Times New Roman" w:hAnsi="Times New Roman"/>
          <w:b/>
        </w:rPr>
      </w:pPr>
      <w:r>
        <w:rPr>
          <w:rFonts w:ascii="Times New Roman" w:hAnsi="Times New Roman"/>
          <w:b/>
        </w:rPr>
        <w:t>3.4.1.2 补充监测环境空气质量现状</w:t>
      </w:r>
    </w:p>
    <w:p>
      <w:pPr>
        <w:adjustRightInd w:val="0"/>
        <w:snapToGrid w:val="0"/>
        <w:spacing w:line="440" w:lineRule="exact"/>
        <w:ind w:firstLine="480" w:firstLineChars="200"/>
        <w:rPr>
          <w:rFonts w:ascii="Times New Roman" w:hAnsi="Times New Roman"/>
        </w:rPr>
      </w:pPr>
      <w:r>
        <w:rPr>
          <w:rFonts w:ascii="Times New Roman" w:hAnsi="Times New Roman"/>
        </w:rPr>
        <w:t>（1）监测点位、时间及频率</w:t>
      </w:r>
    </w:p>
    <w:p>
      <w:pPr>
        <w:adjustRightInd w:val="0"/>
        <w:snapToGrid w:val="0"/>
        <w:spacing w:line="440" w:lineRule="exact"/>
        <w:ind w:firstLine="480" w:firstLineChars="200"/>
        <w:rPr>
          <w:rFonts w:ascii="Times New Roman" w:hAnsi="Times New Roman"/>
        </w:rPr>
      </w:pPr>
      <w:r>
        <w:rPr>
          <w:rFonts w:ascii="Times New Roman" w:hAnsi="Times New Roman"/>
        </w:rPr>
        <w:t>本次评价在矿区范围内共布设4个环境空气质量监测点，</w:t>
      </w:r>
      <w:r>
        <w:rPr>
          <w:rFonts w:hint="eastAsia" w:ascii="Times New Roman" w:hAnsi="Times New Roman"/>
        </w:rPr>
        <w:t>并采用临近鄂尔多斯遗鸥国家级自然保护区的泊江海子镇环境空气质量监测数据，</w:t>
      </w:r>
      <w:r>
        <w:rPr>
          <w:rFonts w:ascii="Times New Roman" w:hAnsi="Times New Roman"/>
        </w:rPr>
        <w:t>具体监测点点位详见表3.4-2及监测布点图3.4-</w:t>
      </w:r>
      <w:r>
        <w:rPr>
          <w:rFonts w:hint="eastAsia" w:ascii="Times New Roman" w:hAnsi="Times New Roman"/>
        </w:rPr>
        <w:t>1</w:t>
      </w:r>
      <w:r>
        <w:rPr>
          <w:rFonts w:ascii="Times New Roman" w:hAnsi="Times New Roman"/>
        </w:rPr>
        <w:t>。</w:t>
      </w:r>
    </w:p>
    <w:p>
      <w:pPr>
        <w:adjustRightInd w:val="0"/>
        <w:snapToGrid w:val="0"/>
        <w:spacing w:line="440" w:lineRule="exact"/>
        <w:jc w:val="center"/>
        <w:rPr>
          <w:rFonts w:ascii="Times New Roman" w:hAnsi="Times New Roman"/>
          <w:b/>
        </w:rPr>
      </w:pPr>
      <w:r>
        <w:rPr>
          <w:rFonts w:ascii="Times New Roman" w:hAnsi="Times New Roman"/>
          <w:b/>
        </w:rPr>
        <w:t>矿区环境空气质量监测点位、时间及频率表</w:t>
      </w:r>
    </w:p>
    <w:p>
      <w:pPr>
        <w:adjustRightInd w:val="0"/>
        <w:snapToGrid w:val="0"/>
        <w:spacing w:line="240" w:lineRule="atLeast"/>
        <w:ind w:firstLine="120" w:firstLineChars="50"/>
        <w:outlineLvl w:val="4"/>
        <w:rPr>
          <w:rFonts w:ascii="Times New Roman" w:hAnsi="Times New Roman"/>
        </w:rPr>
      </w:pPr>
      <w:r>
        <w:rPr>
          <w:rFonts w:ascii="Times New Roman" w:hAnsi="Times New Roman"/>
        </w:rPr>
        <w:t>表3.4-2</w:t>
      </w:r>
    </w:p>
    <w:tbl>
      <w:tblPr>
        <w:tblStyle w:val="59"/>
        <w:tblW w:w="9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6"/>
        <w:gridCol w:w="1388"/>
        <w:gridCol w:w="1737"/>
        <w:gridCol w:w="3502"/>
        <w:gridCol w:w="21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6" w:type="dxa"/>
          </w:tcPr>
          <w:p>
            <w:pPr>
              <w:jc w:val="center"/>
              <w:rPr>
                <w:rFonts w:ascii="Times New Roman" w:hAnsi="Times New Roman"/>
                <w:sz w:val="21"/>
                <w:szCs w:val="21"/>
              </w:rPr>
            </w:pPr>
            <w:r>
              <w:rPr>
                <w:rFonts w:ascii="Times New Roman" w:hAnsi="Times New Roman"/>
                <w:sz w:val="21"/>
                <w:szCs w:val="21"/>
              </w:rPr>
              <w:t>序号</w:t>
            </w:r>
          </w:p>
        </w:tc>
        <w:tc>
          <w:tcPr>
            <w:tcW w:w="1388" w:type="dxa"/>
            <w:vAlign w:val="center"/>
          </w:tcPr>
          <w:p>
            <w:pPr>
              <w:jc w:val="center"/>
              <w:rPr>
                <w:rFonts w:ascii="Times New Roman" w:hAnsi="Times New Roman"/>
                <w:sz w:val="21"/>
                <w:szCs w:val="21"/>
              </w:rPr>
            </w:pPr>
            <w:r>
              <w:rPr>
                <w:rFonts w:ascii="Times New Roman" w:hAnsi="Times New Roman"/>
                <w:sz w:val="21"/>
                <w:szCs w:val="21"/>
              </w:rPr>
              <w:t>监测点</w:t>
            </w:r>
          </w:p>
        </w:tc>
        <w:tc>
          <w:tcPr>
            <w:tcW w:w="1737" w:type="dxa"/>
            <w:vAlign w:val="center"/>
          </w:tcPr>
          <w:p>
            <w:pPr>
              <w:jc w:val="center"/>
              <w:rPr>
                <w:rFonts w:ascii="Times New Roman" w:hAnsi="Times New Roman"/>
                <w:sz w:val="21"/>
                <w:szCs w:val="21"/>
              </w:rPr>
            </w:pPr>
            <w:r>
              <w:rPr>
                <w:rFonts w:ascii="Times New Roman" w:hAnsi="Times New Roman"/>
                <w:sz w:val="21"/>
                <w:szCs w:val="21"/>
              </w:rPr>
              <w:t>监测项目</w:t>
            </w:r>
          </w:p>
        </w:tc>
        <w:tc>
          <w:tcPr>
            <w:tcW w:w="3502" w:type="dxa"/>
            <w:vAlign w:val="center"/>
          </w:tcPr>
          <w:p>
            <w:pPr>
              <w:jc w:val="center"/>
              <w:rPr>
                <w:rFonts w:ascii="Times New Roman" w:hAnsi="Times New Roman"/>
                <w:sz w:val="21"/>
                <w:szCs w:val="21"/>
              </w:rPr>
            </w:pPr>
            <w:r>
              <w:rPr>
                <w:rFonts w:ascii="Times New Roman" w:hAnsi="Times New Roman"/>
                <w:sz w:val="21"/>
                <w:szCs w:val="21"/>
              </w:rPr>
              <w:t>监测时间与频次</w:t>
            </w:r>
          </w:p>
        </w:tc>
        <w:tc>
          <w:tcPr>
            <w:tcW w:w="2107" w:type="dxa"/>
            <w:vAlign w:val="center"/>
          </w:tcPr>
          <w:p>
            <w:pPr>
              <w:jc w:val="center"/>
              <w:rPr>
                <w:rFonts w:ascii="Times New Roman" w:hAnsi="Times New Roman"/>
                <w:sz w:val="21"/>
                <w:szCs w:val="21"/>
              </w:rPr>
            </w:pPr>
            <w:r>
              <w:rPr>
                <w:rFonts w:ascii="Times New Roman" w:hAnsi="Times New Roman"/>
                <w:sz w:val="21"/>
                <w:szCs w:val="21"/>
              </w:rPr>
              <w:t>监测要求和采样、分析方法和数据处理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6"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1#</w:t>
            </w:r>
          </w:p>
        </w:tc>
        <w:tc>
          <w:tcPr>
            <w:tcW w:w="1388" w:type="dxa"/>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奎腾沟井田拟建工业场地</w:t>
            </w:r>
          </w:p>
        </w:tc>
        <w:tc>
          <w:tcPr>
            <w:tcW w:w="1737" w:type="dxa"/>
            <w:vMerge w:val="restart"/>
            <w:vAlign w:val="center"/>
          </w:tcPr>
          <w:p>
            <w:pPr>
              <w:rPr>
                <w:rFonts w:ascii="Times New Roman" w:hAnsi="Times New Roman"/>
                <w:sz w:val="21"/>
                <w:szCs w:val="21"/>
              </w:rPr>
            </w:pPr>
            <w:r>
              <w:rPr>
                <w:rFonts w:hint="eastAsia" w:cs="宋体"/>
                <w:sz w:val="21"/>
                <w:szCs w:val="21"/>
              </w:rPr>
              <w:t>①</w:t>
            </w:r>
            <w:r>
              <w:rPr>
                <w:rFonts w:ascii="Times New Roman" w:hAnsi="Times New Roman"/>
                <w:sz w:val="21"/>
                <w:szCs w:val="21"/>
              </w:rPr>
              <w:t>日均浓度：TSP、PM</w:t>
            </w:r>
            <w:r>
              <w:rPr>
                <w:rFonts w:ascii="Times New Roman" w:hAnsi="Times New Roman"/>
                <w:sz w:val="21"/>
                <w:szCs w:val="21"/>
                <w:vertAlign w:val="subscript"/>
              </w:rPr>
              <w:t>10</w:t>
            </w:r>
            <w:r>
              <w:rPr>
                <w:rFonts w:ascii="Times New Roman" w:hAnsi="Times New Roman"/>
                <w:sz w:val="21"/>
                <w:szCs w:val="21"/>
              </w:rPr>
              <w:t>、SO</w:t>
            </w:r>
            <w:r>
              <w:rPr>
                <w:rFonts w:ascii="Times New Roman" w:hAnsi="Times New Roman"/>
                <w:sz w:val="21"/>
                <w:szCs w:val="21"/>
                <w:vertAlign w:val="subscript"/>
              </w:rPr>
              <w:t>2</w:t>
            </w:r>
            <w:r>
              <w:rPr>
                <w:rFonts w:ascii="Times New Roman" w:hAnsi="Times New Roman"/>
                <w:sz w:val="21"/>
                <w:szCs w:val="21"/>
              </w:rPr>
              <w:t>、NO</w:t>
            </w:r>
            <w:r>
              <w:rPr>
                <w:rFonts w:ascii="Times New Roman" w:hAnsi="Times New Roman"/>
                <w:sz w:val="21"/>
                <w:szCs w:val="21"/>
                <w:vertAlign w:val="subscript"/>
              </w:rPr>
              <w:t>2</w:t>
            </w:r>
            <w:r>
              <w:rPr>
                <w:rFonts w:ascii="Times New Roman" w:hAnsi="Times New Roman"/>
                <w:sz w:val="21"/>
                <w:szCs w:val="21"/>
              </w:rPr>
              <w:t>、PM</w:t>
            </w:r>
            <w:r>
              <w:rPr>
                <w:rFonts w:ascii="Times New Roman" w:hAnsi="Times New Roman"/>
                <w:sz w:val="21"/>
                <w:szCs w:val="21"/>
                <w:vertAlign w:val="subscript"/>
              </w:rPr>
              <w:t>2.5</w:t>
            </w:r>
            <w:r>
              <w:rPr>
                <w:rFonts w:ascii="Times New Roman" w:hAnsi="Times New Roman"/>
                <w:sz w:val="21"/>
                <w:szCs w:val="21"/>
              </w:rPr>
              <w:t>、CO；</w:t>
            </w:r>
          </w:p>
          <w:p>
            <w:pPr>
              <w:rPr>
                <w:rFonts w:ascii="Times New Roman" w:hAnsi="Times New Roman"/>
                <w:sz w:val="21"/>
                <w:szCs w:val="21"/>
                <w:vertAlign w:val="subscript"/>
              </w:rPr>
            </w:pPr>
            <w:r>
              <w:rPr>
                <w:rFonts w:hint="eastAsia" w:cs="宋体"/>
                <w:sz w:val="21"/>
                <w:szCs w:val="21"/>
              </w:rPr>
              <w:t>②</w:t>
            </w:r>
            <w:r>
              <w:rPr>
                <w:rFonts w:ascii="Times New Roman" w:hAnsi="Times New Roman"/>
                <w:sz w:val="21"/>
                <w:szCs w:val="21"/>
              </w:rPr>
              <w:t>日最大8小时平均：O</w:t>
            </w:r>
            <w:r>
              <w:rPr>
                <w:rFonts w:ascii="Times New Roman" w:hAnsi="Times New Roman"/>
                <w:sz w:val="21"/>
                <w:szCs w:val="21"/>
                <w:vertAlign w:val="subscript"/>
              </w:rPr>
              <w:t>3</w:t>
            </w:r>
          </w:p>
          <w:p>
            <w:pPr>
              <w:rPr>
                <w:rFonts w:ascii="Times New Roman" w:hAnsi="Times New Roman"/>
                <w:sz w:val="21"/>
                <w:szCs w:val="21"/>
              </w:rPr>
            </w:pPr>
            <w:r>
              <w:rPr>
                <w:rFonts w:hint="eastAsia" w:cs="宋体"/>
                <w:sz w:val="21"/>
                <w:szCs w:val="21"/>
              </w:rPr>
              <w:t>③</w:t>
            </w:r>
            <w:r>
              <w:rPr>
                <w:rFonts w:ascii="Times New Roman" w:hAnsi="Times New Roman"/>
                <w:sz w:val="21"/>
                <w:szCs w:val="21"/>
              </w:rPr>
              <w:t>小时浓度：SO</w:t>
            </w:r>
            <w:r>
              <w:rPr>
                <w:rFonts w:ascii="Times New Roman" w:hAnsi="Times New Roman"/>
                <w:sz w:val="21"/>
                <w:szCs w:val="21"/>
                <w:vertAlign w:val="subscript"/>
              </w:rPr>
              <w:t>2</w:t>
            </w:r>
            <w:r>
              <w:rPr>
                <w:rFonts w:ascii="Times New Roman" w:hAnsi="Times New Roman"/>
                <w:sz w:val="21"/>
                <w:szCs w:val="21"/>
              </w:rPr>
              <w:t>、NO</w:t>
            </w:r>
            <w:r>
              <w:rPr>
                <w:rFonts w:ascii="Times New Roman" w:hAnsi="Times New Roman"/>
                <w:sz w:val="21"/>
                <w:szCs w:val="21"/>
                <w:vertAlign w:val="subscript"/>
              </w:rPr>
              <w:t>2</w:t>
            </w:r>
            <w:r>
              <w:rPr>
                <w:rFonts w:ascii="Times New Roman" w:hAnsi="Times New Roman"/>
                <w:sz w:val="21"/>
                <w:szCs w:val="21"/>
              </w:rPr>
              <w:t>、CO、O</w:t>
            </w:r>
            <w:r>
              <w:rPr>
                <w:rFonts w:ascii="Times New Roman" w:hAnsi="Times New Roman"/>
                <w:sz w:val="21"/>
                <w:szCs w:val="21"/>
                <w:vertAlign w:val="subscript"/>
              </w:rPr>
              <w:t>3</w:t>
            </w:r>
          </w:p>
        </w:tc>
        <w:tc>
          <w:tcPr>
            <w:tcW w:w="3502" w:type="dxa"/>
            <w:vMerge w:val="restart"/>
            <w:vAlign w:val="center"/>
          </w:tcPr>
          <w:p>
            <w:pPr>
              <w:rPr>
                <w:rFonts w:ascii="Times New Roman" w:hAnsi="Times New Roman"/>
                <w:sz w:val="21"/>
                <w:szCs w:val="21"/>
              </w:rPr>
            </w:pPr>
            <w:r>
              <w:rPr>
                <w:rFonts w:ascii="Times New Roman" w:hAnsi="Times New Roman"/>
                <w:sz w:val="21"/>
                <w:szCs w:val="21"/>
              </w:rPr>
              <w:t>连续监测7天；TSP日均浓度每天连续监测24个小时，SO</w:t>
            </w:r>
            <w:r>
              <w:rPr>
                <w:rFonts w:ascii="Times New Roman" w:hAnsi="Times New Roman"/>
                <w:sz w:val="21"/>
                <w:szCs w:val="21"/>
                <w:vertAlign w:val="subscript"/>
              </w:rPr>
              <w:t>2</w:t>
            </w:r>
            <w:r>
              <w:rPr>
                <w:rFonts w:ascii="Times New Roman" w:hAnsi="Times New Roman"/>
                <w:sz w:val="21"/>
                <w:szCs w:val="21"/>
              </w:rPr>
              <w:t>、NO</w:t>
            </w:r>
            <w:r>
              <w:rPr>
                <w:rFonts w:ascii="Times New Roman" w:hAnsi="Times New Roman"/>
                <w:sz w:val="21"/>
                <w:szCs w:val="21"/>
                <w:vertAlign w:val="subscript"/>
              </w:rPr>
              <w:t>2</w:t>
            </w:r>
            <w:r>
              <w:rPr>
                <w:rFonts w:ascii="Times New Roman" w:hAnsi="Times New Roman"/>
                <w:sz w:val="21"/>
                <w:szCs w:val="21"/>
              </w:rPr>
              <w:t>、PM</w:t>
            </w:r>
            <w:r>
              <w:rPr>
                <w:rFonts w:ascii="Times New Roman" w:hAnsi="Times New Roman"/>
                <w:sz w:val="21"/>
                <w:szCs w:val="21"/>
                <w:vertAlign w:val="subscript"/>
              </w:rPr>
              <w:t>10</w:t>
            </w:r>
            <w:r>
              <w:rPr>
                <w:rFonts w:ascii="Times New Roman" w:hAnsi="Times New Roman"/>
                <w:sz w:val="21"/>
                <w:szCs w:val="21"/>
              </w:rPr>
              <w:t>、PM</w:t>
            </w:r>
            <w:r>
              <w:rPr>
                <w:rFonts w:ascii="Times New Roman" w:hAnsi="Times New Roman"/>
                <w:sz w:val="21"/>
                <w:szCs w:val="21"/>
                <w:vertAlign w:val="subscript"/>
              </w:rPr>
              <w:t>2.5</w:t>
            </w:r>
            <w:r>
              <w:rPr>
                <w:rFonts w:ascii="Times New Roman" w:hAnsi="Times New Roman"/>
                <w:sz w:val="21"/>
                <w:szCs w:val="21"/>
              </w:rPr>
              <w:t>、CO日均浓度每天连续监测20个小时以上；NO</w:t>
            </w:r>
            <w:r>
              <w:rPr>
                <w:rFonts w:ascii="Times New Roman" w:hAnsi="Times New Roman"/>
                <w:sz w:val="21"/>
                <w:szCs w:val="21"/>
                <w:vertAlign w:val="subscript"/>
              </w:rPr>
              <w:t>2</w:t>
            </w:r>
            <w:r>
              <w:rPr>
                <w:rFonts w:ascii="Times New Roman" w:hAnsi="Times New Roman"/>
                <w:sz w:val="21"/>
                <w:szCs w:val="21"/>
              </w:rPr>
              <w:t>、SO</w:t>
            </w:r>
            <w:r>
              <w:rPr>
                <w:rFonts w:ascii="Times New Roman" w:hAnsi="Times New Roman"/>
                <w:sz w:val="21"/>
                <w:szCs w:val="21"/>
                <w:vertAlign w:val="subscript"/>
              </w:rPr>
              <w:t>2</w:t>
            </w:r>
            <w:r>
              <w:rPr>
                <w:rFonts w:ascii="Times New Roman" w:hAnsi="Times New Roman"/>
                <w:sz w:val="21"/>
                <w:szCs w:val="21"/>
              </w:rPr>
              <w:t>、CO、O</w:t>
            </w:r>
            <w:r>
              <w:rPr>
                <w:rFonts w:ascii="Times New Roman" w:hAnsi="Times New Roman"/>
                <w:sz w:val="21"/>
                <w:szCs w:val="21"/>
                <w:vertAlign w:val="subscript"/>
              </w:rPr>
              <w:t>3</w:t>
            </w:r>
            <w:r>
              <w:rPr>
                <w:rFonts w:ascii="Times New Roman" w:hAnsi="Times New Roman"/>
                <w:sz w:val="21"/>
                <w:szCs w:val="21"/>
              </w:rPr>
              <w:t>小时浓度每天取样四次，每次取样一小时，每次开始时间为2:00、8:00、14:00、20:00；</w:t>
            </w:r>
          </w:p>
          <w:p>
            <w:pPr>
              <w:rPr>
                <w:rFonts w:ascii="Times New Roman" w:hAnsi="Times New Roman"/>
                <w:sz w:val="21"/>
                <w:szCs w:val="21"/>
                <w:vertAlign w:val="subscript"/>
              </w:rPr>
            </w:pPr>
            <w:r>
              <w:rPr>
                <w:rFonts w:ascii="Times New Roman" w:hAnsi="Times New Roman"/>
                <w:sz w:val="21"/>
                <w:szCs w:val="21"/>
              </w:rPr>
              <w:t>O</w:t>
            </w:r>
            <w:r>
              <w:rPr>
                <w:rFonts w:ascii="Times New Roman" w:hAnsi="Times New Roman"/>
                <w:sz w:val="21"/>
                <w:szCs w:val="21"/>
                <w:vertAlign w:val="subscript"/>
              </w:rPr>
              <w:t>3</w:t>
            </w:r>
            <w:r>
              <w:rPr>
                <w:rFonts w:ascii="Times New Roman" w:hAnsi="Times New Roman"/>
                <w:sz w:val="21"/>
                <w:szCs w:val="21"/>
              </w:rPr>
              <w:t>日最大8小时平均浓度每8小时至少有6小时的平均浓度值。</w:t>
            </w:r>
          </w:p>
        </w:tc>
        <w:tc>
          <w:tcPr>
            <w:tcW w:w="2107" w:type="dxa"/>
            <w:vMerge w:val="restart"/>
            <w:vAlign w:val="center"/>
          </w:tcPr>
          <w:p>
            <w:pPr>
              <w:rPr>
                <w:rFonts w:ascii="Times New Roman" w:hAnsi="Times New Roman"/>
                <w:sz w:val="21"/>
                <w:szCs w:val="21"/>
              </w:rPr>
            </w:pPr>
            <w:r>
              <w:rPr>
                <w:rFonts w:ascii="Times New Roman" w:hAnsi="Times New Roman"/>
                <w:sz w:val="21"/>
                <w:szCs w:val="21"/>
              </w:rPr>
              <w:t>监测要求和采样、分析方法按有关标准和监测技术规范执行。</w:t>
            </w:r>
          </w:p>
          <w:p>
            <w:pPr>
              <w:rPr>
                <w:rFonts w:ascii="Times New Roman" w:hAnsi="Times New Roman"/>
                <w:sz w:val="21"/>
                <w:szCs w:val="21"/>
              </w:rPr>
            </w:pPr>
            <w:r>
              <w:rPr>
                <w:rFonts w:ascii="Times New Roman" w:hAnsi="Times New Roman"/>
                <w:sz w:val="21"/>
                <w:szCs w:val="21"/>
              </w:rPr>
              <w:t>按《环境空气质量标准》（GB3095-2012）中的规定方法进行监测分析。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6"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2#</w:t>
            </w:r>
          </w:p>
        </w:tc>
        <w:tc>
          <w:tcPr>
            <w:tcW w:w="1388" w:type="dxa"/>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苏布尔嘎井田拟建工业场地</w:t>
            </w:r>
          </w:p>
        </w:tc>
        <w:tc>
          <w:tcPr>
            <w:tcW w:w="1737" w:type="dxa"/>
            <w:vMerge w:val="continue"/>
            <w:vAlign w:val="center"/>
          </w:tcPr>
          <w:p>
            <w:pPr>
              <w:rPr>
                <w:rFonts w:ascii="Times New Roman" w:hAnsi="Times New Roman"/>
                <w:sz w:val="21"/>
                <w:szCs w:val="21"/>
              </w:rPr>
            </w:pPr>
          </w:p>
        </w:tc>
        <w:tc>
          <w:tcPr>
            <w:tcW w:w="3502" w:type="dxa"/>
            <w:vMerge w:val="continue"/>
            <w:vAlign w:val="center"/>
          </w:tcPr>
          <w:p>
            <w:pPr>
              <w:rPr>
                <w:rFonts w:ascii="Times New Roman" w:hAnsi="Times New Roman"/>
                <w:sz w:val="21"/>
                <w:szCs w:val="21"/>
              </w:rPr>
            </w:pPr>
          </w:p>
        </w:tc>
        <w:tc>
          <w:tcPr>
            <w:tcW w:w="2107" w:type="dxa"/>
            <w:vMerge w:val="continue"/>
            <w:vAlign w:val="center"/>
          </w:tcPr>
          <w:p>
            <w:pP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6" w:type="dxa"/>
            <w:vAlign w:val="center"/>
          </w:tcPr>
          <w:p>
            <w:pPr>
              <w:jc w:val="center"/>
              <w:rPr>
                <w:rFonts w:ascii="Times New Roman" w:hAnsi="Times New Roman"/>
                <w:sz w:val="21"/>
                <w:szCs w:val="21"/>
              </w:rPr>
            </w:pPr>
            <w:r>
              <w:rPr>
                <w:rFonts w:ascii="Times New Roman" w:hAnsi="Times New Roman"/>
                <w:kern w:val="0"/>
                <w:sz w:val="21"/>
                <w:szCs w:val="21"/>
              </w:rPr>
              <w:t>3#</w:t>
            </w:r>
          </w:p>
        </w:tc>
        <w:tc>
          <w:tcPr>
            <w:tcW w:w="1388" w:type="dxa"/>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纳林希里井田拟建工业场地</w:t>
            </w:r>
          </w:p>
        </w:tc>
        <w:tc>
          <w:tcPr>
            <w:tcW w:w="1737" w:type="dxa"/>
            <w:vMerge w:val="continue"/>
            <w:vAlign w:val="center"/>
          </w:tcPr>
          <w:p>
            <w:pPr>
              <w:rPr>
                <w:rFonts w:ascii="Times New Roman" w:hAnsi="Times New Roman"/>
                <w:sz w:val="21"/>
                <w:szCs w:val="21"/>
              </w:rPr>
            </w:pPr>
          </w:p>
        </w:tc>
        <w:tc>
          <w:tcPr>
            <w:tcW w:w="3502" w:type="dxa"/>
            <w:vMerge w:val="continue"/>
            <w:vAlign w:val="center"/>
          </w:tcPr>
          <w:p>
            <w:pPr>
              <w:rPr>
                <w:rFonts w:ascii="Times New Roman" w:hAnsi="Times New Roman"/>
                <w:sz w:val="21"/>
                <w:szCs w:val="21"/>
              </w:rPr>
            </w:pPr>
          </w:p>
        </w:tc>
        <w:tc>
          <w:tcPr>
            <w:tcW w:w="2107" w:type="dxa"/>
            <w:vMerge w:val="continue"/>
            <w:vAlign w:val="center"/>
          </w:tcPr>
          <w:p>
            <w:pP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6" w:type="dxa"/>
            <w:vAlign w:val="center"/>
          </w:tcPr>
          <w:p>
            <w:pPr>
              <w:jc w:val="center"/>
              <w:rPr>
                <w:rFonts w:ascii="Times New Roman" w:hAnsi="Times New Roman"/>
                <w:sz w:val="21"/>
                <w:szCs w:val="21"/>
              </w:rPr>
            </w:pPr>
            <w:r>
              <w:rPr>
                <w:rFonts w:ascii="Times New Roman" w:hAnsi="Times New Roman"/>
                <w:kern w:val="0"/>
                <w:sz w:val="21"/>
                <w:szCs w:val="21"/>
              </w:rPr>
              <w:t>4#</w:t>
            </w:r>
          </w:p>
        </w:tc>
        <w:tc>
          <w:tcPr>
            <w:tcW w:w="1388" w:type="dxa"/>
            <w:vAlign w:val="center"/>
          </w:tcPr>
          <w:p>
            <w:pPr>
              <w:widowControl/>
              <w:adjustRightInd w:val="0"/>
              <w:snapToGrid w:val="0"/>
              <w:rPr>
                <w:rFonts w:ascii="Times New Roman" w:hAnsi="Times New Roman"/>
                <w:kern w:val="0"/>
                <w:sz w:val="21"/>
                <w:szCs w:val="21"/>
              </w:rPr>
            </w:pPr>
            <w:r>
              <w:rPr>
                <w:rFonts w:ascii="Times New Roman" w:hAnsi="Times New Roman"/>
                <w:kern w:val="0"/>
                <w:sz w:val="21"/>
                <w:szCs w:val="21"/>
              </w:rPr>
              <w:t>红庆河镇</w:t>
            </w:r>
          </w:p>
        </w:tc>
        <w:tc>
          <w:tcPr>
            <w:tcW w:w="1737" w:type="dxa"/>
            <w:vMerge w:val="continue"/>
            <w:vAlign w:val="center"/>
          </w:tcPr>
          <w:p>
            <w:pPr>
              <w:rPr>
                <w:rFonts w:ascii="Times New Roman" w:hAnsi="Times New Roman"/>
                <w:sz w:val="21"/>
                <w:szCs w:val="21"/>
              </w:rPr>
            </w:pPr>
          </w:p>
        </w:tc>
        <w:tc>
          <w:tcPr>
            <w:tcW w:w="3502" w:type="dxa"/>
            <w:vMerge w:val="continue"/>
            <w:vAlign w:val="center"/>
          </w:tcPr>
          <w:p>
            <w:pPr>
              <w:rPr>
                <w:rFonts w:ascii="Times New Roman" w:hAnsi="Times New Roman"/>
                <w:sz w:val="21"/>
                <w:szCs w:val="21"/>
              </w:rPr>
            </w:pPr>
          </w:p>
        </w:tc>
        <w:tc>
          <w:tcPr>
            <w:tcW w:w="2107" w:type="dxa"/>
            <w:vMerge w:val="continue"/>
            <w:vAlign w:val="center"/>
          </w:tcPr>
          <w:p>
            <w:pP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6" w:type="dxa"/>
            <w:vAlign w:val="center"/>
          </w:tcPr>
          <w:p>
            <w:pPr>
              <w:jc w:val="center"/>
              <w:rPr>
                <w:rFonts w:ascii="Times New Roman" w:hAnsi="Times New Roman"/>
                <w:kern w:val="0"/>
                <w:sz w:val="21"/>
                <w:szCs w:val="21"/>
              </w:rPr>
            </w:pPr>
            <w:r>
              <w:rPr>
                <w:rFonts w:hint="eastAsia" w:ascii="Times New Roman" w:hAnsi="Times New Roman"/>
                <w:kern w:val="0"/>
                <w:sz w:val="21"/>
                <w:szCs w:val="21"/>
              </w:rPr>
              <w:t>5</w:t>
            </w:r>
            <w:r>
              <w:rPr>
                <w:rFonts w:ascii="Times New Roman" w:hAnsi="Times New Roman"/>
                <w:kern w:val="0"/>
                <w:sz w:val="21"/>
                <w:szCs w:val="21"/>
              </w:rPr>
              <w:t>#</w:t>
            </w:r>
          </w:p>
        </w:tc>
        <w:tc>
          <w:tcPr>
            <w:tcW w:w="1388" w:type="dxa"/>
            <w:vAlign w:val="center"/>
          </w:tcPr>
          <w:p>
            <w:pPr>
              <w:widowControl/>
              <w:adjustRightInd w:val="0"/>
              <w:snapToGrid w:val="0"/>
              <w:rPr>
                <w:rFonts w:ascii="Times New Roman" w:hAnsi="Times New Roman"/>
                <w:kern w:val="0"/>
                <w:sz w:val="21"/>
                <w:szCs w:val="21"/>
              </w:rPr>
            </w:pPr>
            <w:r>
              <w:rPr>
                <w:rFonts w:hint="eastAsia" w:ascii="Times New Roman" w:hAnsi="Times New Roman"/>
                <w:kern w:val="0"/>
                <w:sz w:val="21"/>
                <w:szCs w:val="21"/>
              </w:rPr>
              <w:t>泊江海子镇</w:t>
            </w:r>
          </w:p>
        </w:tc>
        <w:tc>
          <w:tcPr>
            <w:tcW w:w="1737" w:type="dxa"/>
            <w:vMerge w:val="continue"/>
            <w:vAlign w:val="center"/>
          </w:tcPr>
          <w:p>
            <w:pPr>
              <w:rPr>
                <w:rFonts w:ascii="Times New Roman" w:hAnsi="Times New Roman"/>
                <w:sz w:val="21"/>
                <w:szCs w:val="21"/>
              </w:rPr>
            </w:pPr>
          </w:p>
        </w:tc>
        <w:tc>
          <w:tcPr>
            <w:tcW w:w="3502" w:type="dxa"/>
            <w:vMerge w:val="continue"/>
            <w:vAlign w:val="center"/>
          </w:tcPr>
          <w:p>
            <w:pPr>
              <w:rPr>
                <w:rFonts w:ascii="Times New Roman" w:hAnsi="Times New Roman"/>
                <w:sz w:val="21"/>
                <w:szCs w:val="21"/>
              </w:rPr>
            </w:pPr>
          </w:p>
        </w:tc>
        <w:tc>
          <w:tcPr>
            <w:tcW w:w="2107" w:type="dxa"/>
            <w:vMerge w:val="continue"/>
            <w:vAlign w:val="center"/>
          </w:tcPr>
          <w:p>
            <w:pPr>
              <w:rPr>
                <w:rFonts w:ascii="Times New Roman" w:hAnsi="Times New Roman"/>
                <w:sz w:val="21"/>
                <w:szCs w:val="21"/>
              </w:rPr>
            </w:pPr>
          </w:p>
        </w:tc>
      </w:tr>
    </w:tbl>
    <w:p>
      <w:pPr>
        <w:adjustRightInd w:val="0"/>
        <w:snapToGrid w:val="0"/>
        <w:spacing w:before="120" w:beforeLines="50" w:line="440" w:lineRule="exact"/>
        <w:ind w:firstLine="482"/>
        <w:rPr>
          <w:rFonts w:ascii="Times New Roman" w:hAnsi="Times New Roman"/>
        </w:rPr>
      </w:pPr>
      <w:r>
        <w:rPr>
          <w:rFonts w:ascii="Times New Roman" w:hAnsi="Times New Roman"/>
        </w:rPr>
        <w:t>（2）监测结果统计及评价</w:t>
      </w:r>
    </w:p>
    <w:p>
      <w:pPr>
        <w:adjustRightInd w:val="0"/>
        <w:snapToGrid w:val="0"/>
        <w:spacing w:line="440" w:lineRule="exact"/>
        <w:ind w:firstLine="482"/>
        <w:rPr>
          <w:rFonts w:ascii="Times New Roman" w:hAnsi="Times New Roman"/>
          <w:szCs w:val="24"/>
        </w:rPr>
      </w:pPr>
      <w:r>
        <w:rPr>
          <w:rFonts w:ascii="Times New Roman" w:hAnsi="Times New Roman"/>
          <w:szCs w:val="24"/>
        </w:rPr>
        <w:t>监测结果统计见表3.4-3~3.4-4。采用占标率指数法对监测结果进行分析统计，统计结果见表3.4-5。</w:t>
      </w:r>
    </w:p>
    <w:p>
      <w:pPr>
        <w:adjustRightInd w:val="0"/>
        <w:snapToGrid w:val="0"/>
        <w:spacing w:line="440" w:lineRule="exact"/>
        <w:jc w:val="center"/>
        <w:rPr>
          <w:rFonts w:ascii="Times New Roman" w:hAnsi="Times New Roman"/>
          <w:b/>
          <w:bCs/>
          <w:kern w:val="0"/>
          <w:szCs w:val="24"/>
        </w:rPr>
      </w:pPr>
      <w:r>
        <w:rPr>
          <w:rFonts w:ascii="Times New Roman" w:hAnsi="Times New Roman"/>
          <w:b/>
          <w:bCs/>
          <w:kern w:val="0"/>
          <w:szCs w:val="24"/>
        </w:rPr>
        <w:t>日均浓度现状监测结果统计表</w:t>
      </w:r>
    </w:p>
    <w:p>
      <w:pPr>
        <w:adjustRightInd w:val="0"/>
        <w:snapToGrid w:val="0"/>
        <w:spacing w:line="240" w:lineRule="atLeast"/>
        <w:ind w:firstLine="120" w:firstLineChars="50"/>
        <w:outlineLvl w:val="4"/>
        <w:rPr>
          <w:rFonts w:ascii="Times New Roman" w:hAnsi="Times New Roman"/>
        </w:rPr>
      </w:pPr>
      <w:r>
        <w:rPr>
          <w:rFonts w:ascii="Times New Roman" w:hAnsi="Times New Roman"/>
        </w:rPr>
        <w:t xml:space="preserve">表3.4-3                                               </w:t>
      </w:r>
    </w:p>
    <w:tbl>
      <w:tblPr>
        <w:tblStyle w:val="59"/>
        <w:tblW w:w="9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7"/>
        <w:gridCol w:w="1237"/>
        <w:gridCol w:w="851"/>
        <w:gridCol w:w="851"/>
        <w:gridCol w:w="910"/>
        <w:gridCol w:w="910"/>
        <w:gridCol w:w="851"/>
        <w:gridCol w:w="851"/>
        <w:gridCol w:w="8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977"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采样地点及编号</w:t>
            </w:r>
          </w:p>
        </w:tc>
        <w:tc>
          <w:tcPr>
            <w:tcW w:w="1237"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采样日期</w:t>
            </w:r>
          </w:p>
        </w:tc>
        <w:tc>
          <w:tcPr>
            <w:tcW w:w="6076" w:type="dxa"/>
            <w:gridSpan w:val="7"/>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日均浓度（O</w:t>
            </w:r>
            <w:r>
              <w:rPr>
                <w:rFonts w:ascii="Times New Roman" w:hAnsi="Times New Roman"/>
                <w:kern w:val="0"/>
                <w:sz w:val="21"/>
                <w:szCs w:val="21"/>
                <w:vertAlign w:val="subscript"/>
              </w:rPr>
              <w:t>3</w:t>
            </w:r>
            <w:r>
              <w:rPr>
                <w:rFonts w:ascii="Times New Roman" w:hAnsi="Times New Roman"/>
                <w:kern w:val="0"/>
                <w:sz w:val="21"/>
                <w:szCs w:val="21"/>
              </w:rPr>
              <w:t>为日最大8小时平均）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vMerge w:val="continue"/>
            <w:shd w:val="clear" w:color="auto" w:fill="auto"/>
            <w:vAlign w:val="center"/>
          </w:tcPr>
          <w:p>
            <w:pPr>
              <w:widowControl/>
              <w:jc w:val="left"/>
              <w:rPr>
                <w:rFonts w:ascii="Times New Roman" w:hAnsi="Times New Roman"/>
                <w:kern w:val="0"/>
                <w:sz w:val="21"/>
                <w:szCs w:val="21"/>
              </w:rPr>
            </w:pP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w:t>
            </w:r>
            <w:r>
              <w:rPr>
                <w:rFonts w:ascii="Times New Roman" w:hAnsi="Times New Roman"/>
                <w:kern w:val="0"/>
                <w:sz w:val="21"/>
                <w:szCs w:val="21"/>
                <w:vertAlign w:val="subscript"/>
              </w:rPr>
              <w:t>2</w:t>
            </w:r>
          </w:p>
        </w:tc>
        <w:tc>
          <w:tcPr>
            <w:tcW w:w="91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CO</w:t>
            </w:r>
          </w:p>
        </w:tc>
        <w:tc>
          <w:tcPr>
            <w:tcW w:w="91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O</w:t>
            </w:r>
            <w:r>
              <w:rPr>
                <w:rFonts w:ascii="Times New Roman" w:hAnsi="Times New Roman"/>
                <w:kern w:val="0"/>
                <w:sz w:val="21"/>
                <w:szCs w:val="21"/>
                <w:vertAlign w:val="subscript"/>
              </w:rPr>
              <w:t>3</w:t>
            </w:r>
          </w:p>
        </w:tc>
        <w:tc>
          <w:tcPr>
            <w:tcW w:w="851" w:type="dxa"/>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TSP</w:t>
            </w:r>
          </w:p>
        </w:tc>
        <w:tc>
          <w:tcPr>
            <w:tcW w:w="851" w:type="dxa"/>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852" w:type="dxa"/>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vMerge w:val="continue"/>
            <w:shd w:val="clear" w:color="auto" w:fill="auto"/>
            <w:vAlign w:val="center"/>
          </w:tcPr>
          <w:p>
            <w:pPr>
              <w:widowControl/>
              <w:jc w:val="left"/>
              <w:rPr>
                <w:rFonts w:ascii="Times New Roman" w:hAnsi="Times New Roman"/>
                <w:kern w:val="0"/>
                <w:sz w:val="21"/>
                <w:szCs w:val="21"/>
              </w:rPr>
            </w:pP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w:t>
            </w:r>
            <w:r>
              <w:rPr>
                <w:rFonts w:ascii="Times New Roman" w:hAnsi="Times New Roman"/>
                <w:kern w:val="0"/>
                <w:sz w:val="21"/>
                <w:szCs w:val="21"/>
                <w:vertAlign w:val="superscript"/>
              </w:rPr>
              <w:t>3</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w:t>
            </w:r>
            <w:r>
              <w:rPr>
                <w:rFonts w:ascii="Times New Roman" w:hAnsi="Times New Roman"/>
                <w:kern w:val="0"/>
                <w:sz w:val="21"/>
                <w:szCs w:val="21"/>
                <w:vertAlign w:val="superscript"/>
              </w:rPr>
              <w:t>3</w:t>
            </w:r>
          </w:p>
        </w:tc>
        <w:tc>
          <w:tcPr>
            <w:tcW w:w="91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mg/m</w:t>
            </w:r>
            <w:r>
              <w:rPr>
                <w:rFonts w:ascii="Times New Roman" w:hAnsi="Times New Roman"/>
                <w:kern w:val="0"/>
                <w:sz w:val="21"/>
                <w:szCs w:val="21"/>
                <w:vertAlign w:val="superscript"/>
              </w:rPr>
              <w:t>3</w:t>
            </w:r>
          </w:p>
        </w:tc>
        <w:tc>
          <w:tcPr>
            <w:tcW w:w="91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mg/m</w:t>
            </w:r>
            <w:r>
              <w:rPr>
                <w:rFonts w:ascii="Times New Roman" w:hAnsi="Times New Roman"/>
                <w:kern w:val="0"/>
                <w:sz w:val="21"/>
                <w:szCs w:val="21"/>
                <w:vertAlign w:val="superscript"/>
              </w:rPr>
              <w:t>3</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w:t>
            </w:r>
            <w:r>
              <w:rPr>
                <w:rFonts w:ascii="Times New Roman" w:hAnsi="Times New Roman"/>
                <w:kern w:val="0"/>
                <w:sz w:val="21"/>
                <w:szCs w:val="21"/>
                <w:vertAlign w:val="superscript"/>
              </w:rPr>
              <w:t>3</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w:t>
            </w:r>
            <w:r>
              <w:rPr>
                <w:rFonts w:ascii="Times New Roman" w:hAnsi="Times New Roman"/>
                <w:kern w:val="0"/>
                <w:sz w:val="21"/>
                <w:szCs w:val="21"/>
                <w:vertAlign w:val="superscript"/>
              </w:rPr>
              <w:t>3</w:t>
            </w:r>
          </w:p>
        </w:tc>
        <w:tc>
          <w:tcPr>
            <w:tcW w:w="85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w:t>
            </w:r>
            <w:r>
              <w:rPr>
                <w:rFonts w:ascii="Times New Roman" w:hAnsi="Times New Roman"/>
                <w:kern w:val="0"/>
                <w:sz w:val="21"/>
                <w:szCs w:val="21"/>
                <w:vertAlign w:val="super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1#奎腾沟井田</w:t>
            </w:r>
          </w:p>
          <w:p>
            <w:pPr>
              <w:widowControl/>
              <w:jc w:val="center"/>
              <w:rPr>
                <w:rFonts w:ascii="Times New Roman" w:hAnsi="Times New Roman"/>
                <w:kern w:val="0"/>
                <w:sz w:val="21"/>
                <w:szCs w:val="21"/>
              </w:rPr>
            </w:pPr>
            <w:r>
              <w:rPr>
                <w:rFonts w:ascii="Times New Roman" w:hAnsi="Times New Roman"/>
                <w:kern w:val="0"/>
                <w:sz w:val="21"/>
                <w:szCs w:val="21"/>
              </w:rPr>
              <w:t>拟建工业场地</w:t>
            </w:r>
          </w:p>
        </w:tc>
        <w:tc>
          <w:tcPr>
            <w:tcW w:w="1237"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2020.6.28</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23</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113</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66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31</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2020.6.29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23</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67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32</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2020.6.30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23</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128</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26</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2020.7.1</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111</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68</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29</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23</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0.9</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33</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21</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27</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109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71</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26</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2#苏布尔嘎井田</w:t>
            </w:r>
          </w:p>
          <w:p>
            <w:pPr>
              <w:widowControl/>
              <w:jc w:val="center"/>
              <w:rPr>
                <w:rFonts w:ascii="Times New Roman" w:hAnsi="Times New Roman"/>
                <w:kern w:val="0"/>
                <w:sz w:val="21"/>
                <w:szCs w:val="21"/>
              </w:rPr>
            </w:pPr>
            <w:r>
              <w:rPr>
                <w:rFonts w:ascii="Times New Roman" w:hAnsi="Times New Roman"/>
                <w:kern w:val="0"/>
                <w:sz w:val="21"/>
                <w:szCs w:val="21"/>
              </w:rPr>
              <w:t>拟建工业场地</w:t>
            </w:r>
          </w:p>
        </w:tc>
        <w:tc>
          <w:tcPr>
            <w:tcW w:w="1237"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2020.6.28</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110</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72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25</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2020.6.29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0.5</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67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34</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2020.6.30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128</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28</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2020.7.1</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0.9</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111</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31</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0.9</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63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33</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23</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64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32</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3#纳林希里井田</w:t>
            </w:r>
          </w:p>
          <w:p>
            <w:pPr>
              <w:widowControl/>
              <w:jc w:val="center"/>
              <w:rPr>
                <w:rFonts w:ascii="Times New Roman" w:hAnsi="Times New Roman"/>
                <w:kern w:val="0"/>
                <w:sz w:val="21"/>
                <w:szCs w:val="21"/>
              </w:rPr>
            </w:pPr>
            <w:r>
              <w:rPr>
                <w:rFonts w:ascii="Times New Roman" w:hAnsi="Times New Roman"/>
                <w:kern w:val="0"/>
                <w:sz w:val="21"/>
                <w:szCs w:val="21"/>
              </w:rPr>
              <w:t>拟建工业场地</w:t>
            </w:r>
          </w:p>
        </w:tc>
        <w:tc>
          <w:tcPr>
            <w:tcW w:w="1237"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2020.6.28</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109</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83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33</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2020.6.29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33</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2020.6.30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30</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2020.7.1</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21</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37</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0.9</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34</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63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29</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21</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109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66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24</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4#红庆河镇</w:t>
            </w:r>
          </w:p>
        </w:tc>
        <w:tc>
          <w:tcPr>
            <w:tcW w:w="1237"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2020.6.28</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114</w:t>
            </w:r>
          </w:p>
        </w:tc>
        <w:tc>
          <w:tcPr>
            <w:tcW w:w="85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74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32</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2020.6.29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21</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29</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2020.6.30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132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31</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2020.7.1</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23</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115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34</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23</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0.9</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137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71</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32</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23</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27</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2020.7.4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0.8</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120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30</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restart"/>
            <w:shd w:val="clear" w:color="auto" w:fill="auto"/>
            <w:vAlign w:val="center"/>
          </w:tcPr>
          <w:p>
            <w:pPr>
              <w:widowControl/>
              <w:jc w:val="center"/>
              <w:rPr>
                <w:rFonts w:ascii="Times New Roman" w:hAnsi="Times New Roman"/>
                <w:kern w:val="0"/>
                <w:sz w:val="21"/>
                <w:szCs w:val="21"/>
              </w:rPr>
            </w:pPr>
            <w:r>
              <w:rPr>
                <w:rFonts w:hint="eastAsia" w:ascii="Times New Roman" w:hAnsi="Times New Roman"/>
                <w:kern w:val="0"/>
                <w:sz w:val="21"/>
                <w:szCs w:val="21"/>
              </w:rPr>
              <w:t>5</w:t>
            </w:r>
            <w:r>
              <w:rPr>
                <w:rFonts w:ascii="Times New Roman" w:hAnsi="Times New Roman"/>
                <w:kern w:val="0"/>
                <w:sz w:val="21"/>
                <w:szCs w:val="21"/>
              </w:rPr>
              <w:t>#</w:t>
            </w:r>
            <w:r>
              <w:rPr>
                <w:rFonts w:hint="eastAsia" w:ascii="Times New Roman" w:hAnsi="Times New Roman"/>
                <w:kern w:val="0"/>
                <w:sz w:val="21"/>
                <w:szCs w:val="21"/>
              </w:rPr>
              <w:t>泊江海子镇</w:t>
            </w: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2021.11.23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17</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0.5</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74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87</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2021.11.24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23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0.5</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86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83</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2021.11.25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17</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0.5</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72</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158</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82</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2021.11.26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0.5</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63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163</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77</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2021.11.27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14</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12</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0.5</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49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75</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2021.11.28</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0.4</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67</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155</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78</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977" w:type="dxa"/>
            <w:vMerge w:val="continue"/>
            <w:shd w:val="clear" w:color="auto" w:fill="auto"/>
            <w:vAlign w:val="center"/>
          </w:tcPr>
          <w:p>
            <w:pPr>
              <w:widowControl/>
              <w:jc w:val="left"/>
              <w:rPr>
                <w:rFonts w:ascii="Times New Roman" w:hAnsi="Times New Roman"/>
                <w:kern w:val="0"/>
                <w:sz w:val="21"/>
                <w:szCs w:val="21"/>
              </w:rPr>
            </w:pPr>
          </w:p>
        </w:tc>
        <w:tc>
          <w:tcPr>
            <w:tcW w:w="1237" w:type="dxa"/>
            <w:shd w:val="clear" w:color="auto" w:fill="auto"/>
            <w:vAlign w:val="center"/>
          </w:tcPr>
          <w:p>
            <w:pPr>
              <w:jc w:val="center"/>
              <w:rPr>
                <w:rFonts w:ascii="Times New Roman" w:hAnsi="Times New Roman"/>
                <w:sz w:val="21"/>
                <w:szCs w:val="21"/>
              </w:rPr>
            </w:pPr>
            <w:r>
              <w:rPr>
                <w:rFonts w:ascii="Times New Roman" w:hAnsi="Times New Roman"/>
                <w:sz w:val="21"/>
                <w:szCs w:val="21"/>
              </w:rPr>
              <w:t>2021.11.29</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15</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0.5</w:t>
            </w:r>
          </w:p>
        </w:tc>
        <w:tc>
          <w:tcPr>
            <w:tcW w:w="910" w:type="dxa"/>
            <w:shd w:val="clear" w:color="auto" w:fill="auto"/>
            <w:vAlign w:val="center"/>
          </w:tcPr>
          <w:p>
            <w:pPr>
              <w:jc w:val="center"/>
              <w:rPr>
                <w:rFonts w:ascii="Times New Roman" w:hAnsi="Times New Roman"/>
                <w:sz w:val="21"/>
                <w:szCs w:val="21"/>
              </w:rPr>
            </w:pPr>
            <w:r>
              <w:rPr>
                <w:rFonts w:ascii="Times New Roman" w:hAnsi="Times New Roman"/>
                <w:sz w:val="21"/>
                <w:szCs w:val="21"/>
              </w:rPr>
              <w:t>71</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160</w:t>
            </w:r>
          </w:p>
        </w:tc>
        <w:tc>
          <w:tcPr>
            <w:tcW w:w="851" w:type="dxa"/>
            <w:shd w:val="clear" w:color="auto" w:fill="auto"/>
            <w:vAlign w:val="center"/>
          </w:tcPr>
          <w:p>
            <w:pPr>
              <w:jc w:val="center"/>
              <w:rPr>
                <w:rFonts w:ascii="Times New Roman" w:hAnsi="Times New Roman"/>
                <w:sz w:val="21"/>
                <w:szCs w:val="21"/>
              </w:rPr>
            </w:pPr>
            <w:r>
              <w:rPr>
                <w:rFonts w:ascii="Times New Roman" w:hAnsi="Times New Roman"/>
                <w:sz w:val="21"/>
                <w:szCs w:val="21"/>
              </w:rPr>
              <w:t>80</w:t>
            </w:r>
          </w:p>
        </w:tc>
        <w:tc>
          <w:tcPr>
            <w:tcW w:w="852" w:type="dxa"/>
            <w:shd w:val="clear" w:color="auto" w:fill="auto"/>
            <w:vAlign w:val="center"/>
          </w:tcPr>
          <w:p>
            <w:pPr>
              <w:jc w:val="center"/>
              <w:rPr>
                <w:rFonts w:ascii="Times New Roman" w:hAnsi="Times New Roman"/>
                <w:sz w:val="21"/>
                <w:szCs w:val="21"/>
              </w:rPr>
            </w:pPr>
            <w:r>
              <w:rPr>
                <w:rFonts w:ascii="Times New Roman" w:hAnsi="Times New Roman"/>
                <w:sz w:val="21"/>
                <w:szCs w:val="21"/>
              </w:rPr>
              <w:t>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214"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《环境空气质量标准》</w:t>
            </w:r>
          </w:p>
          <w:p>
            <w:pPr>
              <w:widowControl/>
              <w:jc w:val="center"/>
              <w:rPr>
                <w:rFonts w:ascii="Times New Roman" w:hAnsi="Times New Roman"/>
                <w:kern w:val="0"/>
                <w:sz w:val="21"/>
                <w:szCs w:val="21"/>
              </w:rPr>
            </w:pPr>
            <w:r>
              <w:rPr>
                <w:rFonts w:ascii="Times New Roman" w:hAnsi="Times New Roman"/>
                <w:kern w:val="0"/>
                <w:sz w:val="21"/>
                <w:szCs w:val="21"/>
              </w:rPr>
              <w:t>（GB3095-2012）二级标准</w:t>
            </w:r>
          </w:p>
        </w:tc>
        <w:tc>
          <w:tcPr>
            <w:tcW w:w="85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85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80</w:t>
            </w:r>
          </w:p>
        </w:tc>
        <w:tc>
          <w:tcPr>
            <w:tcW w:w="91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91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160</w:t>
            </w:r>
          </w:p>
        </w:tc>
        <w:tc>
          <w:tcPr>
            <w:tcW w:w="85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300</w:t>
            </w:r>
          </w:p>
        </w:tc>
        <w:tc>
          <w:tcPr>
            <w:tcW w:w="85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852"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75</w:t>
            </w:r>
          </w:p>
        </w:tc>
      </w:tr>
    </w:tbl>
    <w:p>
      <w:pPr>
        <w:adjustRightInd w:val="0"/>
        <w:snapToGrid w:val="0"/>
        <w:spacing w:line="440" w:lineRule="exact"/>
        <w:jc w:val="center"/>
        <w:rPr>
          <w:rFonts w:ascii="Times New Roman" w:hAnsi="Times New Roman"/>
          <w:b/>
          <w:bCs/>
          <w:kern w:val="0"/>
          <w:szCs w:val="24"/>
        </w:rPr>
      </w:pPr>
      <w:r>
        <w:rPr>
          <w:rFonts w:ascii="Times New Roman" w:hAnsi="Times New Roman"/>
          <w:b/>
          <w:bCs/>
          <w:kern w:val="0"/>
          <w:szCs w:val="24"/>
        </w:rPr>
        <w:t>小时浓度现状监测结果统计表</w:t>
      </w:r>
    </w:p>
    <w:p>
      <w:pPr>
        <w:adjustRightInd w:val="0"/>
        <w:snapToGrid w:val="0"/>
        <w:spacing w:line="440" w:lineRule="exact"/>
        <w:outlineLvl w:val="4"/>
        <w:rPr>
          <w:rFonts w:ascii="Times New Roman" w:hAnsi="Times New Roman"/>
          <w:kern w:val="0"/>
          <w:szCs w:val="24"/>
        </w:rPr>
      </w:pPr>
      <w:r>
        <w:rPr>
          <w:rFonts w:ascii="Times New Roman" w:hAnsi="Times New Roman"/>
          <w:lang w:val="zh-CN"/>
        </w:rPr>
        <w:t xml:space="preserve">表3.4-4  </w:t>
      </w:r>
      <w:r>
        <w:rPr>
          <w:rFonts w:ascii="Times New Roman" w:hAnsi="Times New Roman"/>
        </w:rPr>
        <w:t xml:space="preserve">                 </w:t>
      </w:r>
    </w:p>
    <w:tbl>
      <w:tblPr>
        <w:tblStyle w:val="59"/>
        <w:tblW w:w="9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3"/>
        <w:gridCol w:w="1224"/>
        <w:gridCol w:w="833"/>
        <w:gridCol w:w="833"/>
        <w:gridCol w:w="892"/>
        <w:gridCol w:w="834"/>
        <w:gridCol w:w="833"/>
        <w:gridCol w:w="833"/>
        <w:gridCol w:w="892"/>
        <w:gridCol w:w="8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采样日期</w:t>
            </w:r>
          </w:p>
        </w:tc>
        <w:tc>
          <w:tcPr>
            <w:tcW w:w="1224"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采样时间</w:t>
            </w:r>
          </w:p>
        </w:tc>
        <w:tc>
          <w:tcPr>
            <w:tcW w:w="3392" w:type="dxa"/>
            <w:gridSpan w:val="4"/>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1#奎腾沟井田拟建工业场地</w:t>
            </w:r>
          </w:p>
        </w:tc>
        <w:tc>
          <w:tcPr>
            <w:tcW w:w="3391" w:type="dxa"/>
            <w:gridSpan w:val="4"/>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2#苏布尔嘎井田拟建工业场地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vMerge w:val="continue"/>
            <w:shd w:val="clear" w:color="auto" w:fill="auto"/>
            <w:vAlign w:val="center"/>
          </w:tcPr>
          <w:p>
            <w:pPr>
              <w:widowControl/>
              <w:jc w:val="left"/>
              <w:rPr>
                <w:rFonts w:ascii="Times New Roman" w:hAnsi="Times New Roman"/>
                <w:kern w:val="0"/>
                <w:sz w:val="21"/>
                <w:szCs w:val="21"/>
              </w:rPr>
            </w:pP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w:t>
            </w:r>
            <w:r>
              <w:rPr>
                <w:rFonts w:ascii="Times New Roman" w:hAnsi="Times New Roman"/>
                <w:kern w:val="0"/>
                <w:sz w:val="21"/>
                <w:szCs w:val="21"/>
                <w:vertAlign w:val="subscript"/>
              </w:rPr>
              <w:t>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CO</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O</w:t>
            </w:r>
            <w:r>
              <w:rPr>
                <w:rFonts w:ascii="Times New Roman" w:hAnsi="Times New Roman"/>
                <w:kern w:val="0"/>
                <w:sz w:val="21"/>
                <w:szCs w:val="21"/>
                <w:vertAlign w:val="subscript"/>
              </w:rPr>
              <w:t>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w:t>
            </w:r>
            <w:r>
              <w:rPr>
                <w:rFonts w:ascii="Times New Roman" w:hAnsi="Times New Roman"/>
                <w:kern w:val="0"/>
                <w:sz w:val="21"/>
                <w:szCs w:val="21"/>
                <w:vertAlign w:val="subscript"/>
              </w:rPr>
              <w:t>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CO</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O</w:t>
            </w:r>
            <w:r>
              <w:rPr>
                <w:rFonts w:ascii="Times New Roman" w:hAnsi="Times New Roman"/>
                <w:kern w:val="0"/>
                <w:sz w:val="21"/>
                <w:szCs w:val="21"/>
                <w:vertAlign w:val="sub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vMerge w:val="continue"/>
            <w:shd w:val="clear" w:color="auto" w:fill="auto"/>
            <w:vAlign w:val="center"/>
          </w:tcPr>
          <w:p>
            <w:pPr>
              <w:widowControl/>
              <w:jc w:val="left"/>
              <w:rPr>
                <w:rFonts w:ascii="Times New Roman" w:hAnsi="Times New Roman"/>
                <w:kern w:val="0"/>
                <w:sz w:val="21"/>
                <w:szCs w:val="21"/>
              </w:rPr>
            </w:pP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mg/m³</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mg/m³</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6月28日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0.4</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6月29日</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0.4</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6月30日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99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7月1日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61</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7月2日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7月3日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7月4日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2507"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《环境空气质量标准》</w:t>
            </w:r>
          </w:p>
          <w:p>
            <w:pPr>
              <w:widowControl/>
              <w:jc w:val="center"/>
              <w:rPr>
                <w:rFonts w:ascii="Times New Roman" w:hAnsi="Times New Roman"/>
                <w:kern w:val="0"/>
                <w:sz w:val="21"/>
                <w:szCs w:val="21"/>
              </w:rPr>
            </w:pPr>
            <w:r>
              <w:rPr>
                <w:rFonts w:ascii="Times New Roman" w:hAnsi="Times New Roman"/>
                <w:kern w:val="0"/>
                <w:sz w:val="21"/>
                <w:szCs w:val="21"/>
              </w:rPr>
              <w:t>二级标准</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采样日期</w:t>
            </w:r>
          </w:p>
        </w:tc>
        <w:tc>
          <w:tcPr>
            <w:tcW w:w="1224"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采样时间</w:t>
            </w:r>
          </w:p>
        </w:tc>
        <w:tc>
          <w:tcPr>
            <w:tcW w:w="3392" w:type="dxa"/>
            <w:gridSpan w:val="4"/>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3#纳林希里井田拟建工业场地</w:t>
            </w:r>
          </w:p>
        </w:tc>
        <w:tc>
          <w:tcPr>
            <w:tcW w:w="3391" w:type="dxa"/>
            <w:gridSpan w:val="4"/>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4#红庆河镇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vMerge w:val="continue"/>
            <w:shd w:val="clear" w:color="auto" w:fill="auto"/>
            <w:vAlign w:val="center"/>
          </w:tcPr>
          <w:p>
            <w:pPr>
              <w:widowControl/>
              <w:jc w:val="left"/>
              <w:rPr>
                <w:rFonts w:ascii="Times New Roman" w:hAnsi="Times New Roman"/>
                <w:kern w:val="0"/>
                <w:sz w:val="21"/>
                <w:szCs w:val="21"/>
              </w:rPr>
            </w:pP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w:t>
            </w:r>
            <w:r>
              <w:rPr>
                <w:rFonts w:ascii="Times New Roman" w:hAnsi="Times New Roman"/>
                <w:kern w:val="0"/>
                <w:sz w:val="21"/>
                <w:szCs w:val="21"/>
                <w:vertAlign w:val="subscript"/>
              </w:rPr>
              <w:t>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CO</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O</w:t>
            </w:r>
            <w:r>
              <w:rPr>
                <w:rFonts w:ascii="Times New Roman" w:hAnsi="Times New Roman"/>
                <w:kern w:val="0"/>
                <w:sz w:val="21"/>
                <w:szCs w:val="21"/>
                <w:vertAlign w:val="subscript"/>
              </w:rPr>
              <w:t>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w:t>
            </w:r>
            <w:r>
              <w:rPr>
                <w:rFonts w:ascii="Times New Roman" w:hAnsi="Times New Roman"/>
                <w:kern w:val="0"/>
                <w:sz w:val="21"/>
                <w:szCs w:val="21"/>
                <w:vertAlign w:val="subscript"/>
              </w:rPr>
              <w:t>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CO</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O</w:t>
            </w:r>
            <w:r>
              <w:rPr>
                <w:rFonts w:ascii="Times New Roman" w:hAnsi="Times New Roman"/>
                <w:kern w:val="0"/>
                <w:sz w:val="21"/>
                <w:szCs w:val="21"/>
                <w:vertAlign w:val="sub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vMerge w:val="continue"/>
            <w:shd w:val="clear" w:color="auto" w:fill="auto"/>
            <w:vAlign w:val="center"/>
          </w:tcPr>
          <w:p>
            <w:pPr>
              <w:widowControl/>
              <w:jc w:val="left"/>
              <w:rPr>
                <w:rFonts w:ascii="Times New Roman" w:hAnsi="Times New Roman"/>
                <w:kern w:val="0"/>
                <w:sz w:val="21"/>
                <w:szCs w:val="21"/>
              </w:rPr>
            </w:pP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mg/m³</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mg/m³</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6月28日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0.4</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71</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25</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6月29日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6月30日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130</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7月1日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71</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7月2日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7月3日</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67</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121</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2020年</w:t>
            </w:r>
          </w:p>
          <w:p>
            <w:pPr>
              <w:widowControl/>
              <w:jc w:val="center"/>
              <w:rPr>
                <w:rFonts w:ascii="Times New Roman" w:hAnsi="Times New Roman"/>
                <w:kern w:val="0"/>
                <w:sz w:val="21"/>
                <w:szCs w:val="21"/>
              </w:rPr>
            </w:pPr>
            <w:r>
              <w:rPr>
                <w:rFonts w:ascii="Times New Roman" w:hAnsi="Times New Roman"/>
                <w:kern w:val="0"/>
                <w:sz w:val="21"/>
                <w:szCs w:val="21"/>
              </w:rPr>
              <w:t>7月4日　</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0.8</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0.9</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83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66</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12</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89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0.4</w:t>
            </w:r>
          </w:p>
        </w:tc>
        <w:tc>
          <w:tcPr>
            <w:tcW w:w="8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采样日期</w:t>
            </w:r>
          </w:p>
        </w:tc>
        <w:tc>
          <w:tcPr>
            <w:tcW w:w="1224"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采样时间</w:t>
            </w:r>
          </w:p>
        </w:tc>
        <w:tc>
          <w:tcPr>
            <w:tcW w:w="6783" w:type="dxa"/>
            <w:gridSpan w:val="8"/>
            <w:shd w:val="clear" w:color="auto" w:fill="auto"/>
            <w:vAlign w:val="center"/>
          </w:tcPr>
          <w:p>
            <w:pPr>
              <w:widowControl/>
              <w:jc w:val="center"/>
              <w:rPr>
                <w:rFonts w:ascii="Times New Roman" w:hAnsi="Times New Roman"/>
                <w:kern w:val="0"/>
                <w:sz w:val="21"/>
                <w:szCs w:val="21"/>
              </w:rPr>
            </w:pPr>
            <w:r>
              <w:rPr>
                <w:rFonts w:hint="eastAsia" w:ascii="Times New Roman" w:hAnsi="Times New Roman"/>
                <w:kern w:val="0"/>
                <w:sz w:val="21"/>
                <w:szCs w:val="21"/>
              </w:rPr>
              <w:t>5</w:t>
            </w:r>
            <w:r>
              <w:rPr>
                <w:rFonts w:ascii="Times New Roman" w:hAnsi="Times New Roman"/>
                <w:kern w:val="0"/>
                <w:sz w:val="21"/>
                <w:szCs w:val="21"/>
              </w:rPr>
              <w:t>#</w:t>
            </w:r>
            <w:r>
              <w:rPr>
                <w:rFonts w:hint="eastAsia" w:ascii="Times New Roman" w:hAnsi="Times New Roman"/>
                <w:kern w:val="0"/>
                <w:sz w:val="21"/>
                <w:szCs w:val="21"/>
              </w:rPr>
              <w:t>泊江海子镇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vMerge w:val="continue"/>
            <w:shd w:val="clear" w:color="auto" w:fill="auto"/>
            <w:vAlign w:val="center"/>
          </w:tcPr>
          <w:p>
            <w:pPr>
              <w:widowControl/>
              <w:jc w:val="center"/>
              <w:rPr>
                <w:rFonts w:ascii="Times New Roman" w:hAnsi="Times New Roman"/>
                <w:kern w:val="0"/>
                <w:sz w:val="21"/>
                <w:szCs w:val="21"/>
              </w:rPr>
            </w:pP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w:t>
            </w:r>
            <w:r>
              <w:rPr>
                <w:rFonts w:ascii="Times New Roman" w:hAnsi="Times New Roman"/>
                <w:kern w:val="0"/>
                <w:sz w:val="21"/>
                <w:szCs w:val="21"/>
                <w:vertAlign w:val="subscript"/>
              </w:rPr>
              <w:t>2</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CO</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O</w:t>
            </w:r>
            <w:r>
              <w:rPr>
                <w:rFonts w:ascii="Times New Roman" w:hAnsi="Times New Roman"/>
                <w:kern w:val="0"/>
                <w:sz w:val="21"/>
                <w:szCs w:val="21"/>
                <w:vertAlign w:val="sub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vMerge w:val="continue"/>
            <w:shd w:val="clear" w:color="auto" w:fill="auto"/>
            <w:vAlign w:val="center"/>
          </w:tcPr>
          <w:p>
            <w:pPr>
              <w:widowControl/>
              <w:jc w:val="center"/>
              <w:rPr>
                <w:rFonts w:ascii="Times New Roman" w:hAnsi="Times New Roman"/>
                <w:kern w:val="0"/>
                <w:sz w:val="21"/>
                <w:szCs w:val="21"/>
              </w:rPr>
            </w:pP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mg/m³</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μg/m³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2021年</w:t>
            </w:r>
          </w:p>
          <w:p>
            <w:pPr>
              <w:widowControl/>
              <w:jc w:val="center"/>
              <w:rPr>
                <w:rFonts w:ascii="Times New Roman" w:hAnsi="Times New Roman"/>
                <w:kern w:val="0"/>
                <w:sz w:val="21"/>
                <w:szCs w:val="21"/>
              </w:rPr>
            </w:pPr>
            <w:r>
              <w:rPr>
                <w:rFonts w:ascii="Times New Roman" w:hAnsi="Times New Roman"/>
                <w:kern w:val="0"/>
                <w:sz w:val="21"/>
                <w:szCs w:val="21"/>
              </w:rPr>
              <w:t>11月23日</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12</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12</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0.3</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18</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21</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0.4</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18</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2022年</w:t>
            </w:r>
          </w:p>
          <w:p>
            <w:pPr>
              <w:widowControl/>
              <w:jc w:val="center"/>
              <w:rPr>
                <w:rFonts w:ascii="Times New Roman" w:hAnsi="Times New Roman"/>
                <w:kern w:val="0"/>
                <w:sz w:val="21"/>
                <w:szCs w:val="21"/>
              </w:rPr>
            </w:pPr>
            <w:r>
              <w:rPr>
                <w:rFonts w:ascii="Times New Roman" w:hAnsi="Times New Roman"/>
                <w:kern w:val="0"/>
                <w:sz w:val="21"/>
                <w:szCs w:val="21"/>
              </w:rPr>
              <w:t>11月24日</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17</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11</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12</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20</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23</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16</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2022年</w:t>
            </w:r>
          </w:p>
          <w:p>
            <w:pPr>
              <w:widowControl/>
              <w:jc w:val="center"/>
              <w:rPr>
                <w:rFonts w:ascii="Times New Roman" w:hAnsi="Times New Roman"/>
                <w:kern w:val="0"/>
                <w:sz w:val="21"/>
                <w:szCs w:val="21"/>
              </w:rPr>
            </w:pPr>
            <w:r>
              <w:rPr>
                <w:rFonts w:ascii="Times New Roman" w:hAnsi="Times New Roman"/>
                <w:kern w:val="0"/>
                <w:sz w:val="21"/>
                <w:szCs w:val="21"/>
              </w:rPr>
              <w:t>11月25日</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19</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21</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12</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16</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12</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19</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2022年</w:t>
            </w:r>
          </w:p>
          <w:p>
            <w:pPr>
              <w:widowControl/>
              <w:jc w:val="center"/>
              <w:rPr>
                <w:rFonts w:ascii="Times New Roman" w:hAnsi="Times New Roman"/>
                <w:kern w:val="0"/>
                <w:sz w:val="21"/>
                <w:szCs w:val="21"/>
              </w:rPr>
            </w:pPr>
            <w:r>
              <w:rPr>
                <w:rFonts w:ascii="Times New Roman" w:hAnsi="Times New Roman"/>
                <w:kern w:val="0"/>
                <w:sz w:val="21"/>
                <w:szCs w:val="21"/>
              </w:rPr>
              <w:t>11月26日</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12</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20</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0.3</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11</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0.4</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2022年</w:t>
            </w:r>
          </w:p>
          <w:p>
            <w:pPr>
              <w:widowControl/>
              <w:jc w:val="center"/>
              <w:rPr>
                <w:rFonts w:ascii="Times New Roman" w:hAnsi="Times New Roman"/>
                <w:kern w:val="0"/>
                <w:sz w:val="21"/>
                <w:szCs w:val="21"/>
              </w:rPr>
            </w:pPr>
            <w:r>
              <w:rPr>
                <w:rFonts w:ascii="Times New Roman" w:hAnsi="Times New Roman"/>
                <w:kern w:val="0"/>
                <w:sz w:val="21"/>
                <w:szCs w:val="21"/>
              </w:rPr>
              <w:t>11月27日</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12</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18</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16</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0.6</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2022年</w:t>
            </w:r>
          </w:p>
          <w:p>
            <w:pPr>
              <w:widowControl/>
              <w:jc w:val="center"/>
              <w:rPr>
                <w:rFonts w:ascii="Times New Roman" w:hAnsi="Times New Roman"/>
                <w:kern w:val="0"/>
                <w:sz w:val="21"/>
                <w:szCs w:val="21"/>
              </w:rPr>
            </w:pPr>
            <w:r>
              <w:rPr>
                <w:rFonts w:ascii="Times New Roman" w:hAnsi="Times New Roman"/>
                <w:kern w:val="0"/>
                <w:sz w:val="21"/>
                <w:szCs w:val="21"/>
              </w:rPr>
              <w:t>11月28日</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19</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23</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0.4</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16</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0.4</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center"/>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19</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15</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2022年</w:t>
            </w:r>
          </w:p>
          <w:p>
            <w:pPr>
              <w:widowControl/>
              <w:jc w:val="center"/>
              <w:rPr>
                <w:rFonts w:ascii="Times New Roman" w:hAnsi="Times New Roman"/>
                <w:kern w:val="0"/>
                <w:sz w:val="21"/>
                <w:szCs w:val="21"/>
              </w:rPr>
            </w:pPr>
            <w:r>
              <w:rPr>
                <w:rFonts w:ascii="Times New Roman" w:hAnsi="Times New Roman"/>
                <w:kern w:val="0"/>
                <w:sz w:val="21"/>
                <w:szCs w:val="21"/>
              </w:rPr>
              <w:t>11月29日</w:t>
            </w: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12</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13</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18</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20</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0.4</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14时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17</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0.5</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83" w:type="dxa"/>
            <w:vMerge w:val="continue"/>
            <w:shd w:val="clear" w:color="auto" w:fill="auto"/>
            <w:vAlign w:val="center"/>
          </w:tcPr>
          <w:p>
            <w:pPr>
              <w:widowControl/>
              <w:jc w:val="left"/>
              <w:rPr>
                <w:rFonts w:ascii="Times New Roman" w:hAnsi="Times New Roman"/>
                <w:kern w:val="0"/>
                <w:sz w:val="21"/>
                <w:szCs w:val="21"/>
              </w:rPr>
            </w:pPr>
          </w:p>
        </w:tc>
        <w:tc>
          <w:tcPr>
            <w:tcW w:w="1224"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20时</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20</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14</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0.4</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2507"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《环境空气质量标准》</w:t>
            </w:r>
          </w:p>
          <w:p>
            <w:pPr>
              <w:widowControl/>
              <w:jc w:val="center"/>
              <w:rPr>
                <w:rFonts w:ascii="Times New Roman" w:hAnsi="Times New Roman"/>
                <w:kern w:val="0"/>
                <w:sz w:val="21"/>
                <w:szCs w:val="21"/>
              </w:rPr>
            </w:pPr>
            <w:r>
              <w:rPr>
                <w:rFonts w:ascii="Times New Roman" w:hAnsi="Times New Roman"/>
                <w:kern w:val="0"/>
                <w:sz w:val="21"/>
                <w:szCs w:val="21"/>
              </w:rPr>
              <w:t>二级标准</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500</w:t>
            </w:r>
          </w:p>
        </w:tc>
        <w:tc>
          <w:tcPr>
            <w:tcW w:w="172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200</w:t>
            </w:r>
          </w:p>
        </w:tc>
        <w:tc>
          <w:tcPr>
            <w:tcW w:w="166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w:t>
            </w:r>
          </w:p>
        </w:tc>
        <w:tc>
          <w:tcPr>
            <w:tcW w:w="1725"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200</w:t>
            </w:r>
          </w:p>
        </w:tc>
      </w:tr>
    </w:tbl>
    <w:p>
      <w:pPr>
        <w:tabs>
          <w:tab w:val="left" w:pos="6840"/>
        </w:tabs>
        <w:topLinePunct/>
        <w:snapToGrid w:val="0"/>
        <w:spacing w:line="440" w:lineRule="exact"/>
        <w:jc w:val="center"/>
        <w:rPr>
          <w:rFonts w:ascii="Times New Roman" w:hAnsi="Times New Roman"/>
          <w:b/>
          <w:bCs/>
          <w:kern w:val="24"/>
          <w:szCs w:val="28"/>
        </w:rPr>
      </w:pPr>
      <w:r>
        <w:rPr>
          <w:rFonts w:ascii="Times New Roman" w:hAnsi="Times New Roman"/>
          <w:b/>
          <w:bCs/>
          <w:kern w:val="24"/>
          <w:szCs w:val="28"/>
        </w:rPr>
        <w:t>环境空气质量现状监测结果统计表</w:t>
      </w:r>
    </w:p>
    <w:p>
      <w:pPr>
        <w:adjustRightInd w:val="0"/>
        <w:snapToGrid w:val="0"/>
        <w:spacing w:line="440" w:lineRule="exact"/>
        <w:outlineLvl w:val="4"/>
        <w:rPr>
          <w:rFonts w:ascii="Times New Roman" w:hAnsi="Times New Roman"/>
          <w:lang w:val="zh-CN"/>
        </w:rPr>
      </w:pPr>
      <w:r>
        <w:rPr>
          <w:rFonts w:ascii="Times New Roman" w:hAnsi="Times New Roman"/>
          <w:lang w:val="zh-CN"/>
        </w:rPr>
        <w:t>表3.4-5</w:t>
      </w:r>
    </w:p>
    <w:tbl>
      <w:tblPr>
        <w:tblStyle w:val="59"/>
        <w:tblW w:w="9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1029"/>
        <w:gridCol w:w="1238"/>
        <w:gridCol w:w="1430"/>
        <w:gridCol w:w="828"/>
        <w:gridCol w:w="1238"/>
        <w:gridCol w:w="1431"/>
        <w:gridCol w:w="10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95" w:type="dxa"/>
            <w:vMerge w:val="restart"/>
            <w:vAlign w:val="center"/>
          </w:tcPr>
          <w:p>
            <w:pPr>
              <w:widowControl/>
              <w:jc w:val="center"/>
              <w:rPr>
                <w:rFonts w:ascii="Times New Roman" w:hAnsi="Times New Roman"/>
                <w:kern w:val="0"/>
                <w:sz w:val="21"/>
                <w:szCs w:val="21"/>
              </w:rPr>
            </w:pPr>
            <w:r>
              <w:rPr>
                <w:rFonts w:ascii="Times New Roman" w:hAnsi="Times New Roman"/>
                <w:kern w:val="0"/>
                <w:sz w:val="21"/>
                <w:szCs w:val="21"/>
              </w:rPr>
              <w:t>污染物</w:t>
            </w:r>
          </w:p>
        </w:tc>
        <w:tc>
          <w:tcPr>
            <w:tcW w:w="1029" w:type="dxa"/>
            <w:vMerge w:val="restart"/>
            <w:vAlign w:val="center"/>
          </w:tcPr>
          <w:p>
            <w:pPr>
              <w:widowControl/>
              <w:jc w:val="center"/>
              <w:rPr>
                <w:rFonts w:ascii="Times New Roman" w:hAnsi="Times New Roman"/>
                <w:kern w:val="0"/>
                <w:sz w:val="21"/>
                <w:szCs w:val="21"/>
              </w:rPr>
            </w:pPr>
            <w:r>
              <w:rPr>
                <w:rFonts w:ascii="Times New Roman" w:hAnsi="Times New Roman"/>
                <w:kern w:val="0"/>
                <w:sz w:val="21"/>
                <w:szCs w:val="21"/>
              </w:rPr>
              <w:t>监测</w:t>
            </w:r>
          </w:p>
          <w:p>
            <w:pPr>
              <w:widowControl/>
              <w:jc w:val="center"/>
              <w:rPr>
                <w:rFonts w:ascii="Times New Roman" w:hAnsi="Times New Roman"/>
                <w:kern w:val="0"/>
                <w:sz w:val="21"/>
                <w:szCs w:val="21"/>
              </w:rPr>
            </w:pPr>
            <w:r>
              <w:rPr>
                <w:rFonts w:ascii="Times New Roman" w:hAnsi="Times New Roman"/>
                <w:kern w:val="0"/>
                <w:sz w:val="21"/>
                <w:szCs w:val="21"/>
              </w:rPr>
              <w:t>点位</w:t>
            </w:r>
          </w:p>
        </w:tc>
        <w:tc>
          <w:tcPr>
            <w:tcW w:w="3496" w:type="dxa"/>
            <w:gridSpan w:val="3"/>
            <w:vAlign w:val="center"/>
          </w:tcPr>
          <w:p>
            <w:pPr>
              <w:widowControl/>
              <w:jc w:val="center"/>
              <w:rPr>
                <w:rFonts w:ascii="Times New Roman" w:hAnsi="Times New Roman"/>
                <w:kern w:val="0"/>
                <w:sz w:val="21"/>
                <w:szCs w:val="21"/>
              </w:rPr>
            </w:pPr>
            <w:r>
              <w:rPr>
                <w:rFonts w:ascii="Times New Roman" w:hAnsi="Times New Roman"/>
                <w:kern w:val="0"/>
                <w:sz w:val="21"/>
                <w:szCs w:val="21"/>
              </w:rPr>
              <w:t>小时平均浓度</w:t>
            </w:r>
          </w:p>
        </w:tc>
        <w:tc>
          <w:tcPr>
            <w:tcW w:w="3670" w:type="dxa"/>
            <w:gridSpan w:val="3"/>
            <w:vAlign w:val="center"/>
          </w:tcPr>
          <w:p>
            <w:pPr>
              <w:widowControl/>
              <w:jc w:val="center"/>
              <w:rPr>
                <w:rFonts w:ascii="Times New Roman" w:hAnsi="Times New Roman"/>
                <w:kern w:val="0"/>
                <w:sz w:val="21"/>
                <w:szCs w:val="21"/>
              </w:rPr>
            </w:pPr>
            <w:r>
              <w:rPr>
                <w:rFonts w:ascii="Times New Roman" w:hAnsi="Times New Roman"/>
                <w:kern w:val="0"/>
                <w:sz w:val="21"/>
                <w:szCs w:val="21"/>
              </w:rPr>
              <w:t>日平均浓度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95" w:type="dxa"/>
            <w:vMerge w:val="continue"/>
            <w:vAlign w:val="center"/>
          </w:tcPr>
          <w:p>
            <w:pPr>
              <w:widowControl/>
              <w:jc w:val="center"/>
              <w:rPr>
                <w:rFonts w:ascii="Times New Roman" w:hAnsi="Times New Roman"/>
                <w:kern w:val="0"/>
                <w:sz w:val="21"/>
                <w:szCs w:val="21"/>
              </w:rPr>
            </w:pPr>
          </w:p>
        </w:tc>
        <w:tc>
          <w:tcPr>
            <w:tcW w:w="1029" w:type="dxa"/>
            <w:vMerge w:val="continue"/>
            <w:vAlign w:val="center"/>
          </w:tcPr>
          <w:p>
            <w:pPr>
              <w:widowControl/>
              <w:jc w:val="center"/>
              <w:rPr>
                <w:rFonts w:ascii="Times New Roman" w:hAnsi="Times New Roman"/>
                <w:kern w:val="0"/>
                <w:sz w:val="21"/>
                <w:szCs w:val="21"/>
              </w:rPr>
            </w:pPr>
          </w:p>
        </w:tc>
        <w:tc>
          <w:tcPr>
            <w:tcW w:w="1238" w:type="dxa"/>
            <w:vAlign w:val="center"/>
          </w:tcPr>
          <w:p>
            <w:pPr>
              <w:widowControl/>
              <w:jc w:val="center"/>
              <w:rPr>
                <w:rFonts w:ascii="Times New Roman" w:hAnsi="Times New Roman"/>
                <w:kern w:val="0"/>
                <w:sz w:val="21"/>
                <w:szCs w:val="21"/>
              </w:rPr>
            </w:pPr>
            <w:r>
              <w:rPr>
                <w:rFonts w:ascii="Times New Roman" w:hAnsi="Times New Roman"/>
                <w:kern w:val="0"/>
                <w:sz w:val="21"/>
                <w:szCs w:val="21"/>
              </w:rPr>
              <w:t>浓度范围</w:t>
            </w:r>
          </w:p>
        </w:tc>
        <w:tc>
          <w:tcPr>
            <w:tcW w:w="14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占标率范围%</w:t>
            </w:r>
          </w:p>
        </w:tc>
        <w:tc>
          <w:tcPr>
            <w:tcW w:w="828" w:type="dxa"/>
            <w:vAlign w:val="center"/>
          </w:tcPr>
          <w:p>
            <w:pPr>
              <w:widowControl/>
              <w:jc w:val="center"/>
              <w:rPr>
                <w:rFonts w:ascii="Times New Roman" w:hAnsi="Times New Roman"/>
                <w:kern w:val="0"/>
                <w:sz w:val="21"/>
                <w:szCs w:val="21"/>
              </w:rPr>
            </w:pPr>
            <w:r>
              <w:rPr>
                <w:rFonts w:ascii="Times New Roman" w:hAnsi="Times New Roman"/>
                <w:kern w:val="0"/>
                <w:sz w:val="21"/>
                <w:szCs w:val="21"/>
              </w:rPr>
              <w:t>超标率</w:t>
            </w:r>
          </w:p>
        </w:tc>
        <w:tc>
          <w:tcPr>
            <w:tcW w:w="1238" w:type="dxa"/>
            <w:vAlign w:val="center"/>
          </w:tcPr>
          <w:p>
            <w:pPr>
              <w:widowControl/>
              <w:jc w:val="center"/>
              <w:rPr>
                <w:rFonts w:ascii="Times New Roman" w:hAnsi="Times New Roman"/>
                <w:kern w:val="0"/>
                <w:sz w:val="21"/>
                <w:szCs w:val="21"/>
              </w:rPr>
            </w:pPr>
            <w:r>
              <w:rPr>
                <w:rFonts w:ascii="Times New Roman" w:hAnsi="Times New Roman"/>
                <w:kern w:val="0"/>
                <w:sz w:val="21"/>
                <w:szCs w:val="21"/>
              </w:rPr>
              <w:t>浓度范围</w:t>
            </w:r>
          </w:p>
        </w:tc>
        <w:tc>
          <w:tcPr>
            <w:tcW w:w="1431" w:type="dxa"/>
            <w:vAlign w:val="center"/>
          </w:tcPr>
          <w:p>
            <w:pPr>
              <w:widowControl/>
              <w:jc w:val="center"/>
              <w:rPr>
                <w:rFonts w:ascii="Times New Roman" w:hAnsi="Times New Roman"/>
                <w:kern w:val="0"/>
                <w:sz w:val="21"/>
                <w:szCs w:val="21"/>
              </w:rPr>
            </w:pPr>
            <w:r>
              <w:rPr>
                <w:rFonts w:ascii="Times New Roman" w:hAnsi="Times New Roman"/>
                <w:kern w:val="0"/>
                <w:sz w:val="21"/>
                <w:szCs w:val="21"/>
              </w:rPr>
              <w:t>占标率范围%</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超标率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p>
            <w:pPr>
              <w:jc w:val="center"/>
              <w:rPr>
                <w:rFonts w:ascii="Times New Roman" w:hAnsi="Times New Roman"/>
                <w:kern w:val="0"/>
                <w:sz w:val="21"/>
                <w:szCs w:val="21"/>
              </w:rPr>
            </w:pPr>
            <w:r>
              <w:rPr>
                <w:rFonts w:ascii="Times New Roman" w:hAnsi="Times New Roman"/>
                <w:kern w:val="0"/>
                <w:sz w:val="21"/>
                <w:szCs w:val="21"/>
              </w:rPr>
              <w:t>(µg/m</w:t>
            </w:r>
            <w:r>
              <w:rPr>
                <w:rFonts w:ascii="Times New Roman" w:hAnsi="Times New Roman"/>
                <w:kern w:val="0"/>
                <w:sz w:val="21"/>
                <w:szCs w:val="21"/>
                <w:vertAlign w:val="superscript"/>
              </w:rPr>
              <w:t>3</w:t>
            </w:r>
            <w:r>
              <w:rPr>
                <w:rFonts w:ascii="Times New Roman" w:hAnsi="Times New Roman"/>
                <w:kern w:val="0"/>
                <w:sz w:val="21"/>
                <w:szCs w:val="21"/>
              </w:rPr>
              <w:t>)</w:t>
            </w: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13~19</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2.6~3.8</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13~15</w:t>
            </w:r>
          </w:p>
        </w:tc>
        <w:tc>
          <w:tcPr>
            <w:tcW w:w="143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8.7~10</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11~19</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2.2~3.8</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13~17</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8.7~11.3</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12~18</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2.4~3.6</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13~14</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8.7~9.3</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12~19</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2.4~3.8</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13~16</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8.7~10.7</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w:t>
            </w:r>
            <w:r>
              <w:rPr>
                <w:rFonts w:ascii="Times New Roman" w:hAnsi="Times New Roman"/>
                <w:kern w:val="0"/>
                <w:sz w:val="21"/>
                <w:szCs w:val="21"/>
                <w:vertAlign w:val="subscript"/>
              </w:rPr>
              <w:t>2</w:t>
            </w:r>
          </w:p>
          <w:p>
            <w:pPr>
              <w:jc w:val="center"/>
              <w:rPr>
                <w:rFonts w:ascii="Times New Roman" w:hAnsi="Times New Roman"/>
                <w:kern w:val="0"/>
                <w:sz w:val="21"/>
                <w:szCs w:val="21"/>
              </w:rPr>
            </w:pPr>
            <w:r>
              <w:rPr>
                <w:rFonts w:ascii="Times New Roman" w:hAnsi="Times New Roman"/>
                <w:kern w:val="0"/>
                <w:sz w:val="21"/>
                <w:szCs w:val="21"/>
              </w:rPr>
              <w:t>(µg/m</w:t>
            </w:r>
            <w:r>
              <w:rPr>
                <w:rFonts w:ascii="Times New Roman" w:hAnsi="Times New Roman"/>
                <w:kern w:val="0"/>
                <w:sz w:val="21"/>
                <w:szCs w:val="21"/>
                <w:vertAlign w:val="superscript"/>
              </w:rPr>
              <w:t>3</w:t>
            </w:r>
            <w:r>
              <w:rPr>
                <w:rFonts w:ascii="Times New Roman" w:hAnsi="Times New Roman"/>
                <w:kern w:val="0"/>
                <w:sz w:val="21"/>
                <w:szCs w:val="21"/>
              </w:rPr>
              <w:t>)</w:t>
            </w: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19~24</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9.5~12</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21~23</w:t>
            </w:r>
          </w:p>
        </w:tc>
        <w:tc>
          <w:tcPr>
            <w:tcW w:w="143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26.3~28.8</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19~24</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9.5~12</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22~23</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27.5~28.8</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19~25</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9.5~12.5</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21~22</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26.3~27.5</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20~24</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10~12</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21~23</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26.3~28.8</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CO</w:t>
            </w:r>
          </w:p>
          <w:p>
            <w:pPr>
              <w:jc w:val="center"/>
              <w:rPr>
                <w:rFonts w:ascii="Times New Roman" w:hAnsi="Times New Roman"/>
                <w:kern w:val="0"/>
                <w:sz w:val="21"/>
                <w:szCs w:val="21"/>
              </w:rPr>
            </w:pPr>
            <w:r>
              <w:rPr>
                <w:rFonts w:ascii="Times New Roman" w:hAnsi="Times New Roman"/>
                <w:kern w:val="0"/>
                <w:sz w:val="21"/>
                <w:szCs w:val="21"/>
              </w:rPr>
              <w:t>(mg/m</w:t>
            </w:r>
            <w:r>
              <w:rPr>
                <w:rFonts w:ascii="Times New Roman" w:hAnsi="Times New Roman"/>
                <w:kern w:val="0"/>
                <w:sz w:val="21"/>
                <w:szCs w:val="21"/>
                <w:vertAlign w:val="superscript"/>
              </w:rPr>
              <w:t>3</w:t>
            </w:r>
            <w:r>
              <w:rPr>
                <w:rFonts w:ascii="Times New Roman" w:hAnsi="Times New Roman"/>
                <w:kern w:val="0"/>
                <w:sz w:val="21"/>
                <w:szCs w:val="21"/>
              </w:rPr>
              <w:t>)</w:t>
            </w: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0.4~1</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10~25</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0.6~0.9</w:t>
            </w:r>
          </w:p>
        </w:tc>
        <w:tc>
          <w:tcPr>
            <w:tcW w:w="143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15~22.5</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0.4~1.1</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10~27.5</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0.5~0.9</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12.5~22.5</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0.4~1.1</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10~27.5</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0.6~0.9</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15~22.5</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0.4~1</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10~25</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0.6~0.9</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15~22.5</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O</w:t>
            </w:r>
            <w:r>
              <w:rPr>
                <w:rFonts w:ascii="Times New Roman" w:hAnsi="Times New Roman"/>
                <w:kern w:val="0"/>
                <w:sz w:val="21"/>
                <w:szCs w:val="21"/>
                <w:vertAlign w:val="superscript"/>
              </w:rPr>
              <w:t>3</w:t>
            </w:r>
          </w:p>
          <w:p>
            <w:pPr>
              <w:jc w:val="center"/>
              <w:rPr>
                <w:rFonts w:ascii="Times New Roman" w:hAnsi="Times New Roman"/>
                <w:kern w:val="0"/>
                <w:sz w:val="21"/>
                <w:szCs w:val="21"/>
              </w:rPr>
            </w:pPr>
            <w:r>
              <w:rPr>
                <w:rFonts w:ascii="Times New Roman" w:hAnsi="Times New Roman"/>
                <w:kern w:val="0"/>
                <w:sz w:val="21"/>
                <w:szCs w:val="21"/>
              </w:rPr>
              <w:t>(µg/m</w:t>
            </w:r>
            <w:r>
              <w:rPr>
                <w:rFonts w:ascii="Times New Roman" w:hAnsi="Times New Roman"/>
                <w:kern w:val="0"/>
                <w:sz w:val="21"/>
                <w:szCs w:val="21"/>
                <w:vertAlign w:val="superscript"/>
              </w:rPr>
              <w:t>3</w:t>
            </w:r>
            <w:r>
              <w:rPr>
                <w:rFonts w:ascii="Times New Roman" w:hAnsi="Times New Roman"/>
                <w:kern w:val="0"/>
                <w:sz w:val="21"/>
                <w:szCs w:val="21"/>
              </w:rPr>
              <w:t>)</w:t>
            </w: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16~149</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8~74.5</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109~128</w:t>
            </w:r>
          </w:p>
        </w:tc>
        <w:tc>
          <w:tcPr>
            <w:tcW w:w="143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68.1~80</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18~137</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9~68.5</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110~129</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68.8~80.6</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13~133</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6.5~66.5</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109~129</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68.1~80.6</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16~127</w:t>
            </w:r>
          </w:p>
        </w:tc>
        <w:tc>
          <w:tcPr>
            <w:tcW w:w="1430" w:type="dxa"/>
            <w:shd w:val="clear" w:color="auto" w:fill="auto"/>
            <w:vAlign w:val="center"/>
          </w:tcPr>
          <w:p>
            <w:pPr>
              <w:jc w:val="center"/>
              <w:rPr>
                <w:rFonts w:ascii="Times New Roman" w:hAnsi="Times New Roman"/>
                <w:sz w:val="21"/>
                <w:szCs w:val="21"/>
              </w:rPr>
            </w:pPr>
            <w:r>
              <w:rPr>
                <w:rFonts w:ascii="Times New Roman" w:hAnsi="Times New Roman"/>
                <w:sz w:val="21"/>
                <w:szCs w:val="21"/>
              </w:rPr>
              <w:t>8~63.5</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114~137</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71.3~85.6</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TSP</w:t>
            </w:r>
          </w:p>
          <w:p>
            <w:pPr>
              <w:widowControl/>
              <w:jc w:val="center"/>
              <w:rPr>
                <w:rFonts w:ascii="Times New Roman" w:hAnsi="Times New Roman"/>
                <w:kern w:val="0"/>
                <w:sz w:val="21"/>
                <w:szCs w:val="21"/>
              </w:rPr>
            </w:pPr>
            <w:r>
              <w:rPr>
                <w:rFonts w:ascii="Times New Roman" w:hAnsi="Times New Roman"/>
                <w:kern w:val="0"/>
                <w:sz w:val="21"/>
                <w:szCs w:val="21"/>
              </w:rPr>
              <w:t>(µg/m</w:t>
            </w:r>
            <w:r>
              <w:rPr>
                <w:rFonts w:ascii="Times New Roman" w:hAnsi="Times New Roman"/>
                <w:kern w:val="0"/>
                <w:sz w:val="21"/>
                <w:szCs w:val="21"/>
                <w:vertAlign w:val="superscript"/>
              </w:rPr>
              <w:t>3</w:t>
            </w:r>
            <w:r>
              <w:rPr>
                <w:rFonts w:ascii="Times New Roman" w:hAnsi="Times New Roman"/>
                <w:kern w:val="0"/>
                <w:sz w:val="21"/>
                <w:szCs w:val="21"/>
              </w:rPr>
              <w:t>)</w:t>
            </w: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66~80</w:t>
            </w:r>
          </w:p>
        </w:tc>
        <w:tc>
          <w:tcPr>
            <w:tcW w:w="143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22~26.7</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63~82</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21~27.3</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63~85</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21~28.3</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71~89</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23.7~29.7</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p>
            <w:pPr>
              <w:jc w:val="center"/>
              <w:rPr>
                <w:rFonts w:ascii="Times New Roman" w:hAnsi="Times New Roman"/>
                <w:kern w:val="0"/>
                <w:sz w:val="21"/>
                <w:szCs w:val="21"/>
              </w:rPr>
            </w:pPr>
            <w:r>
              <w:rPr>
                <w:rFonts w:ascii="Times New Roman" w:hAnsi="Times New Roman"/>
                <w:kern w:val="0"/>
                <w:sz w:val="21"/>
                <w:szCs w:val="21"/>
              </w:rPr>
              <w:t>(µg/m</w:t>
            </w:r>
            <w:r>
              <w:rPr>
                <w:rFonts w:ascii="Times New Roman" w:hAnsi="Times New Roman"/>
                <w:kern w:val="0"/>
                <w:sz w:val="21"/>
                <w:szCs w:val="21"/>
                <w:vertAlign w:val="superscript"/>
              </w:rPr>
              <w:t>3</w:t>
            </w:r>
            <w:r>
              <w:rPr>
                <w:rFonts w:ascii="Times New Roman" w:hAnsi="Times New Roman"/>
                <w:kern w:val="0"/>
                <w:sz w:val="21"/>
                <w:szCs w:val="21"/>
              </w:rPr>
              <w:t>)</w:t>
            </w: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26~33</w:t>
            </w:r>
          </w:p>
        </w:tc>
        <w:tc>
          <w:tcPr>
            <w:tcW w:w="143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17.3~22</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22~34</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14.7~22.7</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24~37</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16~24.7</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27~34</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18~22.7</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2.5</w:t>
            </w:r>
          </w:p>
          <w:p>
            <w:pPr>
              <w:jc w:val="center"/>
              <w:rPr>
                <w:rFonts w:ascii="Times New Roman" w:hAnsi="Times New Roman"/>
                <w:kern w:val="0"/>
                <w:sz w:val="21"/>
                <w:szCs w:val="21"/>
              </w:rPr>
            </w:pPr>
            <w:r>
              <w:rPr>
                <w:rFonts w:ascii="Times New Roman" w:hAnsi="Times New Roman"/>
                <w:kern w:val="0"/>
                <w:sz w:val="21"/>
                <w:szCs w:val="21"/>
              </w:rPr>
              <w:t>(µg/m</w:t>
            </w:r>
            <w:r>
              <w:rPr>
                <w:rFonts w:ascii="Times New Roman" w:hAnsi="Times New Roman"/>
                <w:kern w:val="0"/>
                <w:sz w:val="21"/>
                <w:szCs w:val="21"/>
                <w:vertAlign w:val="superscript"/>
              </w:rPr>
              <w:t>3</w:t>
            </w:r>
            <w:r>
              <w:rPr>
                <w:rFonts w:ascii="Times New Roman" w:hAnsi="Times New Roman"/>
                <w:kern w:val="0"/>
                <w:sz w:val="21"/>
                <w:szCs w:val="21"/>
              </w:rPr>
              <w:t>)</w:t>
            </w: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11~15</w:t>
            </w:r>
          </w:p>
        </w:tc>
        <w:tc>
          <w:tcPr>
            <w:tcW w:w="1431"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14.7~20</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10~14</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13.3~18.7</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widowControl/>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11~14</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14.7~18.7</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95" w:type="dxa"/>
            <w:vMerge w:val="continue"/>
            <w:shd w:val="clear" w:color="auto" w:fill="auto"/>
            <w:vAlign w:val="center"/>
          </w:tcPr>
          <w:p>
            <w:pPr>
              <w:jc w:val="center"/>
              <w:rPr>
                <w:rFonts w:ascii="Times New Roman" w:hAnsi="Times New Roman"/>
                <w:kern w:val="0"/>
                <w:sz w:val="21"/>
                <w:szCs w:val="21"/>
              </w:rPr>
            </w:pPr>
          </w:p>
        </w:tc>
        <w:tc>
          <w:tcPr>
            <w:tcW w:w="102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123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430"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82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38" w:type="dxa"/>
            <w:shd w:val="clear" w:color="auto" w:fill="auto"/>
            <w:vAlign w:val="center"/>
          </w:tcPr>
          <w:p>
            <w:pPr>
              <w:jc w:val="center"/>
              <w:rPr>
                <w:rFonts w:ascii="Times New Roman" w:hAnsi="Times New Roman"/>
                <w:sz w:val="21"/>
                <w:szCs w:val="21"/>
              </w:rPr>
            </w:pPr>
            <w:r>
              <w:rPr>
                <w:rFonts w:ascii="Times New Roman" w:hAnsi="Times New Roman"/>
                <w:sz w:val="21"/>
                <w:szCs w:val="21"/>
              </w:rPr>
              <w:t>10~17</w:t>
            </w:r>
          </w:p>
        </w:tc>
        <w:tc>
          <w:tcPr>
            <w:tcW w:w="1431" w:type="dxa"/>
            <w:shd w:val="clear" w:color="auto" w:fill="auto"/>
            <w:vAlign w:val="center"/>
          </w:tcPr>
          <w:p>
            <w:pPr>
              <w:jc w:val="center"/>
              <w:rPr>
                <w:rFonts w:ascii="Times New Roman" w:hAnsi="Times New Roman"/>
                <w:sz w:val="21"/>
                <w:szCs w:val="21"/>
              </w:rPr>
            </w:pPr>
            <w:r>
              <w:rPr>
                <w:rFonts w:ascii="Times New Roman" w:hAnsi="Times New Roman"/>
                <w:sz w:val="21"/>
                <w:szCs w:val="21"/>
              </w:rPr>
              <w:t>13.3~22.7</w:t>
            </w:r>
          </w:p>
        </w:tc>
        <w:tc>
          <w:tcPr>
            <w:tcW w:w="1001" w:type="dxa"/>
            <w:vAlign w:val="center"/>
          </w:tcPr>
          <w:p>
            <w:pPr>
              <w:widowControl/>
              <w:jc w:val="center"/>
              <w:rPr>
                <w:rFonts w:ascii="Times New Roman" w:hAnsi="Times New Roman"/>
                <w:kern w:val="0"/>
                <w:sz w:val="21"/>
                <w:szCs w:val="21"/>
              </w:rPr>
            </w:pPr>
            <w:r>
              <w:rPr>
                <w:rFonts w:ascii="Times New Roman" w:hAnsi="Times New Roman"/>
                <w:kern w:val="0"/>
                <w:sz w:val="21"/>
                <w:szCs w:val="21"/>
              </w:rPr>
              <w:t>0</w:t>
            </w:r>
          </w:p>
        </w:tc>
      </w:tr>
    </w:tbl>
    <w:p>
      <w:pPr>
        <w:adjustRightInd w:val="0"/>
        <w:snapToGrid w:val="0"/>
        <w:spacing w:before="100" w:beforeAutospacing="1" w:line="440" w:lineRule="exact"/>
        <w:ind w:firstLine="480" w:firstLineChars="200"/>
        <w:rPr>
          <w:rFonts w:ascii="Times New Roman" w:hAnsi="Times New Roman"/>
        </w:rPr>
      </w:pPr>
      <w:r>
        <w:rPr>
          <w:rFonts w:ascii="Times New Roman" w:hAnsi="Times New Roman"/>
        </w:rPr>
        <w:t>由表3.4-5可知，各监测点NO</w:t>
      </w:r>
      <w:r>
        <w:rPr>
          <w:rFonts w:ascii="Times New Roman" w:hAnsi="Times New Roman"/>
          <w:vertAlign w:val="subscript"/>
        </w:rPr>
        <w:t>2</w:t>
      </w:r>
      <w:r>
        <w:rPr>
          <w:rFonts w:ascii="Times New Roman" w:hAnsi="Times New Roman"/>
        </w:rPr>
        <w:t>、SO</w:t>
      </w:r>
      <w:r>
        <w:rPr>
          <w:rFonts w:ascii="Times New Roman" w:hAnsi="Times New Roman"/>
          <w:vertAlign w:val="subscript"/>
        </w:rPr>
        <w:t>2</w:t>
      </w:r>
      <w:r>
        <w:rPr>
          <w:rFonts w:ascii="Times New Roman" w:hAnsi="Times New Roman"/>
        </w:rPr>
        <w:t>、CO和O</w:t>
      </w:r>
      <w:r>
        <w:rPr>
          <w:rFonts w:ascii="Times New Roman" w:hAnsi="Times New Roman"/>
          <w:vertAlign w:val="subscript"/>
        </w:rPr>
        <w:t>3</w:t>
      </w:r>
      <w:r>
        <w:rPr>
          <w:rFonts w:ascii="Times New Roman" w:hAnsi="Times New Roman"/>
        </w:rPr>
        <w:t>小时浓度以及NO</w:t>
      </w:r>
      <w:r>
        <w:rPr>
          <w:rFonts w:ascii="Times New Roman" w:hAnsi="Times New Roman"/>
          <w:vertAlign w:val="subscript"/>
        </w:rPr>
        <w:t>2</w:t>
      </w:r>
      <w:r>
        <w:rPr>
          <w:rFonts w:ascii="Times New Roman" w:hAnsi="Times New Roman"/>
        </w:rPr>
        <w:t>、SO</w:t>
      </w:r>
      <w:r>
        <w:rPr>
          <w:rFonts w:ascii="Times New Roman" w:hAnsi="Times New Roman"/>
          <w:vertAlign w:val="subscript"/>
        </w:rPr>
        <w:t>2</w:t>
      </w:r>
      <w:r>
        <w:rPr>
          <w:rFonts w:ascii="Times New Roman" w:hAnsi="Times New Roman"/>
        </w:rPr>
        <w:t>、CO、TSP、PM</w:t>
      </w:r>
      <w:r>
        <w:rPr>
          <w:rFonts w:ascii="Times New Roman" w:hAnsi="Times New Roman"/>
          <w:vertAlign w:val="subscript"/>
        </w:rPr>
        <w:t>10</w:t>
      </w:r>
      <w:r>
        <w:rPr>
          <w:rFonts w:ascii="Times New Roman" w:hAnsi="Times New Roman"/>
        </w:rPr>
        <w:t>和PM</w:t>
      </w:r>
      <w:r>
        <w:rPr>
          <w:rFonts w:ascii="Times New Roman" w:hAnsi="Times New Roman"/>
          <w:vertAlign w:val="subscript"/>
        </w:rPr>
        <w:t>2.5</w:t>
      </w:r>
      <w:r>
        <w:rPr>
          <w:rFonts w:ascii="Times New Roman" w:hAnsi="Times New Roman"/>
        </w:rPr>
        <w:t>日均浓度，O</w:t>
      </w:r>
      <w:r>
        <w:rPr>
          <w:rFonts w:ascii="Times New Roman" w:hAnsi="Times New Roman"/>
          <w:vertAlign w:val="subscript"/>
        </w:rPr>
        <w:t>3</w:t>
      </w:r>
      <w:r>
        <w:rPr>
          <w:rFonts w:ascii="Times New Roman" w:hAnsi="Times New Roman"/>
        </w:rPr>
        <w:t>日最大8小时浓度均满足《环境空气质量标准》（GB3095-2012）中二级标准限值的要求</w:t>
      </w:r>
      <w:r>
        <w:rPr>
          <w:rFonts w:hint="eastAsia" w:ascii="Times New Roman" w:hAnsi="Times New Roman"/>
        </w:rPr>
        <w:t>。遗鸥保护区环境空气质量参考泊江海子镇监测数据，</w:t>
      </w:r>
      <w:r>
        <w:rPr>
          <w:rFonts w:ascii="Times New Roman" w:hAnsi="Times New Roman"/>
        </w:rPr>
        <w:t xml:space="preserve"> NO</w:t>
      </w:r>
      <w:r>
        <w:rPr>
          <w:rFonts w:ascii="Times New Roman" w:hAnsi="Times New Roman"/>
          <w:vertAlign w:val="subscript"/>
        </w:rPr>
        <w:t>2</w:t>
      </w:r>
      <w:r>
        <w:rPr>
          <w:rFonts w:ascii="Times New Roman" w:hAnsi="Times New Roman"/>
        </w:rPr>
        <w:t>、SO</w:t>
      </w:r>
      <w:r>
        <w:rPr>
          <w:rFonts w:ascii="Times New Roman" w:hAnsi="Times New Roman"/>
          <w:vertAlign w:val="subscript"/>
        </w:rPr>
        <w:t>2</w:t>
      </w:r>
      <w:r>
        <w:rPr>
          <w:rFonts w:ascii="Times New Roman" w:hAnsi="Times New Roman"/>
        </w:rPr>
        <w:t>、CO和O</w:t>
      </w:r>
      <w:r>
        <w:rPr>
          <w:rFonts w:ascii="Times New Roman" w:hAnsi="Times New Roman"/>
          <w:vertAlign w:val="subscript"/>
        </w:rPr>
        <w:t>3</w:t>
      </w:r>
      <w:r>
        <w:rPr>
          <w:rFonts w:ascii="Times New Roman" w:hAnsi="Times New Roman"/>
        </w:rPr>
        <w:t>小时浓度</w:t>
      </w:r>
      <w:r>
        <w:rPr>
          <w:rFonts w:hint="eastAsia" w:ascii="Times New Roman" w:hAnsi="Times New Roman"/>
        </w:rPr>
        <w:t>、日均浓度</w:t>
      </w:r>
      <w:r>
        <w:rPr>
          <w:rFonts w:ascii="Times New Roman" w:hAnsi="Times New Roman"/>
        </w:rPr>
        <w:t>均满足《环境空气质量标准》（GB3095-2012）中</w:t>
      </w:r>
      <w:r>
        <w:rPr>
          <w:rFonts w:hint="eastAsia" w:ascii="Times New Roman" w:hAnsi="Times New Roman"/>
        </w:rPr>
        <w:t>一</w:t>
      </w:r>
      <w:r>
        <w:rPr>
          <w:rFonts w:ascii="Times New Roman" w:hAnsi="Times New Roman"/>
        </w:rPr>
        <w:t>级标准限值的要求</w:t>
      </w:r>
      <w:r>
        <w:rPr>
          <w:rFonts w:hint="eastAsia" w:ascii="Times New Roman" w:hAnsi="Times New Roman"/>
        </w:rPr>
        <w:t>，</w:t>
      </w:r>
      <w:r>
        <w:rPr>
          <w:rFonts w:ascii="Times New Roman" w:hAnsi="Times New Roman"/>
        </w:rPr>
        <w:t>TSP、PM</w:t>
      </w:r>
      <w:r>
        <w:rPr>
          <w:rFonts w:ascii="Times New Roman" w:hAnsi="Times New Roman"/>
          <w:vertAlign w:val="subscript"/>
        </w:rPr>
        <w:t>10</w:t>
      </w:r>
      <w:r>
        <w:rPr>
          <w:rFonts w:ascii="Times New Roman" w:hAnsi="Times New Roman"/>
        </w:rPr>
        <w:t>和PM</w:t>
      </w:r>
      <w:r>
        <w:rPr>
          <w:rFonts w:ascii="Times New Roman" w:hAnsi="Times New Roman"/>
          <w:vertAlign w:val="subscript"/>
        </w:rPr>
        <w:t>2.5</w:t>
      </w:r>
      <w:r>
        <w:rPr>
          <w:rFonts w:ascii="Times New Roman" w:hAnsi="Times New Roman"/>
        </w:rPr>
        <w:t>日均浓度</w:t>
      </w:r>
      <w:r>
        <w:rPr>
          <w:rFonts w:hint="eastAsia" w:ascii="Times New Roman" w:hAnsi="Times New Roman"/>
        </w:rPr>
        <w:t>略超出</w:t>
      </w:r>
      <w:r>
        <w:rPr>
          <w:rFonts w:ascii="Times New Roman" w:hAnsi="Times New Roman"/>
        </w:rPr>
        <w:t>《环境空气质量标准》（GB3095-2012）中</w:t>
      </w:r>
      <w:r>
        <w:rPr>
          <w:rFonts w:hint="eastAsia" w:ascii="Times New Roman" w:hAnsi="Times New Roman"/>
        </w:rPr>
        <w:t>一</w:t>
      </w:r>
      <w:r>
        <w:rPr>
          <w:rFonts w:ascii="Times New Roman" w:hAnsi="Times New Roman"/>
        </w:rPr>
        <w:t>级标准限值的要求</w:t>
      </w:r>
      <w:r>
        <w:rPr>
          <w:rFonts w:hint="eastAsia" w:ascii="Times New Roman" w:hAnsi="Times New Roman"/>
        </w:rPr>
        <w:t>，可能与冬季供暖有关。</w:t>
      </w:r>
    </w:p>
    <w:p>
      <w:pPr>
        <w:keepNext/>
        <w:keepLines/>
        <w:spacing w:line="440" w:lineRule="exact"/>
        <w:outlineLvl w:val="3"/>
        <w:rPr>
          <w:rFonts w:ascii="Times New Roman" w:hAnsi="Times New Roman"/>
          <w:b/>
        </w:rPr>
      </w:pPr>
      <w:r>
        <w:rPr>
          <w:rFonts w:ascii="Times New Roman" w:hAnsi="Times New Roman"/>
          <w:b/>
        </w:rPr>
        <w:t>3.4.1.3环境空气质量现状评价结论</w:t>
      </w:r>
    </w:p>
    <w:p>
      <w:pPr>
        <w:spacing w:line="440" w:lineRule="exact"/>
        <w:ind w:firstLine="480" w:firstLineChars="200"/>
        <w:rPr>
          <w:rFonts w:ascii="Times New Roman" w:hAnsi="Times New Roman"/>
        </w:rPr>
      </w:pPr>
      <w:r>
        <w:rPr>
          <w:rFonts w:ascii="Times New Roman" w:hAnsi="Times New Roman"/>
        </w:rPr>
        <w:t>2021年矿区所在的鄂尔多斯市为环境空气质量达标区。</w:t>
      </w:r>
    </w:p>
    <w:p>
      <w:pPr>
        <w:adjustRightInd w:val="0"/>
        <w:snapToGrid w:val="0"/>
        <w:spacing w:line="440" w:lineRule="exact"/>
        <w:ind w:firstLine="480" w:firstLineChars="200"/>
        <w:rPr>
          <w:rFonts w:ascii="Times New Roman" w:hAnsi="Times New Roman"/>
        </w:rPr>
      </w:pPr>
      <w:r>
        <w:rPr>
          <w:rFonts w:ascii="Times New Roman" w:hAnsi="Times New Roman"/>
        </w:rPr>
        <w:t>本次评价收集到鄂尔多斯市2015~2020年环境空气质量统计数据进行分析，结果表明2017年、2018年可吸入颗粒物略有超标，2019</w:t>
      </w:r>
      <w:r>
        <w:rPr>
          <w:rFonts w:hint="eastAsia" w:ascii="Times New Roman" w:hAnsi="Times New Roman"/>
        </w:rPr>
        <w:t>、2</w:t>
      </w:r>
      <w:r>
        <w:rPr>
          <w:rFonts w:ascii="Times New Roman" w:hAnsi="Times New Roman"/>
        </w:rPr>
        <w:t>020年鄂尔多斯市环境空气质量6项大气基本污染物均满足《环境空气质量标准》（GB3095-2012）中二级标准</w:t>
      </w:r>
      <w:r>
        <w:rPr>
          <w:rFonts w:hint="eastAsia" w:ascii="Times New Roman" w:hAnsi="Times New Roman"/>
        </w:rPr>
        <w:t>限值</w:t>
      </w:r>
      <w:r>
        <w:rPr>
          <w:rFonts w:ascii="Times New Roman" w:hAnsi="Times New Roman"/>
        </w:rPr>
        <w:t>的要求。同时本次评价对矿区及周边进行了补充监测，各监测点NO</w:t>
      </w:r>
      <w:r>
        <w:rPr>
          <w:rFonts w:ascii="Times New Roman" w:hAnsi="Times New Roman"/>
          <w:vertAlign w:val="subscript"/>
        </w:rPr>
        <w:t>2</w:t>
      </w:r>
      <w:r>
        <w:rPr>
          <w:rFonts w:ascii="Times New Roman" w:hAnsi="Times New Roman"/>
        </w:rPr>
        <w:t>、SO</w:t>
      </w:r>
      <w:r>
        <w:rPr>
          <w:rFonts w:ascii="Times New Roman" w:hAnsi="Times New Roman"/>
          <w:vertAlign w:val="subscript"/>
        </w:rPr>
        <w:t>2</w:t>
      </w:r>
      <w:r>
        <w:rPr>
          <w:rFonts w:ascii="Times New Roman" w:hAnsi="Times New Roman"/>
        </w:rPr>
        <w:t>、CO和O</w:t>
      </w:r>
      <w:r>
        <w:rPr>
          <w:rFonts w:ascii="Times New Roman" w:hAnsi="Times New Roman"/>
          <w:vertAlign w:val="subscript"/>
        </w:rPr>
        <w:t>3</w:t>
      </w:r>
      <w:r>
        <w:rPr>
          <w:rFonts w:ascii="Times New Roman" w:hAnsi="Times New Roman"/>
        </w:rPr>
        <w:t>小时浓度以及NO</w:t>
      </w:r>
      <w:r>
        <w:rPr>
          <w:rFonts w:ascii="Times New Roman" w:hAnsi="Times New Roman"/>
          <w:vertAlign w:val="subscript"/>
        </w:rPr>
        <w:t>2</w:t>
      </w:r>
      <w:r>
        <w:rPr>
          <w:rFonts w:ascii="Times New Roman" w:hAnsi="Times New Roman"/>
        </w:rPr>
        <w:t>、SO</w:t>
      </w:r>
      <w:r>
        <w:rPr>
          <w:rFonts w:ascii="Times New Roman" w:hAnsi="Times New Roman"/>
          <w:vertAlign w:val="subscript"/>
        </w:rPr>
        <w:t>2</w:t>
      </w:r>
      <w:r>
        <w:rPr>
          <w:rFonts w:ascii="Times New Roman" w:hAnsi="Times New Roman"/>
        </w:rPr>
        <w:t>、CO、TSP、PM</w:t>
      </w:r>
      <w:r>
        <w:rPr>
          <w:rFonts w:ascii="Times New Roman" w:hAnsi="Times New Roman"/>
          <w:vertAlign w:val="subscript"/>
        </w:rPr>
        <w:t>10</w:t>
      </w:r>
      <w:r>
        <w:rPr>
          <w:rFonts w:ascii="Times New Roman" w:hAnsi="Times New Roman"/>
        </w:rPr>
        <w:t>和PM</w:t>
      </w:r>
      <w:r>
        <w:rPr>
          <w:rFonts w:ascii="Times New Roman" w:hAnsi="Times New Roman"/>
          <w:vertAlign w:val="subscript"/>
        </w:rPr>
        <w:t>2.5</w:t>
      </w:r>
      <w:r>
        <w:rPr>
          <w:rFonts w:ascii="Times New Roman" w:hAnsi="Times New Roman"/>
        </w:rPr>
        <w:t>日均浓度，O</w:t>
      </w:r>
      <w:r>
        <w:rPr>
          <w:rFonts w:ascii="Times New Roman" w:hAnsi="Times New Roman"/>
          <w:vertAlign w:val="subscript"/>
        </w:rPr>
        <w:t>3</w:t>
      </w:r>
      <w:r>
        <w:rPr>
          <w:rFonts w:ascii="Times New Roman" w:hAnsi="Times New Roman"/>
        </w:rPr>
        <w:t>日最大8小时浓度均达标。</w:t>
      </w:r>
    </w:p>
    <w:p>
      <w:pPr>
        <w:adjustRightInd w:val="0"/>
        <w:snapToGrid w:val="0"/>
        <w:spacing w:line="440" w:lineRule="exact"/>
        <w:ind w:firstLine="480" w:firstLineChars="200"/>
        <w:rPr>
          <w:rFonts w:ascii="Times New Roman" w:hAnsi="Times New Roman"/>
        </w:rPr>
      </w:pPr>
      <w:r>
        <w:rPr>
          <w:rFonts w:ascii="Times New Roman" w:hAnsi="Times New Roman"/>
        </w:rPr>
        <w:t>由此可见，矿区所在的区域内环境空气质量良好。</w:t>
      </w:r>
    </w:p>
    <w:p>
      <w:pPr>
        <w:pStyle w:val="5"/>
        <w:adjustRightInd w:val="0"/>
        <w:snapToGrid w:val="0"/>
        <w:spacing w:before="0" w:after="0" w:line="440" w:lineRule="exact"/>
        <w:rPr>
          <w:sz w:val="24"/>
        </w:rPr>
      </w:pPr>
      <w:r>
        <w:rPr>
          <w:sz w:val="24"/>
        </w:rPr>
        <w:t>3.4.2 地表水环境质量现状</w:t>
      </w:r>
    </w:p>
    <w:p>
      <w:pPr>
        <w:pStyle w:val="6"/>
        <w:adjustRightInd w:val="0"/>
        <w:snapToGrid w:val="0"/>
        <w:spacing w:before="0" w:after="0" w:line="440" w:lineRule="exact"/>
        <w:rPr>
          <w:rFonts w:ascii="Times New Roman" w:hAnsi="Times New Roman"/>
        </w:rPr>
      </w:pPr>
      <w:r>
        <w:rPr>
          <w:rFonts w:ascii="Times New Roman" w:hAnsi="Times New Roman" w:eastAsia="宋体"/>
          <w:sz w:val="24"/>
        </w:rPr>
        <w:t>3.4.2.1现状监测</w:t>
      </w:r>
    </w:p>
    <w:p>
      <w:pPr>
        <w:numPr>
          <w:ilvl w:val="0"/>
          <w:numId w:val="17"/>
        </w:numPr>
        <w:tabs>
          <w:tab w:val="left" w:pos="3882"/>
        </w:tabs>
        <w:adjustRightInd w:val="0"/>
        <w:snapToGrid w:val="0"/>
        <w:spacing w:line="440" w:lineRule="exact"/>
        <w:ind w:firstLine="480"/>
        <w:rPr>
          <w:rFonts w:ascii="Times New Roman" w:hAnsi="Times New Roman"/>
        </w:rPr>
      </w:pPr>
      <w:r>
        <w:rPr>
          <w:rFonts w:ascii="Times New Roman" w:hAnsi="Times New Roman"/>
        </w:rPr>
        <w:t>监测点布设</w:t>
      </w:r>
    </w:p>
    <w:p>
      <w:pPr>
        <w:numPr>
          <w:ilvl w:val="255"/>
          <w:numId w:val="0"/>
        </w:numPr>
        <w:tabs>
          <w:tab w:val="left" w:pos="3882"/>
        </w:tabs>
        <w:adjustRightInd w:val="0"/>
        <w:snapToGrid w:val="0"/>
        <w:spacing w:line="440" w:lineRule="exact"/>
        <w:ind w:firstLine="480" w:firstLineChars="200"/>
        <w:rPr>
          <w:rFonts w:ascii="Times New Roman" w:hAnsi="Times New Roman"/>
        </w:rPr>
      </w:pPr>
      <w:r>
        <w:rPr>
          <w:rFonts w:ascii="Times New Roman" w:hAnsi="Times New Roman"/>
        </w:rPr>
        <w:t>根据《地表水和污水监测技术规范》（HJ/T2002）对伊和日淖尔、哈塔图淖尔、光明淖尔、哈达图淖尔、其和淖尔各设置一个监测断面，共5个，监测布点图见图3.4-2。</w:t>
      </w:r>
    </w:p>
    <w:p>
      <w:pPr>
        <w:tabs>
          <w:tab w:val="left" w:pos="3882"/>
        </w:tabs>
        <w:adjustRightInd w:val="0"/>
        <w:snapToGrid w:val="0"/>
        <w:spacing w:line="440" w:lineRule="exact"/>
        <w:ind w:firstLine="480"/>
        <w:rPr>
          <w:rFonts w:ascii="Times New Roman" w:hAnsi="Times New Roman"/>
        </w:rPr>
      </w:pPr>
      <w:r>
        <w:rPr>
          <w:rFonts w:ascii="Times New Roman" w:hAnsi="Times New Roman"/>
        </w:rPr>
        <w:t>（2）监测时段和采样方法</w:t>
      </w:r>
    </w:p>
    <w:p>
      <w:pPr>
        <w:tabs>
          <w:tab w:val="left" w:pos="3882"/>
        </w:tabs>
        <w:adjustRightInd w:val="0"/>
        <w:snapToGrid w:val="0"/>
        <w:spacing w:line="440" w:lineRule="exact"/>
        <w:ind w:firstLine="480"/>
        <w:rPr>
          <w:rFonts w:ascii="Times New Roman" w:hAnsi="Times New Roman"/>
        </w:rPr>
      </w:pPr>
      <w:r>
        <w:rPr>
          <w:rFonts w:ascii="Times New Roman" w:hAnsi="Times New Roman"/>
        </w:rPr>
        <w:t>监测时间：2020年7月2日</w:t>
      </w:r>
    </w:p>
    <w:p>
      <w:pPr>
        <w:tabs>
          <w:tab w:val="left" w:pos="3882"/>
        </w:tabs>
        <w:adjustRightInd w:val="0"/>
        <w:snapToGrid w:val="0"/>
        <w:spacing w:line="440" w:lineRule="exact"/>
        <w:ind w:firstLine="480"/>
        <w:rPr>
          <w:rFonts w:ascii="Times New Roman" w:hAnsi="Times New Roman"/>
        </w:rPr>
      </w:pPr>
      <w:r>
        <w:rPr>
          <w:rFonts w:ascii="Times New Roman" w:hAnsi="Times New Roman"/>
        </w:rPr>
        <w:t>监测项目的采样分析方法按照《水质采样设计技术规定》（GB12997-91）、《水质采样技术指导》（GB12998-91）、《水质采样样品保存和管理技术规定》（GB12999-91）所规定的方法进行。</w:t>
      </w:r>
    </w:p>
    <w:p>
      <w:pPr>
        <w:pStyle w:val="16"/>
        <w:adjustRightInd/>
        <w:spacing w:line="440" w:lineRule="exact"/>
        <w:ind w:firstLine="0" w:firstLineChars="0"/>
        <w:jc w:val="center"/>
        <w:rPr>
          <w:rFonts w:ascii="Times New Roman" w:hAnsi="Times New Roman" w:cs="Times New Roman"/>
          <w:b/>
          <w:sz w:val="24"/>
          <w:szCs w:val="24"/>
        </w:rPr>
      </w:pPr>
      <w:r>
        <w:rPr>
          <w:rFonts w:ascii="Times New Roman" w:hAnsi="Times New Roman" w:cs="Times New Roman"/>
          <w:b/>
          <w:sz w:val="24"/>
          <w:szCs w:val="24"/>
        </w:rPr>
        <w:t>地表水监测布点基本情况表</w:t>
      </w:r>
    </w:p>
    <w:p>
      <w:pPr>
        <w:outlineLvl w:val="4"/>
        <w:rPr>
          <w:rFonts w:ascii="Times New Roman" w:hAnsi="Times New Roman"/>
          <w:szCs w:val="24"/>
        </w:rPr>
      </w:pPr>
      <w:r>
        <w:rPr>
          <w:rFonts w:ascii="Times New Roman" w:hAnsi="Times New Roman"/>
          <w:szCs w:val="24"/>
        </w:rPr>
        <w:t>表3.4-6</w:t>
      </w:r>
    </w:p>
    <w:tbl>
      <w:tblPr>
        <w:tblStyle w:val="59"/>
        <w:tblpPr w:leftFromText="180" w:rightFromText="180" w:vertAnchor="text" w:horzAnchor="margin" w:tblpY="125"/>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2"/>
        <w:gridCol w:w="3656"/>
        <w:gridCol w:w="42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212"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序号</w:t>
            </w:r>
          </w:p>
        </w:tc>
        <w:tc>
          <w:tcPr>
            <w:tcW w:w="3656"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点位</w:t>
            </w:r>
          </w:p>
        </w:tc>
        <w:tc>
          <w:tcPr>
            <w:tcW w:w="4204"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监测项目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212"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1#</w:t>
            </w:r>
          </w:p>
        </w:tc>
        <w:tc>
          <w:tcPr>
            <w:tcW w:w="3656"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伊和日淖尔</w:t>
            </w:r>
          </w:p>
        </w:tc>
        <w:tc>
          <w:tcPr>
            <w:tcW w:w="4204" w:type="dxa"/>
            <w:vMerge w:val="restart"/>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pH、CODCr、BOD5、DO、SS、氨氮、氟化物、硫化物、石油类、挥发酚、砷、镉、汞、六价铬、阴离子表明活性剂、粪大肠菌群、溶解性总固体共17项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212"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2#</w:t>
            </w:r>
          </w:p>
        </w:tc>
        <w:tc>
          <w:tcPr>
            <w:tcW w:w="3656"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哈塔图淖尔</w:t>
            </w:r>
          </w:p>
        </w:tc>
        <w:tc>
          <w:tcPr>
            <w:tcW w:w="4204" w:type="dxa"/>
            <w:vMerge w:val="continue"/>
            <w:shd w:val="clear" w:color="auto" w:fill="auto"/>
            <w:vAlign w:val="center"/>
          </w:tcPr>
          <w:p>
            <w:pPr>
              <w:snapToGrid w:val="0"/>
              <w:jc w:val="center"/>
              <w:rPr>
                <w:rFonts w:ascii="Times New Roman" w:hAnsi="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212"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3#</w:t>
            </w:r>
          </w:p>
        </w:tc>
        <w:tc>
          <w:tcPr>
            <w:tcW w:w="3656"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光明淖尔</w:t>
            </w:r>
          </w:p>
        </w:tc>
        <w:tc>
          <w:tcPr>
            <w:tcW w:w="4204" w:type="dxa"/>
            <w:vMerge w:val="continue"/>
            <w:shd w:val="clear" w:color="auto" w:fill="auto"/>
            <w:vAlign w:val="center"/>
          </w:tcPr>
          <w:p>
            <w:pPr>
              <w:snapToGrid w:val="0"/>
              <w:jc w:val="center"/>
              <w:rPr>
                <w:rFonts w:ascii="Times New Roman" w:hAnsi="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212"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4#</w:t>
            </w:r>
          </w:p>
        </w:tc>
        <w:tc>
          <w:tcPr>
            <w:tcW w:w="3656"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哈达图淖尔</w:t>
            </w:r>
          </w:p>
        </w:tc>
        <w:tc>
          <w:tcPr>
            <w:tcW w:w="4204" w:type="dxa"/>
            <w:vMerge w:val="continue"/>
            <w:shd w:val="clear" w:color="auto" w:fill="auto"/>
            <w:vAlign w:val="center"/>
          </w:tcPr>
          <w:p>
            <w:pPr>
              <w:snapToGrid w:val="0"/>
              <w:jc w:val="center"/>
              <w:rPr>
                <w:rFonts w:ascii="Times New Roman" w:hAnsi="Times New Roman"/>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212"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5#</w:t>
            </w:r>
          </w:p>
        </w:tc>
        <w:tc>
          <w:tcPr>
            <w:tcW w:w="3656" w:type="dxa"/>
            <w:shd w:val="clear" w:color="auto" w:fill="auto"/>
            <w:vAlign w:val="center"/>
          </w:tcPr>
          <w:p>
            <w:pPr>
              <w:snapToGrid w:val="0"/>
              <w:jc w:val="center"/>
              <w:rPr>
                <w:rFonts w:ascii="Times New Roman" w:hAnsi="Times New Roman"/>
                <w:sz w:val="21"/>
                <w:szCs w:val="21"/>
              </w:rPr>
            </w:pPr>
            <w:r>
              <w:rPr>
                <w:rFonts w:ascii="Times New Roman" w:hAnsi="Times New Roman"/>
                <w:sz w:val="21"/>
                <w:szCs w:val="21"/>
              </w:rPr>
              <w:t>其和淖尔</w:t>
            </w:r>
          </w:p>
        </w:tc>
        <w:tc>
          <w:tcPr>
            <w:tcW w:w="4204" w:type="dxa"/>
            <w:vMerge w:val="continue"/>
            <w:shd w:val="clear" w:color="auto" w:fill="auto"/>
            <w:vAlign w:val="center"/>
          </w:tcPr>
          <w:p>
            <w:pPr>
              <w:snapToGrid w:val="0"/>
              <w:jc w:val="center"/>
              <w:rPr>
                <w:rFonts w:ascii="Times New Roman" w:hAnsi="Times New Roman"/>
                <w:sz w:val="21"/>
                <w:szCs w:val="21"/>
              </w:rPr>
            </w:pPr>
          </w:p>
        </w:tc>
      </w:tr>
    </w:tbl>
    <w:p>
      <w:pPr>
        <w:pStyle w:val="6"/>
        <w:adjustRightInd w:val="0"/>
        <w:snapToGrid w:val="0"/>
        <w:spacing w:before="360" w:beforeLines="150" w:after="0" w:line="440" w:lineRule="exact"/>
        <w:rPr>
          <w:rFonts w:ascii="Times New Roman" w:hAnsi="Times New Roman" w:eastAsia="宋体"/>
          <w:sz w:val="24"/>
        </w:rPr>
      </w:pPr>
      <w:r>
        <w:rPr>
          <w:rFonts w:ascii="Times New Roman" w:hAnsi="Times New Roman" w:eastAsia="宋体"/>
          <w:sz w:val="24"/>
        </w:rPr>
        <w:t>3.4.2.2监测结果评价</w:t>
      </w:r>
    </w:p>
    <w:p>
      <w:pPr>
        <w:tabs>
          <w:tab w:val="left" w:pos="3882"/>
        </w:tabs>
        <w:adjustRightInd w:val="0"/>
        <w:snapToGrid w:val="0"/>
        <w:spacing w:line="440" w:lineRule="exact"/>
        <w:ind w:firstLine="480"/>
        <w:rPr>
          <w:rFonts w:ascii="Times New Roman" w:hAnsi="Times New Roman"/>
        </w:rPr>
      </w:pPr>
      <w:r>
        <w:rPr>
          <w:rFonts w:ascii="Times New Roman" w:hAnsi="Times New Roman"/>
        </w:rPr>
        <w:t>根据《地表水环境质量标准》（GB3838-2002）中Ⅲ类水质标准，评价结果见表3.4-7。</w:t>
      </w:r>
    </w:p>
    <w:p>
      <w:pPr>
        <w:tabs>
          <w:tab w:val="left" w:pos="3882"/>
        </w:tabs>
        <w:adjustRightInd w:val="0"/>
        <w:snapToGrid w:val="0"/>
        <w:spacing w:line="440" w:lineRule="exact"/>
        <w:ind w:firstLine="480"/>
        <w:rPr>
          <w:rFonts w:ascii="Times New Roman" w:hAnsi="Times New Roman"/>
        </w:rPr>
      </w:pPr>
      <w:r>
        <w:rPr>
          <w:rFonts w:ascii="Times New Roman" w:hAnsi="Times New Roman"/>
        </w:rPr>
        <w:t>由表3.4-7可以看出矿区范围内的地表水环境质量较差，COD、BOD</w:t>
      </w:r>
      <w:r>
        <w:rPr>
          <w:rFonts w:ascii="Times New Roman" w:hAnsi="Times New Roman"/>
          <w:vertAlign w:val="subscript"/>
        </w:rPr>
        <w:t>5</w:t>
      </w:r>
      <w:r>
        <w:rPr>
          <w:rFonts w:ascii="Times New Roman" w:hAnsi="Times New Roman"/>
        </w:rPr>
        <w:t>、氟化物、氨氮、阴离子表面活性剂、砷六项指标皆有超标情况。</w:t>
      </w:r>
    </w:p>
    <w:p>
      <w:pPr>
        <w:adjustRightInd w:val="0"/>
        <w:snapToGrid w:val="0"/>
        <w:spacing w:line="440" w:lineRule="exact"/>
        <w:ind w:firstLine="480" w:firstLineChars="200"/>
        <w:rPr>
          <w:rFonts w:ascii="Times New Roman" w:hAnsi="Times New Roman"/>
        </w:rPr>
      </w:pPr>
      <w:r>
        <w:rPr>
          <w:rFonts w:ascii="Times New Roman" w:hAnsi="Times New Roman"/>
        </w:rPr>
        <w:t>伊和日淖尔COD超标45.9倍，BOD</w:t>
      </w:r>
      <w:r>
        <w:rPr>
          <w:rFonts w:ascii="Times New Roman" w:hAnsi="Times New Roman"/>
          <w:vertAlign w:val="subscript"/>
        </w:rPr>
        <w:t>5</w:t>
      </w:r>
      <w:r>
        <w:rPr>
          <w:rFonts w:ascii="Times New Roman" w:hAnsi="Times New Roman"/>
        </w:rPr>
        <w:t>超标93.3倍，氟化物超标2.8倍，氨氮超标1.89倍，阴离子表面活性剂超标3.14倍，砷超标3.6倍；哈塔图淖尔COD超标3.9倍，BOD</w:t>
      </w:r>
      <w:r>
        <w:rPr>
          <w:rFonts w:ascii="Times New Roman" w:hAnsi="Times New Roman"/>
          <w:vertAlign w:val="subscript"/>
        </w:rPr>
        <w:t>5</w:t>
      </w:r>
      <w:r>
        <w:rPr>
          <w:rFonts w:ascii="Times New Roman" w:hAnsi="Times New Roman"/>
        </w:rPr>
        <w:t>超标8.4倍，氟化物超标6.5倍，氨氮超标1.4倍，砷超标2.6倍；光明淖尔COD超标52.0倍，BOD</w:t>
      </w:r>
      <w:r>
        <w:rPr>
          <w:rFonts w:ascii="Times New Roman" w:hAnsi="Times New Roman"/>
          <w:vertAlign w:val="subscript"/>
        </w:rPr>
        <w:t>5</w:t>
      </w:r>
      <w:r>
        <w:rPr>
          <w:rFonts w:ascii="Times New Roman" w:hAnsi="Times New Roman"/>
        </w:rPr>
        <w:t>超标108.5倍，氟化物超标2.0倍，氨氮超标5.0倍，阴离子表面活性剂超标4.0倍，砷超标2.4倍；哈达图淖尔COD超标70.5倍，BOD</w:t>
      </w:r>
      <w:r>
        <w:rPr>
          <w:rFonts w:ascii="Times New Roman" w:hAnsi="Times New Roman"/>
          <w:vertAlign w:val="subscript"/>
        </w:rPr>
        <w:t>5</w:t>
      </w:r>
      <w:r>
        <w:rPr>
          <w:rFonts w:ascii="Times New Roman" w:hAnsi="Times New Roman"/>
        </w:rPr>
        <w:t>超标142.3倍，氟化物超标7.3倍，氨氮超标1.3倍，阴离子表面活性剂超标4.1倍；其和淖尔COD超标3.5倍，BOD</w:t>
      </w:r>
      <w:r>
        <w:rPr>
          <w:rFonts w:ascii="Times New Roman" w:hAnsi="Times New Roman"/>
          <w:vertAlign w:val="subscript"/>
        </w:rPr>
        <w:t>5</w:t>
      </w:r>
      <w:r>
        <w:rPr>
          <w:rFonts w:ascii="Times New Roman" w:hAnsi="Times New Roman"/>
        </w:rPr>
        <w:t>超标7.1倍，氟化物超标2.7倍，水环境质量显著优于其他淖尔。由于本矿区尚未开发，矿区范围内亦无生产矿井及小窑，因此各淖尔水环境质量超标原因可能与其自然背景值及当地居民生活有关。</w:t>
      </w:r>
    </w:p>
    <w:p>
      <w:pPr>
        <w:tabs>
          <w:tab w:val="left" w:pos="3882"/>
        </w:tabs>
        <w:adjustRightInd w:val="0"/>
        <w:snapToGrid w:val="0"/>
        <w:spacing w:line="440" w:lineRule="exact"/>
        <w:ind w:firstLine="480"/>
        <w:rPr>
          <w:rFonts w:ascii="Times New Roman" w:hAnsi="Times New Roman"/>
        </w:rPr>
      </w:pPr>
    </w:p>
    <w:p>
      <w:pPr>
        <w:tabs>
          <w:tab w:val="left" w:pos="3882"/>
        </w:tabs>
        <w:adjustRightInd w:val="0"/>
        <w:snapToGrid w:val="0"/>
        <w:spacing w:line="440" w:lineRule="exact"/>
        <w:ind w:firstLine="480"/>
        <w:rPr>
          <w:rFonts w:ascii="Times New Roman" w:hAnsi="Times New Roman"/>
        </w:rPr>
        <w:sectPr>
          <w:headerReference r:id="rId12" w:type="default"/>
          <w:pgSz w:w="11910" w:h="16840"/>
          <w:pgMar w:top="1701" w:right="1418" w:bottom="1134" w:left="1418" w:header="1134" w:footer="851" w:gutter="0"/>
          <w:cols w:space="720" w:num="1"/>
          <w:docGrid w:linePitch="326" w:charSpace="0"/>
        </w:sectPr>
      </w:pPr>
    </w:p>
    <w:p>
      <w:pPr>
        <w:pStyle w:val="16"/>
        <w:adjustRightInd/>
        <w:spacing w:line="240" w:lineRule="auto"/>
        <w:ind w:firstLine="5667" w:firstLineChars="2352"/>
        <w:rPr>
          <w:rFonts w:ascii="Times New Roman" w:hAnsi="Times New Roman" w:cs="Times New Roman"/>
          <w:b/>
          <w:sz w:val="24"/>
          <w:szCs w:val="24"/>
        </w:rPr>
      </w:pPr>
      <w:r>
        <w:rPr>
          <w:rFonts w:ascii="Times New Roman" w:hAnsi="Times New Roman" w:cs="Times New Roman"/>
          <w:b/>
          <w:sz w:val="24"/>
          <w:szCs w:val="24"/>
        </w:rPr>
        <w:t>地表水监测结果汇总表</w:t>
      </w:r>
    </w:p>
    <w:p>
      <w:pPr>
        <w:outlineLvl w:val="4"/>
        <w:rPr>
          <w:rFonts w:ascii="Times New Roman" w:hAnsi="Times New Roman"/>
          <w:szCs w:val="24"/>
        </w:rPr>
      </w:pPr>
      <w:r>
        <w:rPr>
          <w:rFonts w:ascii="Times New Roman" w:hAnsi="Times New Roman"/>
          <w:szCs w:val="24"/>
        </w:rPr>
        <w:t>表3.4-7</w:t>
      </w:r>
    </w:p>
    <w:tbl>
      <w:tblPr>
        <w:tblStyle w:val="59"/>
        <w:tblW w:w="15418" w:type="dxa"/>
        <w:jc w:val="center"/>
        <w:shd w:val="clear" w:color="auto" w:fill="FFFFFF" w:themeFill="background1"/>
        <w:tblLayout w:type="fixed"/>
        <w:tblCellMar>
          <w:top w:w="0" w:type="dxa"/>
          <w:left w:w="108" w:type="dxa"/>
          <w:bottom w:w="0" w:type="dxa"/>
          <w:right w:w="108" w:type="dxa"/>
        </w:tblCellMar>
      </w:tblPr>
      <w:tblGrid>
        <w:gridCol w:w="1132"/>
        <w:gridCol w:w="1219"/>
        <w:gridCol w:w="1221"/>
        <w:gridCol w:w="1221"/>
        <w:gridCol w:w="1221"/>
        <w:gridCol w:w="1221"/>
        <w:gridCol w:w="1221"/>
        <w:gridCol w:w="1221"/>
        <w:gridCol w:w="1221"/>
        <w:gridCol w:w="1221"/>
        <w:gridCol w:w="1222"/>
        <w:gridCol w:w="1135"/>
        <w:gridCol w:w="942"/>
      </w:tblGrid>
      <w:tr>
        <w:tblPrEx>
          <w:tblCellMar>
            <w:top w:w="0" w:type="dxa"/>
            <w:left w:w="108" w:type="dxa"/>
            <w:bottom w:w="0" w:type="dxa"/>
            <w:right w:w="108" w:type="dxa"/>
          </w:tblCellMar>
        </w:tblPrEx>
        <w:trPr>
          <w:trHeight w:val="369" w:hRule="atLeast"/>
          <w:jc w:val="center"/>
        </w:trPr>
        <w:tc>
          <w:tcPr>
            <w:tcW w:w="1132" w:type="dxa"/>
            <w:vMerge w:val="restart"/>
            <w:tcBorders>
              <w:top w:val="single" w:color="auto" w:sz="4" w:space="0"/>
              <w:left w:val="single" w:color="auto" w:sz="4" w:space="0"/>
              <w:right w:val="single" w:color="auto" w:sz="4" w:space="0"/>
            </w:tcBorders>
            <w:shd w:val="clear" w:color="auto" w:fill="FFFFFF" w:themeFill="background1"/>
            <w:noWrap/>
            <w:vAlign w:val="center"/>
          </w:tcPr>
          <w:p>
            <w:pPr>
              <w:jc w:val="center"/>
              <w:rPr>
                <w:rFonts w:ascii="Times New Roman" w:hAnsi="Times New Roman"/>
                <w:kern w:val="0"/>
                <w:sz w:val="21"/>
                <w:szCs w:val="21"/>
              </w:rPr>
            </w:pPr>
            <w:r>
              <w:rPr>
                <w:rFonts w:ascii="Times New Roman" w:hAnsi="Times New Roman"/>
                <w:kern w:val="0"/>
                <w:sz w:val="21"/>
                <w:szCs w:val="21"/>
              </w:rPr>
              <w:t>项目</w:t>
            </w:r>
          </w:p>
        </w:tc>
        <w:tc>
          <w:tcPr>
            <w:tcW w:w="2440" w:type="dxa"/>
            <w:gridSpan w:val="2"/>
            <w:tcBorders>
              <w:top w:val="single" w:color="auto" w:sz="4" w:space="0"/>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1#伊和日淖尔</w:t>
            </w:r>
          </w:p>
        </w:tc>
        <w:tc>
          <w:tcPr>
            <w:tcW w:w="2442" w:type="dxa"/>
            <w:gridSpan w:val="2"/>
            <w:tcBorders>
              <w:top w:val="single" w:color="auto" w:sz="4" w:space="0"/>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2#哈塔图淖尔</w:t>
            </w:r>
          </w:p>
        </w:tc>
        <w:tc>
          <w:tcPr>
            <w:tcW w:w="2442" w:type="dxa"/>
            <w:gridSpan w:val="2"/>
            <w:tcBorders>
              <w:top w:val="single" w:color="auto" w:sz="4" w:space="0"/>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3#光明淖尔</w:t>
            </w:r>
          </w:p>
        </w:tc>
        <w:tc>
          <w:tcPr>
            <w:tcW w:w="2442" w:type="dxa"/>
            <w:gridSpan w:val="2"/>
            <w:tcBorders>
              <w:top w:val="single" w:color="auto" w:sz="4" w:space="0"/>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4#哈达图淖尔</w:t>
            </w:r>
          </w:p>
        </w:tc>
        <w:tc>
          <w:tcPr>
            <w:tcW w:w="2443" w:type="dxa"/>
            <w:gridSpan w:val="2"/>
            <w:tcBorders>
              <w:top w:val="single" w:color="auto" w:sz="4" w:space="0"/>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5#其和淖尔</w:t>
            </w:r>
          </w:p>
        </w:tc>
        <w:tc>
          <w:tcPr>
            <w:tcW w:w="1135" w:type="dxa"/>
            <w:vMerge w:val="restart"/>
            <w:tcBorders>
              <w:top w:val="single" w:color="auto" w:sz="4" w:space="0"/>
              <w:left w:val="nil"/>
              <w:right w:val="single" w:color="auto" w:sz="4" w:space="0"/>
            </w:tcBorders>
            <w:shd w:val="clear" w:color="auto" w:fill="FFFFFF" w:themeFill="background1"/>
            <w:noWrap/>
            <w:vAlign w:val="center"/>
          </w:tcPr>
          <w:p>
            <w:pPr>
              <w:widowControl/>
              <w:ind w:firstLine="210" w:firstLineChars="100"/>
              <w:rPr>
                <w:rFonts w:ascii="Times New Roman" w:hAnsi="Times New Roman"/>
                <w:kern w:val="0"/>
                <w:sz w:val="21"/>
                <w:szCs w:val="21"/>
              </w:rPr>
            </w:pPr>
            <w:r>
              <w:rPr>
                <w:rFonts w:ascii="Times New Roman" w:hAnsi="Times New Roman"/>
                <w:kern w:val="0"/>
                <w:sz w:val="21"/>
                <w:szCs w:val="21"/>
              </w:rPr>
              <w:t>标准值</w:t>
            </w:r>
          </w:p>
        </w:tc>
        <w:tc>
          <w:tcPr>
            <w:tcW w:w="942" w:type="dxa"/>
            <w:vMerge w:val="restart"/>
            <w:tcBorders>
              <w:top w:val="single" w:color="auto" w:sz="4" w:space="0"/>
              <w:left w:val="nil"/>
              <w:right w:val="single" w:color="auto" w:sz="4" w:space="0"/>
            </w:tcBorders>
            <w:shd w:val="clear" w:color="auto" w:fill="FFFFFF" w:themeFill="background1"/>
            <w:noWrap/>
            <w:vAlign w:val="center"/>
          </w:tcPr>
          <w:p>
            <w:pPr>
              <w:jc w:val="center"/>
              <w:rPr>
                <w:rFonts w:ascii="Times New Roman" w:hAnsi="Times New Roman"/>
                <w:kern w:val="0"/>
                <w:sz w:val="21"/>
                <w:szCs w:val="21"/>
              </w:rPr>
            </w:pPr>
            <w:r>
              <w:rPr>
                <w:rFonts w:ascii="Times New Roman" w:hAnsi="Times New Roman"/>
                <w:kern w:val="0"/>
                <w:sz w:val="21"/>
                <w:szCs w:val="21"/>
              </w:rPr>
              <w:t>单位</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vMerge w:val="continue"/>
            <w:tcBorders>
              <w:left w:val="single" w:color="auto" w:sz="4" w:space="0"/>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p>
        </w:tc>
        <w:tc>
          <w:tcPr>
            <w:tcW w:w="1219"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监测值</w:t>
            </w:r>
          </w:p>
        </w:tc>
        <w:tc>
          <w:tcPr>
            <w:tcW w:w="1221"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超标倍数</w:t>
            </w:r>
          </w:p>
        </w:tc>
        <w:tc>
          <w:tcPr>
            <w:tcW w:w="1221"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监测值</w:t>
            </w:r>
          </w:p>
        </w:tc>
        <w:tc>
          <w:tcPr>
            <w:tcW w:w="1221"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超标倍数</w:t>
            </w:r>
          </w:p>
        </w:tc>
        <w:tc>
          <w:tcPr>
            <w:tcW w:w="1221"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监测值</w:t>
            </w:r>
          </w:p>
        </w:tc>
        <w:tc>
          <w:tcPr>
            <w:tcW w:w="1221"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超标倍数</w:t>
            </w:r>
          </w:p>
        </w:tc>
        <w:tc>
          <w:tcPr>
            <w:tcW w:w="1221"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监测值</w:t>
            </w:r>
          </w:p>
        </w:tc>
        <w:tc>
          <w:tcPr>
            <w:tcW w:w="1221"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超标倍数</w:t>
            </w:r>
          </w:p>
        </w:tc>
        <w:tc>
          <w:tcPr>
            <w:tcW w:w="1221"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监测值</w:t>
            </w:r>
          </w:p>
        </w:tc>
        <w:tc>
          <w:tcPr>
            <w:tcW w:w="1222" w:type="dxa"/>
            <w:tcBorders>
              <w:top w:val="nil"/>
              <w:left w:val="nil"/>
              <w:bottom w:val="single" w:color="auto" w:sz="4" w:space="0"/>
              <w:right w:val="single" w:color="auto" w:sz="4" w:space="0"/>
            </w:tcBorders>
            <w:shd w:val="clear" w:color="auto" w:fill="FFFFFF" w:themeFill="background1"/>
            <w:noWrap/>
            <w:vAlign w:val="center"/>
          </w:tcPr>
          <w:p>
            <w:pPr>
              <w:widowControl/>
              <w:jc w:val="center"/>
              <w:rPr>
                <w:rFonts w:ascii="Times New Roman" w:hAnsi="Times New Roman"/>
                <w:kern w:val="0"/>
                <w:sz w:val="21"/>
                <w:szCs w:val="21"/>
              </w:rPr>
            </w:pPr>
            <w:r>
              <w:rPr>
                <w:rFonts w:ascii="Times New Roman" w:hAnsi="Times New Roman"/>
                <w:kern w:val="0"/>
                <w:sz w:val="21"/>
                <w:szCs w:val="21"/>
              </w:rPr>
              <w:t>超标倍数</w:t>
            </w:r>
          </w:p>
        </w:tc>
        <w:tc>
          <w:tcPr>
            <w:tcW w:w="1135" w:type="dxa"/>
            <w:vMerge w:val="continue"/>
            <w:tcBorders>
              <w:left w:val="nil"/>
              <w:bottom w:val="single" w:color="auto" w:sz="4" w:space="0"/>
              <w:right w:val="single" w:color="auto" w:sz="4" w:space="0"/>
            </w:tcBorders>
            <w:shd w:val="clear" w:color="auto" w:fill="FFFFFF" w:themeFill="background1"/>
            <w:vAlign w:val="center"/>
          </w:tcPr>
          <w:p>
            <w:pPr>
              <w:widowControl/>
              <w:rPr>
                <w:rFonts w:ascii="Times New Roman" w:hAnsi="Times New Roman"/>
                <w:kern w:val="0"/>
                <w:sz w:val="21"/>
                <w:szCs w:val="21"/>
              </w:rPr>
            </w:pPr>
          </w:p>
        </w:tc>
        <w:tc>
          <w:tcPr>
            <w:tcW w:w="942" w:type="dxa"/>
            <w:vMerge w:val="continue"/>
            <w:tcBorders>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pH</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9.37</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9.22</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9.40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9.42</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8.96</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6-9</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无量纲</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溶解氧</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3.61</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4.33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3.32</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3.51</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4.12</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5</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COD</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918</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45.9</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78</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3.9</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1040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52</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1410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70.5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69</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3.5</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20</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BOD</w:t>
            </w:r>
            <w:r>
              <w:rPr>
                <w:rFonts w:ascii="Times New Roman" w:hAnsi="Times New Roman"/>
                <w:kern w:val="0"/>
                <w:sz w:val="21"/>
                <w:szCs w:val="21"/>
                <w:vertAlign w:val="subscript"/>
              </w:rPr>
              <w:t>5</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373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93.25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33.7</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8.4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434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108.5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569</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142.3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28.5</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7.1</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4</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氟化物</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2.80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2.8</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6.50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6.5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1.96</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7.33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7.3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2.7</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2.7</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1.0</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氨氮</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2.83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eastAsia="等线"/>
                <w:kern w:val="0"/>
                <w:sz w:val="21"/>
                <w:szCs w:val="21"/>
              </w:rPr>
              <w:t>1.9</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2.02</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7.48</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1.94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0.123</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1.0</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阴离子表面活性剂</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0.628</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3.1</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0.124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0.800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4.0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0.810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4.1</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0.178</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0.2</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汞</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&lt;0.00004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&lt;0.00004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&lt;0.00004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&lt;0.00004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&lt;0.00004</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0.0001</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砷</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0.178</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3.6</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0.128</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2.6</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0.121</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0.174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0.018</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0.05</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镉</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&lt;0.003</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0.005</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挥发酚</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&lt;0.0003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&lt;0.0003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0.0035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0.003</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&lt;0.0003</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0.005</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硫化物</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&lt;0.005</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&lt;0.005</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0.2</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粪大肠菌群</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≤10000</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个/L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nil"/>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六价铬</w:t>
            </w:r>
          </w:p>
        </w:tc>
        <w:tc>
          <w:tcPr>
            <w:tcW w:w="1219"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&lt;0.004</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&lt;0.004</w:t>
            </w:r>
          </w:p>
        </w:tc>
        <w:tc>
          <w:tcPr>
            <w:tcW w:w="122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r>
              <w:rPr>
                <w:rFonts w:ascii="Times New Roman" w:hAnsi="Times New Roman" w:eastAsia="等线"/>
                <w:kern w:val="0"/>
                <w:sz w:val="21"/>
                <w:szCs w:val="21"/>
              </w:rPr>
              <w:t>0.05</w:t>
            </w:r>
          </w:p>
        </w:tc>
        <w:tc>
          <w:tcPr>
            <w:tcW w:w="942" w:type="dxa"/>
            <w:tcBorders>
              <w:top w:val="nil"/>
              <w:left w:val="nil"/>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悬浮物</w:t>
            </w:r>
          </w:p>
        </w:tc>
        <w:tc>
          <w:tcPr>
            <w:tcW w:w="121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186</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148</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790</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104</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122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9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shd w:val="clear" w:color="auto" w:fill="FFFFFF" w:themeFill="background1"/>
          <w:tblCellMar>
            <w:top w:w="0" w:type="dxa"/>
            <w:left w:w="108" w:type="dxa"/>
            <w:bottom w:w="0" w:type="dxa"/>
            <w:right w:w="108" w:type="dxa"/>
          </w:tblCellMar>
        </w:tblPrEx>
        <w:trPr>
          <w:trHeight w:val="369" w:hRule="atLeast"/>
          <w:jc w:val="center"/>
        </w:trPr>
        <w:tc>
          <w:tcPr>
            <w:tcW w:w="11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溶解性总固体</w:t>
            </w:r>
          </w:p>
        </w:tc>
        <w:tc>
          <w:tcPr>
            <w:tcW w:w="121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30900</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2860</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39500</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102000</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2850</w:t>
            </w:r>
          </w:p>
        </w:tc>
        <w:tc>
          <w:tcPr>
            <w:tcW w:w="122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9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r>
        <w:tblPrEx>
          <w:tblCellMar>
            <w:top w:w="0" w:type="dxa"/>
            <w:left w:w="108" w:type="dxa"/>
            <w:bottom w:w="0" w:type="dxa"/>
            <w:right w:w="108" w:type="dxa"/>
          </w:tblCellMar>
        </w:tblPrEx>
        <w:trPr>
          <w:trHeight w:val="369" w:hRule="atLeast"/>
          <w:jc w:val="center"/>
        </w:trPr>
        <w:tc>
          <w:tcPr>
            <w:tcW w:w="113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*石油类</w:t>
            </w:r>
          </w:p>
        </w:tc>
        <w:tc>
          <w:tcPr>
            <w:tcW w:w="1219"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0.01</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&lt;0.01</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0.01</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&lt;0.01</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221"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&lt;0.01</w:t>
            </w:r>
          </w:p>
        </w:tc>
        <w:tc>
          <w:tcPr>
            <w:tcW w:w="122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113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0.05</w:t>
            </w:r>
          </w:p>
        </w:tc>
        <w:tc>
          <w:tcPr>
            <w:tcW w:w="942"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widowControl/>
              <w:jc w:val="center"/>
              <w:rPr>
                <w:rFonts w:ascii="Times New Roman" w:hAnsi="Times New Roman"/>
                <w:kern w:val="0"/>
                <w:sz w:val="21"/>
                <w:szCs w:val="21"/>
              </w:rPr>
            </w:pPr>
            <w:r>
              <w:rPr>
                <w:rFonts w:ascii="Times New Roman" w:hAnsi="Times New Roman"/>
                <w:kern w:val="0"/>
                <w:sz w:val="21"/>
                <w:szCs w:val="21"/>
              </w:rPr>
              <w:t>mg/L</w:t>
            </w:r>
          </w:p>
        </w:tc>
      </w:tr>
    </w:tbl>
    <w:p>
      <w:pPr>
        <w:tabs>
          <w:tab w:val="left" w:pos="3882"/>
        </w:tabs>
        <w:adjustRightInd w:val="0"/>
        <w:snapToGrid w:val="0"/>
        <w:spacing w:line="440" w:lineRule="exact"/>
        <w:rPr>
          <w:rFonts w:ascii="Times New Roman" w:hAnsi="Times New Roman"/>
        </w:rPr>
        <w:sectPr>
          <w:headerReference r:id="rId13" w:type="default"/>
          <w:pgSz w:w="16840" w:h="11910" w:orient="landscape"/>
          <w:pgMar w:top="1680" w:right="1400" w:bottom="1560" w:left="1180" w:header="1134" w:footer="851" w:gutter="0"/>
          <w:cols w:space="720" w:num="1"/>
        </w:sectPr>
      </w:pPr>
    </w:p>
    <w:p>
      <w:pPr>
        <w:pStyle w:val="5"/>
        <w:adjustRightInd w:val="0"/>
        <w:snapToGrid w:val="0"/>
        <w:spacing w:before="0" w:after="0" w:line="440" w:lineRule="exact"/>
        <w:rPr>
          <w:sz w:val="24"/>
        </w:rPr>
      </w:pPr>
      <w:bookmarkStart w:id="147" w:name="_Toc310426781"/>
      <w:bookmarkStart w:id="148" w:name="_Toc310699295"/>
      <w:bookmarkStart w:id="149" w:name="_Toc101722630"/>
      <w:bookmarkStart w:id="150" w:name="_Toc101723099"/>
      <w:bookmarkStart w:id="151" w:name="_Toc91387341"/>
      <w:r>
        <w:rPr>
          <w:sz w:val="24"/>
        </w:rPr>
        <w:t xml:space="preserve">3.4.3 </w:t>
      </w:r>
      <w:bookmarkEnd w:id="147"/>
      <w:bookmarkEnd w:id="148"/>
      <w:r>
        <w:rPr>
          <w:sz w:val="24"/>
        </w:rPr>
        <w:t>地下水环境质量现状</w:t>
      </w:r>
    </w:p>
    <w:p>
      <w:pPr>
        <w:spacing w:line="440" w:lineRule="exact"/>
        <w:ind w:firstLine="480" w:firstLineChars="200"/>
        <w:rPr>
          <w:rFonts w:ascii="Times New Roman" w:hAnsi="Times New Roman"/>
          <w:color w:val="FF0000"/>
          <w:kern w:val="0"/>
          <w:szCs w:val="24"/>
        </w:rPr>
      </w:pPr>
      <w:r>
        <w:rPr>
          <w:rFonts w:ascii="Times New Roman" w:hAnsi="Times New Roman"/>
          <w:color w:val="FF0000"/>
          <w:kern w:val="0"/>
          <w:szCs w:val="24"/>
        </w:rPr>
        <w:t>（1）地下水</w:t>
      </w:r>
      <w:r>
        <w:rPr>
          <w:rFonts w:hint="eastAsia" w:ascii="Times New Roman" w:hAnsi="Times New Roman"/>
          <w:color w:val="FF0000"/>
          <w:kern w:val="0"/>
          <w:szCs w:val="24"/>
        </w:rPr>
        <w:t>水质现状</w:t>
      </w:r>
    </w:p>
    <w:p>
      <w:pPr>
        <w:tabs>
          <w:tab w:val="left" w:pos="6840"/>
        </w:tabs>
        <w:topLinePunct/>
        <w:adjustRightInd w:val="0"/>
        <w:snapToGrid w:val="0"/>
        <w:spacing w:line="440" w:lineRule="exact"/>
        <w:ind w:firstLine="480" w:firstLineChars="200"/>
        <w:jc w:val="center"/>
        <w:rPr>
          <w:rFonts w:ascii="Times New Roman" w:hAnsi="Times New Roman"/>
          <w:kern w:val="0"/>
          <w:szCs w:val="24"/>
        </w:rPr>
      </w:pPr>
      <w:r>
        <w:rPr>
          <w:rFonts w:hint="eastAsia" w:ascii="Times New Roman" w:hAnsi="Times New Roman"/>
          <w:kern w:val="0"/>
          <w:szCs w:val="24"/>
        </w:rPr>
        <w:t>矿区地下水环境质量现状评价执行《地下水质量标准》（</w:t>
      </w:r>
      <w:r>
        <w:rPr>
          <w:rFonts w:ascii="Times New Roman" w:hAnsi="Times New Roman"/>
          <w:kern w:val="0"/>
          <w:szCs w:val="24"/>
        </w:rPr>
        <w:t>GB/T14848-2017）中Ⅲ类水质标准。本次环评在矿区共布设了13个地下水监测点，监测层位为第四系与白垩系含水层；根据最新资料收集，本次环评收集到2021年上半年、2021年下半年及2022年下半年哈达图淖尔水源地三期地下水水质监测数据，监测层位为白垩系含水层。监测</w:t>
      </w:r>
    </w:p>
    <w:p>
      <w:pPr>
        <w:tabs>
          <w:tab w:val="left" w:pos="6840"/>
        </w:tabs>
        <w:topLinePunct/>
        <w:adjustRightInd w:val="0"/>
        <w:snapToGrid w:val="0"/>
        <w:spacing w:line="440" w:lineRule="exact"/>
        <w:rPr>
          <w:rFonts w:ascii="Times New Roman" w:hAnsi="Times New Roman"/>
          <w:kern w:val="0"/>
          <w:szCs w:val="24"/>
        </w:rPr>
      </w:pPr>
      <w:r>
        <w:rPr>
          <w:rFonts w:ascii="Times New Roman" w:hAnsi="Times New Roman"/>
          <w:kern w:val="0"/>
          <w:szCs w:val="24"/>
        </w:rPr>
        <w:t>点情况见表3.4-8，监测点位置见图3.4-3。</w:t>
      </w:r>
    </w:p>
    <w:p>
      <w:pPr>
        <w:tabs>
          <w:tab w:val="left" w:pos="6840"/>
        </w:tabs>
        <w:topLinePunct/>
        <w:adjustRightInd w:val="0"/>
        <w:snapToGrid w:val="0"/>
        <w:spacing w:line="440" w:lineRule="exact"/>
        <w:jc w:val="center"/>
        <w:rPr>
          <w:rFonts w:ascii="Times New Roman" w:hAnsi="Times New Roman"/>
          <w:b/>
          <w:kern w:val="24"/>
          <w:szCs w:val="24"/>
        </w:rPr>
      </w:pPr>
      <w:r>
        <w:rPr>
          <w:rFonts w:ascii="Times New Roman" w:hAnsi="Times New Roman"/>
          <w:b/>
          <w:kern w:val="24"/>
          <w:szCs w:val="24"/>
        </w:rPr>
        <w:t>地下水环境质量现状监测情况</w:t>
      </w:r>
    </w:p>
    <w:p>
      <w:pPr>
        <w:keepNext/>
        <w:keepLines/>
        <w:snapToGrid w:val="0"/>
        <w:spacing w:line="440" w:lineRule="exact"/>
        <w:outlineLvl w:val="4"/>
        <w:rPr>
          <w:rFonts w:ascii="Times New Roman" w:hAnsi="Times New Roman"/>
          <w:szCs w:val="24"/>
        </w:rPr>
      </w:pPr>
      <w:bookmarkStart w:id="152" w:name="_Hlk49277126"/>
      <w:r>
        <w:rPr>
          <w:rFonts w:ascii="Times New Roman" w:hAnsi="Times New Roman"/>
          <w:szCs w:val="24"/>
        </w:rPr>
        <w:t>表</w:t>
      </w:r>
      <w:bookmarkEnd w:id="152"/>
      <w:r>
        <w:rPr>
          <w:rFonts w:ascii="Times New Roman" w:hAnsi="Times New Roman"/>
          <w:szCs w:val="24"/>
        </w:rPr>
        <w:t>3.4-8</w:t>
      </w:r>
    </w:p>
    <w:tbl>
      <w:tblPr>
        <w:tblStyle w:val="6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25"/>
        <w:gridCol w:w="956"/>
        <w:gridCol w:w="1559"/>
        <w:gridCol w:w="2693"/>
        <w:gridCol w:w="1134"/>
        <w:gridCol w:w="567"/>
        <w:gridCol w:w="567"/>
        <w:gridCol w:w="709"/>
        <w:gridCol w:w="5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编号</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监测点</w:t>
            </w:r>
          </w:p>
        </w:tc>
        <w:tc>
          <w:tcPr>
            <w:tcW w:w="858"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坐标</w:t>
            </w:r>
          </w:p>
        </w:tc>
        <w:tc>
          <w:tcPr>
            <w:tcW w:w="1482"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监测项目</w:t>
            </w:r>
          </w:p>
        </w:tc>
        <w:tc>
          <w:tcPr>
            <w:tcW w:w="624"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监测时间</w:t>
            </w:r>
          </w:p>
        </w:tc>
        <w:tc>
          <w:tcPr>
            <w:tcW w:w="312"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井深</w:t>
            </w:r>
          </w:p>
        </w:tc>
        <w:tc>
          <w:tcPr>
            <w:tcW w:w="312"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水位埋深</w:t>
            </w:r>
          </w:p>
        </w:tc>
        <w:tc>
          <w:tcPr>
            <w:tcW w:w="390"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功能</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监测层位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1#</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伊和乌素水井</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E109°12′51.93″</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N39°41′46.12″</w:t>
            </w:r>
          </w:p>
        </w:tc>
        <w:tc>
          <w:tcPr>
            <w:tcW w:w="1482" w:type="pct"/>
            <w:vMerge w:val="restart"/>
            <w:shd w:val="clear" w:color="auto" w:fill="auto"/>
            <w:vAlign w:val="center"/>
          </w:tcPr>
          <w:p>
            <w:pPr>
              <w:adjustRightInd w:val="0"/>
              <w:snapToGrid w:val="0"/>
              <w:ind w:right="22" w:rightChars="9"/>
              <w:rPr>
                <w:rFonts w:ascii="Times New Roman" w:hAnsi="Times New Roman"/>
                <w:color w:val="FF0000"/>
                <w:kern w:val="0"/>
                <w:sz w:val="21"/>
                <w:szCs w:val="21"/>
                <w:vertAlign w:val="superscript"/>
              </w:rPr>
            </w:pPr>
            <w:r>
              <w:rPr>
                <w:rFonts w:ascii="Times New Roman" w:hAnsi="Times New Roman"/>
                <w:color w:val="FF0000"/>
                <w:kern w:val="0"/>
                <w:sz w:val="21"/>
                <w:szCs w:val="21"/>
              </w:rPr>
              <w:t>pH、水温、氨氮、硝酸盐、亚硝酸盐、挥发性酚、氰化物、砷、汞、六价铬、总硬度、铅、氟化物、镉、铁、锰、溶解性总固体、耗氧量、硫酸盐、氯化物、总大肠菌群、细菌总数、K</w:t>
            </w:r>
            <w:r>
              <w:rPr>
                <w:rFonts w:ascii="Times New Roman" w:hAnsi="Times New Roman"/>
                <w:color w:val="FF0000"/>
                <w:kern w:val="0"/>
                <w:sz w:val="21"/>
                <w:szCs w:val="21"/>
                <w:vertAlign w:val="superscript"/>
              </w:rPr>
              <w:t>+</w:t>
            </w:r>
            <w:r>
              <w:rPr>
                <w:rFonts w:ascii="Times New Roman" w:hAnsi="Times New Roman"/>
                <w:color w:val="FF0000"/>
                <w:kern w:val="0"/>
                <w:sz w:val="21"/>
                <w:szCs w:val="21"/>
              </w:rPr>
              <w:t>、Na</w:t>
            </w:r>
            <w:r>
              <w:rPr>
                <w:rFonts w:ascii="Times New Roman" w:hAnsi="Times New Roman"/>
                <w:color w:val="FF0000"/>
                <w:kern w:val="0"/>
                <w:sz w:val="21"/>
                <w:szCs w:val="21"/>
                <w:vertAlign w:val="superscript"/>
              </w:rPr>
              <w:t>+</w:t>
            </w:r>
            <w:r>
              <w:rPr>
                <w:rFonts w:ascii="Times New Roman" w:hAnsi="Times New Roman"/>
                <w:color w:val="FF0000"/>
                <w:kern w:val="0"/>
                <w:sz w:val="21"/>
                <w:szCs w:val="21"/>
              </w:rPr>
              <w:t>、Ca</w:t>
            </w:r>
            <w:r>
              <w:rPr>
                <w:rFonts w:ascii="Times New Roman" w:hAnsi="Times New Roman"/>
                <w:color w:val="FF0000"/>
                <w:kern w:val="0"/>
                <w:sz w:val="21"/>
                <w:szCs w:val="21"/>
                <w:vertAlign w:val="superscript"/>
              </w:rPr>
              <w:t>2+</w:t>
            </w:r>
            <w:r>
              <w:rPr>
                <w:rFonts w:ascii="Times New Roman" w:hAnsi="Times New Roman"/>
                <w:color w:val="FF0000"/>
                <w:kern w:val="0"/>
                <w:sz w:val="21"/>
                <w:szCs w:val="21"/>
              </w:rPr>
              <w:t>、Mg</w:t>
            </w:r>
            <w:r>
              <w:rPr>
                <w:rFonts w:ascii="Times New Roman" w:hAnsi="Times New Roman"/>
                <w:color w:val="FF0000"/>
                <w:kern w:val="0"/>
                <w:sz w:val="21"/>
                <w:szCs w:val="21"/>
                <w:vertAlign w:val="superscript"/>
              </w:rPr>
              <w:t>2+</w:t>
            </w:r>
            <w:r>
              <w:rPr>
                <w:rFonts w:ascii="Times New Roman" w:hAnsi="Times New Roman"/>
                <w:color w:val="FF0000"/>
                <w:kern w:val="0"/>
                <w:sz w:val="21"/>
                <w:szCs w:val="21"/>
              </w:rPr>
              <w:t>、CO</w:t>
            </w:r>
            <w:r>
              <w:rPr>
                <w:rFonts w:ascii="Times New Roman" w:hAnsi="Times New Roman"/>
                <w:color w:val="FF0000"/>
                <w:kern w:val="0"/>
                <w:sz w:val="21"/>
                <w:szCs w:val="21"/>
                <w:vertAlign w:val="subscript"/>
              </w:rPr>
              <w:t>3</w:t>
            </w:r>
            <w:r>
              <w:rPr>
                <w:rFonts w:ascii="Times New Roman" w:hAnsi="Times New Roman"/>
                <w:color w:val="FF0000"/>
                <w:kern w:val="0"/>
                <w:sz w:val="21"/>
                <w:szCs w:val="21"/>
                <w:vertAlign w:val="superscript"/>
              </w:rPr>
              <w:t>2-</w:t>
            </w:r>
            <w:r>
              <w:rPr>
                <w:rFonts w:ascii="Times New Roman" w:hAnsi="Times New Roman"/>
                <w:color w:val="FF0000"/>
                <w:kern w:val="0"/>
                <w:sz w:val="21"/>
                <w:szCs w:val="21"/>
              </w:rPr>
              <w:t>、HCO</w:t>
            </w:r>
            <w:r>
              <w:rPr>
                <w:rFonts w:ascii="Times New Roman" w:hAnsi="Times New Roman"/>
                <w:color w:val="FF0000"/>
                <w:kern w:val="0"/>
                <w:sz w:val="21"/>
                <w:szCs w:val="21"/>
                <w:vertAlign w:val="subscript"/>
              </w:rPr>
              <w:t>3</w:t>
            </w:r>
            <w:r>
              <w:rPr>
                <w:rFonts w:ascii="Times New Roman" w:hAnsi="Times New Roman"/>
                <w:color w:val="FF0000"/>
                <w:kern w:val="0"/>
                <w:sz w:val="21"/>
                <w:szCs w:val="21"/>
                <w:vertAlign w:val="superscript"/>
              </w:rPr>
              <w:t>-</w:t>
            </w:r>
            <w:r>
              <w:rPr>
                <w:rFonts w:ascii="Times New Roman" w:hAnsi="Times New Roman"/>
                <w:color w:val="FF0000"/>
                <w:kern w:val="0"/>
                <w:sz w:val="21"/>
                <w:szCs w:val="21"/>
              </w:rPr>
              <w:t>、Cl</w:t>
            </w:r>
            <w:r>
              <w:rPr>
                <w:rFonts w:ascii="Times New Roman" w:hAnsi="Times New Roman"/>
                <w:color w:val="FF0000"/>
                <w:kern w:val="0"/>
                <w:sz w:val="21"/>
                <w:szCs w:val="21"/>
                <w:vertAlign w:val="superscript"/>
              </w:rPr>
              <w:t>-</w:t>
            </w:r>
            <w:r>
              <w:rPr>
                <w:rFonts w:ascii="Times New Roman" w:hAnsi="Times New Roman"/>
                <w:color w:val="FF0000"/>
                <w:kern w:val="0"/>
                <w:sz w:val="21"/>
                <w:szCs w:val="21"/>
              </w:rPr>
              <w:t>、SO</w:t>
            </w:r>
            <w:r>
              <w:rPr>
                <w:rFonts w:ascii="Times New Roman" w:hAnsi="Times New Roman"/>
                <w:color w:val="FF0000"/>
                <w:kern w:val="0"/>
                <w:sz w:val="21"/>
                <w:szCs w:val="21"/>
                <w:vertAlign w:val="subscript"/>
              </w:rPr>
              <w:t>4</w:t>
            </w:r>
            <w:r>
              <w:rPr>
                <w:rFonts w:ascii="Times New Roman" w:hAnsi="Times New Roman"/>
                <w:color w:val="FF0000"/>
                <w:kern w:val="0"/>
                <w:sz w:val="21"/>
                <w:szCs w:val="21"/>
                <w:vertAlign w:val="superscript"/>
              </w:rPr>
              <w:t>2-</w:t>
            </w:r>
            <w:r>
              <w:rPr>
                <w:rFonts w:ascii="Times New Roman" w:hAnsi="Times New Roman"/>
                <w:color w:val="FF0000"/>
                <w:kern w:val="0"/>
                <w:sz w:val="21"/>
                <w:szCs w:val="21"/>
              </w:rPr>
              <w:t>，并记录井深、水位。</w:t>
            </w:r>
          </w:p>
          <w:p>
            <w:pPr>
              <w:adjustRightInd w:val="0"/>
              <w:snapToGrid w:val="0"/>
              <w:jc w:val="center"/>
              <w:rPr>
                <w:rFonts w:ascii="Times New Roman" w:hAnsi="Times New Roman"/>
                <w:bCs/>
                <w:color w:val="FF0000"/>
                <w:kern w:val="0"/>
                <w:sz w:val="21"/>
                <w:szCs w:val="21"/>
              </w:rPr>
            </w:pPr>
          </w:p>
        </w:tc>
        <w:tc>
          <w:tcPr>
            <w:tcW w:w="624" w:type="pct"/>
            <w:vMerge w:val="restar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2020年7月2日~2020年7月3日</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80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50</w:t>
            </w:r>
          </w:p>
        </w:tc>
        <w:tc>
          <w:tcPr>
            <w:tcW w:w="390" w:type="pct"/>
            <w:shd w:val="clear" w:color="auto" w:fill="auto"/>
            <w:vAlign w:val="center"/>
          </w:tcPr>
          <w:p>
            <w:pPr>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2#</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其日格水井</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E109°12′35.63″</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N39°40′55.76″</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70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40</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3#</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新胜村水井</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E109°10′35.94″</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N39°38′40.48″</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120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60</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4#</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苏布尔</w:t>
            </w:r>
            <w:r>
              <w:rPr>
                <w:rFonts w:hint="eastAsia" w:ascii="Times New Roman" w:hAnsi="Times New Roman"/>
                <w:bCs/>
                <w:color w:val="FF0000"/>
                <w:kern w:val="0"/>
                <w:sz w:val="21"/>
                <w:szCs w:val="21"/>
                <w:lang w:val="zh-CN"/>
              </w:rPr>
              <w:t>嘎嘎</w:t>
            </w:r>
            <w:r>
              <w:rPr>
                <w:rFonts w:ascii="Times New Roman" w:hAnsi="Times New Roman"/>
                <w:bCs/>
                <w:color w:val="FF0000"/>
                <w:kern w:val="0"/>
                <w:sz w:val="21"/>
                <w:szCs w:val="21"/>
                <w:lang w:val="zh-CN"/>
              </w:rPr>
              <w:t>查水井</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E109°118′46.41″</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N39°37′10.48″</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50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6</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5#</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壕赖苏六队水井</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E109°19′14.63″</w:t>
            </w:r>
          </w:p>
          <w:p>
            <w:pPr>
              <w:adjustRightInd w:val="0"/>
              <w:snapToGrid w:val="0"/>
              <w:jc w:val="center"/>
              <w:rPr>
                <w:rFonts w:ascii="Times New Roman" w:hAnsi="Times New Roman"/>
                <w:bCs/>
                <w:color w:val="FF0000"/>
                <w:kern w:val="0"/>
                <w:sz w:val="21"/>
                <w:szCs w:val="21"/>
              </w:rPr>
            </w:pPr>
            <w:r>
              <w:rPr>
                <w:rFonts w:ascii="Times New Roman" w:hAnsi="Times New Roman"/>
                <w:color w:val="FF0000"/>
                <w:sz w:val="21"/>
                <w:szCs w:val="21"/>
              </w:rPr>
              <w:t>N39°32′59.1</w:t>
            </w:r>
            <w:r>
              <w:rPr>
                <w:rStyle w:val="74"/>
                <w:rFonts w:ascii="Times New Roman" w:hAnsi="Times New Roman"/>
                <w:color w:val="FF0000"/>
                <w:szCs w:val="21"/>
              </w:rPr>
              <w:t>0</w:t>
            </w:r>
            <w:r>
              <w:rPr>
                <w:rFonts w:ascii="Times New Roman" w:hAnsi="Times New Roman"/>
                <w:color w:val="FF0000"/>
                <w:sz w:val="21"/>
                <w:szCs w:val="21"/>
              </w:rPr>
              <w:t>″</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7</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4</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6#</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敏盖二队水井</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E109°22′45.70″</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N39°32′56.44″</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200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6</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7#</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壕赖苏一队水井</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E109°18′57.36″</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N39°30′9.10″</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9</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3</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8#</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光明二队水井</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E109°21′44.83″</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N39°27′13.21″</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300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40</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9#</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红庆河镇水井</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E109°17′50.86″</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N39°25′3.34″</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350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50</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10#</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其和淖尔三队</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E109°21′40.78″</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N39°23′9.63″</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320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50</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11#</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乌兰敖包一队</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E109°13′55.51″</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N39°34′8.01″</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200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50</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12#</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木呼尔敖包八队</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E109°12′15.03″</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N39°29′17.92″</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150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7</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13#</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巴本岱七队</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E109°12′22.92″</w:t>
            </w:r>
          </w:p>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sz w:val="21"/>
                <w:szCs w:val="21"/>
              </w:rPr>
              <w:t>N39°22′54.17″</w:t>
            </w:r>
          </w:p>
        </w:tc>
        <w:tc>
          <w:tcPr>
            <w:tcW w:w="1482"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624" w:type="pct"/>
            <w:vMerge w:val="continue"/>
            <w:shd w:val="clear" w:color="auto" w:fill="auto"/>
            <w:vAlign w:val="center"/>
          </w:tcPr>
          <w:p>
            <w:pPr>
              <w:adjustRightInd w:val="0"/>
              <w:snapToGrid w:val="0"/>
              <w:jc w:val="center"/>
              <w:rPr>
                <w:rFonts w:ascii="Times New Roman" w:hAnsi="Times New Roman"/>
                <w:bCs/>
                <w:color w:val="FF0000"/>
                <w:kern w:val="0"/>
                <w:sz w:val="21"/>
                <w:szCs w:val="21"/>
                <w:lang w:val="zh-CN"/>
              </w:rPr>
            </w:pP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150</w:t>
            </w:r>
          </w:p>
        </w:tc>
        <w:tc>
          <w:tcPr>
            <w:tcW w:w="312"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sz w:val="21"/>
                <w:szCs w:val="21"/>
              </w:rPr>
              <w:t>4</w:t>
            </w:r>
          </w:p>
        </w:tc>
        <w:tc>
          <w:tcPr>
            <w:tcW w:w="390" w:type="pct"/>
            <w:shd w:val="clear" w:color="auto" w:fill="auto"/>
            <w:vAlign w:val="center"/>
          </w:tcPr>
          <w:p>
            <w:pPr>
              <w:jc w:val="center"/>
              <w:rPr>
                <w:rFonts w:ascii="Times New Roman" w:hAnsi="Times New Roman"/>
                <w:color w:val="FF0000"/>
                <w:sz w:val="21"/>
                <w:szCs w:val="21"/>
              </w:rPr>
            </w:pPr>
            <w:r>
              <w:rPr>
                <w:rFonts w:ascii="Times New Roman" w:hAnsi="Times New Roman"/>
                <w:color w:val="FF0000"/>
                <w:kern w:val="0"/>
                <w:sz w:val="21"/>
                <w:szCs w:val="21"/>
              </w:rPr>
              <w:t>分散式水井</w:t>
            </w:r>
          </w:p>
        </w:tc>
        <w:tc>
          <w:tcPr>
            <w:tcW w:w="31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79" w:type="pct"/>
            <w:shd w:val="clear" w:color="auto" w:fill="auto"/>
            <w:vAlign w:val="center"/>
          </w:tcPr>
          <w:p>
            <w:pPr>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14#</w:t>
            </w:r>
          </w:p>
        </w:tc>
        <w:tc>
          <w:tcPr>
            <w:tcW w:w="526"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哈达图淖尔水源地</w:t>
            </w:r>
          </w:p>
        </w:tc>
        <w:tc>
          <w:tcPr>
            <w:tcW w:w="858" w:type="pct"/>
            <w:shd w:val="clear" w:color="auto" w:fill="auto"/>
            <w:vAlign w:val="center"/>
          </w:tcPr>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E109°18′21.68"</w:t>
            </w:r>
          </w:p>
          <w:p>
            <w:pPr>
              <w:widowControl/>
              <w:adjustRightInd w:val="0"/>
              <w:snapToGrid w:val="0"/>
              <w:jc w:val="center"/>
              <w:textAlignment w:val="center"/>
              <w:rPr>
                <w:rFonts w:ascii="Times New Roman" w:hAnsi="Times New Roman"/>
                <w:color w:val="FF0000"/>
                <w:kern w:val="0"/>
                <w:sz w:val="21"/>
                <w:szCs w:val="21"/>
              </w:rPr>
            </w:pPr>
            <w:r>
              <w:rPr>
                <w:rFonts w:ascii="Times New Roman" w:hAnsi="Times New Roman"/>
                <w:color w:val="FF0000"/>
                <w:kern w:val="0"/>
                <w:sz w:val="21"/>
                <w:szCs w:val="21"/>
              </w:rPr>
              <w:t>N 39°26'3.67"</w:t>
            </w:r>
          </w:p>
        </w:tc>
        <w:tc>
          <w:tcPr>
            <w:tcW w:w="1482" w:type="pct"/>
            <w:shd w:val="clear" w:color="auto" w:fill="auto"/>
            <w:vAlign w:val="center"/>
          </w:tcPr>
          <w:p>
            <w:pPr>
              <w:adjustRightInd w:val="0"/>
              <w:snapToGrid w:val="0"/>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色、嗅、浑浊度、肉眼可见物、pH、总硬度、溶解性总固体、硫酸盐、氯化物、铁、锰、铜、锌、铝、挥发酚、阴离子表面活性剂、耗氧量、氨氮、硫化物、钠、总大肠菌群、细菌总数、亚硝酸盐、硝酸盐、氰化物、氟化物、碘化物、汞、砷、硒、镉、六价铬、铅、三氯甲烷、四氯化碳、苯、甲苯、总α放射性、总β放射性。</w:t>
            </w:r>
          </w:p>
        </w:tc>
        <w:tc>
          <w:tcPr>
            <w:tcW w:w="624" w:type="pct"/>
            <w:shd w:val="clear" w:color="auto" w:fill="auto"/>
            <w:vAlign w:val="center"/>
          </w:tcPr>
          <w:p>
            <w:pPr>
              <w:adjustRightInd w:val="0"/>
              <w:snapToGrid w:val="0"/>
              <w:jc w:val="center"/>
              <w:rPr>
                <w:rFonts w:ascii="Times New Roman" w:hAnsi="Times New Roman"/>
                <w:bCs/>
                <w:color w:val="FF0000"/>
                <w:kern w:val="0"/>
                <w:sz w:val="21"/>
                <w:szCs w:val="21"/>
                <w:lang w:val="zh-CN"/>
              </w:rPr>
            </w:pPr>
            <w:r>
              <w:rPr>
                <w:rFonts w:ascii="Times New Roman" w:hAnsi="Times New Roman"/>
                <w:bCs/>
                <w:color w:val="FF0000"/>
                <w:kern w:val="0"/>
                <w:sz w:val="21"/>
                <w:szCs w:val="21"/>
                <w:lang w:val="zh-CN"/>
              </w:rPr>
              <w:t>2021年1月19日、2021年7月11日、2022年4月12日</w:t>
            </w:r>
          </w:p>
        </w:tc>
        <w:tc>
          <w:tcPr>
            <w:tcW w:w="312" w:type="pct"/>
            <w:shd w:val="clear" w:color="auto" w:fill="auto"/>
            <w:vAlign w:val="center"/>
          </w:tcPr>
          <w:p>
            <w:pPr>
              <w:adjustRightInd w:val="0"/>
              <w:snapToGrid w:val="0"/>
              <w:jc w:val="center"/>
              <w:rPr>
                <w:rFonts w:ascii="Times New Roman" w:hAnsi="Times New Roman"/>
                <w:color w:val="FF0000"/>
                <w:kern w:val="0"/>
                <w:sz w:val="21"/>
                <w:szCs w:val="21"/>
              </w:rPr>
            </w:pPr>
            <w:r>
              <w:rPr>
                <w:rFonts w:hint="eastAsia" w:ascii="Times New Roman" w:hAnsi="Times New Roman"/>
                <w:color w:val="FF0000"/>
                <w:kern w:val="0"/>
                <w:sz w:val="21"/>
                <w:szCs w:val="21"/>
              </w:rPr>
              <w:t>/</w:t>
            </w:r>
          </w:p>
        </w:tc>
        <w:tc>
          <w:tcPr>
            <w:tcW w:w="312" w:type="pct"/>
            <w:shd w:val="clear" w:color="auto" w:fill="auto"/>
            <w:vAlign w:val="center"/>
          </w:tcPr>
          <w:p>
            <w:pPr>
              <w:adjustRightInd w:val="0"/>
              <w:snapToGrid w:val="0"/>
              <w:jc w:val="center"/>
              <w:rPr>
                <w:rFonts w:ascii="Times New Roman" w:hAnsi="Times New Roman"/>
                <w:color w:val="FF0000"/>
                <w:kern w:val="0"/>
                <w:sz w:val="21"/>
                <w:szCs w:val="21"/>
              </w:rPr>
            </w:pPr>
            <w:r>
              <w:rPr>
                <w:rFonts w:hint="eastAsia" w:ascii="Times New Roman" w:hAnsi="Times New Roman"/>
                <w:color w:val="FF0000"/>
                <w:kern w:val="0"/>
                <w:sz w:val="21"/>
                <w:szCs w:val="21"/>
              </w:rPr>
              <w:t>/</w:t>
            </w:r>
          </w:p>
        </w:tc>
        <w:tc>
          <w:tcPr>
            <w:tcW w:w="390" w:type="pct"/>
            <w:shd w:val="clear" w:color="auto" w:fill="auto"/>
            <w:vAlign w:val="center"/>
          </w:tcPr>
          <w:p>
            <w:pPr>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地下水饮用水源地</w:t>
            </w:r>
          </w:p>
        </w:tc>
        <w:tc>
          <w:tcPr>
            <w:tcW w:w="316" w:type="pct"/>
            <w:shd w:val="clear" w:color="auto" w:fill="auto"/>
            <w:vAlign w:val="center"/>
          </w:tcPr>
          <w:p>
            <w:pPr>
              <w:adjustRightInd w:val="0"/>
              <w:snapToGrid w:val="0"/>
              <w:jc w:val="center"/>
              <w:rPr>
                <w:rFonts w:ascii="Times New Roman" w:hAnsi="Times New Roman"/>
                <w:color w:val="FF0000"/>
                <w:kern w:val="0"/>
                <w:sz w:val="21"/>
                <w:szCs w:val="21"/>
              </w:rPr>
            </w:pPr>
            <w:r>
              <w:rPr>
                <w:rFonts w:ascii="Times New Roman" w:hAnsi="Times New Roman"/>
                <w:color w:val="FF0000"/>
                <w:kern w:val="0"/>
                <w:sz w:val="21"/>
                <w:szCs w:val="21"/>
              </w:rPr>
              <w:t>K</w:t>
            </w:r>
            <w:r>
              <w:rPr>
                <w:rFonts w:ascii="Times New Roman" w:hAnsi="Times New Roman"/>
                <w:color w:val="FF0000"/>
                <w:kern w:val="0"/>
                <w:sz w:val="21"/>
                <w:szCs w:val="21"/>
                <w:vertAlign w:val="subscript"/>
              </w:rPr>
              <w:t>1</w:t>
            </w:r>
            <w:r>
              <w:rPr>
                <w:rFonts w:ascii="Times New Roman" w:hAnsi="Times New Roman"/>
                <w:i/>
                <w:color w:val="FF0000"/>
                <w:kern w:val="0"/>
                <w:sz w:val="21"/>
                <w:szCs w:val="21"/>
              </w:rPr>
              <w:t>zh</w:t>
            </w:r>
          </w:p>
        </w:tc>
      </w:tr>
    </w:tbl>
    <w:p>
      <w:pPr>
        <w:widowControl/>
        <w:spacing w:before="240" w:beforeLines="100" w:line="440" w:lineRule="exact"/>
        <w:ind w:firstLine="480" w:firstLineChars="200"/>
        <w:rPr>
          <w:rFonts w:ascii="Times New Roman" w:hAnsi="Times New Roman"/>
          <w:bCs/>
          <w:szCs w:val="24"/>
        </w:rPr>
      </w:pPr>
      <w:r>
        <w:rPr>
          <w:rFonts w:ascii="Times New Roman" w:hAnsi="Times New Roman"/>
          <w:kern w:val="0"/>
          <w:szCs w:val="24"/>
        </w:rPr>
        <w:t>地下水水质类型划分见表3.4-9，水质监测结果见表3.4-10：</w:t>
      </w:r>
      <w:r>
        <w:rPr>
          <w:rFonts w:ascii="Times New Roman" w:hAnsi="Times New Roman"/>
          <w:bCs/>
          <w:szCs w:val="24"/>
        </w:rPr>
        <w:t>根据表3.4-10各监测点水质检测结果，除了7#、8#、9#pH值略微超标外，超标倍数分别为0.13、0.24、0.29，其余水质指标均达到</w:t>
      </w:r>
      <w:r>
        <w:rPr>
          <w:rFonts w:ascii="Times New Roman" w:hAnsi="Times New Roman"/>
          <w:kern w:val="0"/>
          <w:szCs w:val="24"/>
        </w:rPr>
        <w:t>《地下水质量标准》（GB/T14848-2017）中Ⅲ类水质标准</w:t>
      </w:r>
      <w:r>
        <w:rPr>
          <w:rFonts w:ascii="Times New Roman" w:hAnsi="Times New Roman"/>
          <w:bCs/>
          <w:szCs w:val="24"/>
        </w:rPr>
        <w:t>，</w:t>
      </w:r>
      <w:bookmarkStart w:id="153" w:name="_Hlk98956065"/>
      <w:r>
        <w:rPr>
          <w:rFonts w:ascii="Times New Roman" w:hAnsi="Times New Roman"/>
          <w:bCs/>
          <w:szCs w:val="24"/>
        </w:rPr>
        <w:t>第四系及白垩系含水层地下水水质总体较好</w:t>
      </w:r>
      <w:bookmarkEnd w:id="153"/>
      <w:r>
        <w:rPr>
          <w:rFonts w:ascii="Times New Roman" w:hAnsi="Times New Roman"/>
          <w:bCs/>
          <w:szCs w:val="24"/>
        </w:rPr>
        <w:t>。</w:t>
      </w:r>
    </w:p>
    <w:p>
      <w:pPr>
        <w:widowControl/>
        <w:spacing w:line="440" w:lineRule="exact"/>
        <w:ind w:firstLine="480" w:firstLineChars="200"/>
        <w:rPr>
          <w:rFonts w:ascii="Times New Roman" w:hAnsi="Times New Roman"/>
          <w:bCs/>
          <w:color w:val="FF0000"/>
          <w:szCs w:val="24"/>
        </w:rPr>
      </w:pPr>
      <w:r>
        <w:rPr>
          <w:rFonts w:hint="eastAsia" w:ascii="Times New Roman" w:hAnsi="Times New Roman"/>
          <w:bCs/>
          <w:color w:val="FF0000"/>
          <w:szCs w:val="24"/>
        </w:rPr>
        <w:t>超标原因可能是由于矿区属内流区，其地下水主要来自大气降水，矿区受气候干燥，降水量小、蒸发量大的影响，导致部分区域出现盐碱化，导致周边地下水p</w:t>
      </w:r>
      <w:r>
        <w:rPr>
          <w:rFonts w:ascii="Times New Roman" w:hAnsi="Times New Roman"/>
          <w:bCs/>
          <w:color w:val="FF0000"/>
          <w:szCs w:val="24"/>
        </w:rPr>
        <w:t>H</w:t>
      </w:r>
      <w:r>
        <w:rPr>
          <w:rFonts w:hint="eastAsia" w:ascii="Times New Roman" w:hAnsi="Times New Roman"/>
          <w:bCs/>
          <w:color w:val="FF0000"/>
          <w:szCs w:val="24"/>
        </w:rPr>
        <w:t>轻微超标。</w:t>
      </w:r>
    </w:p>
    <w:p>
      <w:pPr>
        <w:keepNext/>
        <w:keepLines/>
        <w:snapToGrid w:val="0"/>
        <w:spacing w:line="440" w:lineRule="exact"/>
        <w:jc w:val="center"/>
        <w:rPr>
          <w:rFonts w:ascii="Times New Roman" w:hAnsi="Times New Roman"/>
          <w:b/>
          <w:bCs/>
          <w:color w:val="FF0000"/>
          <w:szCs w:val="24"/>
        </w:rPr>
      </w:pPr>
      <w:r>
        <w:rPr>
          <w:rFonts w:ascii="Times New Roman" w:hAnsi="Times New Roman"/>
          <w:b/>
          <w:bCs/>
          <w:color w:val="FF0000"/>
          <w:szCs w:val="24"/>
        </w:rPr>
        <w:t>地下水水质类型划分</w:t>
      </w:r>
    </w:p>
    <w:p>
      <w:pPr>
        <w:keepNext/>
        <w:keepLines/>
        <w:snapToGrid w:val="0"/>
        <w:spacing w:line="440" w:lineRule="exact"/>
        <w:outlineLvl w:val="4"/>
        <w:rPr>
          <w:rFonts w:ascii="Times New Roman" w:hAnsi="Times New Roman"/>
          <w:color w:val="FF0000"/>
          <w:szCs w:val="24"/>
        </w:rPr>
      </w:pPr>
      <w:r>
        <w:rPr>
          <w:rFonts w:ascii="Times New Roman" w:hAnsi="Times New Roman"/>
          <w:color w:val="FF0000"/>
          <w:szCs w:val="24"/>
        </w:rPr>
        <w:t>表3.4-9</w:t>
      </w:r>
    </w:p>
    <w:tbl>
      <w:tblPr>
        <w:tblStyle w:val="5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81"/>
        <w:gridCol w:w="1139"/>
        <w:gridCol w:w="885"/>
        <w:gridCol w:w="937"/>
        <w:gridCol w:w="1225"/>
        <w:gridCol w:w="1225"/>
        <w:gridCol w:w="854"/>
        <w:gridCol w:w="981"/>
        <w:gridCol w:w="1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编号</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K+Na(mg/l)</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Ca(mg/l)</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Mg(mg/l)</w:t>
            </w:r>
          </w:p>
        </w:tc>
        <w:tc>
          <w:tcPr>
            <w:tcW w:w="674"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CO</w:t>
            </w:r>
            <w:r>
              <w:rPr>
                <w:rFonts w:ascii="Times New Roman" w:hAnsi="Times New Roman"/>
                <w:color w:val="FF0000"/>
                <w:kern w:val="0"/>
                <w:sz w:val="21"/>
                <w:szCs w:val="21"/>
                <w:vertAlign w:val="subscript"/>
              </w:rPr>
              <w:t>3</w:t>
            </w:r>
            <w:r>
              <w:rPr>
                <w:rFonts w:ascii="Times New Roman" w:hAnsi="Times New Roman"/>
                <w:color w:val="FF0000"/>
                <w:kern w:val="0"/>
                <w:sz w:val="21"/>
                <w:szCs w:val="21"/>
              </w:rPr>
              <w:t>(mg/l)</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HCO</w:t>
            </w:r>
            <w:r>
              <w:rPr>
                <w:rFonts w:ascii="Times New Roman" w:hAnsi="Times New Roman"/>
                <w:color w:val="FF0000"/>
                <w:kern w:val="0"/>
                <w:sz w:val="21"/>
                <w:szCs w:val="21"/>
                <w:vertAlign w:val="subscript"/>
              </w:rPr>
              <w:t>3</w:t>
            </w:r>
            <w:r>
              <w:rPr>
                <w:rFonts w:ascii="Times New Roman" w:hAnsi="Times New Roman"/>
                <w:color w:val="FF0000"/>
                <w:kern w:val="0"/>
                <w:sz w:val="21"/>
                <w:szCs w:val="21"/>
              </w:rPr>
              <w:t>(mg/l)</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Cl(mg/l)</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SO</w:t>
            </w:r>
            <w:r>
              <w:rPr>
                <w:rFonts w:ascii="Times New Roman" w:hAnsi="Times New Roman"/>
                <w:color w:val="FF0000"/>
                <w:kern w:val="0"/>
                <w:sz w:val="21"/>
                <w:szCs w:val="21"/>
                <w:vertAlign w:val="subscript"/>
              </w:rPr>
              <w:t>4</w:t>
            </w:r>
            <w:r>
              <w:rPr>
                <w:rFonts w:ascii="Times New Roman" w:hAnsi="Times New Roman"/>
                <w:color w:val="FF0000"/>
                <w:kern w:val="0"/>
                <w:sz w:val="21"/>
                <w:szCs w:val="21"/>
              </w:rPr>
              <w:t>(mg/l)</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水质类型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1#</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27.58</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77.9</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11.9</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206</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10.6</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23.4</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 xml:space="preserve"> -Ca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2#</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27.22</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67.7</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15.1</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195</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14.9</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28.6</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 xml:space="preserve"> -Ca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3#</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18.67</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72.7</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15.3</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191</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27.3</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28.4</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 xml:space="preserve"> -Ca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4#</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48.36</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54</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27.7</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169</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29.3</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83.6</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·SO</w:t>
            </w:r>
            <w:r>
              <w:rPr>
                <w:rFonts w:ascii="Times New Roman" w:hAnsi="Times New Roman"/>
                <w:color w:val="FF0000"/>
                <w:sz w:val="21"/>
                <w:szCs w:val="21"/>
                <w:vertAlign w:val="subscript"/>
              </w:rPr>
              <w:t>4</w:t>
            </w:r>
            <w:r>
              <w:rPr>
                <w:rFonts w:ascii="Times New Roman" w:hAnsi="Times New Roman"/>
                <w:color w:val="FF0000"/>
                <w:sz w:val="21"/>
                <w:szCs w:val="21"/>
              </w:rPr>
              <w:t xml:space="preserve"> -Ca·Mg·Na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5#</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83.44</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43.1</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22.2</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202</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48.1</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40</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 xml:space="preserve"> -Na·Ca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bookmarkStart w:id="154" w:name="_Hlk62544874"/>
            <w:r>
              <w:rPr>
                <w:rFonts w:ascii="Times New Roman" w:hAnsi="Times New Roman"/>
                <w:color w:val="FF0000"/>
                <w:sz w:val="21"/>
                <w:szCs w:val="21"/>
              </w:rPr>
              <w:t>6#</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94</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31.7</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22.9</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229</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51.1</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41.4</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 xml:space="preserve"> -Na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7#</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189.992</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12.2</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11.9</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213</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48.1</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95.2</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·SO</w:t>
            </w:r>
            <w:r>
              <w:rPr>
                <w:rFonts w:ascii="Times New Roman" w:hAnsi="Times New Roman"/>
                <w:color w:val="FF0000"/>
                <w:sz w:val="21"/>
                <w:szCs w:val="21"/>
                <w:vertAlign w:val="subscript"/>
              </w:rPr>
              <w:t>4</w:t>
            </w:r>
            <w:r>
              <w:rPr>
                <w:rFonts w:ascii="Times New Roman" w:hAnsi="Times New Roman"/>
                <w:color w:val="FF0000"/>
                <w:sz w:val="21"/>
                <w:szCs w:val="21"/>
              </w:rPr>
              <w:t xml:space="preserve"> -Na</w:t>
            </w:r>
          </w:p>
        </w:tc>
      </w:tr>
      <w:bookmarkEnd w:id="154"/>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8#</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157.37</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0.55</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0.305</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181</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62</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46.8</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·Cl -Na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9#</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151.775</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3.19</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1.74</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154</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68</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60</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·Cl -Na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10#</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96.41</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20.3</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10.3</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149</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48.1</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39.2</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·Cl -Na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bookmarkStart w:id="155" w:name="_Hlk62544925"/>
            <w:r>
              <w:rPr>
                <w:rFonts w:ascii="Times New Roman" w:hAnsi="Times New Roman"/>
                <w:color w:val="FF0000"/>
                <w:sz w:val="21"/>
                <w:szCs w:val="21"/>
              </w:rPr>
              <w:t>11#</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108.42</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47.3</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17.5</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182</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52.6</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76.8</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·SO4 -Na·Ca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12#</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77.15</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26.9</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30.8</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176</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39.2</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62.4</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HCO</w:t>
            </w:r>
            <w:r>
              <w:rPr>
                <w:rFonts w:ascii="Times New Roman" w:hAnsi="Times New Roman"/>
                <w:color w:val="FF0000"/>
                <w:sz w:val="21"/>
                <w:szCs w:val="21"/>
                <w:vertAlign w:val="subscript"/>
              </w:rPr>
              <w:t>3</w:t>
            </w:r>
            <w:r>
              <w:rPr>
                <w:rFonts w:ascii="Times New Roman" w:hAnsi="Times New Roman"/>
                <w:color w:val="FF0000"/>
                <w:sz w:val="21"/>
                <w:szCs w:val="21"/>
              </w:rPr>
              <w:t xml:space="preserve"> -Na·Mg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265" w:type="pct"/>
            <w:shd w:val="clear" w:color="auto" w:fill="auto"/>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13#</w:t>
            </w:r>
          </w:p>
        </w:tc>
        <w:tc>
          <w:tcPr>
            <w:tcW w:w="62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120.98</w:t>
            </w:r>
          </w:p>
        </w:tc>
        <w:tc>
          <w:tcPr>
            <w:tcW w:w="487"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20.3</w:t>
            </w:r>
          </w:p>
        </w:tc>
        <w:tc>
          <w:tcPr>
            <w:tcW w:w="516"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27.7</w:t>
            </w:r>
          </w:p>
        </w:tc>
        <w:tc>
          <w:tcPr>
            <w:tcW w:w="674" w:type="pct"/>
            <w:shd w:val="clear" w:color="auto" w:fill="auto"/>
            <w:vAlign w:val="center"/>
          </w:tcPr>
          <w:p>
            <w:pPr>
              <w:widowControl/>
              <w:jc w:val="center"/>
              <w:rPr>
                <w:rFonts w:ascii="Times New Roman" w:hAnsi="Times New Roman"/>
                <w:color w:val="FF0000"/>
                <w:kern w:val="0"/>
                <w:sz w:val="21"/>
                <w:szCs w:val="21"/>
              </w:rPr>
            </w:pPr>
            <w:r>
              <w:rPr>
                <w:rFonts w:hint="eastAsia" w:ascii="Times New Roman" w:hAnsi="Times New Roman"/>
                <w:color w:val="FF0000"/>
                <w:kern w:val="0"/>
                <w:sz w:val="21"/>
                <w:szCs w:val="21"/>
              </w:rPr>
              <w:t>0</w:t>
            </w:r>
          </w:p>
        </w:tc>
        <w:tc>
          <w:tcPr>
            <w:tcW w:w="674"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159</w:t>
            </w:r>
          </w:p>
        </w:tc>
        <w:tc>
          <w:tcPr>
            <w:tcW w:w="47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102</w:t>
            </w:r>
          </w:p>
        </w:tc>
        <w:tc>
          <w:tcPr>
            <w:tcW w:w="540" w:type="pct"/>
            <w:shd w:val="clear" w:color="auto" w:fill="auto"/>
            <w:noWrap/>
            <w:vAlign w:val="center"/>
          </w:tcPr>
          <w:p>
            <w:pPr>
              <w:widowControl/>
              <w:jc w:val="center"/>
              <w:rPr>
                <w:rFonts w:ascii="Times New Roman" w:hAnsi="Times New Roman"/>
                <w:color w:val="FF0000"/>
                <w:kern w:val="0"/>
                <w:sz w:val="21"/>
                <w:szCs w:val="21"/>
              </w:rPr>
            </w:pPr>
            <w:r>
              <w:rPr>
                <w:rFonts w:ascii="Times New Roman" w:hAnsi="Times New Roman"/>
                <w:color w:val="FF0000"/>
                <w:kern w:val="0"/>
                <w:sz w:val="21"/>
                <w:szCs w:val="21"/>
              </w:rPr>
              <w:t>41.2</w:t>
            </w:r>
          </w:p>
        </w:tc>
        <w:tc>
          <w:tcPr>
            <w:tcW w:w="747" w:type="pct"/>
            <w:vAlign w:val="center"/>
          </w:tcPr>
          <w:p>
            <w:pPr>
              <w:widowControl/>
              <w:jc w:val="center"/>
              <w:rPr>
                <w:rFonts w:ascii="Times New Roman" w:hAnsi="Times New Roman"/>
                <w:color w:val="FF0000"/>
                <w:kern w:val="0"/>
                <w:sz w:val="21"/>
                <w:szCs w:val="21"/>
              </w:rPr>
            </w:pPr>
            <w:r>
              <w:rPr>
                <w:rFonts w:ascii="Times New Roman" w:hAnsi="Times New Roman"/>
                <w:color w:val="FF0000"/>
                <w:sz w:val="21"/>
                <w:szCs w:val="21"/>
              </w:rPr>
              <w:t>Cl·HCO</w:t>
            </w:r>
            <w:r>
              <w:rPr>
                <w:rFonts w:ascii="Times New Roman" w:hAnsi="Times New Roman"/>
                <w:color w:val="FF0000"/>
                <w:sz w:val="21"/>
                <w:szCs w:val="21"/>
                <w:vertAlign w:val="subscript"/>
              </w:rPr>
              <w:t>3</w:t>
            </w:r>
            <w:r>
              <w:rPr>
                <w:rFonts w:ascii="Times New Roman" w:hAnsi="Times New Roman"/>
                <w:color w:val="FF0000"/>
                <w:sz w:val="21"/>
                <w:szCs w:val="21"/>
              </w:rPr>
              <w:t xml:space="preserve"> -Na·Mg</w:t>
            </w:r>
          </w:p>
        </w:tc>
      </w:tr>
      <w:bookmarkEnd w:id="155"/>
    </w:tbl>
    <w:p>
      <w:pPr>
        <w:widowControl/>
        <w:spacing w:line="440" w:lineRule="exact"/>
        <w:ind w:firstLine="480" w:firstLineChars="200"/>
        <w:rPr>
          <w:rFonts w:ascii="Times New Roman" w:hAnsi="Times New Roman"/>
          <w:kern w:val="0"/>
          <w:szCs w:val="24"/>
        </w:rPr>
      </w:pPr>
    </w:p>
    <w:p>
      <w:pPr>
        <w:adjustRightInd w:val="0"/>
        <w:snapToGrid w:val="0"/>
        <w:spacing w:line="440" w:lineRule="exact"/>
        <w:rPr>
          <w:rFonts w:ascii="Times New Roman" w:hAnsi="Times New Roman"/>
          <w:bCs/>
          <w:szCs w:val="24"/>
        </w:rPr>
      </w:pPr>
    </w:p>
    <w:p>
      <w:pPr>
        <w:adjustRightInd w:val="0"/>
        <w:snapToGrid w:val="0"/>
        <w:spacing w:line="440" w:lineRule="exact"/>
        <w:rPr>
          <w:rFonts w:ascii="Times New Roman" w:hAnsi="Times New Roman"/>
          <w:bCs/>
          <w:szCs w:val="24"/>
        </w:rPr>
        <w:sectPr>
          <w:headerReference r:id="rId14" w:type="default"/>
          <w:pgSz w:w="11910" w:h="16840"/>
          <w:pgMar w:top="1701" w:right="1418" w:bottom="1134" w:left="1418" w:header="1134" w:footer="851" w:gutter="0"/>
          <w:cols w:space="720" w:num="1"/>
        </w:sectPr>
      </w:pPr>
    </w:p>
    <w:p>
      <w:pPr>
        <w:adjustRightInd w:val="0"/>
        <w:snapToGrid w:val="0"/>
        <w:spacing w:line="440" w:lineRule="exact"/>
        <w:jc w:val="center"/>
        <w:rPr>
          <w:rFonts w:ascii="Times New Roman" w:hAnsi="Times New Roman"/>
          <w:bCs/>
          <w:szCs w:val="24"/>
          <w:lang w:val="zh-CN"/>
        </w:rPr>
      </w:pPr>
      <w:r>
        <w:rPr>
          <w:rFonts w:ascii="Times New Roman" w:hAnsi="Times New Roman"/>
          <w:b/>
          <w:szCs w:val="24"/>
          <w:lang w:val="zh-CN"/>
        </w:rPr>
        <w:t>地下水水质检测结果</w:t>
      </w:r>
    </w:p>
    <w:p>
      <w:pPr>
        <w:keepNext/>
        <w:keepLines/>
        <w:snapToGrid w:val="0"/>
        <w:spacing w:line="440" w:lineRule="exact"/>
        <w:outlineLvl w:val="4"/>
        <w:rPr>
          <w:rFonts w:ascii="Times New Roman" w:hAnsi="Times New Roman"/>
          <w:szCs w:val="24"/>
        </w:rPr>
      </w:pPr>
      <w:r>
        <w:rPr>
          <w:rFonts w:ascii="Times New Roman" w:hAnsi="Times New Roman"/>
          <w:szCs w:val="24"/>
        </w:rPr>
        <w:t>表3.4-10</w:t>
      </w:r>
    </w:p>
    <w:tbl>
      <w:tblPr>
        <w:tblStyle w:val="60"/>
        <w:tblW w:w="142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849"/>
        <w:gridCol w:w="835"/>
        <w:gridCol w:w="706"/>
        <w:gridCol w:w="807"/>
        <w:gridCol w:w="790"/>
        <w:gridCol w:w="788"/>
        <w:gridCol w:w="790"/>
        <w:gridCol w:w="842"/>
        <w:gridCol w:w="842"/>
        <w:gridCol w:w="895"/>
        <w:gridCol w:w="895"/>
        <w:gridCol w:w="895"/>
        <w:gridCol w:w="895"/>
        <w:gridCol w:w="895"/>
        <w:gridCol w:w="9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555" w:type="dxa"/>
            <w:vMerge w:val="restart"/>
            <w:noWrap/>
            <w:vAlign w:val="center"/>
          </w:tcPr>
          <w:p>
            <w:pPr>
              <w:adjustRightInd w:val="0"/>
              <w:snapToGrid w:val="0"/>
              <w:jc w:val="center"/>
              <w:rPr>
                <w:rFonts w:ascii="Times New Roman" w:hAnsi="Times New Roman"/>
                <w:bCs/>
                <w:kern w:val="0"/>
                <w:sz w:val="20"/>
                <w:szCs w:val="21"/>
              </w:rPr>
            </w:pPr>
            <w:r>
              <w:rPr>
                <w:rFonts w:ascii="Times New Roman" w:hAnsi="Times New Roman"/>
                <w:bCs/>
                <w:kern w:val="0"/>
                <w:sz w:val="21"/>
                <w:szCs w:val="21"/>
              </w:rPr>
              <w:t>检测项目</w:t>
            </w:r>
          </w:p>
        </w:tc>
        <w:tc>
          <w:tcPr>
            <w:tcW w:w="849" w:type="dxa"/>
            <w:vMerge w:val="restart"/>
            <w:noWrap/>
            <w:vAlign w:val="center"/>
          </w:tcPr>
          <w:p>
            <w:pPr>
              <w:adjustRightInd w:val="0"/>
              <w:snapToGrid w:val="0"/>
              <w:jc w:val="center"/>
              <w:rPr>
                <w:rFonts w:ascii="Times New Roman" w:hAnsi="Times New Roman"/>
                <w:bCs/>
                <w:kern w:val="0"/>
                <w:sz w:val="20"/>
                <w:szCs w:val="21"/>
              </w:rPr>
            </w:pPr>
            <w:r>
              <w:rPr>
                <w:rFonts w:ascii="Times New Roman" w:hAnsi="Times New Roman"/>
                <w:bCs/>
                <w:kern w:val="0"/>
                <w:sz w:val="21"/>
                <w:szCs w:val="21"/>
              </w:rPr>
              <w:t>类别</w:t>
            </w:r>
          </w:p>
        </w:tc>
        <w:tc>
          <w:tcPr>
            <w:tcW w:w="10875" w:type="dxa"/>
            <w:gridSpan w:val="13"/>
            <w:noWrap/>
            <w:vAlign w:val="center"/>
          </w:tcPr>
          <w:p>
            <w:pPr>
              <w:adjustRightInd w:val="0"/>
              <w:snapToGrid w:val="0"/>
              <w:jc w:val="center"/>
              <w:rPr>
                <w:rFonts w:ascii="Times New Roman" w:hAnsi="Times New Roman"/>
                <w:bCs/>
                <w:kern w:val="0"/>
                <w:sz w:val="20"/>
                <w:szCs w:val="21"/>
              </w:rPr>
            </w:pPr>
            <w:r>
              <w:rPr>
                <w:rFonts w:hint="eastAsia" w:ascii="Times New Roman" w:hAnsi="Times New Roman"/>
                <w:bCs/>
                <w:kern w:val="0"/>
                <w:sz w:val="20"/>
                <w:szCs w:val="21"/>
              </w:rPr>
              <w:t>1</w:t>
            </w:r>
            <w:r>
              <w:rPr>
                <w:rFonts w:ascii="Times New Roman" w:hAnsi="Times New Roman"/>
                <w:bCs/>
                <w:kern w:val="0"/>
                <w:sz w:val="20"/>
                <w:szCs w:val="21"/>
              </w:rPr>
              <w:t>#~13#</w:t>
            </w:r>
            <w:r>
              <w:rPr>
                <w:rFonts w:hint="eastAsia" w:ascii="Times New Roman" w:hAnsi="Times New Roman"/>
                <w:bCs/>
                <w:kern w:val="0"/>
                <w:sz w:val="20"/>
                <w:szCs w:val="21"/>
              </w:rPr>
              <w:t>检测结果</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Ⅲ类</w:t>
            </w:r>
          </w:p>
          <w:p>
            <w:pPr>
              <w:adjustRightInd w:val="0"/>
              <w:snapToGrid w:val="0"/>
              <w:jc w:val="center"/>
              <w:rPr>
                <w:rFonts w:ascii="Times New Roman" w:hAnsi="Times New Roman"/>
                <w:bCs/>
                <w:kern w:val="0"/>
                <w:sz w:val="20"/>
                <w:szCs w:val="21"/>
              </w:rPr>
            </w:pPr>
            <w:r>
              <w:rPr>
                <w:rFonts w:ascii="Times New Roman" w:hAnsi="Times New Roman"/>
                <w:bCs/>
                <w:kern w:val="0"/>
                <w:sz w:val="21"/>
                <w:szCs w:val="21"/>
              </w:rPr>
              <w:t>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vMerge w:val="continue"/>
            <w:noWrap/>
            <w:vAlign w:val="center"/>
          </w:tcPr>
          <w:p>
            <w:pPr>
              <w:adjustRightInd w:val="0"/>
              <w:snapToGrid w:val="0"/>
              <w:jc w:val="center"/>
              <w:rPr>
                <w:rFonts w:ascii="Times New Roman" w:hAnsi="Times New Roman"/>
                <w:bCs/>
                <w:kern w:val="0"/>
                <w:sz w:val="21"/>
                <w:szCs w:val="21"/>
              </w:rPr>
            </w:pP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5#</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13#</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pH(无量纲)</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7.66</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7.68</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7.77</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7.7</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7.82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8.05</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8.86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8.78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8.05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7.94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7.77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7.81</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6.5~8.5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0.44</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0.45</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0.51</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0.47</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0.55</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w:t>
            </w:r>
          </w:p>
        </w:tc>
        <w:tc>
          <w:tcPr>
            <w:tcW w:w="842" w:type="dxa"/>
            <w:noWrap/>
            <w:vAlign w:val="center"/>
          </w:tcPr>
          <w:p>
            <w:pPr>
              <w:adjustRightInd w:val="0"/>
              <w:snapToGrid w:val="0"/>
              <w:jc w:val="center"/>
              <w:rPr>
                <w:rFonts w:ascii="Times New Roman" w:hAnsi="Times New Roman"/>
                <w:b/>
                <w:bCs/>
                <w:kern w:val="0"/>
                <w:sz w:val="21"/>
                <w:szCs w:val="21"/>
              </w:rPr>
            </w:pPr>
            <w:r>
              <w:rPr>
                <w:rFonts w:ascii="Times New Roman" w:hAnsi="Times New Roman"/>
                <w:b/>
                <w:bCs/>
                <w:kern w:val="0"/>
                <w:sz w:val="21"/>
                <w:szCs w:val="21"/>
              </w:rPr>
              <w:t>1.13</w:t>
            </w:r>
          </w:p>
        </w:tc>
        <w:tc>
          <w:tcPr>
            <w:tcW w:w="842" w:type="dxa"/>
            <w:noWrap/>
            <w:vAlign w:val="center"/>
          </w:tcPr>
          <w:p>
            <w:pPr>
              <w:adjustRightInd w:val="0"/>
              <w:snapToGrid w:val="0"/>
              <w:jc w:val="center"/>
              <w:rPr>
                <w:rFonts w:ascii="Times New Roman" w:hAnsi="Times New Roman"/>
                <w:b/>
                <w:bCs/>
                <w:kern w:val="0"/>
                <w:sz w:val="21"/>
                <w:szCs w:val="21"/>
              </w:rPr>
            </w:pPr>
            <w:r>
              <w:rPr>
                <w:rFonts w:ascii="Times New Roman" w:hAnsi="Times New Roman"/>
                <w:b/>
                <w:bCs/>
                <w:kern w:val="0"/>
                <w:sz w:val="21"/>
                <w:szCs w:val="21"/>
              </w:rPr>
              <w:t>1.24</w:t>
            </w:r>
          </w:p>
        </w:tc>
        <w:tc>
          <w:tcPr>
            <w:tcW w:w="895" w:type="dxa"/>
            <w:noWrap/>
            <w:vAlign w:val="center"/>
          </w:tcPr>
          <w:p>
            <w:pPr>
              <w:adjustRightInd w:val="0"/>
              <w:snapToGrid w:val="0"/>
              <w:jc w:val="center"/>
              <w:rPr>
                <w:rFonts w:ascii="Times New Roman" w:hAnsi="Times New Roman"/>
                <w:b/>
                <w:bCs/>
                <w:kern w:val="0"/>
                <w:sz w:val="21"/>
                <w:szCs w:val="21"/>
              </w:rPr>
            </w:pPr>
            <w:r>
              <w:rPr>
                <w:rFonts w:ascii="Times New Roman" w:hAnsi="Times New Roman"/>
                <w:b/>
                <w:bCs/>
                <w:kern w:val="0"/>
                <w:sz w:val="21"/>
                <w:szCs w:val="21"/>
              </w:rPr>
              <w:t>1.19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0.63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0.54</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水温(℃)</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17.4</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18.6</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14.4</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18.6</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14.7</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13.5</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16.7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18.3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17.5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16.1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16.7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15.8</w:t>
            </w:r>
          </w:p>
        </w:tc>
        <w:tc>
          <w:tcPr>
            <w:tcW w:w="971"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总硬度(mg/L)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235</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236</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260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250</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168</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83.1</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9.01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90.1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180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174</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0.52</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0.52</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0.58</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0.56</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0.45</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0.18</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0.39</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耗氧量(mg/L)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0.918</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0.939</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0.857</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1.31</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1.22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0.98</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1.31</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0.551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0.653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1.14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0.816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1.39</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0.31</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0.31</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0.29</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0.44</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0.41</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0.33</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0.44</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0.46</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氟化物(mg/L)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0.209</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0.313</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0.226</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0.75</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0.64</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0.955</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0.845</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0.545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0.545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0.545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0.568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0.59</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0.21</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0.31</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0.23</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0.75</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0.64</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0.96</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0.85</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0.59</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氨氮(mg/L)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硝酸盐氮(mg/L)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12.8</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15.1</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9.51</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7.13</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6.83</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6.91</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4.42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16.5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15.8</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0.64</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0.76</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0.48</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0.36</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0.34</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0.35</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0.83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0.79</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亚硝酸盐氮(mg/L)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0.005</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0.01</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挥发酚(mg/L)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铅(mg/L)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镉(mg/L)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铁(mg/L)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0.037</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0.175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0.058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锰(mg/L)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0.092</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汞(mg/L)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砷(mg/L)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0.002</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0.003</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0.0028</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0.0040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0.0076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0.0091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0.0012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0.0025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0.0014</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0.205</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0.69</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0.277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0.401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0.759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0.913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0.123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0.246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0.137</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K</w:t>
            </w:r>
            <w:r>
              <w:rPr>
                <w:rFonts w:ascii="Times New Roman" w:hAnsi="Times New Roman"/>
                <w:bCs/>
                <w:kern w:val="0"/>
                <w:sz w:val="21"/>
                <w:szCs w:val="21"/>
                <w:vertAlign w:val="superscript"/>
              </w:rPr>
              <w:t>+</w:t>
            </w:r>
            <w:r>
              <w:rPr>
                <w:rFonts w:ascii="Times New Roman" w:hAnsi="Times New Roman"/>
                <w:bCs/>
                <w:kern w:val="0"/>
                <w:sz w:val="21"/>
                <w:szCs w:val="21"/>
              </w:rPr>
              <w:t>(mg/L)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1.88</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2.22</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1.77</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2.16</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3.54</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0.992</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0.775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1.31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1.42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1.35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1.98</w:t>
            </w:r>
          </w:p>
        </w:tc>
        <w:tc>
          <w:tcPr>
            <w:tcW w:w="971"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Na</w:t>
            </w:r>
            <w:r>
              <w:rPr>
                <w:rFonts w:ascii="Times New Roman" w:hAnsi="Times New Roman"/>
                <w:bCs/>
                <w:kern w:val="0"/>
                <w:sz w:val="21"/>
                <w:szCs w:val="21"/>
                <w:vertAlign w:val="superscript"/>
              </w:rPr>
              <w:t>+</w:t>
            </w:r>
            <w:r>
              <w:rPr>
                <w:rFonts w:ascii="Times New Roman" w:hAnsi="Times New Roman"/>
                <w:bCs/>
                <w:kern w:val="0"/>
                <w:sz w:val="21"/>
                <w:szCs w:val="21"/>
              </w:rPr>
              <w:t>(mg/L)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25.7</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25</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16.9</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46.2</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79.9</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92</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189</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95.1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107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75.8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119</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0.13</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0.13</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0.08</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0.23</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0.46</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0.95</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0.76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0.6</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Ca</w:t>
            </w:r>
            <w:r>
              <w:rPr>
                <w:rFonts w:ascii="Times New Roman" w:hAnsi="Times New Roman"/>
                <w:bCs/>
                <w:kern w:val="0"/>
                <w:sz w:val="21"/>
                <w:szCs w:val="21"/>
                <w:vertAlign w:val="superscript"/>
              </w:rPr>
              <w:t>2+</w:t>
            </w:r>
            <w:r>
              <w:rPr>
                <w:rFonts w:ascii="Times New Roman" w:hAnsi="Times New Roman"/>
                <w:bCs/>
                <w:kern w:val="0"/>
                <w:sz w:val="21"/>
                <w:szCs w:val="21"/>
              </w:rPr>
              <w:t>(mg/L)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77.9</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67.7</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72.7</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54</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43.1</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31.7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12.2</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0.55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3.19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47.3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26.9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20.3</w:t>
            </w:r>
          </w:p>
        </w:tc>
        <w:tc>
          <w:tcPr>
            <w:tcW w:w="971"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Mg</w:t>
            </w:r>
            <w:r>
              <w:rPr>
                <w:rFonts w:ascii="Times New Roman" w:hAnsi="Times New Roman"/>
                <w:bCs/>
                <w:kern w:val="0"/>
                <w:sz w:val="21"/>
                <w:szCs w:val="21"/>
                <w:vertAlign w:val="superscript"/>
              </w:rPr>
              <w:t>2+</w:t>
            </w:r>
            <w:r>
              <w:rPr>
                <w:rFonts w:ascii="Times New Roman" w:hAnsi="Times New Roman"/>
                <w:bCs/>
                <w:kern w:val="0"/>
                <w:sz w:val="21"/>
                <w:szCs w:val="21"/>
              </w:rPr>
              <w:t>(mg/L)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11.9</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15.1</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15.3</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27.7</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22.2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22.9</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11.9</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0.305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1.74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10.3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17.5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30.8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27.7</w:t>
            </w:r>
          </w:p>
        </w:tc>
        <w:tc>
          <w:tcPr>
            <w:tcW w:w="971"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氯化物(mg/L)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10.6</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14.9</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27.3</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29.3</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48.1</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51.1</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48.1</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48.1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52.6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39.2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102</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0.04</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0.06</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0.11</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0.12</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0.19</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0.19</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0.41</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硫酸盐(mg/L)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23.4</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28.6</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28.4</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83.6</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41.4</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95.2</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46.8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39.2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76.8</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62.4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41.2</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0.09</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0.11</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0.11</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0.33</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0.16</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0.38</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0.25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0.16</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CO</w:t>
            </w:r>
            <w:r>
              <w:rPr>
                <w:rFonts w:ascii="Times New Roman" w:hAnsi="Times New Roman"/>
                <w:bCs/>
                <w:kern w:val="0"/>
                <w:sz w:val="21"/>
                <w:szCs w:val="21"/>
                <w:vertAlign w:val="subscript"/>
              </w:rPr>
              <w:t>3</w:t>
            </w:r>
            <w:r>
              <w:rPr>
                <w:rFonts w:ascii="Times New Roman" w:hAnsi="Times New Roman"/>
                <w:bCs/>
                <w:kern w:val="0"/>
                <w:sz w:val="21"/>
                <w:szCs w:val="21"/>
                <w:vertAlign w:val="superscript"/>
              </w:rPr>
              <w:t>2-</w:t>
            </w:r>
            <w:r>
              <w:rPr>
                <w:rFonts w:ascii="Times New Roman" w:hAnsi="Times New Roman"/>
                <w:bCs/>
                <w:kern w:val="0"/>
                <w:sz w:val="21"/>
                <w:szCs w:val="21"/>
              </w:rPr>
              <w:t>(mg/L)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971"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HCO</w:t>
            </w:r>
            <w:r>
              <w:rPr>
                <w:rFonts w:ascii="Times New Roman" w:hAnsi="Times New Roman"/>
                <w:bCs/>
                <w:kern w:val="0"/>
                <w:sz w:val="21"/>
                <w:szCs w:val="21"/>
                <w:vertAlign w:val="subscript"/>
              </w:rPr>
              <w:t>3</w:t>
            </w:r>
            <w:r>
              <w:rPr>
                <w:rFonts w:ascii="Times New Roman" w:hAnsi="Times New Roman"/>
                <w:bCs/>
                <w:kern w:val="0"/>
                <w:sz w:val="21"/>
                <w:szCs w:val="21"/>
                <w:vertAlign w:val="superscript"/>
              </w:rPr>
              <w:t>-</w:t>
            </w:r>
            <w:r>
              <w:rPr>
                <w:rFonts w:ascii="Times New Roman" w:hAnsi="Times New Roman"/>
                <w:bCs/>
                <w:kern w:val="0"/>
                <w:sz w:val="21"/>
                <w:szCs w:val="21"/>
              </w:rPr>
              <w:t>(mg/L)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206</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195</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191</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169</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229</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213</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181</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149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182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176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159</w:t>
            </w:r>
          </w:p>
        </w:tc>
        <w:tc>
          <w:tcPr>
            <w:tcW w:w="971"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总大肠菌群(MPN/100mL)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&lt;0.67</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细菌总数(CFU/mL)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89</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92</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94</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96</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88</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12</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0.89</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0.92</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0.94</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0.96</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0.87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0.88</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0.12</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溶解性总固体(mg/L)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324</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303</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333</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350</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415</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442</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637</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432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600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334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442</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385</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448</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0.32</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0.33</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0.35</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0.42</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0.44</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0.64</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0.6</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0.33</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0.44</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0.39</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0.45</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六价铬(mg/L)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氰化物(mg/L)</w:t>
            </w: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检测值</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ND</w:t>
            </w:r>
          </w:p>
        </w:tc>
        <w:tc>
          <w:tcPr>
            <w:tcW w:w="971" w:type="dxa"/>
            <w:vMerge w:val="restart"/>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0.05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55" w:type="dxa"/>
            <w:vMerge w:val="continue"/>
            <w:noWrap/>
            <w:vAlign w:val="center"/>
          </w:tcPr>
          <w:p>
            <w:pPr>
              <w:adjustRightInd w:val="0"/>
              <w:snapToGrid w:val="0"/>
              <w:jc w:val="center"/>
              <w:rPr>
                <w:rFonts w:ascii="Times New Roman" w:hAnsi="Times New Roman"/>
                <w:bCs/>
                <w:kern w:val="0"/>
                <w:sz w:val="21"/>
                <w:szCs w:val="21"/>
              </w:rPr>
            </w:pPr>
          </w:p>
        </w:tc>
        <w:tc>
          <w:tcPr>
            <w:tcW w:w="849"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指数</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c>
          <w:tcPr>
            <w:tcW w:w="971" w:type="dxa"/>
            <w:vMerge w:val="continue"/>
            <w:noWrap/>
            <w:vAlign w:val="center"/>
          </w:tcPr>
          <w:p>
            <w:pPr>
              <w:adjustRightInd w:val="0"/>
              <w:snapToGrid w:val="0"/>
              <w:jc w:val="center"/>
              <w:rPr>
                <w:rFonts w:ascii="Times New Roman" w:hAnsi="Times New Roman"/>
                <w:bCs/>
                <w:kern w:val="0"/>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404" w:type="dxa"/>
            <w:gridSpan w:val="2"/>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井深(m)</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80</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70</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120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50</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200</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9</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300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350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320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200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150</w:t>
            </w:r>
          </w:p>
        </w:tc>
        <w:tc>
          <w:tcPr>
            <w:tcW w:w="971"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404" w:type="dxa"/>
            <w:gridSpan w:val="2"/>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水位埋深(m)</w:t>
            </w:r>
          </w:p>
        </w:tc>
        <w:tc>
          <w:tcPr>
            <w:tcW w:w="83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50</w:t>
            </w:r>
          </w:p>
        </w:tc>
        <w:tc>
          <w:tcPr>
            <w:tcW w:w="706"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40</w:t>
            </w:r>
          </w:p>
        </w:tc>
        <w:tc>
          <w:tcPr>
            <w:tcW w:w="807"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60</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w:t>
            </w:r>
          </w:p>
        </w:tc>
        <w:tc>
          <w:tcPr>
            <w:tcW w:w="788"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w:t>
            </w:r>
          </w:p>
        </w:tc>
        <w:tc>
          <w:tcPr>
            <w:tcW w:w="790"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6</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3</w:t>
            </w:r>
          </w:p>
        </w:tc>
        <w:tc>
          <w:tcPr>
            <w:tcW w:w="842"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50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50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50</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7</w:t>
            </w:r>
          </w:p>
        </w:tc>
        <w:tc>
          <w:tcPr>
            <w:tcW w:w="895"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4</w:t>
            </w:r>
          </w:p>
        </w:tc>
        <w:tc>
          <w:tcPr>
            <w:tcW w:w="971" w:type="dxa"/>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w:t>
            </w:r>
          </w:p>
        </w:tc>
      </w:tr>
    </w:tbl>
    <w:p>
      <w:pPr>
        <w:adjustRightInd w:val="0"/>
        <w:snapToGrid w:val="0"/>
        <w:spacing w:line="440" w:lineRule="exact"/>
        <w:rPr>
          <w:rFonts w:ascii="Times New Roman" w:hAnsi="Times New Roman"/>
          <w:b/>
          <w:sz w:val="21"/>
          <w:szCs w:val="21"/>
          <w:lang w:val="zh-CN"/>
        </w:rPr>
        <w:sectPr>
          <w:headerReference r:id="rId15" w:type="default"/>
          <w:pgSz w:w="16840" w:h="11910" w:orient="landscape"/>
          <w:pgMar w:top="1560" w:right="1180" w:bottom="1680" w:left="1400" w:header="1134" w:footer="851" w:gutter="0"/>
          <w:cols w:space="720" w:num="1"/>
          <w:docGrid w:linePitch="286" w:charSpace="0"/>
        </w:sectPr>
      </w:pPr>
    </w:p>
    <w:p>
      <w:pPr>
        <w:adjustRightInd w:val="0"/>
        <w:snapToGrid w:val="0"/>
        <w:spacing w:line="440" w:lineRule="exact"/>
        <w:ind w:firstLine="422" w:firstLineChars="200"/>
        <w:rPr>
          <w:rFonts w:ascii="Times New Roman" w:hAnsi="Times New Roman"/>
          <w:b/>
          <w:sz w:val="21"/>
          <w:szCs w:val="21"/>
          <w:lang w:val="zh-CN"/>
        </w:rPr>
      </w:pPr>
      <w:r>
        <w:rPr>
          <w:rFonts w:hint="eastAsia" w:ascii="Times New Roman" w:hAnsi="Times New Roman"/>
          <w:b/>
          <w:sz w:val="21"/>
          <w:szCs w:val="21"/>
          <w:lang w:val="zh-CN"/>
        </w:rPr>
        <w:t>续表</w:t>
      </w:r>
    </w:p>
    <w:tbl>
      <w:tblPr>
        <w:tblStyle w:val="5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846"/>
        <w:gridCol w:w="2831"/>
        <w:gridCol w:w="3544"/>
        <w:gridCol w:w="2693"/>
        <w:gridCol w:w="2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检测项目</w:t>
            </w:r>
          </w:p>
        </w:tc>
        <w:tc>
          <w:tcPr>
            <w:tcW w:w="29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类别</w:t>
            </w:r>
          </w:p>
        </w:tc>
        <w:tc>
          <w:tcPr>
            <w:tcW w:w="3132" w:type="pct"/>
            <w:gridSpan w:val="3"/>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14#检测结果</w:t>
            </w:r>
          </w:p>
        </w:tc>
        <w:tc>
          <w:tcPr>
            <w:tcW w:w="703" w:type="pct"/>
            <w:vMerge w:val="restart"/>
            <w:shd w:val="clear" w:color="auto" w:fill="auto"/>
            <w:noWrap/>
            <w:vAlign w:val="center"/>
          </w:tcPr>
          <w:p>
            <w:pPr>
              <w:adjustRightInd w:val="0"/>
              <w:snapToGrid w:val="0"/>
              <w:jc w:val="center"/>
              <w:rPr>
                <w:rFonts w:ascii="Times New Roman" w:hAnsi="Times New Roman"/>
                <w:bCs/>
                <w:kern w:val="0"/>
                <w:sz w:val="21"/>
                <w:szCs w:val="21"/>
              </w:rPr>
            </w:pPr>
            <w:r>
              <w:rPr>
                <w:rFonts w:ascii="Times New Roman" w:hAnsi="Times New Roman"/>
                <w:bCs/>
                <w:kern w:val="0"/>
                <w:sz w:val="21"/>
                <w:szCs w:val="21"/>
              </w:rPr>
              <w:t>Ⅲ类</w:t>
            </w:r>
          </w:p>
          <w:p>
            <w:pPr>
              <w:widowControl/>
              <w:jc w:val="center"/>
              <w:rPr>
                <w:rFonts w:ascii="Times New Roman" w:hAnsi="Times New Roman"/>
                <w:kern w:val="0"/>
                <w:sz w:val="21"/>
                <w:szCs w:val="22"/>
              </w:rPr>
            </w:pPr>
            <w:r>
              <w:rPr>
                <w:rFonts w:ascii="Times New Roman" w:hAnsi="Times New Roman"/>
                <w:bCs/>
                <w:kern w:val="0"/>
                <w:sz w:val="21"/>
                <w:szCs w:val="21"/>
              </w:rPr>
              <w:t>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vMerge w:val="continue"/>
            <w:shd w:val="clear" w:color="auto" w:fill="auto"/>
            <w:vAlign w:val="center"/>
          </w:tcPr>
          <w:p>
            <w:pPr>
              <w:widowControl/>
              <w:jc w:val="center"/>
              <w:rPr>
                <w:rFonts w:ascii="Times New Roman" w:hAnsi="Times New Roman"/>
                <w:kern w:val="0"/>
                <w:sz w:val="21"/>
                <w:szCs w:val="22"/>
              </w:rPr>
            </w:pP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2021.1.19</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2021.7.11</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2022.4.12</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色(度)</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5</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5</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5</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0.333</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0.333</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0.333</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嗅(/)</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原水和煮沸后无任何臭和味</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原水和煮沸后无任何臭和味</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无不快感</w:t>
            </w:r>
          </w:p>
        </w:tc>
        <w:tc>
          <w:tcPr>
            <w:tcW w:w="703"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浑浊度(NTU)</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1.06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0.39</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0.94</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0.353</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0.13</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0.313</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肉眼可见物(/)</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无</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无</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无</w:t>
            </w:r>
          </w:p>
        </w:tc>
        <w:tc>
          <w:tcPr>
            <w:tcW w:w="703"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pH(无量纲)</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8.14</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7.89</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8.24</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6.5-8.5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0.76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0.593</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0.827</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总硬度(mg/L)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243</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233</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95</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450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0.54</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0.518</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0.211</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溶解性总固体(mg/L)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359</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413</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358</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0.359</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0.413</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0.358</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硫酸盐(mg/L)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23</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100</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10</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0.092</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0.4</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0.04</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氯化物(mg/L)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63</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63</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88</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0.252</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0.252</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0.352</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铁(mg/L)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0.03L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0.03L</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0.03L</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锰(mg/L)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0.06</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0.04</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0.6</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0.4</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铜(mg/L)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0.01L</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0.08</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0.08</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锌(mg/L)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0.01L</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0.01L</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铝(mg/L)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0.01L</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挥发酚(mg/L)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0.0003L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0.0003L</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0.0005</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0.25</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阴离子表面活性剂(mg/L)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0.05L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0.05L</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0.05L</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耗氧量(mg/L)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2.26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1.2</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2.8</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0.753</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0.4</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0.933</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氨氮(mg/L)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0.025L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0.025L</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0.027</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0.054</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硫化物(mg/L)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0.003L</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0.3</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钠(mg/L)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56.29</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116.32</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0.281</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0.582</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总大肠菌群(MPN/100mL)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未检出</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未检出</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细菌总数(CFU/mL)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20</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亚硝酸盐(mg/L)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0.159</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0.159</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硝酸盐(mg/L)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5.456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9.09</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0.273</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0.455</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氰化物(mg/L)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0.004L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氟化物(mg/L)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0.14</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0.23</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0.25</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0.14</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0.23</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0.25</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碘化物(mg/L)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0.011</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0.006</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0.138</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0.075</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汞(mg/L)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0.00004L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砷(mg/L)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0.0003L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0.0004</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0.04</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硒(mg/L)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0.0004L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镉(mg/L)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0.0026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0.52</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六价铬(mg/L)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0.004L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铅(mg/L)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0.0051</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0.51</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三氯甲烷(μg/L)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3L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四氯化碳(μg/L)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3L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苯(μg/L)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3L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甲苯(μg/L)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3L</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总α放射性(Bq/L)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0.116</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0.232</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总β放射性(Bq/L)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0.061</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0.061</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钼(mg/L)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0.006</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0.086</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钴(mg/L)</w:t>
            </w: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检测值</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0.05L</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restar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2" w:type="pct"/>
            <w:vMerge w:val="continue"/>
            <w:shd w:val="clear" w:color="auto" w:fill="auto"/>
            <w:vAlign w:val="center"/>
          </w:tcPr>
          <w:p>
            <w:pPr>
              <w:widowControl/>
              <w:jc w:val="center"/>
              <w:rPr>
                <w:rFonts w:ascii="Times New Roman" w:hAnsi="Times New Roman"/>
                <w:kern w:val="0"/>
                <w:sz w:val="21"/>
                <w:szCs w:val="22"/>
              </w:rPr>
            </w:pPr>
          </w:p>
        </w:tc>
        <w:tc>
          <w:tcPr>
            <w:tcW w:w="292"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指数</w:t>
            </w:r>
          </w:p>
        </w:tc>
        <w:tc>
          <w:tcPr>
            <w:tcW w:w="978"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1224"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930" w:type="pct"/>
            <w:shd w:val="clear" w:color="auto" w:fill="auto"/>
            <w:noWrap/>
            <w:vAlign w:val="center"/>
          </w:tcPr>
          <w:p>
            <w:pPr>
              <w:widowControl/>
              <w:jc w:val="center"/>
              <w:rPr>
                <w:rFonts w:ascii="Times New Roman" w:hAnsi="Times New Roman"/>
                <w:kern w:val="0"/>
                <w:sz w:val="21"/>
                <w:szCs w:val="22"/>
              </w:rPr>
            </w:pPr>
            <w:r>
              <w:rPr>
                <w:rFonts w:hint="eastAsia" w:ascii="Times New Roman" w:hAnsi="Times New Roman"/>
                <w:kern w:val="0"/>
                <w:sz w:val="21"/>
                <w:szCs w:val="22"/>
              </w:rPr>
              <w:t>-</w:t>
            </w:r>
          </w:p>
        </w:tc>
        <w:tc>
          <w:tcPr>
            <w:tcW w:w="703" w:type="pct"/>
            <w:vMerge w:val="continue"/>
            <w:shd w:val="clear" w:color="auto" w:fill="auto"/>
            <w:vAlign w:val="center"/>
          </w:tcPr>
          <w:p>
            <w:pPr>
              <w:widowControl/>
              <w:jc w:val="center"/>
              <w:rPr>
                <w:rFonts w:ascii="Times New Roman" w:hAnsi="Times New Roman"/>
                <w:kern w:val="0"/>
                <w:sz w:val="21"/>
                <w:szCs w:val="22"/>
              </w:rPr>
            </w:pPr>
          </w:p>
        </w:tc>
      </w:tr>
    </w:tbl>
    <w:p>
      <w:pPr>
        <w:adjustRightInd w:val="0"/>
        <w:snapToGrid w:val="0"/>
        <w:spacing w:line="440" w:lineRule="exact"/>
        <w:ind w:firstLine="422" w:firstLineChars="200"/>
        <w:rPr>
          <w:rFonts w:ascii="Times New Roman" w:hAnsi="Times New Roman"/>
          <w:b/>
          <w:sz w:val="21"/>
          <w:szCs w:val="18"/>
          <w:lang w:val="zh-CN"/>
        </w:rPr>
        <w:sectPr>
          <w:headerReference r:id="rId16" w:type="default"/>
          <w:pgSz w:w="16840" w:h="11910" w:orient="landscape"/>
          <w:pgMar w:top="1560" w:right="1180" w:bottom="1680" w:left="1400" w:header="1134" w:footer="851" w:gutter="0"/>
          <w:cols w:space="720" w:num="1"/>
          <w:docGrid w:linePitch="286" w:charSpace="0"/>
        </w:sectPr>
      </w:pPr>
      <w:r>
        <w:rPr>
          <w:rFonts w:ascii="Times New Roman" w:hAnsi="Times New Roman"/>
          <w:b/>
          <w:sz w:val="21"/>
          <w:szCs w:val="21"/>
          <w:lang w:val="zh-CN"/>
        </w:rPr>
        <w:t>注：</w:t>
      </w:r>
      <w:r>
        <w:rPr>
          <w:rFonts w:hint="eastAsia" w:ascii="Times New Roman" w:hAnsi="Times New Roman"/>
          <w:b/>
          <w:sz w:val="21"/>
          <w:szCs w:val="21"/>
          <w:lang w:val="zh-CN"/>
        </w:rPr>
        <w:t>“</w:t>
      </w:r>
      <w:r>
        <w:rPr>
          <w:rFonts w:ascii="Times New Roman" w:hAnsi="Times New Roman"/>
          <w:b/>
          <w:sz w:val="21"/>
          <w:szCs w:val="21"/>
          <w:lang w:val="zh-CN"/>
        </w:rPr>
        <w:t>ND</w:t>
      </w:r>
      <w:r>
        <w:rPr>
          <w:rFonts w:hint="eastAsia" w:ascii="Times New Roman" w:hAnsi="Times New Roman"/>
          <w:b/>
          <w:sz w:val="21"/>
          <w:szCs w:val="21"/>
          <w:lang w:val="zh-CN"/>
        </w:rPr>
        <w:t>”、“</w:t>
      </w:r>
      <w:r>
        <w:rPr>
          <w:rFonts w:ascii="Times New Roman" w:hAnsi="Times New Roman"/>
          <w:b/>
          <w:sz w:val="21"/>
          <w:szCs w:val="21"/>
          <w:lang w:val="zh-CN"/>
        </w:rPr>
        <w:t>L</w:t>
      </w:r>
      <w:r>
        <w:rPr>
          <w:rFonts w:hint="eastAsia" w:ascii="Times New Roman" w:hAnsi="Times New Roman"/>
          <w:b/>
          <w:sz w:val="21"/>
          <w:szCs w:val="21"/>
          <w:lang w:val="zh-CN"/>
        </w:rPr>
        <w:t>”</w:t>
      </w:r>
      <w:r>
        <w:rPr>
          <w:rFonts w:ascii="Times New Roman" w:hAnsi="Times New Roman"/>
          <w:b/>
          <w:sz w:val="21"/>
          <w:szCs w:val="21"/>
          <w:lang w:val="zh-CN"/>
        </w:rPr>
        <w:t>为未检出</w:t>
      </w:r>
      <w:r>
        <w:rPr>
          <w:rFonts w:hint="eastAsia" w:ascii="Times New Roman" w:hAnsi="Times New Roman"/>
          <w:b/>
          <w:sz w:val="21"/>
          <w:szCs w:val="21"/>
          <w:lang w:val="zh-CN"/>
        </w:rPr>
        <w:t>, “</w:t>
      </w:r>
      <w:r>
        <w:rPr>
          <w:rFonts w:ascii="Times New Roman" w:hAnsi="Times New Roman"/>
          <w:b/>
          <w:sz w:val="21"/>
          <w:szCs w:val="21"/>
          <w:lang w:val="zh-CN"/>
        </w:rPr>
        <w:t>-</w:t>
      </w:r>
      <w:r>
        <w:rPr>
          <w:rFonts w:hint="eastAsia" w:ascii="Times New Roman" w:hAnsi="Times New Roman"/>
          <w:b/>
          <w:sz w:val="21"/>
          <w:szCs w:val="21"/>
          <w:lang w:val="zh-CN"/>
        </w:rPr>
        <w:t>”为未检测</w:t>
      </w:r>
    </w:p>
    <w:p>
      <w:pPr>
        <w:spacing w:line="440" w:lineRule="exact"/>
        <w:ind w:firstLine="480" w:firstLineChars="200"/>
        <w:rPr>
          <w:rFonts w:ascii="Times New Roman" w:hAnsi="Times New Roman"/>
          <w:color w:val="FF0000"/>
          <w:kern w:val="0"/>
          <w:szCs w:val="24"/>
        </w:rPr>
      </w:pPr>
      <w:r>
        <w:rPr>
          <w:rFonts w:ascii="Times New Roman" w:hAnsi="Times New Roman"/>
          <w:color w:val="FF0000"/>
          <w:kern w:val="0"/>
          <w:szCs w:val="24"/>
        </w:rPr>
        <w:t>（2）地下水</w:t>
      </w:r>
      <w:r>
        <w:rPr>
          <w:rFonts w:hint="eastAsia" w:ascii="Times New Roman" w:hAnsi="Times New Roman"/>
          <w:color w:val="FF0000"/>
          <w:kern w:val="0"/>
          <w:szCs w:val="24"/>
        </w:rPr>
        <w:t>水位现状</w:t>
      </w:r>
    </w:p>
    <w:p>
      <w:pPr>
        <w:spacing w:line="440" w:lineRule="exact"/>
        <w:ind w:firstLine="480" w:firstLineChars="200"/>
        <w:rPr>
          <w:rFonts w:ascii="Times New Roman" w:hAnsi="Times New Roman"/>
          <w:color w:val="FF0000"/>
          <w:kern w:val="0"/>
          <w:szCs w:val="24"/>
        </w:rPr>
      </w:pPr>
      <w:r>
        <w:rPr>
          <w:rFonts w:hint="eastAsia" w:ascii="Times New Roman" w:hAnsi="Times New Roman"/>
          <w:color w:val="FF0000"/>
          <w:kern w:val="0"/>
          <w:szCs w:val="24"/>
        </w:rPr>
        <w:t>矿区为未开发矿区，本次评价对矿区水井水位数据进行了整理收集，共收集了2</w:t>
      </w:r>
      <w:r>
        <w:rPr>
          <w:rFonts w:ascii="Times New Roman" w:hAnsi="Times New Roman"/>
          <w:color w:val="FF0000"/>
          <w:kern w:val="0"/>
          <w:szCs w:val="24"/>
        </w:rPr>
        <w:t>54</w:t>
      </w:r>
      <w:r>
        <w:rPr>
          <w:rFonts w:hint="eastAsia" w:ascii="Times New Roman" w:hAnsi="Times New Roman"/>
          <w:color w:val="FF0000"/>
          <w:kern w:val="0"/>
          <w:szCs w:val="24"/>
        </w:rPr>
        <w:t>水位监测数据，其取水层位为第四系及白垩系含水层，各地下水水位统计数据见表</w:t>
      </w:r>
      <w:r>
        <w:rPr>
          <w:rFonts w:ascii="Times New Roman" w:hAnsi="Times New Roman"/>
          <w:color w:val="FF0000"/>
          <w:kern w:val="0"/>
          <w:szCs w:val="24"/>
        </w:rPr>
        <w:t>3.4-11，并</w:t>
      </w:r>
      <w:r>
        <w:rPr>
          <w:rFonts w:hint="eastAsia" w:ascii="Times New Roman" w:hAnsi="Times New Roman"/>
          <w:color w:val="FF0000"/>
          <w:kern w:val="0"/>
          <w:szCs w:val="24"/>
        </w:rPr>
        <w:t>以此绘制了矿区</w:t>
      </w:r>
      <w:r>
        <w:rPr>
          <w:rFonts w:ascii="Times New Roman" w:hAnsi="Times New Roman"/>
          <w:color w:val="FF0000"/>
          <w:kern w:val="0"/>
          <w:szCs w:val="24"/>
        </w:rPr>
        <w:t>地下水流场图</w:t>
      </w:r>
      <w:r>
        <w:rPr>
          <w:rFonts w:hint="eastAsia" w:ascii="Times New Roman" w:hAnsi="Times New Roman"/>
          <w:color w:val="FF0000"/>
          <w:kern w:val="0"/>
          <w:szCs w:val="24"/>
        </w:rPr>
        <w:t>（图</w:t>
      </w:r>
      <w:r>
        <w:rPr>
          <w:rFonts w:ascii="Times New Roman" w:hAnsi="Times New Roman"/>
          <w:color w:val="FF0000"/>
          <w:kern w:val="0"/>
          <w:szCs w:val="24"/>
        </w:rPr>
        <w:t>3.4-4</w:t>
      </w:r>
      <w:r>
        <w:rPr>
          <w:rFonts w:hint="eastAsia" w:ascii="Times New Roman" w:hAnsi="Times New Roman"/>
          <w:color w:val="FF0000"/>
          <w:kern w:val="0"/>
          <w:szCs w:val="24"/>
        </w:rPr>
        <w:t>）</w:t>
      </w:r>
      <w:r>
        <w:rPr>
          <w:rFonts w:ascii="Times New Roman" w:hAnsi="Times New Roman"/>
          <w:color w:val="FF0000"/>
          <w:kern w:val="0"/>
          <w:szCs w:val="24"/>
        </w:rPr>
        <w:t>。</w:t>
      </w:r>
    </w:p>
    <w:p>
      <w:pPr>
        <w:spacing w:line="440" w:lineRule="exact"/>
        <w:ind w:firstLine="480" w:firstLineChars="200"/>
        <w:rPr>
          <w:rFonts w:ascii="Times New Roman" w:hAnsi="Times New Roman"/>
          <w:color w:val="FF0000"/>
          <w:kern w:val="0"/>
          <w:szCs w:val="24"/>
        </w:rPr>
      </w:pPr>
      <w:r>
        <w:rPr>
          <w:rFonts w:hint="eastAsia" w:ascii="Times New Roman" w:hAnsi="Times New Roman"/>
          <w:color w:val="FF0000"/>
          <w:kern w:val="0"/>
          <w:szCs w:val="24"/>
        </w:rPr>
        <w:t>根据水位统计结果，矿区第四系及白垩系地下水水位埋深多为0</w:t>
      </w:r>
      <w:r>
        <w:rPr>
          <w:rFonts w:ascii="Times New Roman" w:hAnsi="Times New Roman"/>
          <w:color w:val="FF0000"/>
          <w:kern w:val="0"/>
          <w:szCs w:val="24"/>
        </w:rPr>
        <w:t>~60</w:t>
      </w:r>
      <w:r>
        <w:rPr>
          <w:rFonts w:hint="eastAsia" w:ascii="Times New Roman" w:hAnsi="Times New Roman"/>
          <w:color w:val="FF0000"/>
          <w:kern w:val="0"/>
          <w:szCs w:val="24"/>
        </w:rPr>
        <w:t>m之间，水位标高约1</w:t>
      </w:r>
      <w:r>
        <w:rPr>
          <w:rFonts w:ascii="Times New Roman" w:hAnsi="Times New Roman"/>
          <w:color w:val="FF0000"/>
          <w:kern w:val="0"/>
          <w:szCs w:val="24"/>
        </w:rPr>
        <w:t>288.96~1522.71</w:t>
      </w:r>
      <w:r>
        <w:rPr>
          <w:rFonts w:hint="eastAsia" w:ascii="Times New Roman" w:hAnsi="Times New Roman"/>
          <w:color w:val="FF0000"/>
          <w:kern w:val="0"/>
          <w:szCs w:val="24"/>
        </w:rPr>
        <w:t>m，其地下水流向总体与地形一致。</w:t>
      </w:r>
    </w:p>
    <w:p>
      <w:pPr>
        <w:tabs>
          <w:tab w:val="left" w:pos="6840"/>
        </w:tabs>
        <w:topLinePunct/>
        <w:adjustRightInd w:val="0"/>
        <w:snapToGrid w:val="0"/>
        <w:spacing w:line="440" w:lineRule="exact"/>
        <w:jc w:val="center"/>
        <w:rPr>
          <w:rFonts w:ascii="Times New Roman" w:hAnsi="Times New Roman"/>
          <w:b/>
          <w:color w:val="FF0000"/>
          <w:kern w:val="24"/>
          <w:szCs w:val="24"/>
        </w:rPr>
      </w:pPr>
      <w:r>
        <w:rPr>
          <w:rFonts w:ascii="Times New Roman" w:hAnsi="Times New Roman"/>
          <w:b/>
          <w:color w:val="FF0000"/>
          <w:kern w:val="24"/>
          <w:szCs w:val="24"/>
        </w:rPr>
        <w:t>地下水</w:t>
      </w:r>
      <w:r>
        <w:rPr>
          <w:rFonts w:hint="eastAsia" w:ascii="Times New Roman" w:hAnsi="Times New Roman"/>
          <w:b/>
          <w:color w:val="FF0000"/>
          <w:kern w:val="24"/>
          <w:szCs w:val="24"/>
        </w:rPr>
        <w:t>水位统计情况一览表</w:t>
      </w:r>
    </w:p>
    <w:p>
      <w:pPr>
        <w:keepNext/>
        <w:keepLines/>
        <w:snapToGrid w:val="0"/>
        <w:spacing w:line="440" w:lineRule="exact"/>
        <w:outlineLvl w:val="4"/>
        <w:rPr>
          <w:rFonts w:ascii="Times New Roman" w:hAnsi="Times New Roman"/>
          <w:color w:val="FF0000"/>
          <w:kern w:val="0"/>
          <w:szCs w:val="24"/>
        </w:rPr>
      </w:pPr>
      <w:r>
        <w:rPr>
          <w:rFonts w:ascii="Times New Roman" w:hAnsi="Times New Roman"/>
          <w:color w:val="FF0000"/>
          <w:szCs w:val="24"/>
        </w:rPr>
        <w:t>表3.4-11</w:t>
      </w:r>
    </w:p>
    <w:tbl>
      <w:tblPr>
        <w:tblStyle w:val="5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86"/>
        <w:gridCol w:w="640"/>
        <w:gridCol w:w="1128"/>
        <w:gridCol w:w="1128"/>
        <w:gridCol w:w="1128"/>
        <w:gridCol w:w="850"/>
        <w:gridCol w:w="460"/>
        <w:gridCol w:w="772"/>
        <w:gridCol w:w="1128"/>
        <w:gridCol w:w="1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序号</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水井编</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X</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Y</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水位埋深</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出水层位</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井型</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井深</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水位</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36617200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4385214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5.35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1359.60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W002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36618397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4384547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10.77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1370.84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W003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36612484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4386513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5.40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1345.68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36611986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4386672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1349.50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36611010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4387122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7.49</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1358.86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W006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36609992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4387217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8.26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1378.84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W007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36609779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4388437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6.27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1372.64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W008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36613042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4388216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1348.24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未利用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W009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36613891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4388824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3.37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1345.25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36614746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4390416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4.46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1350.19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未利用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36614804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4390788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6.13</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1352.40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36611966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4389254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4.62</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1361.19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36611852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4390020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9.61</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1361.87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36610746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4389304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17.52</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1363.09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36610615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4389172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3.10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1370.24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36610685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4390367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2.70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1414.02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36610449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4390581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3.01</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1414.37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36608999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4391334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3.30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1415.09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W019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36608868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4390380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0.95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1390.01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36608212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4390243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6.35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1417.76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36609088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4389277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10.82</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1396.91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36608980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4389075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16.24</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1395.75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36617849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4385440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14.70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1372.86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36617429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4385556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5.96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1370.02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36615673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4386186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1343.27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36615829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4387181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0.11</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1343.41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36617246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4386101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7.93</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1374.74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36614374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4387189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1338.46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36615219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4386824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1339.78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36615847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4387828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1.93</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1346.77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36615285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4387842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0.47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1342.14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36615162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4387529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0.53</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1339.57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36617977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4382724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1350.29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36616729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4382853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3.15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1341.42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36616600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4383206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0.87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1345.69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36615636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4384035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5.91</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1332.83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36616060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4384120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3.11</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1336.94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36616244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4384207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1343.96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36615811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4384984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2.70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1337.50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36616019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4386401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2.13</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1345.68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36612986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4386214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1.54</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1344.20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36614041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4385617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1331.60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36613708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4385531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0.85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1336.77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36613435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4385899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0.03</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1337.26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36612738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4385590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3.51</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1335.03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36612282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4385615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2.62</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1335.46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36610864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4385141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25.65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1354.15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36611519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4384403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3.90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1353.76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36610669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4384288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1399.55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36611038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4384265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29.02</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1350.34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36612004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4384001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4.23</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7.96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1342.54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36611788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4383211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4.68</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1342.71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36611719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4382642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3.35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340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1335.78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36611043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4382884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1340.32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36610433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4383379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1347.12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36610306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4383760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1397.69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36612027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4381358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12.70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380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1328.99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36612522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4381592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0.05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1340.00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36612875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4380898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19.25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1325.08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36609887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4387357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8.66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1382.05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36610214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4386584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1375.90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36610832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4386917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1364.21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36611967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4386241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4.08</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1344.31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36611731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4386133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1342.68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36610769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4386036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16.55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1352.23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36610667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4385899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2.52</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1372.38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36610810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4385558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9.80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1363.84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36610252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4385854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0.20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3.89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1392.80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W069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36614576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4380393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1325.28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W070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36613168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4381146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5.72</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1330.89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W071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36614278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4381634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5.40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1326.24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36618529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4383801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6.98</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1365.40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36618663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4384144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11.55</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1367.11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W074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36617983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4382306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2.64</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1347.69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W075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36614897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4381534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1328.46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W076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36616507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4382328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3.76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1337.62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D001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36615917.2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4364204.2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1305.21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牲畜饮用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D004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36617007.1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4369365.9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1318.74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D005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36616168.7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4362959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1319.98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牧畜饮用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D010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36617074.4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4362830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1308.69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D027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36617513.7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4361713.1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7.46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1319.25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D029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36616309.6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4361398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8.78</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1326.22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D030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36616583.2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4360781.7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9.70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1323.97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36615816.3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4369523.4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1330.74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B003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36616520.1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4370050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1315.88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36616658.2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4369208.2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1320.95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B006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36616187.2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4368929.4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1320.45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B007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36616232.6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4368437.7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3.30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1328.65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B008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36616611.1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4368516.3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1327.15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B009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36617333.6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4369083.6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1316.76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B019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36618780.9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4368735.6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1318.16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B023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36620192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4369293.8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5.10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1329.08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B024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36619741.1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4369135.8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1320.59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B027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36620403.2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4368238.3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1342.26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B028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36619887.3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4368077.1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4.80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1334.28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36620266.4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4367660.5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1335.55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36620285.2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4367004.8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3.90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1334.36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36621311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4367266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5.50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Q4</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1338.30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B038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36621010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4368584.7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1329.22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B040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36621356.4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4369541.7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7.20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1345.55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36616012.7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4368010.2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3.10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1326.63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B071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36619459.7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4366826.2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3.50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1314.26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B083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36620556.3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4366192.4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1330.01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B088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36621663.6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4360333.3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8.70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1304.16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C002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36613001.4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4363798.1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1337.18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C003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36613197.9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4364144.8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9.19</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1337.53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36614595.6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4360111.4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9.87</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1326.52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C021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36612226.3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4359667.5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13.23</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1304.42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C045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36613340.9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4361259.3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3.79</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1318.05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C051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36612377.3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4361895.5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4.24</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1294.16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C052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36612787.2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4361693.1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3.61</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1303.71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人饮用灌溉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C065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36612484.3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4363913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9.59</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1335.69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C066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36612291.6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4364203.7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7.06</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1338.51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C071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36614669.9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4362450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1334.74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C076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36615336.4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4364040.8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5.11</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1325.36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36614681.6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4363452.8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5.08</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1331.37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36611350.1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4368626.4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1354.26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A002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36610183.2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4368337.4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6.60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1354.65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36610436.8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4367721.6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1317.43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36610652.4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4367253.5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1315.69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36609741.4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4368804.9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1351.53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36613587.3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4369040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9.80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1340.34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36613698.3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4368892.6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1320.33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36614626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4368524.3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11.50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1333.79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A023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36614598.4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4368118.2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1331.24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36613378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4366971.1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1339.21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A039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36612066.8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4368796.3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9.10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1348.11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A044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36610634.2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4367048.9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8.50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1347.85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A055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36611549.2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4365798.7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1340.20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A057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36612170.8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4364614.9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380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1333.35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人畜及灌溉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A058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36611718.2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4364748.9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1335.79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36612531.6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4366701.8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1339.77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A065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36613303.7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4366620.5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7.50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1341.42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36613842.1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4365862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1327.85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36613877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4366647.5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机井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1335.76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灌溉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A076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36610917.7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4366317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1331.56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人畜饮用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水18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36611734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4379337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1344.90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水12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36610482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4376722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3.50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1343.61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水11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36614287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4373223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民井</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1322.47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浇地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36604837.64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4393690.331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5.20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1505.00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j002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36604586.12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4393958.154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28.00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1479.99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j003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36603172.32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4395505.005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31.00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1484.42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36602726.96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4395969.013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1491.93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36599989.35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4397764.442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1505.84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j006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36603670.22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4392978.255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1474.63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j007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36601883.48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4392216.9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1489.92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j008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36612157.95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4391392.52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14.15</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1365.18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j009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36610770.62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4393628.345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4.20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1416.52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36610475.12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4394540.252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1421.96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36610303.43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4394117.663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1425.19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36610150.29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4395125.855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3.70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1432.93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36609573.06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4395750.999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1431.93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36610989.33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4396867.845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17.70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1421.06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36611713.17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4398377.638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1402.88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j018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36612777.32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4397330.874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1392.91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j019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36613854.53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4394393.797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1351.45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36608323.24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4395667.01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1446.53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36599796.79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4399506.35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1479.42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36601219.27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4399853.834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1482.87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36603718.33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4399650.782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1490.86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36604924.9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4399726.116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1513.66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36608130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4400531.586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1452.41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36599837.26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4397963.015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1499.39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36599908.4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4397597.301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1507.85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36601527.57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4395516.635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1519.00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36602544.73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4395762.385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1514.97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36603188.49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4395329.848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1512.25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36603494.34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4395023.789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1511.72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169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36603635.56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4394176.491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1510.77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36604434.73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4393675.264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1508.43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36604468.9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4395929.04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1504.13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36605760.36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4397671.509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1494.83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36605762.99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4398257.429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1522.71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36608340.2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4397861.054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1482.75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36607793.69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4396244.329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0.40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1475.37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36603782.39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4392567.69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1492.31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36608413.59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4393138.859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1433.53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36608278.87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4392667.237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1431.76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179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36610599.34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4393195.328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1425.17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36611764.96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4391819.471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1399.98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36600018.77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4386550.963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1422.77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36601125.82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4385742.554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1421.34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36600136.04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4381955.912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1418.50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36602213.64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4379568.485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1394.87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36602659.42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4378900.079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1400.19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SJ29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36600606.85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4379614.036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1409.91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36600367.15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4377552.775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1363.84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36600293.42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4375689.835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1359.52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189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36599973.85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4374394.946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1374.39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36599940.23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4373615.211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1383.06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36601186.66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4369494.456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1393.50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36601865.64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4368208.864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1356.66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36603618.72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4365868.912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1335.42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36601555.2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4363576.299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1373.31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36601519.11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4363138.767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1367.16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SJ39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36603966.43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4361402.636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1321.87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36601469.2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4359547.035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1329.00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36601815.18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4358565.079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1314.06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199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36609002.82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4358222.507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1334.06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36609449.02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4358687.601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1340.05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36614863.27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4358119.147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1310.36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36607458.28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4360439.472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1317.73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36609132.25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4359751.962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1333.37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36618342.61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4362467.057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1320.29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36620784.8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4362212.897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1322.85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36621154.64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4363706.226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1324.60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36620197.31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4364100.914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1321.27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36621899.03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4369654.217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1340.97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36619974.22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4375959.326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1351.51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36618564.32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4378778.671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1354.01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36619672.72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4379264.732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1361.20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36619152.09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4380289.787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1356.25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36619071.67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4383370.844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1366.10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36618070.39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4383491.07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1370.68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36617660.46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4382699.698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1353.39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SJ59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36616237.1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4384183.805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1342.33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36615891.45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4387268.277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1342.63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36613904.75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4388265.26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1342.24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219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36613097.47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4388293.342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1345.32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36612614.15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4386508.735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1345.82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36610685.39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4385825.537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1371.27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36610910.49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4386910.136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1363.07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36610913.61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4389342.273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1375.11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36605796.74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4387321.079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1430.01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36606886.91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4387926.843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1453.86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SJ69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36605768.86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4386678.401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1420.21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36599632.78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4391765.448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1509.50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36601555.43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4392177.179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1512.22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229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36607606.39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4386022.493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1414.33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36607859.15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4385259.013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1405.89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36608000.55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4384533.784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1389.05</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36607295.41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4384513.16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1378.41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36606558.1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4381900.073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1383.47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36604629.81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4381503.118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1388.06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36604113.86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4379001.491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1385.54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SJ79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36610567.31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4379972.053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1350.38</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36610411.21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4379037.03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1363.74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36607151.56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4376380.177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1361.11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239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36605798.98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4376087.642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1381.42</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36603557.49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4370665.214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1323.56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36604464.66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4364644.822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1313.97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36606358.75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4365919.935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1288.96</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36613649.54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4363971.397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1338.97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36609938.4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4369342.878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1358.44</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245</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SJ88</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36608088.56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4370638.212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1323.57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246</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SJ89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36607594.89</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4374873.97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1356.89</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247</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SJ90</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36608036.03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4374429.926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1363.81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248</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SJ91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36608976.13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4373250.881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1371.03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249</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SJ92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36612637.41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4380402.587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1336.03</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SJ93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36611628.44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4382640.532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1338.17</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251</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SJ94</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36617528.2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4385729.813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1375.61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252</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SJ95</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36614759.22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4391333.731</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1355.80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253</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SJ96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36603349.82</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4399013.606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3.00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1498.51</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4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254</w:t>
            </w:r>
          </w:p>
        </w:tc>
        <w:tc>
          <w:tcPr>
            <w:tcW w:w="352"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SJ97</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36614579.56</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4380319.653</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2.50</w:t>
            </w:r>
          </w:p>
        </w:tc>
        <w:tc>
          <w:tcPr>
            <w:tcW w:w="468" w:type="pct"/>
            <w:shd w:val="clear" w:color="auto" w:fill="auto"/>
            <w:noWrap/>
          </w:tcPr>
          <w:p>
            <w:pPr>
              <w:rPr>
                <w:color w:val="FF0000"/>
              </w:rPr>
            </w:pPr>
            <w:r>
              <w:rPr>
                <w:rFonts w:hint="eastAsia" w:ascii="Times New Roman" w:hAnsi="Times New Roman"/>
                <w:color w:val="FF0000"/>
                <w:kern w:val="0"/>
                <w:sz w:val="21"/>
                <w:szCs w:val="22"/>
              </w:rPr>
              <w:t>Q+K</w:t>
            </w:r>
            <w:r>
              <w:rPr>
                <w:rFonts w:hint="eastAsia" w:ascii="Times New Roman" w:hAnsi="Times New Roman"/>
                <w:color w:val="FF0000"/>
                <w:kern w:val="0"/>
                <w:sz w:val="21"/>
                <w:szCs w:val="22"/>
                <w:vertAlign w:val="subscript"/>
              </w:rPr>
              <w:t>1</w:t>
            </w:r>
            <w:r>
              <w:rPr>
                <w:rFonts w:hint="eastAsia" w:ascii="Times New Roman" w:hAnsi="Times New Roman"/>
                <w:color w:val="FF0000"/>
                <w:kern w:val="0"/>
                <w:sz w:val="21"/>
                <w:szCs w:val="22"/>
              </w:rPr>
              <w:t>zh</w:t>
            </w:r>
          </w:p>
        </w:tc>
        <w:tc>
          <w:tcPr>
            <w:tcW w:w="25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425"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c>
          <w:tcPr>
            <w:tcW w:w="621"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1325.10</w:t>
            </w:r>
          </w:p>
        </w:tc>
        <w:tc>
          <w:tcPr>
            <w:tcW w:w="584"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t>
            </w:r>
          </w:p>
        </w:tc>
      </w:tr>
    </w:tbl>
    <w:p>
      <w:pPr>
        <w:keepNext/>
        <w:keepLines/>
        <w:adjustRightInd w:val="0"/>
        <w:snapToGrid w:val="0"/>
        <w:spacing w:line="440" w:lineRule="exact"/>
        <w:outlineLvl w:val="2"/>
        <w:rPr>
          <w:rFonts w:ascii="Times New Roman" w:hAnsi="Times New Roman"/>
          <w:b/>
        </w:rPr>
      </w:pPr>
      <w:r>
        <w:rPr>
          <w:rFonts w:ascii="Times New Roman" w:hAnsi="Times New Roman"/>
          <w:b/>
        </w:rPr>
        <w:t>3.4.4 声环境质量现状评价</w:t>
      </w:r>
    </w:p>
    <w:p>
      <w:pPr>
        <w:numPr>
          <w:ilvl w:val="0"/>
          <w:numId w:val="18"/>
        </w:numPr>
        <w:adjustRightInd w:val="0"/>
        <w:snapToGrid w:val="0"/>
        <w:spacing w:line="440" w:lineRule="exact"/>
        <w:rPr>
          <w:rFonts w:ascii="Times New Roman" w:hAnsi="Times New Roman"/>
        </w:rPr>
      </w:pPr>
      <w:r>
        <w:rPr>
          <w:rFonts w:ascii="Times New Roman" w:hAnsi="Times New Roman"/>
        </w:rPr>
        <w:t>监测点位、时间及频率</w:t>
      </w:r>
    </w:p>
    <w:p>
      <w:pPr>
        <w:adjustRightInd w:val="0"/>
        <w:snapToGrid w:val="0"/>
        <w:spacing w:line="440" w:lineRule="exact"/>
        <w:ind w:firstLine="480" w:firstLineChars="200"/>
        <w:rPr>
          <w:rFonts w:ascii="Times New Roman" w:hAnsi="Times New Roman"/>
        </w:rPr>
      </w:pPr>
      <w:r>
        <w:rPr>
          <w:rFonts w:ascii="Times New Roman" w:hAnsi="Times New Roman"/>
        </w:rPr>
        <w:t>1）监测布点</w:t>
      </w:r>
    </w:p>
    <w:p>
      <w:pPr>
        <w:adjustRightInd w:val="0"/>
        <w:snapToGrid w:val="0"/>
        <w:spacing w:line="440" w:lineRule="exact"/>
        <w:ind w:firstLine="480" w:firstLineChars="200"/>
        <w:rPr>
          <w:rFonts w:ascii="Times New Roman" w:hAnsi="Times New Roman"/>
        </w:rPr>
      </w:pPr>
      <w:r>
        <w:rPr>
          <w:rFonts w:ascii="Times New Roman" w:hAnsi="Times New Roman"/>
        </w:rPr>
        <w:t>共布设11个监测点。具体声环境监测点点位见表3.4-11及监测布点图3.4-4。</w:t>
      </w:r>
    </w:p>
    <w:p>
      <w:pPr>
        <w:adjustRightInd w:val="0"/>
        <w:snapToGrid w:val="0"/>
        <w:spacing w:line="440" w:lineRule="exact"/>
        <w:jc w:val="center"/>
        <w:rPr>
          <w:rFonts w:ascii="Times New Roman" w:hAnsi="Times New Roman"/>
          <w:b/>
          <w:bCs/>
        </w:rPr>
      </w:pPr>
    </w:p>
    <w:p>
      <w:pPr>
        <w:adjustRightInd w:val="0"/>
        <w:snapToGrid w:val="0"/>
        <w:spacing w:line="440" w:lineRule="exact"/>
        <w:jc w:val="center"/>
        <w:rPr>
          <w:rFonts w:ascii="Times New Roman" w:hAnsi="Times New Roman"/>
          <w:b/>
          <w:bCs/>
        </w:rPr>
      </w:pPr>
    </w:p>
    <w:p>
      <w:pPr>
        <w:adjustRightInd w:val="0"/>
        <w:snapToGrid w:val="0"/>
        <w:spacing w:line="440" w:lineRule="exact"/>
        <w:jc w:val="center"/>
        <w:rPr>
          <w:rFonts w:ascii="Times New Roman" w:hAnsi="Times New Roman"/>
          <w:b/>
          <w:bCs/>
        </w:rPr>
      </w:pPr>
    </w:p>
    <w:p>
      <w:pPr>
        <w:adjustRightInd w:val="0"/>
        <w:snapToGrid w:val="0"/>
        <w:spacing w:line="440" w:lineRule="exact"/>
        <w:jc w:val="center"/>
        <w:rPr>
          <w:rFonts w:ascii="Times New Roman" w:hAnsi="Times New Roman"/>
          <w:b/>
          <w:bCs/>
        </w:rPr>
      </w:pPr>
      <w:r>
        <w:rPr>
          <w:rFonts w:ascii="Times New Roman" w:hAnsi="Times New Roman"/>
          <w:b/>
          <w:bCs/>
        </w:rPr>
        <w:t>矿区声环境质量现状监测点位</w:t>
      </w:r>
    </w:p>
    <w:p>
      <w:pPr>
        <w:spacing w:line="500" w:lineRule="exact"/>
        <w:outlineLvl w:val="4"/>
        <w:rPr>
          <w:rFonts w:ascii="Times New Roman" w:hAnsi="Times New Roman"/>
        </w:rPr>
      </w:pPr>
      <w:r>
        <w:rPr>
          <w:rFonts w:ascii="Times New Roman" w:hAnsi="Times New Roman"/>
        </w:rPr>
        <w:t>表3.4-11</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9"/>
        <w:gridCol w:w="1600"/>
        <w:gridCol w:w="1336"/>
        <w:gridCol w:w="1150"/>
        <w:gridCol w:w="1776"/>
        <w:gridCol w:w="2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监测点</w:t>
            </w:r>
          </w:p>
        </w:tc>
        <w:tc>
          <w:tcPr>
            <w:tcW w:w="1600" w:type="dxa"/>
            <w:vAlign w:val="center"/>
          </w:tcPr>
          <w:p>
            <w:pPr>
              <w:pStyle w:val="32"/>
              <w:spacing w:line="240" w:lineRule="auto"/>
              <w:ind w:firstLine="0" w:firstLineChars="0"/>
              <w:rPr>
                <w:rFonts w:ascii="Times New Roman" w:hAnsi="Times New Roman"/>
                <w:sz w:val="21"/>
                <w:szCs w:val="21"/>
              </w:rPr>
            </w:pPr>
            <w:r>
              <w:rPr>
                <w:rFonts w:ascii="Times New Roman" w:hAnsi="Times New Roman"/>
                <w:sz w:val="21"/>
                <w:szCs w:val="21"/>
              </w:rPr>
              <w:t>监测点位置</w:t>
            </w:r>
          </w:p>
        </w:tc>
        <w:tc>
          <w:tcPr>
            <w:tcW w:w="1336" w:type="dxa"/>
            <w:vAlign w:val="center"/>
          </w:tcPr>
          <w:p>
            <w:pPr>
              <w:pStyle w:val="32"/>
              <w:spacing w:line="240" w:lineRule="auto"/>
              <w:ind w:firstLine="0" w:firstLineChars="0"/>
              <w:rPr>
                <w:rFonts w:ascii="Times New Roman" w:hAnsi="Times New Roman"/>
                <w:sz w:val="21"/>
                <w:szCs w:val="21"/>
              </w:rPr>
            </w:pPr>
            <w:r>
              <w:rPr>
                <w:rFonts w:ascii="Times New Roman" w:hAnsi="Times New Roman"/>
                <w:sz w:val="21"/>
                <w:szCs w:val="21"/>
              </w:rPr>
              <w:t>监测点编号</w:t>
            </w:r>
          </w:p>
        </w:tc>
        <w:tc>
          <w:tcPr>
            <w:tcW w:w="1150"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监测项目</w:t>
            </w:r>
          </w:p>
        </w:tc>
        <w:tc>
          <w:tcPr>
            <w:tcW w:w="1776"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监测时间与频次</w:t>
            </w:r>
          </w:p>
        </w:tc>
        <w:tc>
          <w:tcPr>
            <w:tcW w:w="2156" w:type="dxa"/>
            <w:vAlign w:val="center"/>
          </w:tcPr>
          <w:p>
            <w:pPr>
              <w:pStyle w:val="32"/>
              <w:spacing w:line="240" w:lineRule="auto"/>
              <w:ind w:firstLine="0" w:firstLineChars="0"/>
              <w:rPr>
                <w:rFonts w:ascii="Times New Roman" w:hAnsi="Times New Roman"/>
                <w:sz w:val="21"/>
                <w:szCs w:val="21"/>
              </w:rPr>
            </w:pPr>
            <w:r>
              <w:rPr>
                <w:rFonts w:ascii="Times New Roman" w:hAnsi="Times New Roman"/>
                <w:sz w:val="21"/>
                <w:szCs w:val="21"/>
              </w:rPr>
              <w:t>监测要求和采样、分析方法和数据处理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奎腾沟井田</w:t>
            </w:r>
          </w:p>
        </w:tc>
        <w:tc>
          <w:tcPr>
            <w:tcW w:w="1600" w:type="dxa"/>
            <w:vAlign w:val="center"/>
          </w:tcPr>
          <w:p>
            <w:pPr>
              <w:pStyle w:val="32"/>
              <w:spacing w:line="240" w:lineRule="auto"/>
              <w:ind w:firstLine="0" w:firstLineChars="0"/>
              <w:rPr>
                <w:rFonts w:ascii="Times New Roman" w:hAnsi="Times New Roman"/>
                <w:sz w:val="21"/>
                <w:szCs w:val="21"/>
              </w:rPr>
            </w:pPr>
            <w:r>
              <w:rPr>
                <w:rFonts w:ascii="Times New Roman" w:hAnsi="Times New Roman"/>
                <w:sz w:val="21"/>
                <w:szCs w:val="21"/>
              </w:rPr>
              <w:t>拟建工业场地</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1#</w:t>
            </w:r>
          </w:p>
        </w:tc>
        <w:tc>
          <w:tcPr>
            <w:tcW w:w="1150" w:type="dxa"/>
            <w:vMerge w:val="restart"/>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等效连续A声级</w:t>
            </w:r>
          </w:p>
        </w:tc>
        <w:tc>
          <w:tcPr>
            <w:tcW w:w="1776" w:type="dxa"/>
            <w:vMerge w:val="restart"/>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连续监测2昼夜（无连续监测条件的，需2天，昼夜各2次）</w:t>
            </w:r>
          </w:p>
        </w:tc>
        <w:tc>
          <w:tcPr>
            <w:tcW w:w="2156" w:type="dxa"/>
            <w:vMerge w:val="restart"/>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按《声环境质量标准》（GB3096-2008）进行，根据监测结果统计等效A声级值；道路敏感点噪声监测时同时统计车型、车流量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vAlign w:val="center"/>
          </w:tcPr>
          <w:p>
            <w:pPr>
              <w:pStyle w:val="32"/>
              <w:spacing w:line="240" w:lineRule="auto"/>
              <w:ind w:firstLine="0" w:firstLineChars="0"/>
              <w:jc w:val="center"/>
              <w:rPr>
                <w:rFonts w:ascii="Times New Roman" w:hAnsi="Times New Roman"/>
                <w:kern w:val="0"/>
                <w:sz w:val="21"/>
                <w:szCs w:val="21"/>
              </w:rPr>
            </w:pPr>
            <w:r>
              <w:rPr>
                <w:rFonts w:ascii="Times New Roman" w:hAnsi="Times New Roman"/>
                <w:kern w:val="0"/>
                <w:sz w:val="21"/>
                <w:szCs w:val="21"/>
              </w:rPr>
              <w:t>苏布尔噶</w:t>
            </w:r>
          </w:p>
          <w:p>
            <w:pPr>
              <w:pStyle w:val="32"/>
              <w:spacing w:line="240" w:lineRule="auto"/>
              <w:ind w:firstLine="0" w:firstLineChars="0"/>
              <w:jc w:val="center"/>
              <w:rPr>
                <w:rFonts w:ascii="Times New Roman" w:hAnsi="Times New Roman"/>
                <w:sz w:val="21"/>
                <w:szCs w:val="21"/>
              </w:rPr>
            </w:pPr>
            <w:r>
              <w:rPr>
                <w:rFonts w:ascii="Times New Roman" w:hAnsi="Times New Roman"/>
                <w:kern w:val="0"/>
                <w:sz w:val="21"/>
                <w:szCs w:val="21"/>
              </w:rPr>
              <w:t>井田</w:t>
            </w:r>
          </w:p>
        </w:tc>
        <w:tc>
          <w:tcPr>
            <w:tcW w:w="1600" w:type="dxa"/>
            <w:vAlign w:val="center"/>
          </w:tcPr>
          <w:p>
            <w:pPr>
              <w:pStyle w:val="32"/>
              <w:spacing w:line="240" w:lineRule="auto"/>
              <w:ind w:firstLine="0" w:firstLineChars="0"/>
              <w:rPr>
                <w:rFonts w:ascii="Times New Roman" w:hAnsi="Times New Roman"/>
                <w:sz w:val="21"/>
                <w:szCs w:val="21"/>
              </w:rPr>
            </w:pPr>
            <w:r>
              <w:rPr>
                <w:rFonts w:ascii="Times New Roman" w:hAnsi="Times New Roman"/>
                <w:sz w:val="21"/>
                <w:szCs w:val="21"/>
              </w:rPr>
              <w:t>拟建工业场地</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2#</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kern w:val="0"/>
                <w:sz w:val="21"/>
                <w:szCs w:val="21"/>
              </w:rPr>
              <w:t>壕赖苏井田</w:t>
            </w:r>
          </w:p>
        </w:tc>
        <w:tc>
          <w:tcPr>
            <w:tcW w:w="1600" w:type="dxa"/>
            <w:vAlign w:val="center"/>
          </w:tcPr>
          <w:p>
            <w:pPr>
              <w:pStyle w:val="32"/>
              <w:spacing w:line="240" w:lineRule="auto"/>
              <w:ind w:firstLine="0" w:firstLineChars="0"/>
              <w:rPr>
                <w:rFonts w:ascii="Times New Roman" w:hAnsi="Times New Roman"/>
                <w:sz w:val="21"/>
                <w:szCs w:val="21"/>
              </w:rPr>
            </w:pPr>
            <w:r>
              <w:rPr>
                <w:rFonts w:ascii="Times New Roman" w:hAnsi="Times New Roman"/>
                <w:sz w:val="21"/>
                <w:szCs w:val="21"/>
              </w:rPr>
              <w:t>拟建工业场地</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3#</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纳林希里</w:t>
            </w:r>
          </w:p>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井田</w:t>
            </w:r>
          </w:p>
        </w:tc>
        <w:tc>
          <w:tcPr>
            <w:tcW w:w="1600" w:type="dxa"/>
            <w:vAlign w:val="center"/>
          </w:tcPr>
          <w:p>
            <w:pPr>
              <w:pStyle w:val="32"/>
              <w:spacing w:line="240" w:lineRule="auto"/>
              <w:ind w:firstLine="0" w:firstLineChars="0"/>
              <w:rPr>
                <w:rFonts w:ascii="Times New Roman" w:hAnsi="Times New Roman"/>
                <w:sz w:val="21"/>
                <w:szCs w:val="21"/>
              </w:rPr>
            </w:pPr>
            <w:r>
              <w:rPr>
                <w:rFonts w:ascii="Times New Roman" w:hAnsi="Times New Roman"/>
                <w:sz w:val="21"/>
                <w:szCs w:val="21"/>
              </w:rPr>
              <w:t>拟建工业场地</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4#</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69"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勘查区</w:t>
            </w:r>
          </w:p>
        </w:tc>
        <w:tc>
          <w:tcPr>
            <w:tcW w:w="1600" w:type="dxa"/>
            <w:vAlign w:val="center"/>
          </w:tcPr>
          <w:p>
            <w:pPr>
              <w:pStyle w:val="32"/>
              <w:spacing w:line="240" w:lineRule="auto"/>
              <w:ind w:firstLine="0" w:firstLineChars="0"/>
              <w:rPr>
                <w:rFonts w:ascii="Times New Roman" w:hAnsi="Times New Roman"/>
                <w:sz w:val="21"/>
                <w:szCs w:val="21"/>
              </w:rPr>
            </w:pPr>
            <w:r>
              <w:rPr>
                <w:rFonts w:ascii="Times New Roman" w:hAnsi="Times New Roman"/>
                <w:sz w:val="21"/>
                <w:szCs w:val="21"/>
              </w:rPr>
              <w:t>拟建辅助企业区</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5#</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69" w:type="dxa"/>
            <w:gridSpan w:val="2"/>
            <w:vAlign w:val="center"/>
          </w:tcPr>
          <w:p>
            <w:pPr>
              <w:pStyle w:val="32"/>
              <w:spacing w:line="240" w:lineRule="auto"/>
              <w:ind w:firstLine="420"/>
              <w:jc w:val="center"/>
              <w:rPr>
                <w:rFonts w:ascii="Times New Roman" w:hAnsi="Times New Roman"/>
                <w:sz w:val="21"/>
                <w:szCs w:val="21"/>
              </w:rPr>
            </w:pPr>
            <w:r>
              <w:rPr>
                <w:rFonts w:ascii="Times New Roman" w:hAnsi="Times New Roman"/>
                <w:sz w:val="21"/>
                <w:szCs w:val="21"/>
              </w:rPr>
              <w:t>爆炸材料库</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6#</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69" w:type="dxa"/>
            <w:gridSpan w:val="2"/>
            <w:vAlign w:val="center"/>
          </w:tcPr>
          <w:p>
            <w:pPr>
              <w:pStyle w:val="32"/>
              <w:spacing w:line="240" w:lineRule="auto"/>
              <w:ind w:firstLine="420"/>
              <w:jc w:val="center"/>
              <w:rPr>
                <w:rFonts w:ascii="Times New Roman" w:hAnsi="Times New Roman"/>
                <w:sz w:val="21"/>
                <w:szCs w:val="21"/>
              </w:rPr>
            </w:pPr>
            <w:r>
              <w:rPr>
                <w:rFonts w:ascii="Times New Roman" w:hAnsi="Times New Roman"/>
                <w:sz w:val="21"/>
                <w:szCs w:val="21"/>
              </w:rPr>
              <w:t>矿区拟建公路</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7#</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69" w:type="dxa"/>
            <w:gridSpan w:val="2"/>
            <w:vAlign w:val="center"/>
          </w:tcPr>
          <w:p>
            <w:pPr>
              <w:pStyle w:val="32"/>
              <w:spacing w:line="240" w:lineRule="auto"/>
              <w:ind w:firstLine="420"/>
              <w:jc w:val="center"/>
              <w:rPr>
                <w:rFonts w:ascii="Times New Roman" w:hAnsi="Times New Roman"/>
                <w:sz w:val="21"/>
                <w:szCs w:val="21"/>
              </w:rPr>
            </w:pPr>
            <w:r>
              <w:rPr>
                <w:rFonts w:ascii="Times New Roman" w:hAnsi="Times New Roman"/>
                <w:sz w:val="21"/>
                <w:szCs w:val="21"/>
              </w:rPr>
              <w:t>伊和乌素（近荣乌高速）</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8#</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69" w:type="dxa"/>
            <w:gridSpan w:val="2"/>
            <w:vAlign w:val="center"/>
          </w:tcPr>
          <w:p>
            <w:pPr>
              <w:pStyle w:val="32"/>
              <w:spacing w:line="240" w:lineRule="auto"/>
              <w:ind w:firstLine="420"/>
              <w:jc w:val="center"/>
              <w:rPr>
                <w:rFonts w:ascii="Times New Roman" w:hAnsi="Times New Roman"/>
                <w:sz w:val="21"/>
                <w:szCs w:val="21"/>
              </w:rPr>
            </w:pPr>
            <w:r>
              <w:rPr>
                <w:rFonts w:ascii="Times New Roman" w:hAnsi="Times New Roman"/>
                <w:sz w:val="21"/>
                <w:szCs w:val="21"/>
              </w:rPr>
              <w:t>敖尔给一队（近矿区拟建公路、铁路）</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9#</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69" w:type="dxa"/>
            <w:gridSpan w:val="2"/>
            <w:vAlign w:val="center"/>
          </w:tcPr>
          <w:p>
            <w:pPr>
              <w:pStyle w:val="32"/>
              <w:spacing w:line="240" w:lineRule="auto"/>
              <w:ind w:firstLine="420"/>
              <w:jc w:val="center"/>
              <w:rPr>
                <w:rFonts w:ascii="Times New Roman" w:hAnsi="Times New Roman"/>
                <w:sz w:val="21"/>
                <w:szCs w:val="21"/>
              </w:rPr>
            </w:pPr>
            <w:r>
              <w:rPr>
                <w:rFonts w:ascii="Times New Roman" w:hAnsi="Times New Roman"/>
                <w:sz w:val="21"/>
                <w:szCs w:val="21"/>
              </w:rPr>
              <w:t>木呼尔敖包村（近壕赖苏井田工业场地进场道路）</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10#</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69" w:type="dxa"/>
            <w:gridSpan w:val="2"/>
            <w:vAlign w:val="center"/>
          </w:tcPr>
          <w:p>
            <w:pPr>
              <w:pStyle w:val="32"/>
              <w:spacing w:line="240" w:lineRule="auto"/>
              <w:ind w:firstLine="420"/>
              <w:jc w:val="center"/>
              <w:rPr>
                <w:rFonts w:ascii="Times New Roman" w:hAnsi="Times New Roman"/>
                <w:sz w:val="21"/>
                <w:szCs w:val="21"/>
              </w:rPr>
            </w:pPr>
            <w:r>
              <w:rPr>
                <w:rFonts w:ascii="Times New Roman" w:hAnsi="Times New Roman"/>
                <w:sz w:val="21"/>
                <w:szCs w:val="21"/>
              </w:rPr>
              <w:t>红庆河镇（近近矿区拟建公路、铁路）</w:t>
            </w:r>
          </w:p>
        </w:tc>
        <w:tc>
          <w:tcPr>
            <w:tcW w:w="1336" w:type="dxa"/>
            <w:vAlign w:val="center"/>
          </w:tcPr>
          <w:p>
            <w:pPr>
              <w:pStyle w:val="32"/>
              <w:spacing w:line="240" w:lineRule="auto"/>
              <w:ind w:firstLine="210" w:firstLineChars="100"/>
              <w:jc w:val="center"/>
              <w:rPr>
                <w:rFonts w:ascii="Times New Roman" w:hAnsi="Times New Roman"/>
                <w:sz w:val="21"/>
                <w:szCs w:val="21"/>
              </w:rPr>
            </w:pPr>
            <w:r>
              <w:rPr>
                <w:rFonts w:ascii="Times New Roman" w:hAnsi="Times New Roman"/>
                <w:sz w:val="21"/>
                <w:szCs w:val="21"/>
              </w:rPr>
              <w:t>11#</w:t>
            </w:r>
          </w:p>
        </w:tc>
        <w:tc>
          <w:tcPr>
            <w:tcW w:w="1150" w:type="dxa"/>
            <w:vMerge w:val="continue"/>
            <w:vAlign w:val="center"/>
          </w:tcPr>
          <w:p>
            <w:pPr>
              <w:pStyle w:val="32"/>
              <w:spacing w:line="240" w:lineRule="auto"/>
              <w:ind w:firstLine="420"/>
              <w:jc w:val="center"/>
              <w:rPr>
                <w:rFonts w:ascii="Times New Roman" w:hAnsi="Times New Roman"/>
                <w:sz w:val="21"/>
                <w:szCs w:val="21"/>
              </w:rPr>
            </w:pPr>
          </w:p>
        </w:tc>
        <w:tc>
          <w:tcPr>
            <w:tcW w:w="1776" w:type="dxa"/>
            <w:vMerge w:val="continue"/>
            <w:vAlign w:val="center"/>
          </w:tcPr>
          <w:p>
            <w:pPr>
              <w:pStyle w:val="32"/>
              <w:spacing w:line="240" w:lineRule="auto"/>
              <w:ind w:firstLine="420"/>
              <w:jc w:val="center"/>
              <w:rPr>
                <w:rFonts w:ascii="Times New Roman" w:hAnsi="Times New Roman"/>
                <w:sz w:val="21"/>
                <w:szCs w:val="21"/>
              </w:rPr>
            </w:pPr>
          </w:p>
        </w:tc>
        <w:tc>
          <w:tcPr>
            <w:tcW w:w="2156" w:type="dxa"/>
            <w:vMerge w:val="continue"/>
            <w:vAlign w:val="center"/>
          </w:tcPr>
          <w:p>
            <w:pPr>
              <w:pStyle w:val="32"/>
              <w:spacing w:line="240" w:lineRule="auto"/>
              <w:ind w:firstLine="420"/>
              <w:jc w:val="center"/>
              <w:rPr>
                <w:rFonts w:ascii="Times New Roman" w:hAnsi="Times New Roman"/>
                <w:sz w:val="21"/>
                <w:szCs w:val="21"/>
              </w:rPr>
            </w:pPr>
          </w:p>
        </w:tc>
      </w:tr>
    </w:tbl>
    <w:p>
      <w:pPr>
        <w:adjustRightInd w:val="0"/>
        <w:snapToGrid w:val="0"/>
        <w:spacing w:before="240" w:beforeLines="100" w:line="440" w:lineRule="exact"/>
        <w:ind w:firstLine="480" w:firstLineChars="200"/>
        <w:rPr>
          <w:rFonts w:ascii="Times New Roman" w:hAnsi="Times New Roman"/>
        </w:rPr>
      </w:pPr>
      <w:r>
        <w:rPr>
          <w:rFonts w:ascii="Times New Roman" w:hAnsi="Times New Roman"/>
        </w:rPr>
        <w:t>2）监测时间及监测频率</w:t>
      </w:r>
    </w:p>
    <w:p>
      <w:pPr>
        <w:adjustRightInd w:val="0"/>
        <w:snapToGrid w:val="0"/>
        <w:spacing w:line="440" w:lineRule="exact"/>
        <w:ind w:firstLine="480" w:firstLineChars="200"/>
        <w:rPr>
          <w:rFonts w:ascii="Times New Roman" w:hAnsi="Times New Roman"/>
        </w:rPr>
      </w:pPr>
      <w:r>
        <w:rPr>
          <w:rFonts w:ascii="Times New Roman" w:hAnsi="Times New Roman"/>
        </w:rPr>
        <w:t>监测时间：2020年6月29-30日；昼间监测1次，夜间监测1次。</w:t>
      </w:r>
    </w:p>
    <w:p>
      <w:pPr>
        <w:adjustRightInd w:val="0"/>
        <w:snapToGrid w:val="0"/>
        <w:spacing w:line="440" w:lineRule="exact"/>
        <w:ind w:firstLine="482"/>
        <w:rPr>
          <w:rFonts w:ascii="Times New Roman" w:hAnsi="Times New Roman"/>
        </w:rPr>
      </w:pPr>
      <w:r>
        <w:rPr>
          <w:rFonts w:ascii="Times New Roman" w:hAnsi="Times New Roman"/>
        </w:rPr>
        <w:t>（2）监测结果统计及评价</w:t>
      </w:r>
    </w:p>
    <w:p>
      <w:pPr>
        <w:adjustRightInd w:val="0"/>
        <w:snapToGrid w:val="0"/>
        <w:spacing w:line="440" w:lineRule="exact"/>
        <w:ind w:firstLine="482"/>
        <w:rPr>
          <w:rFonts w:ascii="Times New Roman" w:hAnsi="Times New Roman"/>
        </w:rPr>
      </w:pPr>
      <w:r>
        <w:rPr>
          <w:rFonts w:ascii="Times New Roman" w:hAnsi="Times New Roman"/>
        </w:rPr>
        <w:t>监测统计及评价结果见表3.4-12。</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adjustRightInd w:val="0"/>
        <w:snapToGrid w:val="0"/>
        <w:spacing w:line="440" w:lineRule="exact"/>
        <w:jc w:val="center"/>
        <w:rPr>
          <w:rFonts w:ascii="Times New Roman" w:hAnsi="Times New Roman"/>
          <w:b/>
          <w:bCs/>
        </w:rPr>
      </w:pPr>
      <w:r>
        <w:rPr>
          <w:rFonts w:ascii="Times New Roman" w:hAnsi="Times New Roman"/>
          <w:b/>
          <w:bCs/>
        </w:rPr>
        <w:t>矿区现状环境噪声监测统计结果</w:t>
      </w:r>
    </w:p>
    <w:p>
      <w:pPr>
        <w:tabs>
          <w:tab w:val="left" w:pos="8235"/>
        </w:tabs>
        <w:spacing w:line="500" w:lineRule="exact"/>
        <w:ind w:firstLine="120" w:firstLineChars="50"/>
        <w:outlineLvl w:val="4"/>
        <w:rPr>
          <w:rFonts w:ascii="Times New Roman" w:hAnsi="Times New Roman"/>
          <w:sz w:val="32"/>
          <w:szCs w:val="22"/>
        </w:rPr>
      </w:pPr>
      <w:r>
        <w:rPr>
          <w:rFonts w:ascii="Times New Roman" w:hAnsi="Times New Roman"/>
        </w:rPr>
        <w:t>表3.4-12                                                        单位：</w:t>
      </w:r>
      <w:r>
        <w:rPr>
          <w:rFonts w:ascii="Times New Roman" w:hAnsi="Times New Roman"/>
          <w:kern w:val="0"/>
          <w:szCs w:val="24"/>
        </w:rPr>
        <w:t>dB(A)</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758"/>
        <w:gridCol w:w="1167"/>
        <w:gridCol w:w="1133"/>
        <w:gridCol w:w="1163"/>
        <w:gridCol w:w="1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测点</w:t>
            </w:r>
          </w:p>
          <w:p>
            <w:pPr>
              <w:widowControl/>
              <w:jc w:val="center"/>
              <w:rPr>
                <w:rFonts w:ascii="Times New Roman" w:hAnsi="Times New Roman"/>
                <w:kern w:val="0"/>
                <w:sz w:val="21"/>
                <w:szCs w:val="21"/>
              </w:rPr>
            </w:pPr>
            <w:r>
              <w:rPr>
                <w:rFonts w:ascii="Times New Roman" w:hAnsi="Times New Roman"/>
                <w:kern w:val="0"/>
                <w:sz w:val="21"/>
                <w:szCs w:val="21"/>
              </w:rPr>
              <w:t>编号</w:t>
            </w:r>
          </w:p>
        </w:tc>
        <w:tc>
          <w:tcPr>
            <w:tcW w:w="3758"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测点名称及位置</w:t>
            </w:r>
          </w:p>
        </w:tc>
        <w:tc>
          <w:tcPr>
            <w:tcW w:w="4541" w:type="dxa"/>
            <w:gridSpan w:val="4"/>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监测日期(2020年）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vMerge w:val="continue"/>
            <w:shd w:val="clear" w:color="auto" w:fill="auto"/>
            <w:vAlign w:val="center"/>
          </w:tcPr>
          <w:p>
            <w:pPr>
              <w:jc w:val="left"/>
              <w:rPr>
                <w:rFonts w:ascii="Times New Roman" w:hAnsi="Times New Roman"/>
                <w:kern w:val="0"/>
                <w:sz w:val="21"/>
                <w:szCs w:val="21"/>
              </w:rPr>
            </w:pPr>
          </w:p>
        </w:tc>
        <w:tc>
          <w:tcPr>
            <w:tcW w:w="3758" w:type="dxa"/>
            <w:vMerge w:val="continue"/>
            <w:vAlign w:val="center"/>
          </w:tcPr>
          <w:p>
            <w:pPr>
              <w:widowControl/>
              <w:jc w:val="left"/>
              <w:rPr>
                <w:rFonts w:ascii="Times New Roman" w:hAnsi="Times New Roman"/>
                <w:kern w:val="0"/>
                <w:sz w:val="21"/>
                <w:szCs w:val="21"/>
              </w:rPr>
            </w:pPr>
          </w:p>
        </w:tc>
        <w:tc>
          <w:tcPr>
            <w:tcW w:w="2300"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6月29日</w:t>
            </w:r>
          </w:p>
        </w:tc>
        <w:tc>
          <w:tcPr>
            <w:tcW w:w="2241"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6月30日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vMerge w:val="continue"/>
            <w:shd w:val="clear" w:color="auto" w:fill="auto"/>
            <w:vAlign w:val="center"/>
          </w:tcPr>
          <w:p>
            <w:pPr>
              <w:widowControl/>
              <w:jc w:val="left"/>
              <w:rPr>
                <w:rFonts w:ascii="Times New Roman" w:hAnsi="Times New Roman"/>
                <w:kern w:val="0"/>
                <w:sz w:val="22"/>
                <w:szCs w:val="22"/>
              </w:rPr>
            </w:pPr>
          </w:p>
        </w:tc>
        <w:tc>
          <w:tcPr>
            <w:tcW w:w="3758" w:type="dxa"/>
            <w:vMerge w:val="continue"/>
            <w:vAlign w:val="center"/>
          </w:tcPr>
          <w:p>
            <w:pPr>
              <w:widowControl/>
              <w:jc w:val="left"/>
              <w:rPr>
                <w:rFonts w:ascii="Times New Roman" w:hAnsi="Times New Roman"/>
                <w:kern w:val="0"/>
                <w:sz w:val="21"/>
                <w:szCs w:val="21"/>
              </w:rPr>
            </w:pPr>
          </w:p>
        </w:tc>
        <w:tc>
          <w:tcPr>
            <w:tcW w:w="116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昼间</w:t>
            </w:r>
          </w:p>
        </w:tc>
        <w:tc>
          <w:tcPr>
            <w:tcW w:w="11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夜间</w:t>
            </w:r>
          </w:p>
        </w:tc>
        <w:tc>
          <w:tcPr>
            <w:tcW w:w="116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昼间</w:t>
            </w:r>
          </w:p>
        </w:tc>
        <w:tc>
          <w:tcPr>
            <w:tcW w:w="107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夜间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375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奎腾沟井田拟建工业场地</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33</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3758" w:type="dxa"/>
            <w:shd w:val="clear" w:color="auto" w:fill="auto"/>
            <w:vAlign w:val="center"/>
          </w:tcPr>
          <w:p>
            <w:pPr>
              <w:widowControl/>
              <w:adjustRightInd w:val="0"/>
              <w:snapToGrid w:val="0"/>
              <w:spacing w:line="240" w:lineRule="atLeast"/>
              <w:jc w:val="center"/>
              <w:textAlignment w:val="bottom"/>
              <w:rPr>
                <w:rFonts w:ascii="Times New Roman" w:hAnsi="Times New Roman"/>
                <w:kern w:val="0"/>
                <w:sz w:val="21"/>
                <w:szCs w:val="21"/>
              </w:rPr>
            </w:pPr>
            <w:r>
              <w:rPr>
                <w:rFonts w:ascii="Times New Roman" w:hAnsi="Times New Roman"/>
                <w:kern w:val="0"/>
                <w:sz w:val="21"/>
                <w:szCs w:val="21"/>
                <w:lang w:bidi="ar"/>
              </w:rPr>
              <w:t>苏布尔噶井田拟建工业场地</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375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壕赖苏井田拟建工业场地</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33</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33</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375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纳林希里井田拟建工业场地</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33</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w:t>
            </w:r>
          </w:p>
        </w:tc>
        <w:tc>
          <w:tcPr>
            <w:tcW w:w="3758" w:type="dxa"/>
            <w:shd w:val="clear" w:color="auto" w:fill="auto"/>
            <w:vAlign w:val="center"/>
          </w:tcPr>
          <w:p>
            <w:pPr>
              <w:widowControl/>
              <w:adjustRightInd w:val="0"/>
              <w:snapToGrid w:val="0"/>
              <w:spacing w:line="240" w:lineRule="atLeast"/>
              <w:jc w:val="center"/>
              <w:textAlignment w:val="bottom"/>
              <w:rPr>
                <w:rFonts w:ascii="Times New Roman" w:hAnsi="Times New Roman"/>
                <w:kern w:val="0"/>
                <w:sz w:val="21"/>
                <w:szCs w:val="21"/>
              </w:rPr>
            </w:pPr>
            <w:r>
              <w:rPr>
                <w:rFonts w:ascii="Times New Roman" w:hAnsi="Times New Roman"/>
                <w:kern w:val="0"/>
                <w:sz w:val="21"/>
                <w:szCs w:val="21"/>
                <w:lang w:bidi="ar"/>
              </w:rPr>
              <w:t>勘查区拟建辅助企业区</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33</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w:t>
            </w:r>
          </w:p>
        </w:tc>
        <w:tc>
          <w:tcPr>
            <w:tcW w:w="3758" w:type="dxa"/>
            <w:shd w:val="clear" w:color="auto" w:fill="auto"/>
            <w:vAlign w:val="center"/>
          </w:tcPr>
          <w:p>
            <w:pPr>
              <w:widowControl/>
              <w:adjustRightInd w:val="0"/>
              <w:snapToGrid w:val="0"/>
              <w:spacing w:line="240" w:lineRule="atLeast"/>
              <w:jc w:val="center"/>
              <w:textAlignment w:val="bottom"/>
              <w:rPr>
                <w:rFonts w:ascii="Times New Roman" w:hAnsi="Times New Roman"/>
                <w:kern w:val="0"/>
                <w:sz w:val="21"/>
                <w:szCs w:val="21"/>
              </w:rPr>
            </w:pPr>
            <w:r>
              <w:rPr>
                <w:rFonts w:ascii="Times New Roman" w:hAnsi="Times New Roman"/>
                <w:kern w:val="0"/>
                <w:sz w:val="21"/>
                <w:szCs w:val="21"/>
                <w:lang w:bidi="ar"/>
              </w:rPr>
              <w:t>爆炸材料库</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35</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35</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w:t>
            </w:r>
          </w:p>
        </w:tc>
        <w:tc>
          <w:tcPr>
            <w:tcW w:w="375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矿区拟建公路</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35</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33</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w:t>
            </w:r>
          </w:p>
        </w:tc>
        <w:tc>
          <w:tcPr>
            <w:tcW w:w="3758" w:type="dxa"/>
            <w:shd w:val="clear" w:color="auto" w:fill="auto"/>
            <w:vAlign w:val="center"/>
          </w:tcPr>
          <w:p>
            <w:pPr>
              <w:widowControl/>
              <w:adjustRightInd w:val="0"/>
              <w:snapToGrid w:val="0"/>
              <w:spacing w:line="240" w:lineRule="atLeast"/>
              <w:jc w:val="center"/>
              <w:textAlignment w:val="bottom"/>
              <w:rPr>
                <w:rFonts w:ascii="Times New Roman" w:hAnsi="Times New Roman"/>
                <w:kern w:val="0"/>
                <w:sz w:val="21"/>
                <w:szCs w:val="21"/>
              </w:rPr>
            </w:pPr>
            <w:r>
              <w:rPr>
                <w:rFonts w:ascii="Times New Roman" w:hAnsi="Times New Roman"/>
                <w:kern w:val="0"/>
                <w:sz w:val="21"/>
                <w:szCs w:val="21"/>
                <w:lang w:bidi="ar"/>
              </w:rPr>
              <w:t>伊和乌素（近荣乌高速）</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37</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9#</w:t>
            </w:r>
          </w:p>
        </w:tc>
        <w:tc>
          <w:tcPr>
            <w:tcW w:w="3758" w:type="dxa"/>
            <w:shd w:val="clear" w:color="auto" w:fill="auto"/>
            <w:vAlign w:val="center"/>
          </w:tcPr>
          <w:p>
            <w:pPr>
              <w:widowControl/>
              <w:adjustRightInd w:val="0"/>
              <w:snapToGrid w:val="0"/>
              <w:spacing w:line="240" w:lineRule="atLeast"/>
              <w:jc w:val="center"/>
              <w:textAlignment w:val="top"/>
              <w:rPr>
                <w:rFonts w:ascii="Times New Roman" w:hAnsi="Times New Roman"/>
                <w:kern w:val="0"/>
                <w:sz w:val="21"/>
                <w:szCs w:val="21"/>
                <w:lang w:bidi="ar"/>
              </w:rPr>
            </w:pPr>
            <w:r>
              <w:rPr>
                <w:rFonts w:ascii="Times New Roman" w:hAnsi="Times New Roman"/>
                <w:kern w:val="0"/>
                <w:sz w:val="21"/>
                <w:szCs w:val="21"/>
                <w:lang w:bidi="ar"/>
              </w:rPr>
              <w:t>敖尔给一队</w:t>
            </w:r>
          </w:p>
          <w:p>
            <w:pPr>
              <w:widowControl/>
              <w:adjustRightInd w:val="0"/>
              <w:snapToGrid w:val="0"/>
              <w:spacing w:line="240" w:lineRule="atLeast"/>
              <w:jc w:val="center"/>
              <w:textAlignment w:val="bottom"/>
              <w:rPr>
                <w:rFonts w:ascii="Times New Roman" w:hAnsi="Times New Roman"/>
                <w:kern w:val="0"/>
                <w:sz w:val="21"/>
                <w:szCs w:val="21"/>
              </w:rPr>
            </w:pPr>
            <w:r>
              <w:rPr>
                <w:rFonts w:ascii="Times New Roman" w:hAnsi="Times New Roman"/>
                <w:kern w:val="0"/>
                <w:sz w:val="21"/>
                <w:szCs w:val="21"/>
                <w:lang w:bidi="ar"/>
              </w:rPr>
              <w:t>（近矿区拟建公路、铁路）</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32</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w:t>
            </w:r>
          </w:p>
        </w:tc>
        <w:tc>
          <w:tcPr>
            <w:tcW w:w="375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木呼尔敖包村（近壕赖苏井田工业场地进场道路）</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36</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33</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8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11#</w:t>
            </w:r>
          </w:p>
        </w:tc>
        <w:tc>
          <w:tcPr>
            <w:tcW w:w="3758" w:type="dxa"/>
            <w:shd w:val="clear" w:color="auto" w:fill="auto"/>
            <w:vAlign w:val="center"/>
          </w:tcPr>
          <w:p>
            <w:pPr>
              <w:widowControl/>
              <w:adjustRightInd w:val="0"/>
              <w:snapToGrid w:val="0"/>
              <w:spacing w:line="240" w:lineRule="atLeast"/>
              <w:jc w:val="center"/>
              <w:textAlignment w:val="top"/>
              <w:rPr>
                <w:rFonts w:ascii="Times New Roman" w:hAnsi="Times New Roman"/>
                <w:kern w:val="0"/>
                <w:sz w:val="21"/>
                <w:szCs w:val="21"/>
                <w:lang w:bidi="ar"/>
              </w:rPr>
            </w:pPr>
            <w:r>
              <w:rPr>
                <w:rFonts w:ascii="Times New Roman" w:hAnsi="Times New Roman"/>
                <w:kern w:val="0"/>
                <w:sz w:val="21"/>
                <w:szCs w:val="21"/>
                <w:lang w:bidi="ar"/>
              </w:rPr>
              <w:t>红庆河镇</w:t>
            </w:r>
          </w:p>
          <w:p>
            <w:pPr>
              <w:widowControl/>
              <w:adjustRightInd w:val="0"/>
              <w:snapToGrid w:val="0"/>
              <w:spacing w:line="240" w:lineRule="atLeast"/>
              <w:jc w:val="center"/>
              <w:textAlignment w:val="top"/>
              <w:rPr>
                <w:rFonts w:ascii="Times New Roman" w:hAnsi="Times New Roman"/>
                <w:kern w:val="0"/>
                <w:sz w:val="21"/>
                <w:szCs w:val="21"/>
              </w:rPr>
            </w:pPr>
            <w:r>
              <w:rPr>
                <w:rFonts w:ascii="Times New Roman" w:hAnsi="Times New Roman"/>
                <w:kern w:val="0"/>
                <w:sz w:val="21"/>
                <w:szCs w:val="21"/>
                <w:lang w:bidi="ar"/>
              </w:rPr>
              <w:t>（近矿区拟建公路、铁路）</w:t>
            </w:r>
          </w:p>
        </w:tc>
        <w:tc>
          <w:tcPr>
            <w:tcW w:w="1167"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36</w:t>
            </w:r>
          </w:p>
        </w:tc>
        <w:tc>
          <w:tcPr>
            <w:tcW w:w="113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34</w:t>
            </w:r>
          </w:p>
        </w:tc>
        <w:tc>
          <w:tcPr>
            <w:tcW w:w="1163"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38</w:t>
            </w:r>
          </w:p>
        </w:tc>
        <w:tc>
          <w:tcPr>
            <w:tcW w:w="1078" w:type="dxa"/>
            <w:shd w:val="clear" w:color="auto" w:fill="auto"/>
            <w:vAlign w:val="center"/>
          </w:tcPr>
          <w:p>
            <w:pPr>
              <w:tabs>
                <w:tab w:val="left" w:pos="360"/>
                <w:tab w:val="left" w:pos="1080"/>
              </w:tabs>
              <w:adjustRightInd w:val="0"/>
              <w:snapToGrid w:val="0"/>
              <w:jc w:val="center"/>
              <w:rPr>
                <w:rFonts w:ascii="Times New Roman" w:hAnsi="Times New Roman"/>
                <w:kern w:val="0"/>
                <w:sz w:val="21"/>
                <w:szCs w:val="21"/>
              </w:rPr>
            </w:pPr>
            <w:r>
              <w:rPr>
                <w:rFonts w:ascii="Times New Roman" w:hAnsi="Times New Roman"/>
                <w:sz w:val="21"/>
                <w:szCs w:val="21"/>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74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《声环境质量标准》（GB3096-2008）</w:t>
            </w:r>
          </w:p>
          <w:p>
            <w:pPr>
              <w:widowControl/>
              <w:jc w:val="center"/>
              <w:rPr>
                <w:rFonts w:ascii="Times New Roman" w:hAnsi="Times New Roman"/>
                <w:kern w:val="0"/>
                <w:sz w:val="21"/>
                <w:szCs w:val="21"/>
              </w:rPr>
            </w:pPr>
            <w:r>
              <w:rPr>
                <w:rFonts w:ascii="Times New Roman" w:hAnsi="Times New Roman"/>
                <w:kern w:val="0"/>
                <w:sz w:val="21"/>
                <w:szCs w:val="21"/>
              </w:rPr>
              <w:t>2类标准</w:t>
            </w:r>
          </w:p>
        </w:tc>
        <w:tc>
          <w:tcPr>
            <w:tcW w:w="116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13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16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07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r>
    </w:tbl>
    <w:p>
      <w:pPr>
        <w:adjustRightInd w:val="0"/>
        <w:spacing w:before="240" w:beforeLines="100" w:line="440" w:lineRule="exact"/>
        <w:ind w:firstLine="480" w:firstLineChars="200"/>
        <w:rPr>
          <w:rFonts w:ascii="Times New Roman" w:hAnsi="Times New Roman"/>
        </w:rPr>
      </w:pPr>
      <w:r>
        <w:rPr>
          <w:rFonts w:ascii="Times New Roman" w:hAnsi="Times New Roman"/>
        </w:rPr>
        <w:t>由表3.4-6可知，评价范围内监测点环境噪声昼间在33-38dB（A）之间，夜间在30-35dB（A）之间，满足《声环境质量标准》（GB3096-2008）2类标准要求，声环境质量良好。</w:t>
      </w:r>
    </w:p>
    <w:p>
      <w:pPr>
        <w:keepNext/>
        <w:keepLines/>
        <w:adjustRightInd w:val="0"/>
        <w:snapToGrid w:val="0"/>
        <w:spacing w:line="440" w:lineRule="exact"/>
        <w:outlineLvl w:val="2"/>
        <w:rPr>
          <w:rFonts w:ascii="Times New Roman" w:hAnsi="Times New Roman"/>
          <w:b/>
        </w:rPr>
      </w:pPr>
      <w:r>
        <w:rPr>
          <w:rFonts w:ascii="Times New Roman" w:hAnsi="Times New Roman"/>
          <w:b/>
        </w:rPr>
        <w:t>3.4.5 土壤环境质量现状评价</w:t>
      </w:r>
    </w:p>
    <w:bookmarkEnd w:id="149"/>
    <w:bookmarkEnd w:id="150"/>
    <w:bookmarkEnd w:id="151"/>
    <w:p>
      <w:pPr>
        <w:numPr>
          <w:ilvl w:val="255"/>
          <w:numId w:val="0"/>
        </w:numPr>
        <w:adjustRightInd w:val="0"/>
        <w:snapToGrid w:val="0"/>
        <w:spacing w:line="440" w:lineRule="exact"/>
        <w:ind w:firstLine="482" w:firstLineChars="200"/>
        <w:rPr>
          <w:rFonts w:ascii="Times New Roman" w:hAnsi="Times New Roman"/>
          <w:b/>
          <w:bCs/>
        </w:rPr>
      </w:pPr>
      <w:bookmarkStart w:id="156" w:name="_Toc171214220"/>
      <w:bookmarkStart w:id="157" w:name="_Toc18838443"/>
      <w:r>
        <w:rPr>
          <w:rFonts w:ascii="Times New Roman" w:hAnsi="Times New Roman"/>
          <w:b/>
          <w:bCs/>
        </w:rPr>
        <w:t>（1）监测点位、时间及频率</w:t>
      </w:r>
    </w:p>
    <w:p>
      <w:pPr>
        <w:adjustRightInd w:val="0"/>
        <w:snapToGrid w:val="0"/>
        <w:spacing w:line="440" w:lineRule="exact"/>
        <w:ind w:firstLine="480" w:firstLineChars="200"/>
        <w:rPr>
          <w:rFonts w:ascii="Times New Roman" w:hAnsi="Times New Roman"/>
        </w:rPr>
      </w:pPr>
      <w:r>
        <w:rPr>
          <w:rFonts w:ascii="Times New Roman" w:hAnsi="Times New Roman"/>
        </w:rPr>
        <w:t>1）监测布点</w:t>
      </w:r>
    </w:p>
    <w:p>
      <w:pPr>
        <w:adjustRightInd w:val="0"/>
        <w:snapToGrid w:val="0"/>
        <w:spacing w:line="440" w:lineRule="exact"/>
        <w:ind w:firstLine="480" w:firstLineChars="200"/>
        <w:rPr>
          <w:rFonts w:ascii="Times New Roman" w:hAnsi="Times New Roman"/>
        </w:rPr>
      </w:pPr>
      <w:r>
        <w:rPr>
          <w:rFonts w:ascii="Times New Roman" w:hAnsi="Times New Roman"/>
        </w:rPr>
        <w:t>综合考虑井田分布、土壤类型、土地利用类型，共布设8个监测点，监测点位与因子见表3.4-13。</w:t>
      </w:r>
    </w:p>
    <w:p>
      <w:pPr>
        <w:adjustRightInd w:val="0"/>
        <w:snapToGrid w:val="0"/>
        <w:spacing w:line="440" w:lineRule="exact"/>
        <w:ind w:firstLine="480" w:firstLineChars="200"/>
        <w:rPr>
          <w:rFonts w:ascii="Times New Roman" w:hAnsi="Times New Roman"/>
        </w:rPr>
      </w:pPr>
      <w:r>
        <w:rPr>
          <w:rFonts w:ascii="Times New Roman" w:hAnsi="Times New Roman"/>
        </w:rPr>
        <w:t>土壤监测布点图3.4-5。</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sectPr>
          <w:headerReference r:id="rId17" w:type="default"/>
          <w:pgSz w:w="11907" w:h="16840"/>
          <w:pgMar w:top="1701" w:right="1418" w:bottom="1134" w:left="1418" w:header="1134" w:footer="851" w:gutter="0"/>
          <w:cols w:space="720" w:num="1"/>
          <w:docGrid w:linePitch="312" w:charSpace="0"/>
        </w:sectPr>
      </w:pPr>
    </w:p>
    <w:p>
      <w:pPr>
        <w:adjustRightInd w:val="0"/>
        <w:snapToGrid w:val="0"/>
        <w:spacing w:line="440" w:lineRule="exact"/>
        <w:jc w:val="center"/>
        <w:rPr>
          <w:rFonts w:ascii="Times New Roman" w:hAnsi="Times New Roman"/>
          <w:b/>
          <w:bCs/>
        </w:rPr>
      </w:pPr>
      <w:r>
        <w:rPr>
          <w:rFonts w:ascii="Times New Roman" w:hAnsi="Times New Roman"/>
          <w:b/>
          <w:bCs/>
        </w:rPr>
        <w:t>矿区土壤环境现状监测点位</w:t>
      </w:r>
    </w:p>
    <w:p>
      <w:pPr>
        <w:spacing w:line="500" w:lineRule="exact"/>
        <w:outlineLvl w:val="4"/>
        <w:rPr>
          <w:rFonts w:ascii="Times New Roman" w:hAnsi="Times New Roman"/>
          <w:sz w:val="21"/>
          <w:szCs w:val="21"/>
        </w:rPr>
      </w:pPr>
      <w:r>
        <w:rPr>
          <w:rFonts w:ascii="Times New Roman" w:hAnsi="Times New Roman"/>
        </w:rPr>
        <w:t>表3.4-13</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8"/>
        <w:gridCol w:w="1418"/>
        <w:gridCol w:w="5148"/>
        <w:gridCol w:w="2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监测点编号</w:t>
            </w:r>
          </w:p>
        </w:tc>
        <w:tc>
          <w:tcPr>
            <w:tcW w:w="141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监测点位置</w:t>
            </w:r>
          </w:p>
        </w:tc>
        <w:tc>
          <w:tcPr>
            <w:tcW w:w="514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监测因子</w:t>
            </w:r>
          </w:p>
        </w:tc>
        <w:tc>
          <w:tcPr>
            <w:tcW w:w="2033"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监测要求和采样、分析方法和数据处理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8" w:type="dxa"/>
            <w:vAlign w:val="center"/>
          </w:tcPr>
          <w:p>
            <w:pPr>
              <w:pStyle w:val="32"/>
              <w:spacing w:line="240" w:lineRule="auto"/>
              <w:ind w:firstLine="0" w:firstLineChars="0"/>
              <w:jc w:val="center"/>
              <w:rPr>
                <w:rFonts w:ascii="Times New Roman" w:hAnsi="Times New Roman"/>
                <w:kern w:val="0"/>
                <w:sz w:val="21"/>
                <w:szCs w:val="21"/>
              </w:rPr>
            </w:pPr>
            <w:r>
              <w:rPr>
                <w:rFonts w:ascii="Times New Roman" w:hAnsi="Times New Roman"/>
                <w:kern w:val="0"/>
                <w:sz w:val="21"/>
                <w:szCs w:val="21"/>
              </w:rPr>
              <w:t>1#</w:t>
            </w:r>
          </w:p>
        </w:tc>
        <w:tc>
          <w:tcPr>
            <w:tcW w:w="141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kern w:val="0"/>
                <w:sz w:val="21"/>
                <w:szCs w:val="21"/>
              </w:rPr>
              <w:t>苏布尔噶井田</w:t>
            </w:r>
            <w:r>
              <w:rPr>
                <w:rFonts w:ascii="Times New Roman" w:hAnsi="Times New Roman"/>
                <w:sz w:val="21"/>
                <w:szCs w:val="21"/>
              </w:rPr>
              <w:t>拟建工业场地</w:t>
            </w:r>
          </w:p>
        </w:tc>
        <w:tc>
          <w:tcPr>
            <w:tcW w:w="5148" w:type="dxa"/>
            <w:vMerge w:val="restart"/>
            <w:vAlign w:val="center"/>
          </w:tcPr>
          <w:p>
            <w:pPr>
              <w:pStyle w:val="32"/>
              <w:spacing w:line="240" w:lineRule="auto"/>
              <w:ind w:firstLine="0" w:firstLineChars="0"/>
              <w:jc w:val="left"/>
              <w:rPr>
                <w:rFonts w:ascii="Times New Roman" w:hAnsi="Times New Roman"/>
                <w:sz w:val="21"/>
                <w:szCs w:val="21"/>
              </w:rPr>
            </w:pPr>
            <w:r>
              <w:rPr>
                <w:rFonts w:ascii="Times New Roman" w:hAnsi="Times New Roman"/>
                <w:sz w:val="21"/>
                <w:szCs w:val="21"/>
              </w:rPr>
              <w:t>监测因子按照《土壤环境质量 建设用地土壤污染风险管控标准（试行）》（GB36600-2018）表1中45项基本项目</w:t>
            </w:r>
          </w:p>
          <w:p>
            <w:pPr>
              <w:pStyle w:val="32"/>
              <w:spacing w:line="240" w:lineRule="auto"/>
              <w:ind w:firstLine="0" w:firstLineChars="0"/>
              <w:jc w:val="left"/>
              <w:rPr>
                <w:rFonts w:ascii="Times New Roman" w:hAnsi="Times New Roman"/>
                <w:sz w:val="21"/>
                <w:szCs w:val="21"/>
              </w:rPr>
            </w:pPr>
            <w:r>
              <w:rPr>
                <w:rFonts w:ascii="Times New Roman" w:hAnsi="Times New Roman"/>
                <w:sz w:val="21"/>
                <w:szCs w:val="21"/>
              </w:rPr>
              <w:t>重金属和无机物：砷、镉、六价铬、铜、铅、汞、镍、锌；土壤含盐量SSC。</w:t>
            </w:r>
          </w:p>
          <w:p>
            <w:pPr>
              <w:pStyle w:val="32"/>
              <w:spacing w:line="240" w:lineRule="auto"/>
              <w:ind w:firstLine="0" w:firstLineChars="0"/>
              <w:jc w:val="left"/>
              <w:rPr>
                <w:rFonts w:ascii="Times New Roman" w:hAnsi="Times New Roman"/>
                <w:sz w:val="21"/>
                <w:szCs w:val="21"/>
              </w:rPr>
            </w:pPr>
            <w:r>
              <w:rPr>
                <w:rFonts w:ascii="Times New Roman" w:hAnsi="Times New Roman"/>
                <w:sz w:val="21"/>
                <w:szCs w:val="21"/>
              </w:rPr>
              <w:t>挥发性有机物：四氯化碳、氯仿、氯甲烷、1,1-二氯乙烷、1,2-二氯乙烷、1,1-二氯乙烯、顺-1,2-二氯乙烯、反-1,2-二氯乙烯、二氯甲烷、1,2-二氯丙烷、1,1,1,2-四氯乙烷、1,1,2,2-四氯乙烷、四氯乙烯、1,1,1-三氯乙烷、1,1,2-三氯乙烷、三氯乙烯、1,2,3-三氯丙烷、氯乙烯、苯、氯苯、1,2-二氯苯、1,4-二氯苯、乙苯、苯乙烯、甲苯、间二甲苯+对二甲苯、邻二甲苯</w:t>
            </w:r>
          </w:p>
          <w:p>
            <w:pPr>
              <w:pStyle w:val="32"/>
              <w:spacing w:line="240" w:lineRule="auto"/>
              <w:ind w:firstLine="0" w:firstLineChars="0"/>
              <w:jc w:val="left"/>
              <w:rPr>
                <w:rFonts w:ascii="Times New Roman" w:hAnsi="Times New Roman"/>
                <w:sz w:val="21"/>
                <w:szCs w:val="21"/>
              </w:rPr>
            </w:pPr>
            <w:r>
              <w:rPr>
                <w:rFonts w:ascii="Times New Roman" w:hAnsi="Times New Roman"/>
                <w:sz w:val="21"/>
                <w:szCs w:val="21"/>
              </w:rPr>
              <w:t>半挥发性有机物：硝基苯、苯胺、2-氯酚、苯并[a]蒽、苯并[a]芘、苯并[b]荧蒽、苯并[k]荧蒽、䓛、二苯并[a,h]蒽、茚并[1,2,3-cd]芘、萘</w:t>
            </w:r>
          </w:p>
        </w:tc>
        <w:tc>
          <w:tcPr>
            <w:tcW w:w="2033" w:type="dxa"/>
            <w:vMerge w:val="restart"/>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采样按《土壤环境监测技术规范》（HJ/T166-2004）有关规定进行，分析方法按《土壤环境质量 农用地土壤污染风险管控标准（试行）》（GB15618-2018）执行；</w:t>
            </w:r>
          </w:p>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2#为柱状采样点，其他点位均为表层采样点。</w:t>
            </w:r>
          </w:p>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所有采样点均在非扰动区域进行采样监测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8" w:type="dxa"/>
            <w:vAlign w:val="center"/>
          </w:tcPr>
          <w:p>
            <w:pPr>
              <w:pStyle w:val="32"/>
              <w:spacing w:line="240" w:lineRule="auto"/>
              <w:ind w:firstLine="0" w:firstLineChars="0"/>
              <w:jc w:val="center"/>
              <w:rPr>
                <w:rFonts w:ascii="Times New Roman" w:hAnsi="Times New Roman"/>
                <w:spacing w:val="-20"/>
                <w:sz w:val="21"/>
                <w:szCs w:val="21"/>
              </w:rPr>
            </w:pPr>
            <w:r>
              <w:rPr>
                <w:rFonts w:ascii="Times New Roman" w:hAnsi="Times New Roman"/>
                <w:spacing w:val="-20"/>
                <w:sz w:val="21"/>
                <w:szCs w:val="21"/>
              </w:rPr>
              <w:t>2#</w:t>
            </w:r>
          </w:p>
        </w:tc>
        <w:tc>
          <w:tcPr>
            <w:tcW w:w="141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pacing w:val="-20"/>
                <w:sz w:val="21"/>
                <w:szCs w:val="21"/>
              </w:rPr>
              <w:t>纳林希里井田</w:t>
            </w:r>
            <w:r>
              <w:rPr>
                <w:rFonts w:ascii="Times New Roman" w:hAnsi="Times New Roman"/>
                <w:sz w:val="21"/>
                <w:szCs w:val="21"/>
              </w:rPr>
              <w:t>拟建工业</w:t>
            </w:r>
          </w:p>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场地</w:t>
            </w:r>
          </w:p>
        </w:tc>
        <w:tc>
          <w:tcPr>
            <w:tcW w:w="5148" w:type="dxa"/>
            <w:vMerge w:val="continue"/>
            <w:vAlign w:val="center"/>
          </w:tcPr>
          <w:p>
            <w:pPr>
              <w:pStyle w:val="32"/>
              <w:spacing w:line="240" w:lineRule="auto"/>
              <w:ind w:firstLine="0" w:firstLineChars="0"/>
              <w:jc w:val="center"/>
              <w:rPr>
                <w:rFonts w:ascii="Times New Roman" w:hAnsi="Times New Roman"/>
                <w:sz w:val="21"/>
                <w:szCs w:val="21"/>
              </w:rPr>
            </w:pPr>
          </w:p>
        </w:tc>
        <w:tc>
          <w:tcPr>
            <w:tcW w:w="2033" w:type="dxa"/>
            <w:vMerge w:val="continue"/>
            <w:vAlign w:val="center"/>
          </w:tcPr>
          <w:p>
            <w:pPr>
              <w:pStyle w:val="32"/>
              <w:spacing w:line="240" w:lineRule="auto"/>
              <w:ind w:firstLine="0" w:firstLineChars="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3#</w:t>
            </w:r>
          </w:p>
        </w:tc>
        <w:tc>
          <w:tcPr>
            <w:tcW w:w="1418" w:type="dxa"/>
            <w:vAlign w:val="center"/>
          </w:tcPr>
          <w:p>
            <w:pPr>
              <w:pStyle w:val="32"/>
              <w:spacing w:line="240" w:lineRule="auto"/>
              <w:ind w:firstLine="0" w:firstLineChars="0"/>
              <w:rPr>
                <w:rFonts w:ascii="Times New Roman" w:hAnsi="Times New Roman"/>
                <w:sz w:val="21"/>
                <w:szCs w:val="21"/>
              </w:rPr>
            </w:pPr>
            <w:r>
              <w:rPr>
                <w:rFonts w:ascii="Times New Roman" w:hAnsi="Times New Roman"/>
                <w:sz w:val="21"/>
                <w:szCs w:val="21"/>
              </w:rPr>
              <w:t>辅助企业区</w:t>
            </w:r>
          </w:p>
        </w:tc>
        <w:tc>
          <w:tcPr>
            <w:tcW w:w="5148" w:type="dxa"/>
            <w:vMerge w:val="continue"/>
            <w:vAlign w:val="center"/>
          </w:tcPr>
          <w:p>
            <w:pPr>
              <w:pStyle w:val="32"/>
              <w:spacing w:line="240" w:lineRule="auto"/>
              <w:ind w:firstLine="0" w:firstLineChars="0"/>
              <w:jc w:val="center"/>
              <w:rPr>
                <w:rFonts w:ascii="Times New Roman" w:hAnsi="Times New Roman"/>
                <w:sz w:val="21"/>
                <w:szCs w:val="21"/>
              </w:rPr>
            </w:pPr>
          </w:p>
        </w:tc>
        <w:tc>
          <w:tcPr>
            <w:tcW w:w="2033" w:type="dxa"/>
            <w:vMerge w:val="continue"/>
            <w:vAlign w:val="center"/>
          </w:tcPr>
          <w:p>
            <w:pPr>
              <w:pStyle w:val="32"/>
              <w:spacing w:line="240" w:lineRule="auto"/>
              <w:ind w:firstLine="0" w:firstLineChars="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4#</w:t>
            </w:r>
          </w:p>
        </w:tc>
        <w:tc>
          <w:tcPr>
            <w:tcW w:w="141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红庆河镇（栗钙土）</w:t>
            </w:r>
          </w:p>
        </w:tc>
        <w:tc>
          <w:tcPr>
            <w:tcW w:w="5148" w:type="dxa"/>
            <w:vMerge w:val="continue"/>
            <w:vAlign w:val="center"/>
          </w:tcPr>
          <w:p>
            <w:pPr>
              <w:pStyle w:val="32"/>
              <w:spacing w:line="240" w:lineRule="auto"/>
              <w:ind w:firstLine="0" w:firstLineChars="0"/>
              <w:jc w:val="center"/>
              <w:rPr>
                <w:rFonts w:ascii="Times New Roman" w:hAnsi="Times New Roman"/>
                <w:sz w:val="21"/>
                <w:szCs w:val="21"/>
              </w:rPr>
            </w:pPr>
          </w:p>
        </w:tc>
        <w:tc>
          <w:tcPr>
            <w:tcW w:w="2033" w:type="dxa"/>
            <w:vMerge w:val="continue"/>
            <w:vAlign w:val="center"/>
          </w:tcPr>
          <w:p>
            <w:pPr>
              <w:pStyle w:val="32"/>
              <w:spacing w:line="240" w:lineRule="auto"/>
              <w:ind w:firstLine="0" w:firstLineChars="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5#</w:t>
            </w:r>
          </w:p>
        </w:tc>
        <w:tc>
          <w:tcPr>
            <w:tcW w:w="141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kern w:val="0"/>
                <w:sz w:val="21"/>
                <w:szCs w:val="21"/>
              </w:rPr>
              <w:t>壕赖苏井田</w:t>
            </w:r>
            <w:r>
              <w:rPr>
                <w:rFonts w:ascii="Times New Roman" w:hAnsi="Times New Roman"/>
                <w:sz w:val="21"/>
                <w:szCs w:val="21"/>
              </w:rPr>
              <w:t>拟建工业</w:t>
            </w:r>
          </w:p>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场地</w:t>
            </w:r>
          </w:p>
        </w:tc>
        <w:tc>
          <w:tcPr>
            <w:tcW w:w="5148" w:type="dxa"/>
            <w:vMerge w:val="restart"/>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监测点监测因子为：pH、铜、锌、镉、汞、砷、铅、总铬、镍、六价铬；土壤含盐量SSC。</w:t>
            </w:r>
          </w:p>
        </w:tc>
        <w:tc>
          <w:tcPr>
            <w:tcW w:w="2033" w:type="dxa"/>
            <w:vMerge w:val="continue"/>
            <w:vAlign w:val="center"/>
          </w:tcPr>
          <w:p>
            <w:pPr>
              <w:pStyle w:val="32"/>
              <w:spacing w:line="240" w:lineRule="auto"/>
              <w:ind w:firstLine="0" w:firstLineChars="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6#</w:t>
            </w:r>
          </w:p>
        </w:tc>
        <w:tc>
          <w:tcPr>
            <w:tcW w:w="141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奎腾沟井田拟建工业</w:t>
            </w:r>
          </w:p>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场地</w:t>
            </w:r>
          </w:p>
        </w:tc>
        <w:tc>
          <w:tcPr>
            <w:tcW w:w="5148" w:type="dxa"/>
            <w:vMerge w:val="continue"/>
            <w:vAlign w:val="center"/>
          </w:tcPr>
          <w:p>
            <w:pPr>
              <w:pStyle w:val="32"/>
              <w:spacing w:line="240" w:lineRule="auto"/>
              <w:ind w:firstLine="0" w:firstLineChars="0"/>
              <w:jc w:val="center"/>
              <w:rPr>
                <w:rFonts w:ascii="Times New Roman" w:hAnsi="Times New Roman"/>
                <w:sz w:val="21"/>
                <w:szCs w:val="21"/>
              </w:rPr>
            </w:pPr>
          </w:p>
        </w:tc>
        <w:tc>
          <w:tcPr>
            <w:tcW w:w="2033" w:type="dxa"/>
            <w:vMerge w:val="continue"/>
            <w:vAlign w:val="center"/>
          </w:tcPr>
          <w:p>
            <w:pPr>
              <w:pStyle w:val="32"/>
              <w:spacing w:line="240" w:lineRule="auto"/>
              <w:ind w:firstLine="0" w:firstLineChars="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7#</w:t>
            </w:r>
          </w:p>
        </w:tc>
        <w:tc>
          <w:tcPr>
            <w:tcW w:w="141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乌兰淖尔边界处</w:t>
            </w:r>
          </w:p>
        </w:tc>
        <w:tc>
          <w:tcPr>
            <w:tcW w:w="5148" w:type="dxa"/>
            <w:vMerge w:val="continue"/>
            <w:vAlign w:val="center"/>
          </w:tcPr>
          <w:p>
            <w:pPr>
              <w:pStyle w:val="32"/>
              <w:spacing w:line="240" w:lineRule="auto"/>
              <w:ind w:firstLine="0" w:firstLineChars="0"/>
              <w:jc w:val="center"/>
              <w:rPr>
                <w:rFonts w:ascii="Times New Roman" w:hAnsi="Times New Roman"/>
                <w:sz w:val="21"/>
                <w:szCs w:val="21"/>
              </w:rPr>
            </w:pPr>
          </w:p>
        </w:tc>
        <w:tc>
          <w:tcPr>
            <w:tcW w:w="2033" w:type="dxa"/>
            <w:vMerge w:val="continue"/>
            <w:vAlign w:val="center"/>
          </w:tcPr>
          <w:p>
            <w:pPr>
              <w:pStyle w:val="32"/>
              <w:spacing w:line="240" w:lineRule="auto"/>
              <w:ind w:firstLine="0" w:firstLineChars="0"/>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8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8#</w:t>
            </w:r>
          </w:p>
        </w:tc>
        <w:tc>
          <w:tcPr>
            <w:tcW w:w="1418" w:type="dxa"/>
            <w:vAlign w:val="center"/>
          </w:tcPr>
          <w:p>
            <w:pPr>
              <w:pStyle w:val="32"/>
              <w:spacing w:line="240" w:lineRule="auto"/>
              <w:ind w:firstLine="0" w:firstLineChars="0"/>
              <w:jc w:val="center"/>
              <w:rPr>
                <w:rFonts w:ascii="Times New Roman" w:hAnsi="Times New Roman"/>
                <w:sz w:val="21"/>
                <w:szCs w:val="21"/>
              </w:rPr>
            </w:pPr>
            <w:r>
              <w:rPr>
                <w:rFonts w:ascii="Times New Roman" w:hAnsi="Times New Roman"/>
                <w:sz w:val="21"/>
                <w:szCs w:val="21"/>
              </w:rPr>
              <w:t>壕赖苏井田东侧边界处</w:t>
            </w:r>
          </w:p>
        </w:tc>
        <w:tc>
          <w:tcPr>
            <w:tcW w:w="5148" w:type="dxa"/>
            <w:vMerge w:val="continue"/>
            <w:vAlign w:val="center"/>
          </w:tcPr>
          <w:p>
            <w:pPr>
              <w:pStyle w:val="32"/>
              <w:spacing w:line="240" w:lineRule="auto"/>
              <w:ind w:firstLine="0" w:firstLineChars="0"/>
              <w:jc w:val="center"/>
              <w:rPr>
                <w:rFonts w:ascii="Times New Roman" w:hAnsi="Times New Roman"/>
                <w:sz w:val="21"/>
                <w:szCs w:val="21"/>
              </w:rPr>
            </w:pPr>
          </w:p>
        </w:tc>
        <w:tc>
          <w:tcPr>
            <w:tcW w:w="2033" w:type="dxa"/>
            <w:vMerge w:val="continue"/>
            <w:vAlign w:val="center"/>
          </w:tcPr>
          <w:p>
            <w:pPr>
              <w:pStyle w:val="32"/>
              <w:spacing w:line="240" w:lineRule="auto"/>
              <w:ind w:firstLine="0" w:firstLineChars="0"/>
              <w:jc w:val="center"/>
              <w:rPr>
                <w:rFonts w:ascii="Times New Roman" w:hAnsi="Times New Roman"/>
                <w:sz w:val="21"/>
                <w:szCs w:val="21"/>
              </w:rPr>
            </w:pPr>
          </w:p>
        </w:tc>
      </w:tr>
    </w:tbl>
    <w:p>
      <w:pPr>
        <w:adjustRightInd w:val="0"/>
        <w:snapToGrid w:val="0"/>
        <w:spacing w:before="120" w:beforeLines="50" w:line="440" w:lineRule="exact"/>
        <w:ind w:firstLine="480" w:firstLineChars="200"/>
        <w:rPr>
          <w:rFonts w:ascii="Times New Roman" w:hAnsi="Times New Roman"/>
        </w:rPr>
      </w:pPr>
      <w:r>
        <w:rPr>
          <w:rFonts w:ascii="Times New Roman" w:hAnsi="Times New Roman"/>
        </w:rPr>
        <w:t>2）采样与监测时间</w:t>
      </w:r>
    </w:p>
    <w:p>
      <w:pPr>
        <w:adjustRightInd w:val="0"/>
        <w:snapToGrid w:val="0"/>
        <w:spacing w:line="440" w:lineRule="exact"/>
        <w:ind w:firstLine="480" w:firstLineChars="200"/>
        <w:rPr>
          <w:rFonts w:ascii="Times New Roman" w:hAnsi="Times New Roman"/>
        </w:rPr>
      </w:pPr>
      <w:r>
        <w:rPr>
          <w:rFonts w:ascii="Times New Roman" w:hAnsi="Times New Roman"/>
        </w:rPr>
        <w:t>土壤样品采集时间为2020年6月；监测时间为2020年6月30日-7月1日。</w:t>
      </w:r>
    </w:p>
    <w:p>
      <w:pPr>
        <w:numPr>
          <w:ilvl w:val="0"/>
          <w:numId w:val="19"/>
        </w:numPr>
        <w:adjustRightInd w:val="0"/>
        <w:snapToGrid w:val="0"/>
        <w:spacing w:line="440" w:lineRule="exact"/>
        <w:ind w:left="1310"/>
        <w:rPr>
          <w:rFonts w:ascii="Times New Roman" w:hAnsi="Times New Roman"/>
        </w:rPr>
      </w:pPr>
      <w:r>
        <w:rPr>
          <w:rFonts w:ascii="Times New Roman" w:hAnsi="Times New Roman"/>
        </w:rPr>
        <w:t>评价标准</w:t>
      </w:r>
    </w:p>
    <w:p>
      <w:pPr>
        <w:adjustRightInd w:val="0"/>
        <w:snapToGrid w:val="0"/>
        <w:spacing w:line="440" w:lineRule="exact"/>
        <w:ind w:firstLine="482"/>
        <w:rPr>
          <w:rFonts w:ascii="Times New Roman" w:hAnsi="Times New Roman"/>
        </w:rPr>
      </w:pPr>
      <w:r>
        <w:rPr>
          <w:rFonts w:ascii="Times New Roman" w:hAnsi="Times New Roman"/>
        </w:rPr>
        <w:t>矿区内农用地评价标准为《土壤环境质量 农用地土壤污染风险管控标准（试行）》（GB15618-2018）；已建或拟建工业场地评价标准为《土壤环境质量 建设用地土壤污染风险管控标准（试行）》（GB 36600-2018）。</w:t>
      </w:r>
    </w:p>
    <w:p>
      <w:pPr>
        <w:adjustRightInd w:val="0"/>
        <w:snapToGrid w:val="0"/>
        <w:spacing w:line="440" w:lineRule="exact"/>
        <w:ind w:firstLine="482"/>
        <w:rPr>
          <w:rFonts w:ascii="Times New Roman" w:hAnsi="Times New Roman"/>
        </w:rPr>
      </w:pPr>
      <w:r>
        <w:rPr>
          <w:rFonts w:ascii="Times New Roman" w:hAnsi="Times New Roman"/>
        </w:rPr>
        <w:t>土壤盐化与碱化评价标准为《环境影响评价技术导则 土壤环境（试行）》（HJ964-2018）中附录D土壤盐化、酸化、碱化分级标准，见表3.4-14至表3.4-16。</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345"/>
        <w:spacing w:line="440" w:lineRule="exact"/>
        <w:jc w:val="center"/>
        <w:rPr>
          <w:rFonts w:ascii="Times New Roman" w:hAnsi="Times New Roman" w:cs="Times New Roman"/>
        </w:rPr>
      </w:pPr>
      <w:r>
        <w:rPr>
          <w:rFonts w:ascii="Times New Roman" w:hAnsi="Times New Roman" w:cs="Times New Roman"/>
        </w:rPr>
        <w:t>土壤环境质量风险管控标准（试行）</w:t>
      </w:r>
    </w:p>
    <w:p>
      <w:pPr>
        <w:spacing w:line="500" w:lineRule="exact"/>
        <w:outlineLvl w:val="4"/>
        <w:rPr>
          <w:rFonts w:ascii="Times New Roman" w:hAnsi="Times New Roman"/>
          <w:kern w:val="24"/>
        </w:rPr>
      </w:pPr>
      <w:r>
        <w:rPr>
          <w:rFonts w:ascii="Times New Roman" w:hAnsi="Times New Roman"/>
        </w:rPr>
        <w:t xml:space="preserve">表3.4-14   </w:t>
      </w:r>
      <w:r>
        <w:rPr>
          <w:rFonts w:ascii="Times New Roman" w:hAnsi="Times New Roman"/>
          <w:kern w:val="24"/>
        </w:rPr>
        <w:t xml:space="preserve">                                                     单位：mg/kg</w:t>
      </w:r>
    </w:p>
    <w:tbl>
      <w:tblPr>
        <w:tblStyle w:val="59"/>
        <w:tblW w:w="908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241"/>
        <w:gridCol w:w="1961"/>
        <w:gridCol w:w="2942"/>
        <w:gridCol w:w="29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vMerge w:val="restart"/>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因子</w:t>
            </w:r>
          </w:p>
        </w:tc>
        <w:tc>
          <w:tcPr>
            <w:tcW w:w="4903" w:type="dxa"/>
            <w:gridSpan w:val="2"/>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农用地风险筛选值</w:t>
            </w:r>
          </w:p>
        </w:tc>
        <w:tc>
          <w:tcPr>
            <w:tcW w:w="2943" w:type="dxa"/>
            <w:vMerge w:val="restart"/>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建设用地风险筛选值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vMerge w:val="continue"/>
            <w:shd w:val="clear" w:color="auto" w:fill="auto"/>
            <w:vAlign w:val="center"/>
          </w:tcPr>
          <w:p>
            <w:pPr>
              <w:pStyle w:val="909"/>
              <w:spacing w:line="240" w:lineRule="auto"/>
              <w:ind w:firstLine="0" w:firstLineChars="0"/>
              <w:jc w:val="center"/>
              <w:rPr>
                <w:rFonts w:ascii="Times New Roman" w:hAnsi="Times New Roman"/>
                <w:sz w:val="21"/>
              </w:rPr>
            </w:pP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6.5&lt;pH≤7.5</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pH&gt;7.5</w:t>
            </w:r>
          </w:p>
        </w:tc>
        <w:tc>
          <w:tcPr>
            <w:tcW w:w="2943" w:type="dxa"/>
            <w:vMerge w:val="continue"/>
            <w:vAlign w:val="center"/>
          </w:tcPr>
          <w:p>
            <w:pPr>
              <w:pStyle w:val="909"/>
              <w:spacing w:line="240" w:lineRule="auto"/>
              <w:ind w:firstLine="0" w:firstLineChars="0"/>
              <w:jc w:val="center"/>
              <w:rPr>
                <w:rFonts w:ascii="Times New Roman" w:hAnsi="Times New Roman"/>
                <w:sz w:val="2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镉</w:t>
            </w: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0.3</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0.6</w:t>
            </w:r>
          </w:p>
        </w:tc>
        <w:tc>
          <w:tcPr>
            <w:tcW w:w="2943" w:type="dxa"/>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汞</w:t>
            </w: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2.4</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3.4</w:t>
            </w:r>
          </w:p>
        </w:tc>
        <w:tc>
          <w:tcPr>
            <w:tcW w:w="2943" w:type="dxa"/>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38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砷</w:t>
            </w: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30</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25</w:t>
            </w:r>
          </w:p>
        </w:tc>
        <w:tc>
          <w:tcPr>
            <w:tcW w:w="2943" w:type="dxa"/>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60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铅</w:t>
            </w: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120</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170</w:t>
            </w:r>
          </w:p>
        </w:tc>
        <w:tc>
          <w:tcPr>
            <w:tcW w:w="2943" w:type="dxa"/>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800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铬</w:t>
            </w: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200</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250</w:t>
            </w:r>
          </w:p>
        </w:tc>
        <w:tc>
          <w:tcPr>
            <w:tcW w:w="2943" w:type="dxa"/>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铬（六价）</w:t>
            </w: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w:t>
            </w:r>
          </w:p>
        </w:tc>
        <w:tc>
          <w:tcPr>
            <w:tcW w:w="2943" w:type="dxa"/>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5.7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铜</w:t>
            </w: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100</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100</w:t>
            </w:r>
          </w:p>
        </w:tc>
        <w:tc>
          <w:tcPr>
            <w:tcW w:w="2943" w:type="dxa"/>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1800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镍</w:t>
            </w: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100</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190</w:t>
            </w:r>
          </w:p>
        </w:tc>
        <w:tc>
          <w:tcPr>
            <w:tcW w:w="2943" w:type="dxa"/>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900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cantSplit/>
          <w:trHeight w:val="397" w:hRule="exact"/>
          <w:jc w:val="center"/>
        </w:trPr>
        <w:tc>
          <w:tcPr>
            <w:tcW w:w="124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锌</w:t>
            </w:r>
          </w:p>
        </w:tc>
        <w:tc>
          <w:tcPr>
            <w:tcW w:w="1961"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250</w:t>
            </w:r>
          </w:p>
        </w:tc>
        <w:tc>
          <w:tcPr>
            <w:tcW w:w="2942" w:type="dxa"/>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300</w:t>
            </w:r>
          </w:p>
        </w:tc>
        <w:tc>
          <w:tcPr>
            <w:tcW w:w="2943" w:type="dxa"/>
          </w:tcPr>
          <w:p>
            <w:pPr>
              <w:pStyle w:val="909"/>
              <w:spacing w:line="240" w:lineRule="auto"/>
              <w:ind w:firstLine="0" w:firstLineChars="0"/>
              <w:jc w:val="center"/>
              <w:rPr>
                <w:rFonts w:ascii="Times New Roman" w:hAnsi="Times New Roman"/>
                <w:sz w:val="21"/>
              </w:rPr>
            </w:pPr>
            <w:r>
              <w:rPr>
                <w:rFonts w:ascii="Times New Roman" w:hAnsi="Times New Roman"/>
                <w:sz w:val="21"/>
              </w:rPr>
              <w:t>/</w:t>
            </w:r>
          </w:p>
        </w:tc>
      </w:tr>
    </w:tbl>
    <w:p>
      <w:pPr>
        <w:pStyle w:val="345"/>
        <w:spacing w:line="440" w:lineRule="exact"/>
        <w:jc w:val="center"/>
        <w:rPr>
          <w:rFonts w:ascii="Times New Roman" w:hAnsi="Times New Roman" w:cs="Times New Roman"/>
        </w:rPr>
      </w:pPr>
      <w:r>
        <w:rPr>
          <w:rFonts w:ascii="Times New Roman" w:hAnsi="Times New Roman" w:cs="Times New Roman"/>
        </w:rPr>
        <w:t>土壤酸化、碱化分级标准</w:t>
      </w:r>
    </w:p>
    <w:p>
      <w:pPr>
        <w:spacing w:line="500" w:lineRule="exact"/>
        <w:outlineLvl w:val="4"/>
        <w:rPr>
          <w:rFonts w:ascii="Times New Roman" w:hAnsi="Times New Roman"/>
        </w:rPr>
      </w:pPr>
      <w:r>
        <w:rPr>
          <w:rFonts w:ascii="Times New Roman" w:hAnsi="Times New Roman"/>
        </w:rPr>
        <w:t>表3.4-15</w:t>
      </w:r>
    </w:p>
    <w:tbl>
      <w:tblPr>
        <w:tblStyle w:val="59"/>
        <w:tblW w:w="9287" w:type="dxa"/>
        <w:tblInd w:w="0" w:type="dxa"/>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4209"/>
        <w:gridCol w:w="5078"/>
      </w:tblGrid>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土壤pH值</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土壤酸化、碱化强度</w:t>
            </w:r>
          </w:p>
        </w:tc>
      </w:tr>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pH＜3.5</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极重度酸化</w:t>
            </w:r>
          </w:p>
        </w:tc>
      </w:tr>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3.5≤pH≤4.0</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重度酸化</w:t>
            </w:r>
          </w:p>
        </w:tc>
      </w:tr>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4.0≤pH≤4.5</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中度酸化</w:t>
            </w:r>
          </w:p>
        </w:tc>
      </w:tr>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4.5≤pH≤5.5</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轻度酸化</w:t>
            </w:r>
          </w:p>
        </w:tc>
      </w:tr>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5.5≤pH≤8.5</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无酸化或碱化</w:t>
            </w:r>
          </w:p>
        </w:tc>
      </w:tr>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8.5≤pH≤9.0</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轻度碱化</w:t>
            </w:r>
          </w:p>
        </w:tc>
      </w:tr>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9.0≤pH≤9.5</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中度碱化</w:t>
            </w:r>
          </w:p>
        </w:tc>
      </w:tr>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9.5≤pH≤10.0</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重度碱化</w:t>
            </w:r>
          </w:p>
        </w:tc>
      </w:tr>
      <w:tr>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397" w:hRule="exact"/>
        </w:trPr>
        <w:tc>
          <w:tcPr>
            <w:tcW w:w="420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pH≥10.0</w:t>
            </w:r>
          </w:p>
        </w:tc>
        <w:tc>
          <w:tcPr>
            <w:tcW w:w="5078"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909"/>
              <w:spacing w:line="240" w:lineRule="auto"/>
              <w:ind w:firstLine="0" w:firstLineChars="0"/>
              <w:jc w:val="center"/>
              <w:rPr>
                <w:rFonts w:ascii="Times New Roman" w:hAnsi="Times New Roman"/>
                <w:sz w:val="21"/>
              </w:rPr>
            </w:pPr>
            <w:r>
              <w:rPr>
                <w:rFonts w:ascii="Times New Roman" w:hAnsi="Times New Roman"/>
                <w:sz w:val="21"/>
              </w:rPr>
              <w:t>极重度碱化</w:t>
            </w:r>
          </w:p>
        </w:tc>
      </w:tr>
    </w:tbl>
    <w:p>
      <w:pPr>
        <w:pStyle w:val="345"/>
        <w:spacing w:line="440" w:lineRule="exact"/>
        <w:jc w:val="center"/>
        <w:rPr>
          <w:rFonts w:ascii="Times New Roman" w:hAnsi="Times New Roman" w:cs="Times New Roman"/>
        </w:rPr>
      </w:pPr>
      <w:r>
        <w:rPr>
          <w:rFonts w:ascii="Times New Roman" w:hAnsi="Times New Roman" w:cs="Times New Roman"/>
        </w:rPr>
        <w:t>土壤盐化分级标准</w:t>
      </w:r>
    </w:p>
    <w:p>
      <w:pPr>
        <w:spacing w:line="500" w:lineRule="exact"/>
        <w:outlineLvl w:val="4"/>
        <w:rPr>
          <w:rFonts w:ascii="Times New Roman" w:hAnsi="Times New Roman"/>
        </w:rPr>
      </w:pPr>
      <w:r>
        <w:rPr>
          <w:rFonts w:ascii="Times New Roman" w:hAnsi="Times New Roman"/>
        </w:rPr>
        <w:t>表3.4-16</w:t>
      </w:r>
    </w:p>
    <w:tbl>
      <w:tblPr>
        <w:tblStyle w:val="60"/>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43"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分 级</w:t>
            </w:r>
          </w:p>
        </w:tc>
        <w:tc>
          <w:tcPr>
            <w:tcW w:w="4644"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土壤含盐量（干旱、半干旱地区）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43"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未盐化</w:t>
            </w:r>
          </w:p>
        </w:tc>
        <w:tc>
          <w:tcPr>
            <w:tcW w:w="4644"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SSC＜2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43"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轻度盐化</w:t>
            </w:r>
          </w:p>
        </w:tc>
        <w:tc>
          <w:tcPr>
            <w:tcW w:w="4644"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rPr>
              <w:t>2≤</w:t>
            </w:r>
            <w:r>
              <w:rPr>
                <w:rFonts w:ascii="Times New Roman" w:hAnsi="Times New Roman"/>
                <w:kern w:val="0"/>
                <w:sz w:val="21"/>
                <w:szCs w:val="21"/>
              </w:rPr>
              <w:t>SSC＜3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43"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重度盐化</w:t>
            </w:r>
          </w:p>
        </w:tc>
        <w:tc>
          <w:tcPr>
            <w:tcW w:w="4644" w:type="dxa"/>
            <w:vAlign w:val="center"/>
          </w:tcPr>
          <w:p>
            <w:pPr>
              <w:adjustRightInd w:val="0"/>
              <w:snapToGrid w:val="0"/>
              <w:jc w:val="center"/>
              <w:rPr>
                <w:rFonts w:ascii="Times New Roman" w:hAnsi="Times New Roman"/>
                <w:b/>
                <w:bCs/>
                <w:kern w:val="0"/>
                <w:sz w:val="21"/>
                <w:szCs w:val="21"/>
              </w:rPr>
            </w:pPr>
            <w:r>
              <w:rPr>
                <w:rFonts w:ascii="Times New Roman" w:hAnsi="Times New Roman"/>
                <w:kern w:val="0"/>
                <w:sz w:val="21"/>
              </w:rPr>
              <w:t>3≤</w:t>
            </w:r>
            <w:r>
              <w:rPr>
                <w:rFonts w:ascii="Times New Roman" w:hAnsi="Times New Roman"/>
                <w:kern w:val="0"/>
                <w:sz w:val="21"/>
                <w:szCs w:val="21"/>
              </w:rPr>
              <w:t>SSC＜5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43"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重度盐化</w:t>
            </w:r>
          </w:p>
        </w:tc>
        <w:tc>
          <w:tcPr>
            <w:tcW w:w="4644" w:type="dxa"/>
            <w:vAlign w:val="center"/>
          </w:tcPr>
          <w:p>
            <w:pPr>
              <w:adjustRightInd w:val="0"/>
              <w:snapToGrid w:val="0"/>
              <w:jc w:val="center"/>
              <w:rPr>
                <w:rFonts w:ascii="Times New Roman" w:hAnsi="Times New Roman"/>
                <w:b/>
                <w:bCs/>
                <w:kern w:val="0"/>
                <w:sz w:val="21"/>
                <w:szCs w:val="21"/>
              </w:rPr>
            </w:pPr>
            <w:r>
              <w:rPr>
                <w:rFonts w:ascii="Times New Roman" w:hAnsi="Times New Roman"/>
                <w:kern w:val="0"/>
                <w:sz w:val="21"/>
              </w:rPr>
              <w:t>5≤</w:t>
            </w:r>
            <w:r>
              <w:rPr>
                <w:rFonts w:ascii="Times New Roman" w:hAnsi="Times New Roman"/>
                <w:kern w:val="0"/>
                <w:sz w:val="21"/>
                <w:szCs w:val="21"/>
              </w:rPr>
              <w:t>SSC＜10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4643"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极重度盐化</w:t>
            </w:r>
          </w:p>
        </w:tc>
        <w:tc>
          <w:tcPr>
            <w:tcW w:w="4644" w:type="dxa"/>
            <w:vAlign w:val="center"/>
          </w:tcPr>
          <w:p>
            <w:pPr>
              <w:adjustRightInd w:val="0"/>
              <w:snapToGrid w:val="0"/>
              <w:jc w:val="center"/>
              <w:rPr>
                <w:rFonts w:ascii="Times New Roman" w:hAnsi="Times New Roman"/>
                <w:b/>
                <w:bCs/>
                <w:kern w:val="0"/>
                <w:sz w:val="21"/>
                <w:szCs w:val="21"/>
              </w:rPr>
            </w:pPr>
            <w:r>
              <w:rPr>
                <w:rFonts w:ascii="Times New Roman" w:hAnsi="Times New Roman"/>
                <w:kern w:val="0"/>
                <w:sz w:val="21"/>
                <w:szCs w:val="21"/>
              </w:rPr>
              <w:t>SSC</w:t>
            </w:r>
            <w:r>
              <w:rPr>
                <w:rFonts w:ascii="Times New Roman" w:hAnsi="Times New Roman"/>
                <w:kern w:val="0"/>
                <w:sz w:val="21"/>
              </w:rPr>
              <w:t>≥10</w:t>
            </w:r>
          </w:p>
        </w:tc>
      </w:tr>
    </w:tbl>
    <w:p>
      <w:pPr>
        <w:numPr>
          <w:ilvl w:val="0"/>
          <w:numId w:val="19"/>
        </w:numPr>
        <w:adjustRightInd w:val="0"/>
        <w:snapToGrid w:val="0"/>
        <w:spacing w:line="440" w:lineRule="exact"/>
        <w:ind w:left="1310"/>
        <w:rPr>
          <w:rFonts w:ascii="Times New Roman" w:hAnsi="Times New Roman"/>
        </w:rPr>
      </w:pPr>
      <w:r>
        <w:rPr>
          <w:rFonts w:ascii="Times New Roman" w:hAnsi="Times New Roman"/>
        </w:rPr>
        <w:t>污染类土壤环境质量评价</w:t>
      </w:r>
    </w:p>
    <w:p>
      <w:pPr>
        <w:adjustRightInd w:val="0"/>
        <w:snapToGrid w:val="0"/>
        <w:spacing w:line="440" w:lineRule="exact"/>
        <w:ind w:firstLine="482"/>
        <w:rPr>
          <w:rFonts w:ascii="Times New Roman" w:hAnsi="Times New Roman"/>
        </w:rPr>
      </w:pPr>
      <w:r>
        <w:rPr>
          <w:rFonts w:ascii="Times New Roman" w:hAnsi="Times New Roman"/>
        </w:rPr>
        <w:t>对土壤重金属以及挥发性与半挥发性有机物含量进行监测，监测结果见表3.4-17与表3.4-18。</w:t>
      </w:r>
    </w:p>
    <w:p>
      <w:pPr>
        <w:tabs>
          <w:tab w:val="left" w:pos="6840"/>
        </w:tabs>
        <w:topLinePunct/>
        <w:snapToGrid w:val="0"/>
        <w:spacing w:line="440" w:lineRule="exact"/>
        <w:jc w:val="center"/>
        <w:rPr>
          <w:rFonts w:ascii="Times New Roman" w:hAnsi="Times New Roman"/>
          <w:b/>
          <w:kern w:val="24"/>
        </w:rPr>
      </w:pPr>
      <w:r>
        <w:rPr>
          <w:rFonts w:ascii="Times New Roman" w:hAnsi="Times New Roman"/>
          <w:b/>
          <w:kern w:val="24"/>
        </w:rPr>
        <w:t>土壤重金属</w:t>
      </w:r>
      <w:r>
        <w:rPr>
          <w:rFonts w:ascii="Times New Roman" w:hAnsi="Times New Roman"/>
          <w:b/>
          <w:kern w:val="24"/>
          <w:szCs w:val="24"/>
        </w:rPr>
        <w:t>监测</w:t>
      </w:r>
      <w:r>
        <w:rPr>
          <w:rFonts w:ascii="Times New Roman" w:hAnsi="Times New Roman"/>
          <w:b/>
          <w:kern w:val="24"/>
        </w:rPr>
        <w:t>结果</w:t>
      </w:r>
    </w:p>
    <w:p>
      <w:pPr>
        <w:spacing w:line="500" w:lineRule="exact"/>
        <w:outlineLvl w:val="4"/>
        <w:rPr>
          <w:rFonts w:ascii="Times New Roman" w:hAnsi="Times New Roman"/>
          <w:b/>
          <w:kern w:val="24"/>
        </w:rPr>
      </w:pPr>
      <w:r>
        <w:rPr>
          <w:rFonts w:ascii="Times New Roman" w:hAnsi="Times New Roman"/>
        </w:rPr>
        <w:t>表3.4-17</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1008"/>
        <w:gridCol w:w="759"/>
        <w:gridCol w:w="759"/>
        <w:gridCol w:w="759"/>
        <w:gridCol w:w="759"/>
        <w:gridCol w:w="703"/>
        <w:gridCol w:w="759"/>
        <w:gridCol w:w="759"/>
        <w:gridCol w:w="776"/>
        <w:gridCol w:w="759"/>
        <w:gridCol w:w="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监测点编号</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监测</w:t>
            </w:r>
          </w:p>
          <w:p>
            <w:pPr>
              <w:widowControl/>
              <w:jc w:val="center"/>
              <w:rPr>
                <w:rFonts w:ascii="Times New Roman" w:hAnsi="Times New Roman"/>
                <w:kern w:val="0"/>
                <w:sz w:val="21"/>
                <w:szCs w:val="21"/>
              </w:rPr>
            </w:pPr>
            <w:r>
              <w:rPr>
                <w:rFonts w:ascii="Times New Roman" w:hAnsi="Times New Roman"/>
                <w:kern w:val="0"/>
                <w:sz w:val="21"/>
                <w:szCs w:val="21"/>
              </w:rPr>
              <w:t>层位</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pH</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汞</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砷</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镉</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铅</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铬</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锌</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铜</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镍</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*六价铬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0.036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0.717</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0.044</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42</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0-0.5m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0.011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2.46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0.04</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10.8</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59</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vMerge w:val="continue"/>
            <w:shd w:val="clear" w:color="auto" w:fill="auto"/>
            <w:noWrap/>
            <w:vAlign w:val="center"/>
          </w:tcPr>
          <w:p>
            <w:pPr>
              <w:jc w:val="center"/>
              <w:rPr>
                <w:rFonts w:ascii="Times New Roman" w:hAnsi="Times New Roman"/>
                <w:kern w:val="0"/>
                <w:sz w:val="21"/>
                <w:szCs w:val="21"/>
              </w:rPr>
            </w:pP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0.5-1.5m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0.005</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3.3</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0.03</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12.4</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65</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23</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vMerge w:val="continue"/>
            <w:shd w:val="clear" w:color="auto" w:fill="auto"/>
            <w:noWrap/>
            <w:vAlign w:val="center"/>
          </w:tcPr>
          <w:p>
            <w:pPr>
              <w:widowControl/>
              <w:jc w:val="center"/>
              <w:rPr>
                <w:rFonts w:ascii="Times New Roman" w:hAnsi="Times New Roman"/>
                <w:kern w:val="0"/>
                <w:sz w:val="21"/>
                <w:szCs w:val="21"/>
              </w:rPr>
            </w:pP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1.5-3m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0.026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4.2</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0.034</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8.94</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52</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0.008</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2.16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0.054</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38</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15</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10.38</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4.19</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0.043</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9.33</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53</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12</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6#</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8.44</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0.018</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1.86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0.032</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8.04</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66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55</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建设用地风险筛选值</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38</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65</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800</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18000</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900</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5.7</w:t>
            </w:r>
          </w:p>
        </w:tc>
        <w:tc>
          <w:tcPr>
            <w:tcW w:w="616" w:type="dxa"/>
            <w:shd w:val="clear" w:color="auto" w:fill="auto"/>
            <w:noWrap/>
            <w:vAlign w:val="center"/>
          </w:tcPr>
          <w:p>
            <w:pPr>
              <w:widowControl/>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0.041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5.11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0.047</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9.71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38</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14</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7#</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9.68</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0.012</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3.54</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0.045</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8.61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40</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35</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w:t>
            </w:r>
          </w:p>
        </w:tc>
        <w:tc>
          <w:tcPr>
            <w:tcW w:w="100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8.61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0.002</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1.88</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0.049</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8.71</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36</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28</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7</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12</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79" w:type="dxa"/>
            <w:gridSpan w:val="2"/>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农用地风险筛选值</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＞7.5</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3.4</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25</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0.6</w:t>
            </w:r>
          </w:p>
        </w:tc>
        <w:tc>
          <w:tcPr>
            <w:tcW w:w="70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170</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250</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300</w:t>
            </w:r>
          </w:p>
        </w:tc>
        <w:tc>
          <w:tcPr>
            <w:tcW w:w="77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7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190</w:t>
            </w:r>
          </w:p>
        </w:tc>
        <w:tc>
          <w:tcPr>
            <w:tcW w:w="61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r>
    </w:tbl>
    <w:p>
      <w:pPr>
        <w:spacing w:line="500" w:lineRule="exact"/>
        <w:jc w:val="center"/>
        <w:rPr>
          <w:rFonts w:ascii="Times New Roman" w:hAnsi="Times New Roman"/>
          <w:b/>
          <w:kern w:val="24"/>
        </w:rPr>
      </w:pPr>
      <w:r>
        <w:rPr>
          <w:rFonts w:ascii="Times New Roman" w:hAnsi="Times New Roman"/>
          <w:b/>
          <w:kern w:val="24"/>
        </w:rPr>
        <w:t>土壤半挥发性与挥发性有机物</w:t>
      </w:r>
      <w:r>
        <w:rPr>
          <w:rFonts w:ascii="Times New Roman" w:hAnsi="Times New Roman"/>
          <w:b/>
          <w:kern w:val="24"/>
          <w:szCs w:val="24"/>
        </w:rPr>
        <w:t>监测</w:t>
      </w:r>
      <w:r>
        <w:rPr>
          <w:rFonts w:ascii="Times New Roman" w:hAnsi="Times New Roman"/>
          <w:b/>
          <w:kern w:val="24"/>
        </w:rPr>
        <w:t>结果表</w:t>
      </w:r>
    </w:p>
    <w:p>
      <w:pPr>
        <w:spacing w:line="500" w:lineRule="exact"/>
        <w:outlineLvl w:val="4"/>
        <w:rPr>
          <w:rFonts w:ascii="Times New Roman" w:hAnsi="Times New Roman"/>
        </w:rPr>
      </w:pPr>
      <w:r>
        <w:rPr>
          <w:rFonts w:ascii="Times New Roman" w:hAnsi="Times New Roman"/>
        </w:rPr>
        <w:t>表3.4-18</w:t>
      </w:r>
    </w:p>
    <w:tbl>
      <w:tblPr>
        <w:tblStyle w:val="60"/>
        <w:tblW w:w="92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8"/>
        <w:gridCol w:w="822"/>
        <w:gridCol w:w="900"/>
        <w:gridCol w:w="1150"/>
        <w:gridCol w:w="1118"/>
        <w:gridCol w:w="1058"/>
        <w:gridCol w:w="1021"/>
        <w:gridCol w:w="1044"/>
        <w:gridCol w:w="1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vMerge w:val="restart"/>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监测项目</w:t>
            </w:r>
          </w:p>
        </w:tc>
        <w:tc>
          <w:tcPr>
            <w:tcW w:w="822" w:type="dxa"/>
            <w:vMerge w:val="restart"/>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单位</w:t>
            </w:r>
          </w:p>
        </w:tc>
        <w:tc>
          <w:tcPr>
            <w:tcW w:w="900" w:type="dxa"/>
            <w:vMerge w:val="restart"/>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检出限</w:t>
            </w:r>
          </w:p>
        </w:tc>
        <w:tc>
          <w:tcPr>
            <w:tcW w:w="1150" w:type="dxa"/>
            <w:vMerge w:val="restart"/>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1#苏布尔噶井田</w:t>
            </w:r>
          </w:p>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拟建工业场地</w:t>
            </w:r>
          </w:p>
          <w:p>
            <w:pPr>
              <w:widowControl/>
              <w:adjustRightInd w:val="0"/>
              <w:snapToGrid w:val="0"/>
              <w:spacing w:line="220" w:lineRule="exact"/>
              <w:jc w:val="center"/>
              <w:textAlignment w:val="center"/>
              <w:rPr>
                <w:rFonts w:ascii="Times New Roman" w:hAnsi="Times New Roman"/>
                <w:bCs/>
                <w:kern w:val="0"/>
                <w:sz w:val="21"/>
                <w:szCs w:val="21"/>
                <w:lang w:bidi="ar"/>
              </w:rPr>
            </w:pPr>
            <w:r>
              <w:rPr>
                <w:rFonts w:ascii="Times New Roman" w:hAnsi="Times New Roman"/>
                <w:bCs/>
                <w:kern w:val="0"/>
                <w:sz w:val="21"/>
                <w:szCs w:val="21"/>
                <w:lang w:bidi="ar"/>
              </w:rPr>
              <w:t>（0-0.2m）</w:t>
            </w:r>
          </w:p>
        </w:tc>
        <w:tc>
          <w:tcPr>
            <w:tcW w:w="1118" w:type="dxa"/>
            <w:vMerge w:val="restart"/>
            <w:tcBorders>
              <w:tl2br w:val="nil"/>
              <w:tr2bl w:val="nil"/>
            </w:tcBorders>
            <w:vAlign w:val="center"/>
          </w:tcPr>
          <w:p>
            <w:pPr>
              <w:adjustRightInd w:val="0"/>
              <w:snapToGrid w:val="0"/>
              <w:spacing w:line="220" w:lineRule="exact"/>
              <w:jc w:val="center"/>
              <w:rPr>
                <w:rFonts w:ascii="Times New Roman" w:hAnsi="Times New Roman"/>
                <w:bCs/>
                <w:kern w:val="0"/>
                <w:sz w:val="21"/>
                <w:szCs w:val="21"/>
                <w:lang w:bidi="ar"/>
              </w:rPr>
            </w:pPr>
            <w:r>
              <w:rPr>
                <w:rFonts w:ascii="Times New Roman" w:hAnsi="Times New Roman"/>
                <w:kern w:val="0"/>
                <w:sz w:val="21"/>
                <w:szCs w:val="21"/>
              </w:rPr>
              <w:t>3#辅助企业区</w:t>
            </w:r>
          </w:p>
          <w:p>
            <w:pPr>
              <w:widowControl/>
              <w:adjustRightInd w:val="0"/>
              <w:snapToGrid w:val="0"/>
              <w:spacing w:line="220" w:lineRule="exact"/>
              <w:jc w:val="center"/>
              <w:textAlignment w:val="center"/>
              <w:rPr>
                <w:rFonts w:ascii="Times New Roman" w:hAnsi="Times New Roman"/>
                <w:bCs/>
                <w:w w:val="90"/>
                <w:kern w:val="0"/>
                <w:sz w:val="21"/>
                <w:szCs w:val="21"/>
                <w:lang w:bidi="ar"/>
              </w:rPr>
            </w:pPr>
            <w:r>
              <w:rPr>
                <w:rFonts w:ascii="Times New Roman" w:hAnsi="Times New Roman"/>
                <w:bCs/>
                <w:w w:val="90"/>
                <w:kern w:val="0"/>
                <w:sz w:val="21"/>
                <w:szCs w:val="21"/>
                <w:lang w:bidi="ar"/>
              </w:rPr>
              <w:t>（0-0.2m）</w:t>
            </w:r>
          </w:p>
        </w:tc>
        <w:tc>
          <w:tcPr>
            <w:tcW w:w="1058" w:type="dxa"/>
            <w:vMerge w:val="restart"/>
            <w:tcBorders>
              <w:tl2br w:val="nil"/>
              <w:tr2bl w:val="nil"/>
            </w:tcBorders>
            <w:vAlign w:val="center"/>
          </w:tcPr>
          <w:p>
            <w:pPr>
              <w:adjustRightInd w:val="0"/>
              <w:snapToGrid w:val="0"/>
              <w:spacing w:line="220" w:lineRule="exact"/>
              <w:jc w:val="center"/>
              <w:rPr>
                <w:rFonts w:ascii="Times New Roman" w:hAnsi="Times New Roman"/>
                <w:bCs/>
                <w:kern w:val="0"/>
                <w:sz w:val="21"/>
                <w:szCs w:val="21"/>
                <w:lang w:bidi="ar"/>
              </w:rPr>
            </w:pPr>
            <w:r>
              <w:rPr>
                <w:rFonts w:ascii="Times New Roman" w:hAnsi="Times New Roman"/>
                <w:bCs/>
                <w:kern w:val="0"/>
                <w:sz w:val="21"/>
                <w:szCs w:val="21"/>
                <w:lang w:bidi="ar"/>
              </w:rPr>
              <w:t>4#红庆河镇</w:t>
            </w:r>
          </w:p>
          <w:p>
            <w:pPr>
              <w:widowControl/>
              <w:adjustRightInd w:val="0"/>
              <w:snapToGrid w:val="0"/>
              <w:spacing w:line="220" w:lineRule="exact"/>
              <w:jc w:val="center"/>
              <w:textAlignment w:val="center"/>
              <w:rPr>
                <w:rFonts w:ascii="Times New Roman" w:hAnsi="Times New Roman"/>
                <w:bCs/>
                <w:w w:val="90"/>
                <w:kern w:val="0"/>
                <w:sz w:val="21"/>
                <w:szCs w:val="21"/>
                <w:lang w:bidi="ar"/>
              </w:rPr>
            </w:pPr>
            <w:r>
              <w:rPr>
                <w:rFonts w:ascii="Times New Roman" w:hAnsi="Times New Roman"/>
                <w:bCs/>
                <w:w w:val="90"/>
                <w:kern w:val="0"/>
                <w:sz w:val="21"/>
                <w:szCs w:val="21"/>
                <w:lang w:bidi="ar"/>
              </w:rPr>
              <w:t>（0-0.2m）</w:t>
            </w:r>
          </w:p>
        </w:tc>
        <w:tc>
          <w:tcPr>
            <w:tcW w:w="3109" w:type="dxa"/>
            <w:gridSpan w:val="3"/>
            <w:tcBorders>
              <w:tl2br w:val="nil"/>
              <w:tr2bl w:val="nil"/>
            </w:tcBorders>
            <w:vAlign w:val="center"/>
          </w:tcPr>
          <w:p>
            <w:pPr>
              <w:adjustRightInd w:val="0"/>
              <w:snapToGrid w:val="0"/>
              <w:spacing w:line="220" w:lineRule="exact"/>
              <w:jc w:val="center"/>
              <w:rPr>
                <w:rFonts w:ascii="Times New Roman" w:hAnsi="Times New Roman"/>
                <w:bCs/>
                <w:kern w:val="0"/>
                <w:sz w:val="21"/>
                <w:szCs w:val="21"/>
                <w:lang w:bidi="ar"/>
              </w:rPr>
            </w:pPr>
            <w:r>
              <w:rPr>
                <w:rFonts w:ascii="Times New Roman" w:hAnsi="Times New Roman"/>
                <w:bCs/>
                <w:kern w:val="0"/>
                <w:sz w:val="21"/>
                <w:szCs w:val="21"/>
              </w:rPr>
              <w:t>2#纳林希里井田拟建工业场地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vMerge w:val="continue"/>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p>
        </w:tc>
        <w:tc>
          <w:tcPr>
            <w:tcW w:w="822" w:type="dxa"/>
            <w:vMerge w:val="continue"/>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p>
        </w:tc>
        <w:tc>
          <w:tcPr>
            <w:tcW w:w="900" w:type="dxa"/>
            <w:vMerge w:val="continue"/>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p>
        </w:tc>
        <w:tc>
          <w:tcPr>
            <w:tcW w:w="1150" w:type="dxa"/>
            <w:vMerge w:val="continue"/>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p>
        </w:tc>
        <w:tc>
          <w:tcPr>
            <w:tcW w:w="1118" w:type="dxa"/>
            <w:vMerge w:val="continue"/>
            <w:tcBorders>
              <w:tl2br w:val="nil"/>
              <w:tr2bl w:val="nil"/>
            </w:tcBorders>
            <w:vAlign w:val="center"/>
          </w:tcPr>
          <w:p>
            <w:pPr>
              <w:adjustRightInd w:val="0"/>
              <w:snapToGrid w:val="0"/>
              <w:spacing w:line="220" w:lineRule="exact"/>
              <w:jc w:val="center"/>
              <w:rPr>
                <w:rFonts w:ascii="Times New Roman" w:hAnsi="Times New Roman"/>
                <w:kern w:val="0"/>
                <w:sz w:val="21"/>
                <w:szCs w:val="21"/>
              </w:rPr>
            </w:pPr>
          </w:p>
        </w:tc>
        <w:tc>
          <w:tcPr>
            <w:tcW w:w="1058" w:type="dxa"/>
            <w:vMerge w:val="continue"/>
            <w:tcBorders>
              <w:tl2br w:val="nil"/>
              <w:tr2bl w:val="nil"/>
            </w:tcBorders>
            <w:vAlign w:val="center"/>
          </w:tcPr>
          <w:p>
            <w:pPr>
              <w:adjustRightInd w:val="0"/>
              <w:snapToGrid w:val="0"/>
              <w:spacing w:line="220" w:lineRule="exact"/>
              <w:jc w:val="center"/>
              <w:rPr>
                <w:rFonts w:ascii="Times New Roman" w:hAnsi="Times New Roman"/>
                <w:bCs/>
                <w:kern w:val="0"/>
                <w:sz w:val="21"/>
                <w:szCs w:val="21"/>
                <w:lang w:bidi="ar"/>
              </w:rPr>
            </w:pP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lang w:bidi="ar"/>
              </w:rPr>
              <w:t>0-0.5m</w:t>
            </w:r>
          </w:p>
        </w:tc>
        <w:tc>
          <w:tcPr>
            <w:tcW w:w="1044" w:type="dxa"/>
            <w:tcBorders>
              <w:tl2br w:val="nil"/>
              <w:tr2bl w:val="nil"/>
            </w:tcBorders>
            <w:vAlign w:val="center"/>
          </w:tcPr>
          <w:p>
            <w:pPr>
              <w:tabs>
                <w:tab w:val="left" w:pos="739"/>
              </w:tabs>
              <w:jc w:val="center"/>
              <w:rPr>
                <w:rFonts w:ascii="Times New Roman" w:hAnsi="Times New Roman"/>
                <w:kern w:val="0"/>
                <w:sz w:val="21"/>
                <w:szCs w:val="21"/>
                <w:lang w:bidi="ar"/>
              </w:rPr>
            </w:pPr>
            <w:r>
              <w:rPr>
                <w:rFonts w:ascii="Times New Roman" w:hAnsi="Times New Roman"/>
                <w:bCs/>
                <w:spacing w:val="-17"/>
                <w:kern w:val="0"/>
                <w:sz w:val="21"/>
                <w:szCs w:val="21"/>
                <w:lang w:bidi="ar"/>
              </w:rPr>
              <w:t>0.5-1.5m</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lang w:bidi="ar"/>
              </w:rPr>
            </w:pPr>
            <w:r>
              <w:rPr>
                <w:rFonts w:ascii="Times New Roman" w:hAnsi="Times New Roman"/>
                <w:bCs/>
                <w:kern w:val="0"/>
                <w:sz w:val="21"/>
                <w:szCs w:val="21"/>
                <w:lang w:bidi="ar"/>
              </w:rPr>
              <w:t>1.5-3m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硝基苯</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0.09</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苯胺</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0.1</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2-氯酚</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0.06</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苯并[a]蒽</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0.1</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苯并[a]芘</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0.1</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苯并[b]荧蒽</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苯并[k]荧蒽</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0.1</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二苯并[a,h]蒽</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0.1</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茚并[1,2,3-cd]芘</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0.1</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萘</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0.09</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䓛</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kern w:val="0"/>
                <w:sz w:val="21"/>
                <w:szCs w:val="21"/>
              </w:rPr>
            </w:pPr>
            <w:r>
              <w:rPr>
                <w:rFonts w:ascii="Times New Roman" w:hAnsi="Times New Roman"/>
                <w:bCs/>
                <w:kern w:val="0"/>
                <w:sz w:val="21"/>
                <w:szCs w:val="21"/>
              </w:rPr>
              <w:t>mg/kg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kern w:val="0"/>
                <w:sz w:val="21"/>
                <w:szCs w:val="21"/>
              </w:rPr>
            </w:pPr>
            <w:r>
              <w:rPr>
                <w:rFonts w:ascii="Times New Roman" w:hAnsi="Times New Roman"/>
                <w:bCs/>
                <w:kern w:val="0"/>
                <w:sz w:val="21"/>
                <w:szCs w:val="21"/>
              </w:rPr>
              <w:t>0.1</w:t>
            </w:r>
          </w:p>
        </w:tc>
        <w:tc>
          <w:tcPr>
            <w:tcW w:w="1150" w:type="dxa"/>
            <w:tcBorders>
              <w:tl2br w:val="nil"/>
              <w:tr2bl w:val="nil"/>
            </w:tcBorders>
            <w:vAlign w:val="center"/>
          </w:tcPr>
          <w:p>
            <w:pPr>
              <w:adjustRightInd w:val="0"/>
              <w:snapToGrid w:val="0"/>
              <w:spacing w:line="220" w:lineRule="exact"/>
              <w:jc w:val="center"/>
              <w:rPr>
                <w:rFonts w:ascii="Times New Roman" w:hAnsi="Times New Roman"/>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苯</w:t>
            </w:r>
          </w:p>
        </w:tc>
        <w:tc>
          <w:tcPr>
            <w:tcW w:w="822"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1.9</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甲苯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1.3</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乙苯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间-二甲苯+对-二甲苯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苯乙烯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1.1</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邻-二甲苯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1,1-二氯乙烯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1.0</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二氯甲烷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1.5</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反-1,2-二氯乙烯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1.4</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1,1-二氯乙烷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顺-1,2-二氯乙烯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1.3</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三氯甲烷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1.1</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1,2-二氯乙烷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1.3</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1,1,1-三氯乙烷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1.3</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四氯化碳</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1.3</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1,2二氯丙烷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1.1</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三氯乙烯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1,1,2-三氯乙烷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四氯乙烯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1.4</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1,1,1,2-四氯乙烷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1,2,3-三氯丙烷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1,1,2,2-四氯乙烷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氯甲烷</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1.0</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氯乙烯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1.0</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氯苯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1,4-二氯苯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1.5</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28"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1,2-二氯苯</w:t>
            </w:r>
          </w:p>
        </w:tc>
        <w:tc>
          <w:tcPr>
            <w:tcW w:w="822"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μg/kg</w:t>
            </w:r>
          </w:p>
        </w:tc>
        <w:tc>
          <w:tcPr>
            <w:tcW w:w="900" w:type="dxa"/>
            <w:tcBorders>
              <w:tl2br w:val="nil"/>
              <w:tr2bl w:val="nil"/>
            </w:tcBorders>
            <w:vAlign w:val="center"/>
          </w:tcPr>
          <w:p>
            <w:pPr>
              <w:tabs>
                <w:tab w:val="left" w:pos="5946"/>
                <w:tab w:val="center" w:pos="7156"/>
              </w:tabs>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1.5</w:t>
            </w:r>
          </w:p>
        </w:tc>
        <w:tc>
          <w:tcPr>
            <w:tcW w:w="1150"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11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58"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21"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c>
          <w:tcPr>
            <w:tcW w:w="1044" w:type="dxa"/>
            <w:tcBorders>
              <w:tl2br w:val="nil"/>
              <w:tr2bl w:val="nil"/>
            </w:tcBorders>
            <w:vAlign w:val="center"/>
          </w:tcPr>
          <w:p>
            <w:pPr>
              <w:adjustRightInd w:val="0"/>
              <w:snapToGrid w:val="0"/>
              <w:spacing w:line="220" w:lineRule="exact"/>
              <w:jc w:val="center"/>
              <w:rPr>
                <w:rFonts w:ascii="Times New Roman" w:hAnsi="Times New Roman"/>
                <w:bCs/>
                <w:kern w:val="0"/>
                <w:sz w:val="21"/>
                <w:szCs w:val="21"/>
              </w:rPr>
            </w:pPr>
            <w:r>
              <w:rPr>
                <w:rFonts w:ascii="Times New Roman" w:hAnsi="Times New Roman"/>
                <w:bCs/>
                <w:kern w:val="0"/>
                <w:sz w:val="21"/>
                <w:szCs w:val="21"/>
              </w:rPr>
              <w:t>ND</w:t>
            </w:r>
          </w:p>
        </w:tc>
      </w:tr>
    </w:tbl>
    <w:p>
      <w:pPr>
        <w:adjustRightInd w:val="0"/>
        <w:snapToGrid w:val="0"/>
        <w:spacing w:line="440" w:lineRule="exact"/>
        <w:ind w:firstLine="482"/>
        <w:rPr>
          <w:rFonts w:ascii="Times New Roman" w:hAnsi="Times New Roman"/>
        </w:rPr>
      </w:pPr>
      <w:r>
        <w:rPr>
          <w:rFonts w:ascii="Times New Roman" w:hAnsi="Times New Roman"/>
        </w:rPr>
        <w:t>从表3.4-17与表3.4-18可以看出，各监测点挥发性与半挥发性有机污染物均未检出。拟建工业场地与辅助企业区各监测因子均满足《土壤环境质量 建设用地土壤污染风险管控标准（试行）》（GB 36600-2018），其他农用地均满足《土壤环境质量 农用地土壤污染风险管控标准（试行）》（GB15618-2018）。总体而言，土壤环境质量较好。</w:t>
      </w:r>
    </w:p>
    <w:p>
      <w:pPr>
        <w:adjustRightInd w:val="0"/>
        <w:snapToGrid w:val="0"/>
        <w:spacing w:line="440" w:lineRule="exact"/>
        <w:ind w:firstLine="482"/>
        <w:rPr>
          <w:rFonts w:ascii="Times New Roman" w:hAnsi="Times New Roman"/>
          <w:b/>
          <w:bCs/>
        </w:rPr>
      </w:pPr>
      <w:r>
        <w:rPr>
          <w:rFonts w:ascii="Times New Roman" w:hAnsi="Times New Roman"/>
          <w:b/>
          <w:bCs/>
        </w:rPr>
        <w:t>（4）生态类土壤环境质量评价</w:t>
      </w:r>
    </w:p>
    <w:p>
      <w:pPr>
        <w:adjustRightInd w:val="0"/>
        <w:snapToGrid w:val="0"/>
        <w:spacing w:line="440" w:lineRule="exact"/>
        <w:ind w:firstLine="482"/>
        <w:rPr>
          <w:rFonts w:ascii="Times New Roman" w:hAnsi="Times New Roman"/>
          <w:b/>
          <w:kern w:val="24"/>
        </w:rPr>
      </w:pPr>
      <w:r>
        <w:rPr>
          <w:rFonts w:ascii="Times New Roman" w:hAnsi="Times New Roman"/>
        </w:rPr>
        <w:t>根据《环境影响评价技术导则 土壤环境（试行）》（HJ964-2018）中附录D土壤盐化、酸化、碱化分级标准，本次监测及分析结果见表3.4-19。各监测点监测结果表明，5#壕赖苏井田拟建工业场地土壤为极重度盐化，其他均未盐化；监测pH的四个点位除6#无酸化或碱化外，其他三个点均存在不同程度的碱化。</w:t>
      </w:r>
    </w:p>
    <w:p>
      <w:pPr>
        <w:tabs>
          <w:tab w:val="left" w:pos="6840"/>
        </w:tabs>
        <w:topLinePunct/>
        <w:snapToGrid w:val="0"/>
        <w:spacing w:line="440" w:lineRule="exact"/>
        <w:jc w:val="center"/>
        <w:rPr>
          <w:rFonts w:ascii="Times New Roman" w:hAnsi="Times New Roman"/>
          <w:b/>
          <w:kern w:val="24"/>
        </w:rPr>
      </w:pPr>
      <w:r>
        <w:rPr>
          <w:rFonts w:ascii="Times New Roman" w:hAnsi="Times New Roman"/>
          <w:b/>
          <w:kern w:val="24"/>
        </w:rPr>
        <w:t>土壤盐化、酸化、</w:t>
      </w:r>
      <w:r>
        <w:rPr>
          <w:rFonts w:ascii="Times New Roman" w:hAnsi="Times New Roman"/>
          <w:b/>
          <w:kern w:val="24"/>
          <w:szCs w:val="24"/>
        </w:rPr>
        <w:t>碱化监测</w:t>
      </w:r>
      <w:r>
        <w:rPr>
          <w:rFonts w:ascii="Times New Roman" w:hAnsi="Times New Roman"/>
          <w:b/>
          <w:kern w:val="24"/>
        </w:rPr>
        <w:t>结果分析</w:t>
      </w:r>
    </w:p>
    <w:p>
      <w:pPr>
        <w:spacing w:line="500" w:lineRule="exact"/>
        <w:outlineLvl w:val="4"/>
        <w:rPr>
          <w:rFonts w:ascii="Times New Roman" w:hAnsi="Times New Roman"/>
        </w:rPr>
      </w:pPr>
      <w:r>
        <w:rPr>
          <w:rFonts w:ascii="Times New Roman" w:hAnsi="Times New Roman"/>
        </w:rPr>
        <w:t>表3.4-19</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2"/>
        <w:gridCol w:w="1296"/>
        <w:gridCol w:w="2221"/>
        <w:gridCol w:w="2064"/>
        <w:gridCol w:w="932"/>
        <w:gridCol w:w="20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tcPr>
          <w:p>
            <w:pPr>
              <w:widowControl/>
              <w:jc w:val="center"/>
              <w:rPr>
                <w:rFonts w:ascii="Times New Roman" w:hAnsi="Times New Roman"/>
                <w:kern w:val="0"/>
                <w:sz w:val="21"/>
                <w:szCs w:val="21"/>
              </w:rPr>
            </w:pPr>
            <w:r>
              <w:rPr>
                <w:rFonts w:ascii="Times New Roman" w:hAnsi="Times New Roman"/>
                <w:kern w:val="0"/>
                <w:sz w:val="21"/>
                <w:szCs w:val="21"/>
              </w:rPr>
              <w:t>监测点编号</w:t>
            </w: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监测层位</w:t>
            </w:r>
          </w:p>
        </w:tc>
        <w:tc>
          <w:tcPr>
            <w:tcW w:w="222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土壤含盐量（SSC）</w:t>
            </w:r>
          </w:p>
          <w:p>
            <w:pPr>
              <w:jc w:val="center"/>
              <w:rPr>
                <w:rFonts w:ascii="Times New Roman" w:hAnsi="Times New Roman"/>
                <w:kern w:val="0"/>
                <w:sz w:val="21"/>
                <w:szCs w:val="21"/>
              </w:rPr>
            </w:pPr>
            <w:r>
              <w:rPr>
                <w:rFonts w:ascii="Times New Roman" w:hAnsi="Times New Roman"/>
                <w:kern w:val="0"/>
                <w:sz w:val="21"/>
                <w:szCs w:val="21"/>
              </w:rPr>
              <w:t>g/kg</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盐化程度</w:t>
            </w:r>
          </w:p>
        </w:tc>
        <w:tc>
          <w:tcPr>
            <w:tcW w:w="932"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pH值</w:t>
            </w:r>
          </w:p>
        </w:tc>
        <w:tc>
          <w:tcPr>
            <w:tcW w:w="2012"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碱化程度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Align w:val="center"/>
          </w:tcPr>
          <w:p>
            <w:pPr>
              <w:widowControl/>
              <w:jc w:val="center"/>
              <w:rPr>
                <w:rFonts w:ascii="Times New Roman" w:hAnsi="Times New Roman"/>
                <w:kern w:val="0"/>
                <w:sz w:val="21"/>
                <w:szCs w:val="21"/>
              </w:rPr>
            </w:pPr>
            <w:r>
              <w:rPr>
                <w:rFonts w:ascii="Times New Roman" w:hAnsi="Times New Roman"/>
                <w:kern w:val="0"/>
                <w:sz w:val="21"/>
                <w:szCs w:val="21"/>
              </w:rPr>
              <w:t>1#</w:t>
            </w: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222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2064" w:type="dxa"/>
            <w:vAlign w:val="center"/>
          </w:tcPr>
          <w:p>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932" w:type="dxa"/>
            <w:vAlign w:val="center"/>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2012" w:type="dxa"/>
          </w:tcPr>
          <w:p>
            <w:pPr>
              <w:widowControl/>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Merge w:val="restart"/>
            <w:vAlign w:val="center"/>
          </w:tcPr>
          <w:p>
            <w:pPr>
              <w:widowControl/>
              <w:jc w:val="center"/>
              <w:rPr>
                <w:rFonts w:ascii="Times New Roman" w:hAnsi="Times New Roman"/>
                <w:kern w:val="0"/>
                <w:sz w:val="21"/>
                <w:szCs w:val="21"/>
              </w:rPr>
            </w:pPr>
            <w:r>
              <w:rPr>
                <w:rFonts w:ascii="Times New Roman" w:hAnsi="Times New Roman"/>
                <w:spacing w:val="-20"/>
                <w:sz w:val="21"/>
                <w:szCs w:val="21"/>
              </w:rPr>
              <w:t>2#</w:t>
            </w: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22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1.6</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93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201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Merge w:val="continue"/>
            <w:vAlign w:val="center"/>
          </w:tcPr>
          <w:p>
            <w:pPr>
              <w:widowControl/>
              <w:jc w:val="center"/>
              <w:rPr>
                <w:rFonts w:ascii="Times New Roman" w:hAnsi="Times New Roman"/>
                <w:spacing w:val="-20"/>
                <w:sz w:val="21"/>
                <w:szCs w:val="21"/>
              </w:rPr>
            </w:pP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0.5-1.5 m</w:t>
            </w:r>
          </w:p>
        </w:tc>
        <w:tc>
          <w:tcPr>
            <w:tcW w:w="22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1.8</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93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201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Merge w:val="continue"/>
            <w:vAlign w:val="center"/>
          </w:tcPr>
          <w:p>
            <w:pPr>
              <w:widowControl/>
              <w:jc w:val="center"/>
              <w:rPr>
                <w:rFonts w:ascii="Times New Roman" w:hAnsi="Times New Roman"/>
                <w:spacing w:val="-20"/>
                <w:sz w:val="21"/>
                <w:szCs w:val="21"/>
              </w:rPr>
            </w:pP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1.5-3 m</w:t>
            </w:r>
          </w:p>
        </w:tc>
        <w:tc>
          <w:tcPr>
            <w:tcW w:w="22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0.1</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93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201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Align w:val="center"/>
          </w:tcPr>
          <w:p>
            <w:pPr>
              <w:widowControl/>
              <w:jc w:val="center"/>
              <w:rPr>
                <w:rFonts w:ascii="Times New Roman" w:hAnsi="Times New Roman"/>
                <w:kern w:val="0"/>
                <w:sz w:val="21"/>
                <w:szCs w:val="21"/>
              </w:rPr>
            </w:pPr>
            <w:r>
              <w:rPr>
                <w:rFonts w:ascii="Times New Roman" w:hAnsi="Times New Roman"/>
                <w:sz w:val="21"/>
                <w:szCs w:val="21"/>
              </w:rPr>
              <w:t>3#</w:t>
            </w: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22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0.3</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93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201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Align w:val="center"/>
          </w:tcPr>
          <w:p>
            <w:pPr>
              <w:widowControl/>
              <w:jc w:val="center"/>
              <w:rPr>
                <w:rFonts w:ascii="Times New Roman" w:hAnsi="Times New Roman"/>
                <w:kern w:val="0"/>
                <w:sz w:val="21"/>
                <w:szCs w:val="21"/>
              </w:rPr>
            </w:pPr>
            <w:r>
              <w:rPr>
                <w:rFonts w:ascii="Times New Roman" w:hAnsi="Times New Roman"/>
                <w:sz w:val="21"/>
                <w:szCs w:val="21"/>
              </w:rPr>
              <w:t>4#</w:t>
            </w: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22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0.5</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93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c>
          <w:tcPr>
            <w:tcW w:w="2012" w:type="dxa"/>
            <w:shd w:val="clear" w:color="auto" w:fill="auto"/>
            <w:noWrap/>
          </w:tcPr>
          <w:p>
            <w:pPr>
              <w:widowControl/>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Align w:val="center"/>
          </w:tcPr>
          <w:p>
            <w:pPr>
              <w:widowControl/>
              <w:jc w:val="center"/>
              <w:rPr>
                <w:rFonts w:ascii="Times New Roman" w:hAnsi="Times New Roman"/>
                <w:kern w:val="0"/>
                <w:sz w:val="21"/>
                <w:szCs w:val="21"/>
              </w:rPr>
            </w:pPr>
            <w:r>
              <w:rPr>
                <w:rFonts w:ascii="Times New Roman" w:hAnsi="Times New Roman"/>
                <w:sz w:val="21"/>
                <w:szCs w:val="21"/>
              </w:rPr>
              <w:t>5#</w:t>
            </w: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22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12.1</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极重度盐化</w:t>
            </w:r>
          </w:p>
        </w:tc>
        <w:tc>
          <w:tcPr>
            <w:tcW w:w="93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10.38</w:t>
            </w:r>
          </w:p>
        </w:tc>
        <w:tc>
          <w:tcPr>
            <w:tcW w:w="2012"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极重度碱化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Align w:val="center"/>
          </w:tcPr>
          <w:p>
            <w:pPr>
              <w:widowControl/>
              <w:jc w:val="center"/>
              <w:rPr>
                <w:rFonts w:ascii="Times New Roman" w:hAnsi="Times New Roman"/>
                <w:kern w:val="0"/>
                <w:sz w:val="21"/>
                <w:szCs w:val="21"/>
              </w:rPr>
            </w:pPr>
            <w:r>
              <w:rPr>
                <w:rFonts w:ascii="Times New Roman" w:hAnsi="Times New Roman"/>
                <w:sz w:val="21"/>
                <w:szCs w:val="21"/>
              </w:rPr>
              <w:t>6#</w:t>
            </w: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22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0.1</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93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8.44</w:t>
            </w:r>
          </w:p>
        </w:tc>
        <w:tc>
          <w:tcPr>
            <w:tcW w:w="2012"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无酸化或碱化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Align w:val="center"/>
          </w:tcPr>
          <w:p>
            <w:pPr>
              <w:widowControl/>
              <w:jc w:val="center"/>
              <w:rPr>
                <w:rFonts w:ascii="Times New Roman" w:hAnsi="Times New Roman"/>
                <w:kern w:val="0"/>
                <w:sz w:val="21"/>
                <w:szCs w:val="21"/>
              </w:rPr>
            </w:pPr>
            <w:r>
              <w:rPr>
                <w:rFonts w:ascii="Times New Roman" w:hAnsi="Times New Roman"/>
                <w:sz w:val="21"/>
                <w:szCs w:val="21"/>
              </w:rPr>
              <w:t>7#</w:t>
            </w: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22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1.7</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93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9.68</w:t>
            </w:r>
          </w:p>
        </w:tc>
        <w:tc>
          <w:tcPr>
            <w:tcW w:w="2012"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重度碱化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62" w:type="dxa"/>
            <w:vAlign w:val="center"/>
          </w:tcPr>
          <w:p>
            <w:pPr>
              <w:widowControl/>
              <w:jc w:val="center"/>
              <w:rPr>
                <w:rFonts w:ascii="Times New Roman" w:hAnsi="Times New Roman"/>
                <w:kern w:val="0"/>
                <w:sz w:val="21"/>
                <w:szCs w:val="21"/>
              </w:rPr>
            </w:pPr>
            <w:r>
              <w:rPr>
                <w:rFonts w:ascii="Times New Roman" w:hAnsi="Times New Roman"/>
                <w:sz w:val="21"/>
                <w:szCs w:val="21"/>
              </w:rPr>
              <w:t>8#</w:t>
            </w:r>
          </w:p>
        </w:tc>
        <w:tc>
          <w:tcPr>
            <w:tcW w:w="1296" w:type="dxa"/>
            <w:vAlign w:val="center"/>
          </w:tcPr>
          <w:p>
            <w:pPr>
              <w:widowControl/>
              <w:jc w:val="center"/>
              <w:rPr>
                <w:rFonts w:ascii="Times New Roman" w:hAnsi="Times New Roman"/>
                <w:kern w:val="0"/>
                <w:sz w:val="21"/>
                <w:szCs w:val="21"/>
              </w:rPr>
            </w:pPr>
            <w:r>
              <w:rPr>
                <w:rFonts w:ascii="Times New Roman" w:hAnsi="Times New Roman"/>
                <w:kern w:val="0"/>
                <w:sz w:val="21"/>
                <w:szCs w:val="21"/>
              </w:rPr>
              <w:t>0-0.2m</w:t>
            </w:r>
          </w:p>
        </w:tc>
        <w:tc>
          <w:tcPr>
            <w:tcW w:w="22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0.2</w:t>
            </w:r>
          </w:p>
        </w:tc>
        <w:tc>
          <w:tcPr>
            <w:tcW w:w="206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未盐化</w:t>
            </w:r>
          </w:p>
        </w:tc>
        <w:tc>
          <w:tcPr>
            <w:tcW w:w="93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lang w:bidi="ar"/>
              </w:rPr>
              <w:t>8.61</w:t>
            </w:r>
          </w:p>
        </w:tc>
        <w:tc>
          <w:tcPr>
            <w:tcW w:w="2012"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轻度碱化</w:t>
            </w:r>
          </w:p>
        </w:tc>
      </w:tr>
    </w:tbl>
    <w:p>
      <w:pPr>
        <w:pStyle w:val="4"/>
        <w:adjustRightInd w:val="0"/>
        <w:snapToGrid w:val="0"/>
        <w:spacing w:before="360" w:line="440" w:lineRule="exact"/>
        <w:jc w:val="left"/>
        <w:rPr>
          <w:rFonts w:ascii="Times New Roman" w:hAnsi="Times New Roman" w:eastAsia="宋体"/>
          <w:sz w:val="28"/>
        </w:rPr>
      </w:pPr>
      <w:bookmarkStart w:id="158" w:name="_Toc11990"/>
      <w:r>
        <w:rPr>
          <w:rFonts w:ascii="Times New Roman" w:hAnsi="Times New Roman" w:eastAsia="宋体"/>
          <w:sz w:val="28"/>
        </w:rPr>
        <w:t>3.5 矿区生态环境现状</w:t>
      </w:r>
      <w:bookmarkEnd w:id="156"/>
      <w:r>
        <w:rPr>
          <w:rFonts w:ascii="Times New Roman" w:hAnsi="Times New Roman" w:eastAsia="宋体"/>
          <w:sz w:val="28"/>
        </w:rPr>
        <w:t>调查与评价</w:t>
      </w:r>
      <w:bookmarkEnd w:id="157"/>
      <w:bookmarkEnd w:id="158"/>
    </w:p>
    <w:p>
      <w:pPr>
        <w:pStyle w:val="5"/>
        <w:adjustRightInd w:val="0"/>
        <w:snapToGrid w:val="0"/>
        <w:spacing w:before="0" w:after="0" w:line="440" w:lineRule="exact"/>
        <w:rPr>
          <w:b w:val="0"/>
          <w:bCs/>
          <w:kern w:val="0"/>
          <w:szCs w:val="32"/>
        </w:rPr>
      </w:pPr>
      <w:bookmarkStart w:id="159" w:name="_Toc408312725"/>
      <w:r>
        <w:rPr>
          <w:bCs/>
          <w:kern w:val="0"/>
          <w:sz w:val="24"/>
          <w:szCs w:val="32"/>
        </w:rPr>
        <w:t>3.5.1 总则</w:t>
      </w:r>
      <w:bookmarkEnd w:id="159"/>
    </w:p>
    <w:p>
      <w:pPr>
        <w:keepNext/>
        <w:keepLines/>
        <w:spacing w:line="440" w:lineRule="exact"/>
        <w:outlineLvl w:val="3"/>
        <w:rPr>
          <w:rFonts w:ascii="Times New Roman" w:hAnsi="Times New Roman"/>
          <w:b/>
          <w:szCs w:val="21"/>
        </w:rPr>
      </w:pPr>
      <w:bookmarkStart w:id="160" w:name="_Toc408312726"/>
      <w:r>
        <w:rPr>
          <w:rFonts w:ascii="Times New Roman" w:hAnsi="Times New Roman"/>
          <w:b/>
          <w:szCs w:val="21"/>
        </w:rPr>
        <w:t>3.5.1.1 生态功能定位与保护目标</w:t>
      </w:r>
      <w:bookmarkEnd w:id="160"/>
    </w:p>
    <w:p>
      <w:pPr>
        <w:spacing w:line="440" w:lineRule="exact"/>
        <w:ind w:firstLine="480" w:firstLineChars="200"/>
        <w:rPr>
          <w:rFonts w:ascii="Times New Roman" w:hAnsi="Times New Roman"/>
        </w:rPr>
      </w:pPr>
      <w:bookmarkStart w:id="161" w:name="_Toc408312727"/>
      <w:r>
        <w:rPr>
          <w:rFonts w:ascii="Times New Roman" w:hAnsi="Times New Roman"/>
          <w:szCs w:val="24"/>
        </w:rPr>
        <w:t>根据《全国生态功能区划》，矿区位于“鄂尔多斯高原中部防风固沙功能区”。</w:t>
      </w:r>
    </w:p>
    <w:p>
      <w:pPr>
        <w:adjustRightInd w:val="0"/>
        <w:snapToGrid w:val="0"/>
        <w:spacing w:line="440" w:lineRule="exact"/>
        <w:ind w:firstLine="480" w:firstLineChars="200"/>
        <w:rPr>
          <w:rFonts w:ascii="Times New Roman" w:hAnsi="Times New Roman"/>
        </w:rPr>
      </w:pPr>
      <w:r>
        <w:rPr>
          <w:rFonts w:hint="eastAsia" w:ascii="Times New Roman" w:hAnsi="Times New Roman"/>
        </w:rPr>
        <w:t>根据《内蒙古自治区生态功能区划》和《鄂尔多斯市生态功能区划》，矿区属于</w:t>
      </w:r>
      <w:bookmarkStart w:id="162" w:name="_Hlk119071224"/>
      <w:r>
        <w:rPr>
          <w:rFonts w:hint="eastAsia" w:ascii="Times New Roman" w:hAnsi="Times New Roman"/>
        </w:rPr>
        <w:t>鄂尔多斯高原典型草原沙漠化控制生态功能区</w:t>
      </w:r>
      <w:bookmarkEnd w:id="162"/>
      <w:r>
        <w:rPr>
          <w:rFonts w:hint="eastAsia" w:ascii="Times New Roman" w:hAnsi="Times New Roman"/>
        </w:rPr>
        <w:t>，矿区在内蒙古生态功能区划中的位置见图</w:t>
      </w:r>
      <w:r>
        <w:rPr>
          <w:rFonts w:ascii="Times New Roman" w:hAnsi="Times New Roman"/>
        </w:rPr>
        <w:t>1.4-1，矿区在鄂尔多斯市生态功能区划中的位置见图1.4-2。</w:t>
      </w:r>
    </w:p>
    <w:p>
      <w:pPr>
        <w:adjustRightInd w:val="0"/>
        <w:snapToGrid w:val="0"/>
        <w:spacing w:line="440" w:lineRule="exact"/>
        <w:ind w:firstLine="480" w:firstLineChars="200"/>
        <w:rPr>
          <w:rFonts w:ascii="Times New Roman" w:hAnsi="Times New Roman"/>
        </w:rPr>
      </w:pPr>
      <w:r>
        <w:rPr>
          <w:rFonts w:ascii="Times New Roman" w:hAnsi="Times New Roman"/>
        </w:rPr>
        <w:t>鄂尔多斯高原典型草原沙漠化控制生态功能区存在的主要环境问题是严重的水土流失，土地沙化和植被退化；主要生态服务功能为保持水土、防止侵蚀，减少入黄泥沙；在生态保护方向上以保护和恢复植被为重点，禁止开荒和滥樵采，制止过度放牧，推广利用新能源，以建设灌丛草场和具有防护林网、灌溉条件的饲草料基地，建设人畜饮水工程和划区轮牧为主要措施，恢复自然植被，实现草畜平衡，建成草原生态经济区。保护保存植被比较完整、生物多样性资源较丰富的区域。建立重要的生物多样性保护生态功能区。在生态建设上必须符合当地自然规律和生态准入的原则；在资源开发中必须符合生态标准和国家产业政策，加强生态环境监管，限制和禁止对矿产资源的不合理开采活动。</w:t>
      </w:r>
    </w:p>
    <w:p>
      <w:pPr>
        <w:keepNext/>
        <w:keepLines/>
        <w:spacing w:line="440" w:lineRule="exact"/>
        <w:outlineLvl w:val="3"/>
        <w:rPr>
          <w:rFonts w:ascii="Times New Roman" w:hAnsi="Times New Roman"/>
          <w:b/>
          <w:szCs w:val="24"/>
        </w:rPr>
      </w:pPr>
      <w:r>
        <w:rPr>
          <w:rFonts w:ascii="Times New Roman" w:hAnsi="Times New Roman"/>
          <w:b/>
          <w:szCs w:val="24"/>
        </w:rPr>
        <w:t>3.5.1.2 评价范围</w:t>
      </w:r>
      <w:bookmarkEnd w:id="161"/>
    </w:p>
    <w:p>
      <w:pPr>
        <w:spacing w:line="440" w:lineRule="exact"/>
        <w:ind w:firstLine="480" w:firstLineChars="200"/>
      </w:pPr>
      <w:bookmarkStart w:id="163" w:name="_Toc408312728"/>
      <w:r>
        <w:rPr>
          <w:rFonts w:ascii="Times New Roman" w:hAnsi="Times New Roman"/>
          <w:szCs w:val="24"/>
        </w:rPr>
        <w:t>根据《环境影响评价技术导则 生态影响》（HJ 19-2022）的要求，</w:t>
      </w:r>
      <w:r>
        <w:rPr>
          <w:rFonts w:hint="eastAsia" w:ascii="Times New Roman" w:hAnsi="Times New Roman"/>
          <w:szCs w:val="24"/>
        </w:rPr>
        <w:t>考虑生态系统完整性及生物多样性保护要求，涵盖全部活动的直接影响区域和间接影响区域。根据当地地貌特征、区域特点、土地利用与生态功能分区，结合矿区开发对生态环境的影响特征，确定评价范围为矿区外扩</w:t>
      </w:r>
      <w:r>
        <w:rPr>
          <w:rFonts w:ascii="Times New Roman" w:hAnsi="Times New Roman"/>
          <w:szCs w:val="24"/>
        </w:rPr>
        <w:t>2500m，面积为1050.90km</w:t>
      </w:r>
      <w:r>
        <w:rPr>
          <w:rFonts w:ascii="Times New Roman" w:hAnsi="Times New Roman"/>
          <w:szCs w:val="24"/>
          <w:vertAlign w:val="superscript"/>
        </w:rPr>
        <w:t>2</w:t>
      </w:r>
      <w:r>
        <w:rPr>
          <w:rFonts w:ascii="Times New Roman" w:hAnsi="Times New Roman"/>
          <w:szCs w:val="24"/>
        </w:rPr>
        <w:t>。</w:t>
      </w:r>
    </w:p>
    <w:p>
      <w:pPr>
        <w:pStyle w:val="5"/>
        <w:adjustRightInd w:val="0"/>
        <w:snapToGrid w:val="0"/>
        <w:spacing w:before="0" w:after="0" w:line="440" w:lineRule="exact"/>
        <w:rPr>
          <w:b w:val="0"/>
          <w:bCs/>
          <w:kern w:val="0"/>
          <w:szCs w:val="32"/>
        </w:rPr>
      </w:pPr>
      <w:r>
        <w:rPr>
          <w:bCs/>
          <w:kern w:val="0"/>
          <w:sz w:val="24"/>
          <w:szCs w:val="32"/>
        </w:rPr>
        <w:t>3.5.2 矿区生态环境现状调查</w:t>
      </w:r>
      <w:bookmarkEnd w:id="163"/>
    </w:p>
    <w:p>
      <w:pPr>
        <w:spacing w:line="440" w:lineRule="exact"/>
        <w:ind w:firstLine="480" w:firstLineChars="200"/>
        <w:rPr>
          <w:rFonts w:ascii="Times New Roman" w:hAnsi="Times New Roman"/>
          <w:szCs w:val="24"/>
        </w:rPr>
      </w:pPr>
      <w:bookmarkStart w:id="164" w:name="_Toc408312729"/>
      <w:r>
        <w:rPr>
          <w:rFonts w:ascii="Times New Roman" w:hAnsi="Times New Roman"/>
          <w:szCs w:val="24"/>
        </w:rPr>
        <w:t>为了解矿区生态环境现状，把握矿区生态特点和生态保护关键因素，同时为生态影响评价提供基础数据，本次评价采用遥感解译和现场调查相结合的方法，进行生态现状评价。</w:t>
      </w:r>
    </w:p>
    <w:p>
      <w:pPr>
        <w:keepNext/>
        <w:keepLines/>
        <w:spacing w:line="440" w:lineRule="exact"/>
        <w:outlineLvl w:val="3"/>
        <w:rPr>
          <w:rFonts w:ascii="Times New Roman" w:hAnsi="Times New Roman"/>
          <w:b/>
          <w:szCs w:val="24"/>
        </w:rPr>
      </w:pPr>
      <w:r>
        <w:rPr>
          <w:rFonts w:ascii="Times New Roman" w:hAnsi="Times New Roman"/>
          <w:b/>
          <w:szCs w:val="24"/>
        </w:rPr>
        <w:t>3.5.2.1 现状调查</w:t>
      </w:r>
      <w:bookmarkEnd w:id="164"/>
    </w:p>
    <w:p>
      <w:pPr>
        <w:spacing w:line="440" w:lineRule="exact"/>
        <w:ind w:firstLine="482" w:firstLineChars="200"/>
        <w:rPr>
          <w:rFonts w:ascii="Times New Roman" w:hAnsi="Times New Roman"/>
          <w:b/>
          <w:szCs w:val="24"/>
        </w:rPr>
      </w:pPr>
      <w:r>
        <w:rPr>
          <w:rFonts w:ascii="Times New Roman" w:hAnsi="Times New Roman"/>
          <w:b/>
          <w:szCs w:val="24"/>
        </w:rPr>
        <w:t>（1）基础信息数据收集</w:t>
      </w:r>
    </w:p>
    <w:p>
      <w:pPr>
        <w:spacing w:line="440" w:lineRule="exact"/>
        <w:ind w:firstLine="480" w:firstLineChars="200"/>
        <w:rPr>
          <w:rFonts w:ascii="Times New Roman" w:hAnsi="Times New Roman"/>
          <w:szCs w:val="24"/>
        </w:rPr>
      </w:pPr>
      <w:r>
        <w:rPr>
          <w:rFonts w:ascii="Times New Roman" w:hAnsi="Times New Roman"/>
          <w:szCs w:val="24"/>
        </w:rPr>
        <w:t>基础信息包括如下三个方面：</w:t>
      </w:r>
    </w:p>
    <w:p>
      <w:pPr>
        <w:spacing w:line="440" w:lineRule="exact"/>
        <w:ind w:firstLine="480" w:firstLineChars="200"/>
        <w:rPr>
          <w:rFonts w:ascii="Times New Roman" w:hAnsi="Times New Roman"/>
          <w:szCs w:val="24"/>
        </w:rPr>
      </w:pPr>
      <w:r>
        <w:rPr>
          <w:rFonts w:ascii="Times New Roman" w:hAnsi="Times New Roman"/>
          <w:szCs w:val="24"/>
        </w:rPr>
        <w:t>1）自然环境要素：地质、地貌、气候、水文、土壤、植被等方面。</w:t>
      </w:r>
    </w:p>
    <w:p>
      <w:pPr>
        <w:spacing w:line="440" w:lineRule="exact"/>
        <w:ind w:firstLine="480" w:firstLineChars="200"/>
        <w:rPr>
          <w:rFonts w:ascii="Times New Roman" w:hAnsi="Times New Roman"/>
          <w:szCs w:val="24"/>
        </w:rPr>
      </w:pPr>
      <w:r>
        <w:rPr>
          <w:rFonts w:ascii="Times New Roman" w:hAnsi="Times New Roman"/>
          <w:szCs w:val="24"/>
        </w:rPr>
        <w:t>2）社会经济条件：人口、经济发展、产业布局等方面。</w:t>
      </w:r>
    </w:p>
    <w:p>
      <w:pPr>
        <w:spacing w:line="440" w:lineRule="exact"/>
        <w:ind w:firstLine="480" w:firstLineChars="200"/>
        <w:rPr>
          <w:rFonts w:ascii="Times New Roman" w:hAnsi="Times New Roman"/>
          <w:szCs w:val="24"/>
        </w:rPr>
      </w:pPr>
      <w:r>
        <w:rPr>
          <w:rFonts w:ascii="Times New Roman" w:hAnsi="Times New Roman"/>
          <w:szCs w:val="24"/>
        </w:rPr>
        <w:t>3）人类活动及其影响：土地利用、城镇分布、道路交通、污染物排放、环境质量状况等方面。</w:t>
      </w:r>
    </w:p>
    <w:p>
      <w:pPr>
        <w:spacing w:line="440" w:lineRule="exact"/>
        <w:ind w:firstLine="482" w:firstLineChars="200"/>
        <w:rPr>
          <w:rFonts w:ascii="Times New Roman" w:hAnsi="Times New Roman"/>
          <w:b/>
          <w:szCs w:val="24"/>
        </w:rPr>
      </w:pPr>
      <w:r>
        <w:rPr>
          <w:rFonts w:ascii="Times New Roman" w:hAnsi="Times New Roman"/>
          <w:b/>
          <w:szCs w:val="24"/>
        </w:rPr>
        <w:t>（2）遥感数据源的选择与解译</w:t>
      </w:r>
    </w:p>
    <w:p>
      <w:pPr>
        <w:spacing w:line="440" w:lineRule="exact"/>
        <w:ind w:firstLine="480" w:firstLineChars="200"/>
        <w:rPr>
          <w:rFonts w:ascii="Times New Roman" w:hAnsi="Times New Roman"/>
          <w:szCs w:val="24"/>
        </w:rPr>
      </w:pPr>
      <w:r>
        <w:rPr>
          <w:rFonts w:ascii="Times New Roman" w:hAnsi="Times New Roman"/>
          <w:szCs w:val="24"/>
        </w:rPr>
        <w:t>解译使用的信息源为高分一号（GF-1）卫星PMS相机获取的遥感影像，全色波段空间分辨率2米，多光谱波段空间分辨率8.0m。数据获取时间为2020年7月1日，选取这一时间段遥感数据，主要考虑该时间段地表信息相对丰富，有利于对各生态环境因子的读判。GF-1影像各谱段具体用途见表3.5-1。</w:t>
      </w:r>
    </w:p>
    <w:p>
      <w:pPr>
        <w:spacing w:line="440" w:lineRule="exact"/>
        <w:ind w:firstLine="480" w:firstLineChars="200"/>
        <w:rPr>
          <w:rFonts w:ascii="Times New Roman" w:hAnsi="Times New Roman"/>
          <w:szCs w:val="24"/>
        </w:rPr>
      </w:pPr>
      <w:r>
        <w:rPr>
          <w:rFonts w:ascii="Times New Roman" w:hAnsi="Times New Roman"/>
          <w:szCs w:val="24"/>
        </w:rPr>
        <w:t>地面调查主要采取以实地调查为主，普查、详查相结合的方法。实地调查掌握项目区范围内自然生态环境的基本情况，特别是林草地的类型及分布状况。通过对技术人员、政府管理部门等访问调查，了解生态现状以及近几年各种因素的变化、水土流失严重程度、生态环境建设的规划与设想等。</w:t>
      </w:r>
    </w:p>
    <w:p>
      <w:pPr>
        <w:spacing w:line="440" w:lineRule="exact"/>
        <w:ind w:firstLine="480" w:firstLineChars="200"/>
        <w:rPr>
          <w:rFonts w:ascii="Times New Roman" w:hAnsi="Times New Roman"/>
          <w:szCs w:val="24"/>
        </w:rPr>
      </w:pPr>
      <w:r>
        <w:rPr>
          <w:rFonts w:ascii="Times New Roman" w:hAnsi="Times New Roman"/>
          <w:szCs w:val="24"/>
        </w:rPr>
        <w:t>现场调查在实地调查的基础上，结合卫星影像图，取得植被组成、土地利用现状、地形地貌、土壤性质等第一手资料，经与自然资源局等有关部门核对，再次实地调查与补充，最后利用ArcMap软件绘制评价区相关生态图件和数据统计表。</w:t>
      </w:r>
    </w:p>
    <w:p>
      <w:pPr>
        <w:spacing w:line="529" w:lineRule="exact"/>
        <w:jc w:val="center"/>
        <w:rPr>
          <w:rFonts w:ascii="Times New Roman" w:hAnsi="Times New Roman"/>
          <w:b/>
          <w:bCs/>
          <w:kern w:val="24"/>
          <w:szCs w:val="24"/>
        </w:rPr>
      </w:pPr>
      <w:r>
        <w:rPr>
          <w:rFonts w:ascii="Times New Roman" w:hAnsi="Times New Roman"/>
          <w:b/>
          <w:szCs w:val="24"/>
        </w:rPr>
        <w:t>GF-1影像各谱段具体用途表</w:t>
      </w:r>
    </w:p>
    <w:p>
      <w:pPr>
        <w:outlineLvl w:val="4"/>
        <w:rPr>
          <w:rFonts w:ascii="Times New Roman" w:hAnsi="Times New Roman"/>
          <w:szCs w:val="24"/>
        </w:rPr>
      </w:pPr>
      <w:r>
        <w:rPr>
          <w:rFonts w:ascii="Times New Roman" w:hAnsi="Times New Roman"/>
          <w:szCs w:val="24"/>
        </w:rPr>
        <w:t>表3.5-1</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5"/>
        <w:gridCol w:w="1172"/>
        <w:gridCol w:w="5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85" w:type="dxa"/>
            <w:vAlign w:val="center"/>
          </w:tcPr>
          <w:p>
            <w:pPr>
              <w:jc w:val="center"/>
              <w:rPr>
                <w:rFonts w:ascii="Times New Roman" w:hAnsi="Times New Roman"/>
                <w:sz w:val="21"/>
                <w:szCs w:val="21"/>
              </w:rPr>
            </w:pPr>
            <w:r>
              <w:rPr>
                <w:rFonts w:ascii="Times New Roman" w:hAnsi="Times New Roman"/>
                <w:bCs/>
                <w:sz w:val="21"/>
                <w:szCs w:val="21"/>
              </w:rPr>
              <w:t>波 段</w:t>
            </w:r>
          </w:p>
        </w:tc>
        <w:tc>
          <w:tcPr>
            <w:tcW w:w="1172" w:type="dxa"/>
            <w:vAlign w:val="center"/>
          </w:tcPr>
          <w:p>
            <w:pPr>
              <w:jc w:val="center"/>
              <w:rPr>
                <w:rFonts w:ascii="Times New Roman" w:hAnsi="Times New Roman"/>
                <w:bCs/>
                <w:sz w:val="21"/>
                <w:szCs w:val="21"/>
              </w:rPr>
            </w:pPr>
            <w:r>
              <w:rPr>
                <w:rFonts w:ascii="Times New Roman" w:hAnsi="Times New Roman"/>
                <w:bCs/>
                <w:sz w:val="21"/>
                <w:szCs w:val="21"/>
              </w:rPr>
              <w:t>分辨率</w:t>
            </w:r>
          </w:p>
        </w:tc>
        <w:tc>
          <w:tcPr>
            <w:tcW w:w="5730" w:type="dxa"/>
            <w:vAlign w:val="center"/>
          </w:tcPr>
          <w:p>
            <w:pPr>
              <w:jc w:val="center"/>
              <w:rPr>
                <w:rFonts w:ascii="Times New Roman" w:hAnsi="Times New Roman"/>
                <w:bCs/>
                <w:sz w:val="21"/>
                <w:szCs w:val="21"/>
              </w:rPr>
            </w:pPr>
            <w:r>
              <w:rPr>
                <w:rFonts w:ascii="Times New Roman" w:hAnsi="Times New Roman"/>
                <w:bCs/>
                <w:sz w:val="21"/>
                <w:szCs w:val="21"/>
              </w:rPr>
              <w:t>功  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85" w:type="dxa"/>
            <w:vAlign w:val="center"/>
          </w:tcPr>
          <w:p>
            <w:pPr>
              <w:jc w:val="center"/>
              <w:rPr>
                <w:rFonts w:ascii="Times New Roman" w:hAnsi="Times New Roman"/>
                <w:sz w:val="21"/>
                <w:szCs w:val="21"/>
              </w:rPr>
            </w:pPr>
            <w:r>
              <w:rPr>
                <w:rFonts w:ascii="Times New Roman" w:hAnsi="Times New Roman"/>
                <w:sz w:val="21"/>
                <w:szCs w:val="21"/>
              </w:rPr>
              <w:t>PA：0.455-0.745μm</w:t>
            </w:r>
          </w:p>
        </w:tc>
        <w:tc>
          <w:tcPr>
            <w:tcW w:w="1172" w:type="dxa"/>
            <w:vAlign w:val="center"/>
          </w:tcPr>
          <w:p>
            <w:pPr>
              <w:jc w:val="center"/>
              <w:rPr>
                <w:rFonts w:ascii="Times New Roman" w:hAnsi="Times New Roman"/>
                <w:sz w:val="21"/>
                <w:szCs w:val="21"/>
              </w:rPr>
            </w:pPr>
            <w:r>
              <w:rPr>
                <w:rFonts w:ascii="Times New Roman" w:hAnsi="Times New Roman"/>
                <w:sz w:val="21"/>
                <w:szCs w:val="21"/>
              </w:rPr>
              <w:t>1.5m</w:t>
            </w:r>
          </w:p>
        </w:tc>
        <w:tc>
          <w:tcPr>
            <w:tcW w:w="5730" w:type="dxa"/>
            <w:vAlign w:val="center"/>
          </w:tcPr>
          <w:p>
            <w:pPr>
              <w:jc w:val="left"/>
              <w:rPr>
                <w:rFonts w:ascii="Times New Roman" w:hAnsi="Times New Roman"/>
                <w:sz w:val="21"/>
                <w:szCs w:val="21"/>
              </w:rPr>
            </w:pPr>
            <w:r>
              <w:rPr>
                <w:rFonts w:ascii="Times New Roman" w:hAnsi="Times New Roman"/>
                <w:sz w:val="21"/>
                <w:szCs w:val="21"/>
              </w:rPr>
              <w:t>几何制图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85" w:type="dxa"/>
            <w:vAlign w:val="center"/>
          </w:tcPr>
          <w:p>
            <w:pPr>
              <w:jc w:val="center"/>
              <w:rPr>
                <w:rFonts w:ascii="Times New Roman" w:hAnsi="Times New Roman"/>
                <w:sz w:val="21"/>
                <w:szCs w:val="21"/>
              </w:rPr>
            </w:pPr>
            <w:r>
              <w:rPr>
                <w:rFonts w:ascii="Times New Roman" w:hAnsi="Times New Roman"/>
                <w:sz w:val="21"/>
                <w:szCs w:val="21"/>
              </w:rPr>
              <w:t>B1：0.455-0.525μm</w:t>
            </w:r>
          </w:p>
        </w:tc>
        <w:tc>
          <w:tcPr>
            <w:tcW w:w="1172" w:type="dxa"/>
            <w:vAlign w:val="center"/>
          </w:tcPr>
          <w:p>
            <w:pPr>
              <w:widowControl/>
              <w:jc w:val="center"/>
              <w:rPr>
                <w:rFonts w:ascii="Times New Roman" w:hAnsi="Times New Roman"/>
                <w:sz w:val="21"/>
                <w:szCs w:val="21"/>
              </w:rPr>
            </w:pPr>
            <w:r>
              <w:rPr>
                <w:rFonts w:ascii="Times New Roman" w:hAnsi="Times New Roman"/>
                <w:sz w:val="21"/>
                <w:szCs w:val="21"/>
              </w:rPr>
              <w:t>6m</w:t>
            </w:r>
          </w:p>
        </w:tc>
        <w:tc>
          <w:tcPr>
            <w:tcW w:w="5730" w:type="dxa"/>
            <w:vAlign w:val="center"/>
          </w:tcPr>
          <w:p>
            <w:pPr>
              <w:jc w:val="left"/>
              <w:rPr>
                <w:rFonts w:ascii="Times New Roman" w:hAnsi="Times New Roman"/>
                <w:sz w:val="21"/>
                <w:szCs w:val="21"/>
              </w:rPr>
            </w:pPr>
            <w:r>
              <w:rPr>
                <w:rFonts w:ascii="Times New Roman" w:hAnsi="Times New Roman"/>
                <w:sz w:val="21"/>
                <w:szCs w:val="21"/>
              </w:rPr>
              <w:t>绘制水系图和森林图，识别土壤和常绿、落叶植被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85" w:type="dxa"/>
            <w:vAlign w:val="center"/>
          </w:tcPr>
          <w:p>
            <w:pPr>
              <w:jc w:val="center"/>
              <w:rPr>
                <w:rFonts w:ascii="Times New Roman" w:hAnsi="Times New Roman"/>
                <w:sz w:val="21"/>
                <w:szCs w:val="21"/>
              </w:rPr>
            </w:pPr>
            <w:r>
              <w:rPr>
                <w:rFonts w:ascii="Times New Roman" w:hAnsi="Times New Roman"/>
                <w:sz w:val="21"/>
                <w:szCs w:val="21"/>
              </w:rPr>
              <w:t>B2：0.530-0.590μm</w:t>
            </w:r>
          </w:p>
        </w:tc>
        <w:tc>
          <w:tcPr>
            <w:tcW w:w="1172" w:type="dxa"/>
            <w:vAlign w:val="center"/>
          </w:tcPr>
          <w:p>
            <w:pPr>
              <w:widowControl/>
              <w:jc w:val="center"/>
              <w:rPr>
                <w:rFonts w:ascii="Times New Roman" w:hAnsi="Times New Roman"/>
                <w:sz w:val="21"/>
                <w:szCs w:val="21"/>
              </w:rPr>
            </w:pPr>
            <w:r>
              <w:rPr>
                <w:rFonts w:ascii="Times New Roman" w:hAnsi="Times New Roman"/>
                <w:sz w:val="21"/>
                <w:szCs w:val="21"/>
              </w:rPr>
              <w:t>6m</w:t>
            </w:r>
          </w:p>
        </w:tc>
        <w:tc>
          <w:tcPr>
            <w:tcW w:w="5730" w:type="dxa"/>
            <w:vAlign w:val="center"/>
          </w:tcPr>
          <w:p>
            <w:pPr>
              <w:jc w:val="left"/>
              <w:rPr>
                <w:rFonts w:ascii="Times New Roman" w:hAnsi="Times New Roman"/>
                <w:sz w:val="21"/>
                <w:szCs w:val="21"/>
              </w:rPr>
            </w:pPr>
            <w:r>
              <w:rPr>
                <w:rFonts w:ascii="Times New Roman" w:hAnsi="Times New Roman"/>
                <w:sz w:val="21"/>
                <w:szCs w:val="21"/>
              </w:rPr>
              <w:t>探测健康植物绿色反射率和反映水下特征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85" w:type="dxa"/>
            <w:vAlign w:val="center"/>
          </w:tcPr>
          <w:p>
            <w:pPr>
              <w:jc w:val="center"/>
              <w:rPr>
                <w:rFonts w:ascii="Times New Roman" w:hAnsi="Times New Roman"/>
                <w:sz w:val="21"/>
                <w:szCs w:val="21"/>
              </w:rPr>
            </w:pPr>
            <w:r>
              <w:rPr>
                <w:rFonts w:ascii="Times New Roman" w:hAnsi="Times New Roman"/>
                <w:sz w:val="21"/>
                <w:szCs w:val="21"/>
              </w:rPr>
              <w:t>B3：0.625-0.695μm</w:t>
            </w:r>
          </w:p>
        </w:tc>
        <w:tc>
          <w:tcPr>
            <w:tcW w:w="1172" w:type="dxa"/>
            <w:vAlign w:val="center"/>
          </w:tcPr>
          <w:p>
            <w:pPr>
              <w:widowControl/>
              <w:jc w:val="center"/>
              <w:rPr>
                <w:rFonts w:ascii="Times New Roman" w:hAnsi="Times New Roman"/>
                <w:sz w:val="21"/>
                <w:szCs w:val="21"/>
              </w:rPr>
            </w:pPr>
            <w:r>
              <w:rPr>
                <w:rFonts w:ascii="Times New Roman" w:hAnsi="Times New Roman"/>
                <w:sz w:val="21"/>
                <w:szCs w:val="21"/>
              </w:rPr>
              <w:t>6m</w:t>
            </w:r>
          </w:p>
        </w:tc>
        <w:tc>
          <w:tcPr>
            <w:tcW w:w="5730" w:type="dxa"/>
            <w:vAlign w:val="center"/>
          </w:tcPr>
          <w:p>
            <w:pPr>
              <w:jc w:val="left"/>
              <w:rPr>
                <w:rFonts w:ascii="Times New Roman" w:hAnsi="Times New Roman"/>
                <w:sz w:val="21"/>
                <w:szCs w:val="21"/>
              </w:rPr>
            </w:pPr>
            <w:r>
              <w:rPr>
                <w:rFonts w:ascii="Times New Roman" w:hAnsi="Times New Roman"/>
                <w:sz w:val="21"/>
                <w:szCs w:val="21"/>
              </w:rPr>
              <w:t>测量植物叶绿素吸收率，进行植被分类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85" w:type="dxa"/>
            <w:vAlign w:val="center"/>
          </w:tcPr>
          <w:p>
            <w:pPr>
              <w:jc w:val="center"/>
              <w:rPr>
                <w:rFonts w:ascii="Times New Roman" w:hAnsi="Times New Roman"/>
                <w:sz w:val="21"/>
                <w:szCs w:val="21"/>
              </w:rPr>
            </w:pPr>
            <w:r>
              <w:rPr>
                <w:rFonts w:ascii="Times New Roman" w:hAnsi="Times New Roman"/>
                <w:sz w:val="21"/>
                <w:szCs w:val="21"/>
              </w:rPr>
              <w:t>B4：0.760-0.890μm</w:t>
            </w:r>
          </w:p>
        </w:tc>
        <w:tc>
          <w:tcPr>
            <w:tcW w:w="1172" w:type="dxa"/>
            <w:vAlign w:val="center"/>
          </w:tcPr>
          <w:p>
            <w:pPr>
              <w:jc w:val="center"/>
              <w:rPr>
                <w:rFonts w:ascii="Times New Roman" w:hAnsi="Times New Roman"/>
                <w:sz w:val="21"/>
                <w:szCs w:val="21"/>
              </w:rPr>
            </w:pPr>
            <w:r>
              <w:rPr>
                <w:rFonts w:ascii="Times New Roman" w:hAnsi="Times New Roman"/>
                <w:sz w:val="21"/>
                <w:szCs w:val="21"/>
              </w:rPr>
              <w:t>6m</w:t>
            </w:r>
          </w:p>
        </w:tc>
        <w:tc>
          <w:tcPr>
            <w:tcW w:w="5730" w:type="dxa"/>
            <w:vAlign w:val="center"/>
          </w:tcPr>
          <w:p>
            <w:pPr>
              <w:jc w:val="left"/>
              <w:rPr>
                <w:rFonts w:ascii="Times New Roman" w:hAnsi="Times New Roman"/>
                <w:sz w:val="21"/>
                <w:szCs w:val="21"/>
              </w:rPr>
            </w:pPr>
            <w:r>
              <w:rPr>
                <w:rFonts w:ascii="Times New Roman" w:hAnsi="Times New Roman"/>
                <w:sz w:val="21"/>
                <w:szCs w:val="21"/>
              </w:rPr>
              <w:t>用于生物量和作物长势的测定</w:t>
            </w:r>
          </w:p>
        </w:tc>
      </w:tr>
    </w:tbl>
    <w:p>
      <w:pPr>
        <w:spacing w:line="440" w:lineRule="exact"/>
        <w:ind w:firstLine="480" w:firstLineChars="200"/>
        <w:rPr>
          <w:rFonts w:ascii="Times New Roman" w:hAnsi="Times New Roman"/>
          <w:szCs w:val="24"/>
        </w:rPr>
      </w:pPr>
      <w:r>
        <w:rPr>
          <w:rFonts w:ascii="Times New Roman" w:hAnsi="Times New Roman"/>
          <w:szCs w:val="24"/>
        </w:rPr>
        <w:t>遥感解译指从图像获取信息的基本过程。即根据各专业的要求，运用解译标志和实践经验与知识，从遥感影像上识别目标，定性、定量地提取出目标的分布、结构、功能等有关信息，并把它们表示在地理底图上的过程。遥感影像的解译标志是遥感图像上能直接反映和判别地物信息的影像特征。包括形状、大小、阴影、色调、颜色、纹理、图案、位置和布局。本次评价选用RGB_321（即光谱段321组合）合成假彩色图像，见图3.5-1，作为解译和矢量化标准。</w:t>
      </w:r>
    </w:p>
    <w:p>
      <w:pPr>
        <w:keepNext/>
        <w:keepLines/>
        <w:spacing w:line="440" w:lineRule="exact"/>
        <w:outlineLvl w:val="3"/>
        <w:rPr>
          <w:rFonts w:ascii="Times New Roman" w:hAnsi="Times New Roman"/>
          <w:b/>
          <w:szCs w:val="24"/>
        </w:rPr>
      </w:pPr>
      <w:r>
        <w:rPr>
          <w:rFonts w:ascii="Times New Roman" w:hAnsi="Times New Roman"/>
          <w:b/>
          <w:szCs w:val="24"/>
        </w:rPr>
        <w:t>3.5.2.2 地形地貌现状调查与评价</w:t>
      </w:r>
    </w:p>
    <w:p>
      <w:pPr>
        <w:adjustRightInd w:val="0"/>
        <w:snapToGrid w:val="0"/>
        <w:spacing w:line="440" w:lineRule="exact"/>
        <w:ind w:firstLine="480" w:firstLineChars="200"/>
        <w:rPr>
          <w:rFonts w:ascii="Times New Roman" w:hAnsi="Times New Roman"/>
          <w:szCs w:val="24"/>
        </w:rPr>
      </w:pPr>
      <w:bookmarkStart w:id="165" w:name="_Toc408312730"/>
      <w:r>
        <w:rPr>
          <w:szCs w:val="24"/>
        </w:rPr>
        <w:t>纳林希里矿区位于鄂尔多斯高原东北部，区内呈西北高、东南低的斜坡状地形，海拔标高一般在</w:t>
      </w:r>
      <w:r>
        <w:rPr>
          <w:rFonts w:ascii="Times New Roman" w:hAnsi="Times New Roman"/>
          <w:szCs w:val="24"/>
        </w:rPr>
        <w:t>1300</w:t>
      </w:r>
      <w:r>
        <w:rPr>
          <w:szCs w:val="24"/>
        </w:rPr>
        <w:t>～</w:t>
      </w:r>
      <w:r>
        <w:rPr>
          <w:rFonts w:ascii="Times New Roman" w:hAnsi="Times New Roman"/>
          <w:szCs w:val="24"/>
        </w:rPr>
        <w:t>1500m</w:t>
      </w:r>
      <w:r>
        <w:rPr>
          <w:szCs w:val="24"/>
        </w:rPr>
        <w:t>之间</w:t>
      </w:r>
      <w:r>
        <w:rPr>
          <w:rFonts w:hint="eastAsia" w:cs="宋体"/>
          <w:szCs w:val="24"/>
        </w:rPr>
        <w:t>，</w:t>
      </w:r>
      <w:r>
        <w:rPr>
          <w:szCs w:val="24"/>
        </w:rPr>
        <w:t>最大高差</w:t>
      </w:r>
      <w:r>
        <w:rPr>
          <w:rFonts w:ascii="Times New Roman" w:hAnsi="Times New Roman"/>
          <w:szCs w:val="24"/>
        </w:rPr>
        <w:t>274m</w:t>
      </w:r>
      <w:r>
        <w:rPr>
          <w:szCs w:val="24"/>
        </w:rPr>
        <w:t>，区内地表起伏不大。受毛乌素沙漠的影响，地面多被风积沙覆盖，形成平缓洼地及梁地相间的风积丘陵地貌。评价区地形地貌图见图</w:t>
      </w:r>
      <w:r>
        <w:rPr>
          <w:rFonts w:ascii="Times New Roman" w:hAnsi="Times New Roman"/>
          <w:szCs w:val="24"/>
        </w:rPr>
        <w:t>3.5-2</w:t>
      </w:r>
      <w:r>
        <w:rPr>
          <w:szCs w:val="24"/>
        </w:rPr>
        <w:t>。</w:t>
      </w:r>
    </w:p>
    <w:p>
      <w:pPr>
        <w:keepNext/>
        <w:keepLines/>
        <w:spacing w:line="440" w:lineRule="exact"/>
        <w:outlineLvl w:val="3"/>
        <w:rPr>
          <w:rFonts w:ascii="Times New Roman" w:hAnsi="Times New Roman"/>
          <w:b/>
          <w:szCs w:val="24"/>
        </w:rPr>
      </w:pPr>
      <w:r>
        <w:rPr>
          <w:rFonts w:ascii="Times New Roman" w:hAnsi="Times New Roman"/>
          <w:b/>
          <w:szCs w:val="24"/>
        </w:rPr>
        <w:t>3.5.2.3 土地利用现状评价</w:t>
      </w:r>
      <w:bookmarkEnd w:id="165"/>
    </w:p>
    <w:p>
      <w:pPr>
        <w:spacing w:line="440" w:lineRule="exact"/>
        <w:ind w:firstLine="482" w:firstLineChars="200"/>
        <w:rPr>
          <w:rFonts w:ascii="Times New Roman" w:hAnsi="Times New Roman"/>
          <w:b/>
          <w:szCs w:val="24"/>
        </w:rPr>
      </w:pPr>
      <w:bookmarkStart w:id="166" w:name="_Toc64861914"/>
      <w:bookmarkStart w:id="167" w:name="_Toc64862058"/>
      <w:r>
        <w:rPr>
          <w:rFonts w:ascii="Times New Roman" w:hAnsi="Times New Roman"/>
          <w:b/>
          <w:szCs w:val="24"/>
        </w:rPr>
        <w:t>（1）土地利用分析系统</w:t>
      </w:r>
      <w:bookmarkEnd w:id="166"/>
      <w:bookmarkEnd w:id="167"/>
    </w:p>
    <w:p>
      <w:pPr>
        <w:spacing w:line="440" w:lineRule="exact"/>
        <w:ind w:firstLine="480" w:firstLineChars="200"/>
        <w:rPr>
          <w:rFonts w:ascii="Times New Roman" w:hAnsi="Times New Roman"/>
          <w:szCs w:val="24"/>
        </w:rPr>
      </w:pPr>
      <w:r>
        <w:rPr>
          <w:rFonts w:ascii="Times New Roman" w:hAnsi="Times New Roman"/>
          <w:szCs w:val="24"/>
        </w:rPr>
        <w:t>依据《土地利用现状分类》（GB/T 21010-2017），结合项目组对矿区内土地利用状况进行的实地调查，把评价区分为8个一级类，22个二级类。</w:t>
      </w:r>
      <w:bookmarkStart w:id="168" w:name="_Toc64861915"/>
      <w:bookmarkStart w:id="169" w:name="_Toc64862059"/>
    </w:p>
    <w:p>
      <w:pPr>
        <w:spacing w:line="440" w:lineRule="exact"/>
        <w:ind w:firstLine="482" w:firstLineChars="200"/>
        <w:rPr>
          <w:rFonts w:ascii="Times New Roman" w:hAnsi="Times New Roman"/>
          <w:b/>
          <w:szCs w:val="24"/>
        </w:rPr>
      </w:pPr>
      <w:r>
        <w:rPr>
          <w:rFonts w:ascii="Times New Roman" w:hAnsi="Times New Roman"/>
          <w:b/>
          <w:szCs w:val="24"/>
        </w:rPr>
        <w:t>（2）图像处理</w:t>
      </w:r>
      <w:bookmarkEnd w:id="168"/>
      <w:bookmarkEnd w:id="169"/>
    </w:p>
    <w:p>
      <w:pPr>
        <w:spacing w:line="440" w:lineRule="exact"/>
        <w:ind w:firstLine="480" w:firstLineChars="200"/>
        <w:rPr>
          <w:rFonts w:ascii="Times New Roman" w:hAnsi="Times New Roman"/>
          <w:szCs w:val="24"/>
        </w:rPr>
      </w:pPr>
      <w:r>
        <w:rPr>
          <w:rFonts w:ascii="Times New Roman" w:hAnsi="Times New Roman"/>
          <w:szCs w:val="24"/>
        </w:rPr>
        <w:t>本研究采用野外调查与室内解译相结合的方法，首先通过野外实地考察，运用GPS定位技术，对土地利用现状和各种土地利用类型进行采点记录，然后在室内结合收集到的各类图件，应用图像处理软件对GF-1影像数据进行分类，得到评价区的土地利用图。</w:t>
      </w:r>
    </w:p>
    <w:p>
      <w:pPr>
        <w:spacing w:line="440" w:lineRule="exact"/>
        <w:ind w:firstLine="482" w:firstLineChars="200"/>
        <w:rPr>
          <w:rFonts w:ascii="Times New Roman" w:hAnsi="Times New Roman"/>
          <w:b/>
          <w:szCs w:val="24"/>
        </w:rPr>
      </w:pPr>
      <w:r>
        <w:rPr>
          <w:rFonts w:ascii="Times New Roman" w:hAnsi="Times New Roman"/>
          <w:b/>
          <w:szCs w:val="24"/>
        </w:rPr>
        <w:t>（3）土地利用现状分析</w:t>
      </w:r>
    </w:p>
    <w:p>
      <w:pPr>
        <w:spacing w:line="440" w:lineRule="exact"/>
        <w:ind w:firstLine="480" w:firstLineChars="200"/>
        <w:rPr>
          <w:rFonts w:ascii="Times New Roman" w:hAnsi="Times New Roman"/>
          <w:szCs w:val="24"/>
        </w:rPr>
      </w:pPr>
      <w:r>
        <w:rPr>
          <w:rFonts w:ascii="Times New Roman" w:hAnsi="Times New Roman"/>
          <w:szCs w:val="24"/>
        </w:rPr>
        <w:t>评价区土地利用现状见图3.5-3。评价区及矿区内各土地利用类型面积统计分别见表3.5-2。</w:t>
      </w:r>
    </w:p>
    <w:p>
      <w:pPr>
        <w:spacing w:line="440" w:lineRule="exact"/>
        <w:jc w:val="center"/>
        <w:rPr>
          <w:rFonts w:ascii="Times New Roman" w:hAnsi="Times New Roman"/>
          <w:b/>
          <w:bCs/>
          <w:szCs w:val="24"/>
        </w:rPr>
      </w:pPr>
      <w:r>
        <w:rPr>
          <w:rFonts w:ascii="Times New Roman" w:hAnsi="Times New Roman"/>
          <w:b/>
          <w:bCs/>
          <w:szCs w:val="24"/>
        </w:rPr>
        <w:t>评价区及矿区内各土地利用类型面积统计</w:t>
      </w:r>
    </w:p>
    <w:p>
      <w:pPr>
        <w:outlineLvl w:val="4"/>
        <w:rPr>
          <w:rFonts w:ascii="Times New Roman" w:hAnsi="Times New Roman"/>
          <w:szCs w:val="32"/>
        </w:rPr>
      </w:pPr>
      <w:bookmarkStart w:id="170" w:name="OLE_LINK60"/>
      <w:r>
        <w:rPr>
          <w:rFonts w:ascii="Times New Roman" w:hAnsi="Times New Roman"/>
          <w:szCs w:val="32"/>
        </w:rPr>
        <w:t>表3.5-2</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1727"/>
        <w:gridCol w:w="1599"/>
        <w:gridCol w:w="948"/>
        <w:gridCol w:w="1599"/>
        <w:gridCol w:w="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4193" w:type="dxa"/>
            <w:gridSpan w:val="2"/>
            <w:shd w:val="clear" w:color="auto" w:fill="auto"/>
            <w:vAlign w:val="center"/>
          </w:tcPr>
          <w:p>
            <w:pPr>
              <w:widowControl/>
              <w:jc w:val="center"/>
              <w:textAlignment w:val="center"/>
              <w:rPr>
                <w:rFonts w:ascii="Times New Roman" w:hAnsi="Times New Roman"/>
                <w:sz w:val="21"/>
                <w:szCs w:val="21"/>
              </w:rPr>
            </w:pPr>
            <w:bookmarkStart w:id="171" w:name="_Toc408312731"/>
            <w:r>
              <w:rPr>
                <w:rFonts w:ascii="Times New Roman" w:hAnsi="Times New Roman"/>
                <w:kern w:val="0"/>
                <w:sz w:val="21"/>
                <w:szCs w:val="21"/>
                <w:lang w:bidi="ar"/>
              </w:rPr>
              <w:t>土地利用类型</w:t>
            </w:r>
          </w:p>
        </w:tc>
        <w:tc>
          <w:tcPr>
            <w:tcW w:w="2547" w:type="dxa"/>
            <w:gridSpan w:val="2"/>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评价区</w:t>
            </w:r>
          </w:p>
        </w:tc>
        <w:tc>
          <w:tcPr>
            <w:tcW w:w="2547" w:type="dxa"/>
            <w:gridSpan w:val="2"/>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矿区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466"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一级类</w:t>
            </w:r>
          </w:p>
        </w:tc>
        <w:tc>
          <w:tcPr>
            <w:tcW w:w="1727"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二级类</w:t>
            </w:r>
          </w:p>
        </w:tc>
        <w:tc>
          <w:tcPr>
            <w:tcW w:w="1599"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面积（km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948"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比例（%）</w:t>
            </w:r>
          </w:p>
        </w:tc>
        <w:tc>
          <w:tcPr>
            <w:tcW w:w="1599"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面积（km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948"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restart"/>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耕地</w:t>
            </w: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水浇地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36.71</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3.49</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28.37</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旱地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17.63</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1.68</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11.59</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restart"/>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林地</w:t>
            </w: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乔木林地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38.84</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3.70</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27.46</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灌木林地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396.28</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37.71</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251.58</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35.53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其他林地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14.26</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1.36</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11.09</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restart"/>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草地</w:t>
            </w: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天然牧草地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421.09</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40.07</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283.20</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人工牧草地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40.79</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3.88</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28.63</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其他草地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6.27</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0.60</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5.33</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工矿仓储用地</w:t>
            </w: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采矿用地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0.06</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0.01</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0.06</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restart"/>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住宅用地</w:t>
            </w: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城镇住宅用地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0.35</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0.03</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0.23</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农村宅基地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9.85</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0.94</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7.22</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restart"/>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交通运输用地</w:t>
            </w: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铁路用地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1.51</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0.14</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1.22</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公路用地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3.91</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0.37</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2.79</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农村道路</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14.42</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1.37</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9.79</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restart"/>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水域及水利设施用地</w:t>
            </w: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河流水面</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7.85</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0.75</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4.98</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湖泊水面</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13.80</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1.31</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10.91</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坑塘水面</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1.91</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0.18</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1.66</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内陆滩涂</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10.31</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0.98</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9.06</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restart"/>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其他土地</w:t>
            </w: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设施农用地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0.13</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0.01</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0.13</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盐碱地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9.18</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0.87</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8.84</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沙地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4.23</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0.40</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3.76</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466" w:type="dxa"/>
            <w:vMerge w:val="continue"/>
            <w:shd w:val="clear" w:color="auto" w:fill="auto"/>
            <w:noWrap/>
            <w:vAlign w:val="center"/>
          </w:tcPr>
          <w:p>
            <w:pPr>
              <w:jc w:val="center"/>
              <w:rPr>
                <w:rFonts w:ascii="Times New Roman" w:hAnsi="Times New Roman"/>
                <w:sz w:val="21"/>
                <w:szCs w:val="21"/>
              </w:rPr>
            </w:pPr>
          </w:p>
        </w:tc>
        <w:tc>
          <w:tcPr>
            <w:tcW w:w="17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裸地</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1.51</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0.14</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0.26</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193" w:type="dxa"/>
            <w:gridSpan w:val="2"/>
            <w:shd w:val="clear" w:color="auto" w:fill="auto"/>
            <w:noWrap/>
            <w:vAlign w:val="center"/>
          </w:tcPr>
          <w:p>
            <w:pPr>
              <w:jc w:val="center"/>
              <w:rPr>
                <w:rFonts w:ascii="Times New Roman" w:hAnsi="Times New Roman"/>
                <w:sz w:val="21"/>
                <w:szCs w:val="21"/>
              </w:rPr>
            </w:pPr>
            <w:r>
              <w:rPr>
                <w:rFonts w:ascii="Times New Roman" w:hAnsi="Times New Roman"/>
                <w:kern w:val="0"/>
                <w:sz w:val="21"/>
                <w:szCs w:val="21"/>
                <w:lang w:bidi="ar"/>
              </w:rPr>
              <w:t>合计</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1050.90</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100.00</w:t>
            </w:r>
          </w:p>
        </w:tc>
        <w:tc>
          <w:tcPr>
            <w:tcW w:w="159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708.16</w:t>
            </w:r>
          </w:p>
        </w:tc>
        <w:tc>
          <w:tcPr>
            <w:tcW w:w="948"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100.00</w:t>
            </w:r>
          </w:p>
        </w:tc>
      </w:tr>
    </w:tbl>
    <w:p>
      <w:pPr>
        <w:spacing w:line="440" w:lineRule="exact"/>
        <w:ind w:firstLine="480" w:firstLineChars="20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1 \* GB3 </w:instrText>
      </w:r>
      <w:r>
        <w:rPr>
          <w:rFonts w:ascii="Times New Roman" w:hAnsi="Times New Roman"/>
          <w:szCs w:val="24"/>
        </w:rPr>
        <w:fldChar w:fldCharType="separate"/>
      </w:r>
      <w:r>
        <w:rPr>
          <w:rFonts w:hint="eastAsia" w:cs="宋体"/>
          <w:szCs w:val="24"/>
        </w:rPr>
        <w:t>①</w:t>
      </w:r>
      <w:r>
        <w:rPr>
          <w:rFonts w:ascii="Times New Roman" w:hAnsi="Times New Roman"/>
          <w:szCs w:val="24"/>
        </w:rPr>
        <w:fldChar w:fldCharType="end"/>
      </w:r>
      <w:r>
        <w:rPr>
          <w:rFonts w:ascii="Times New Roman" w:hAnsi="Times New Roman"/>
          <w:szCs w:val="24"/>
        </w:rPr>
        <w:t>耕地</w:t>
      </w:r>
    </w:p>
    <w:p>
      <w:pPr>
        <w:spacing w:line="440" w:lineRule="exact"/>
        <w:ind w:firstLine="480" w:firstLineChars="200"/>
        <w:rPr>
          <w:rFonts w:ascii="Times New Roman" w:hAnsi="Times New Roman"/>
          <w:szCs w:val="24"/>
        </w:rPr>
      </w:pPr>
      <w:r>
        <w:rPr>
          <w:rFonts w:ascii="Times New Roman" w:hAnsi="Times New Roman"/>
          <w:szCs w:val="24"/>
        </w:rPr>
        <w:t>该区处于农牧交错带上，评价区内的耕地为水浇地和旱地，主要农作物有小麦、玉米等，旱地亩产300</w:t>
      </w:r>
      <w:r>
        <w:rPr>
          <w:rFonts w:ascii="Times New Roman" w:hAnsi="Times New Roman"/>
        </w:rPr>
        <w:t>～400斤/亩，水浇地亩产700～800斤/亩。评价区内水浇地面积</w:t>
      </w:r>
      <w:r>
        <w:rPr>
          <w:rFonts w:ascii="Times New Roman" w:hAnsi="Times New Roman"/>
          <w:szCs w:val="24"/>
        </w:rPr>
        <w:t>36.71km</w:t>
      </w:r>
      <w:r>
        <w:rPr>
          <w:rFonts w:ascii="Times New Roman" w:hAnsi="Times New Roman"/>
          <w:szCs w:val="24"/>
          <w:vertAlign w:val="superscript"/>
        </w:rPr>
        <w:t>2</w:t>
      </w:r>
      <w:r>
        <w:rPr>
          <w:rFonts w:ascii="Times New Roman" w:hAnsi="Times New Roman"/>
          <w:szCs w:val="24"/>
        </w:rPr>
        <w:t>，占评价区的3.49%，</w:t>
      </w:r>
      <w:r>
        <w:rPr>
          <w:rFonts w:ascii="Times New Roman" w:hAnsi="Times New Roman"/>
          <w:color w:val="FF0000"/>
          <w:szCs w:val="24"/>
        </w:rPr>
        <w:t>矿区内水浇地面积28.37km</w:t>
      </w:r>
      <w:r>
        <w:rPr>
          <w:rFonts w:ascii="Times New Roman" w:hAnsi="Times New Roman"/>
          <w:color w:val="FF0000"/>
          <w:szCs w:val="24"/>
          <w:vertAlign w:val="superscript"/>
        </w:rPr>
        <w:t>2</w:t>
      </w:r>
      <w:r>
        <w:rPr>
          <w:rFonts w:ascii="Times New Roman" w:hAnsi="Times New Roman"/>
          <w:color w:val="FF0000"/>
          <w:szCs w:val="24"/>
        </w:rPr>
        <w:t>，占矿区的4.01%。</w:t>
      </w:r>
      <w:r>
        <w:rPr>
          <w:rFonts w:hint="eastAsia" w:ascii="Times New Roman" w:hAnsi="Times New Roman"/>
          <w:color w:val="FF0000"/>
          <w:szCs w:val="24"/>
        </w:rPr>
        <w:t>评价区水浇地灌溉方式为滴灌。</w:t>
      </w:r>
      <w:r>
        <w:rPr>
          <w:rFonts w:ascii="Times New Roman" w:hAnsi="Times New Roman"/>
        </w:rPr>
        <w:t>评价区内旱地面积</w:t>
      </w:r>
      <w:r>
        <w:rPr>
          <w:rFonts w:ascii="Times New Roman" w:hAnsi="Times New Roman"/>
          <w:szCs w:val="24"/>
        </w:rPr>
        <w:t>17.63km</w:t>
      </w:r>
      <w:r>
        <w:rPr>
          <w:rFonts w:ascii="Times New Roman" w:hAnsi="Times New Roman"/>
          <w:szCs w:val="24"/>
          <w:vertAlign w:val="superscript"/>
        </w:rPr>
        <w:t>2</w:t>
      </w:r>
      <w:r>
        <w:rPr>
          <w:rFonts w:ascii="Times New Roman" w:hAnsi="Times New Roman"/>
          <w:szCs w:val="24"/>
        </w:rPr>
        <w:t>，占评价区的1.68%，矿区内旱地面积11.59km</w:t>
      </w:r>
      <w:r>
        <w:rPr>
          <w:rFonts w:ascii="Times New Roman" w:hAnsi="Times New Roman"/>
          <w:szCs w:val="24"/>
          <w:vertAlign w:val="superscript"/>
        </w:rPr>
        <w:t>2</w:t>
      </w:r>
      <w:r>
        <w:rPr>
          <w:rFonts w:ascii="Times New Roman" w:hAnsi="Times New Roman"/>
          <w:szCs w:val="24"/>
        </w:rPr>
        <w:t>，占矿区的1.64%。</w:t>
      </w:r>
    </w:p>
    <w:p>
      <w:pPr>
        <w:spacing w:line="440" w:lineRule="exact"/>
        <w:ind w:firstLine="480" w:firstLineChars="20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2 \* GB3</w:instrText>
      </w:r>
      <w:r>
        <w:rPr>
          <w:rFonts w:ascii="Times New Roman" w:hAnsi="Times New Roman"/>
          <w:szCs w:val="24"/>
        </w:rPr>
        <w:fldChar w:fldCharType="separate"/>
      </w:r>
      <w:r>
        <w:rPr>
          <w:rFonts w:hint="eastAsia" w:cs="宋体"/>
          <w:szCs w:val="24"/>
        </w:rPr>
        <w:t>②</w:t>
      </w:r>
      <w:r>
        <w:rPr>
          <w:rFonts w:ascii="Times New Roman" w:hAnsi="Times New Roman"/>
          <w:szCs w:val="24"/>
        </w:rPr>
        <w:fldChar w:fldCharType="end"/>
      </w:r>
      <w:r>
        <w:rPr>
          <w:rFonts w:ascii="Times New Roman" w:hAnsi="Times New Roman"/>
          <w:szCs w:val="24"/>
        </w:rPr>
        <w:t>林地</w:t>
      </w:r>
    </w:p>
    <w:p>
      <w:pPr>
        <w:spacing w:line="440" w:lineRule="exact"/>
        <w:ind w:firstLine="480" w:firstLineChars="200"/>
        <w:rPr>
          <w:rFonts w:ascii="Times New Roman" w:hAnsi="Times New Roman"/>
          <w:szCs w:val="24"/>
        </w:rPr>
      </w:pPr>
      <w:r>
        <w:rPr>
          <w:rFonts w:ascii="Times New Roman" w:hAnsi="Times New Roman"/>
          <w:szCs w:val="24"/>
        </w:rPr>
        <w:t>评价区内的林地为乔木林地、灌木林地和其他林地。乔木林地主要为人工营造，块状或带状分布于村庄及道路周边，评价区乔木林地面积38.84km</w:t>
      </w:r>
      <w:r>
        <w:rPr>
          <w:rFonts w:ascii="Times New Roman" w:hAnsi="Times New Roman"/>
          <w:szCs w:val="24"/>
          <w:vertAlign w:val="superscript"/>
        </w:rPr>
        <w:t>2</w:t>
      </w:r>
      <w:r>
        <w:rPr>
          <w:rFonts w:ascii="Times New Roman" w:hAnsi="Times New Roman"/>
          <w:szCs w:val="24"/>
        </w:rPr>
        <w:t>，占评价区面积的3.70%，矿区内乔木林地面积27.46km</w:t>
      </w:r>
      <w:r>
        <w:rPr>
          <w:rFonts w:ascii="Times New Roman" w:hAnsi="Times New Roman"/>
          <w:szCs w:val="24"/>
          <w:vertAlign w:val="superscript"/>
        </w:rPr>
        <w:t>2</w:t>
      </w:r>
      <w:r>
        <w:rPr>
          <w:rFonts w:ascii="Times New Roman" w:hAnsi="Times New Roman"/>
          <w:szCs w:val="24"/>
        </w:rPr>
        <w:t>，占矿区面积的3.88%。灌木林地在评价区内大面积分布，以灌木中间锦鸡儿、沙柳，半灌木沙蒿为主。评价区内灌木林地面积396.28km</w:t>
      </w:r>
      <w:r>
        <w:rPr>
          <w:rFonts w:ascii="Times New Roman" w:hAnsi="Times New Roman"/>
          <w:szCs w:val="24"/>
          <w:vertAlign w:val="superscript"/>
        </w:rPr>
        <w:t>2</w:t>
      </w:r>
      <w:r>
        <w:rPr>
          <w:rFonts w:ascii="Times New Roman" w:hAnsi="Times New Roman"/>
          <w:szCs w:val="24"/>
        </w:rPr>
        <w:t>，占评价区的37.71%，矿区内灌木林地面积251.58km</w:t>
      </w:r>
      <w:r>
        <w:rPr>
          <w:rFonts w:ascii="Times New Roman" w:hAnsi="Times New Roman"/>
          <w:szCs w:val="24"/>
          <w:vertAlign w:val="superscript"/>
        </w:rPr>
        <w:t>2</w:t>
      </w:r>
      <w:r>
        <w:rPr>
          <w:rFonts w:ascii="Times New Roman" w:hAnsi="Times New Roman"/>
          <w:szCs w:val="24"/>
        </w:rPr>
        <w:t>，占矿区的35.53%。其他林地以柳树、杨树为主，评价区内其他林地面积14.26km</w:t>
      </w:r>
      <w:r>
        <w:rPr>
          <w:rFonts w:ascii="Times New Roman" w:hAnsi="Times New Roman"/>
          <w:szCs w:val="24"/>
          <w:vertAlign w:val="superscript"/>
        </w:rPr>
        <w:t>2</w:t>
      </w:r>
      <w:r>
        <w:rPr>
          <w:rFonts w:ascii="Times New Roman" w:hAnsi="Times New Roman"/>
          <w:szCs w:val="24"/>
        </w:rPr>
        <w:t>，占评价区的1.36%，矿区内其他林地面积11.09km</w:t>
      </w:r>
      <w:r>
        <w:rPr>
          <w:rFonts w:ascii="Times New Roman" w:hAnsi="Times New Roman"/>
          <w:szCs w:val="24"/>
          <w:vertAlign w:val="superscript"/>
        </w:rPr>
        <w:t>2</w:t>
      </w:r>
      <w:r>
        <w:rPr>
          <w:rFonts w:ascii="Times New Roman" w:hAnsi="Times New Roman"/>
          <w:szCs w:val="24"/>
        </w:rPr>
        <w:t>，占矿区的1.57%。</w:t>
      </w:r>
    </w:p>
    <w:p>
      <w:pPr>
        <w:spacing w:line="440" w:lineRule="exact"/>
        <w:ind w:firstLine="480" w:firstLineChars="20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3 \* GB3</w:instrText>
      </w:r>
      <w:r>
        <w:rPr>
          <w:rFonts w:ascii="Times New Roman" w:hAnsi="Times New Roman"/>
          <w:szCs w:val="24"/>
        </w:rPr>
        <w:fldChar w:fldCharType="separate"/>
      </w:r>
      <w:r>
        <w:rPr>
          <w:rFonts w:hint="eastAsia" w:cs="宋体"/>
          <w:szCs w:val="24"/>
        </w:rPr>
        <w:t>③</w:t>
      </w:r>
      <w:r>
        <w:rPr>
          <w:rFonts w:ascii="Times New Roman" w:hAnsi="Times New Roman"/>
          <w:szCs w:val="24"/>
        </w:rPr>
        <w:fldChar w:fldCharType="end"/>
      </w:r>
      <w:r>
        <w:rPr>
          <w:rFonts w:ascii="Times New Roman" w:hAnsi="Times New Roman"/>
          <w:szCs w:val="24"/>
        </w:rPr>
        <w:t>草地</w:t>
      </w:r>
    </w:p>
    <w:p>
      <w:pPr>
        <w:spacing w:line="440" w:lineRule="exact"/>
        <w:ind w:firstLine="480" w:firstLineChars="200"/>
        <w:rPr>
          <w:rFonts w:ascii="Times New Roman" w:hAnsi="Times New Roman"/>
          <w:szCs w:val="24"/>
        </w:rPr>
      </w:pPr>
      <w:r>
        <w:rPr>
          <w:rFonts w:ascii="Times New Roman" w:hAnsi="Times New Roman"/>
          <w:szCs w:val="24"/>
        </w:rPr>
        <w:t>评价区内的草地可分为天然牧草地、人工牧草地和其他草地。草地在评价区内大面积分布，以沙蒿、芨芨草、羊草等为主。评价区内天然牧草地面积421.09km</w:t>
      </w:r>
      <w:r>
        <w:rPr>
          <w:rFonts w:ascii="Times New Roman" w:hAnsi="Times New Roman"/>
          <w:szCs w:val="24"/>
          <w:vertAlign w:val="superscript"/>
        </w:rPr>
        <w:t>2</w:t>
      </w:r>
      <w:r>
        <w:rPr>
          <w:rFonts w:ascii="Times New Roman" w:hAnsi="Times New Roman"/>
          <w:szCs w:val="24"/>
        </w:rPr>
        <w:t>，占评价区的40.07%，矿区内天然牧草地面积283.20km</w:t>
      </w:r>
      <w:r>
        <w:rPr>
          <w:rFonts w:ascii="Times New Roman" w:hAnsi="Times New Roman"/>
          <w:szCs w:val="24"/>
          <w:vertAlign w:val="superscript"/>
        </w:rPr>
        <w:t>2</w:t>
      </w:r>
      <w:r>
        <w:rPr>
          <w:rFonts w:ascii="Times New Roman" w:hAnsi="Times New Roman"/>
          <w:szCs w:val="24"/>
        </w:rPr>
        <w:t>，占矿区的39.99%。评价区内人工牧草地面积40.79km</w:t>
      </w:r>
      <w:r>
        <w:rPr>
          <w:rFonts w:ascii="Times New Roman" w:hAnsi="Times New Roman"/>
          <w:szCs w:val="24"/>
          <w:vertAlign w:val="superscript"/>
        </w:rPr>
        <w:t>2</w:t>
      </w:r>
      <w:r>
        <w:rPr>
          <w:rFonts w:ascii="Times New Roman" w:hAnsi="Times New Roman"/>
          <w:szCs w:val="24"/>
        </w:rPr>
        <w:t>，占评价区的3.88%，矿区内人工牧草地面积28.63km</w:t>
      </w:r>
      <w:r>
        <w:rPr>
          <w:rFonts w:ascii="Times New Roman" w:hAnsi="Times New Roman"/>
          <w:szCs w:val="24"/>
          <w:vertAlign w:val="superscript"/>
        </w:rPr>
        <w:t>2</w:t>
      </w:r>
      <w:r>
        <w:rPr>
          <w:rFonts w:ascii="Times New Roman" w:hAnsi="Times New Roman"/>
          <w:szCs w:val="24"/>
        </w:rPr>
        <w:t>，占矿区的4.04%。评价区内其他草地面积6.27km</w:t>
      </w:r>
      <w:r>
        <w:rPr>
          <w:rFonts w:ascii="Times New Roman" w:hAnsi="Times New Roman"/>
          <w:szCs w:val="24"/>
          <w:vertAlign w:val="superscript"/>
        </w:rPr>
        <w:t>2</w:t>
      </w:r>
      <w:r>
        <w:rPr>
          <w:rFonts w:ascii="Times New Roman" w:hAnsi="Times New Roman"/>
          <w:szCs w:val="24"/>
        </w:rPr>
        <w:t>，占评价区的0.60%，矿区内其他草地面积5.33km</w:t>
      </w:r>
      <w:r>
        <w:rPr>
          <w:rFonts w:ascii="Times New Roman" w:hAnsi="Times New Roman"/>
          <w:szCs w:val="24"/>
          <w:vertAlign w:val="superscript"/>
        </w:rPr>
        <w:t>2</w:t>
      </w:r>
      <w:r>
        <w:rPr>
          <w:rFonts w:ascii="Times New Roman" w:hAnsi="Times New Roman"/>
          <w:szCs w:val="24"/>
        </w:rPr>
        <w:t>，占矿区的0.75%。</w:t>
      </w:r>
    </w:p>
    <w:p>
      <w:pPr>
        <w:spacing w:line="440" w:lineRule="exact"/>
        <w:ind w:firstLine="480" w:firstLineChars="20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4 \* GB3</w:instrText>
      </w:r>
      <w:r>
        <w:rPr>
          <w:rFonts w:ascii="Times New Roman" w:hAnsi="Times New Roman"/>
          <w:szCs w:val="24"/>
        </w:rPr>
        <w:fldChar w:fldCharType="separate"/>
      </w:r>
      <w:r>
        <w:rPr>
          <w:rFonts w:hint="eastAsia" w:cs="宋体"/>
          <w:szCs w:val="24"/>
        </w:rPr>
        <w:t>④</w:t>
      </w:r>
      <w:r>
        <w:rPr>
          <w:rFonts w:ascii="Times New Roman" w:hAnsi="Times New Roman"/>
          <w:szCs w:val="24"/>
        </w:rPr>
        <w:fldChar w:fldCharType="end"/>
      </w:r>
      <w:r>
        <w:rPr>
          <w:rFonts w:ascii="Times New Roman" w:hAnsi="Times New Roman"/>
          <w:szCs w:val="24"/>
        </w:rPr>
        <w:t>工矿仓储用地</w:t>
      </w:r>
    </w:p>
    <w:p>
      <w:pPr>
        <w:spacing w:line="440" w:lineRule="exact"/>
        <w:ind w:firstLine="480" w:firstLineChars="200"/>
        <w:rPr>
          <w:rFonts w:ascii="Times New Roman" w:hAnsi="Times New Roman"/>
          <w:szCs w:val="24"/>
        </w:rPr>
      </w:pPr>
      <w:r>
        <w:rPr>
          <w:rFonts w:ascii="Times New Roman" w:hAnsi="Times New Roman"/>
          <w:szCs w:val="24"/>
        </w:rPr>
        <w:t>评价区内工矿仓储用地为采矿用地，评价区内采矿用地面积0.06km</w:t>
      </w:r>
      <w:r>
        <w:rPr>
          <w:rFonts w:ascii="Times New Roman" w:hAnsi="Times New Roman"/>
          <w:szCs w:val="24"/>
          <w:vertAlign w:val="superscript"/>
        </w:rPr>
        <w:t>2</w:t>
      </w:r>
      <w:r>
        <w:rPr>
          <w:rFonts w:ascii="Times New Roman" w:hAnsi="Times New Roman"/>
          <w:szCs w:val="24"/>
        </w:rPr>
        <w:t>，占评价区面积的0.01%，矿区内采矿用地面积0.06km</w:t>
      </w:r>
      <w:r>
        <w:rPr>
          <w:rFonts w:ascii="Times New Roman" w:hAnsi="Times New Roman"/>
          <w:szCs w:val="24"/>
          <w:vertAlign w:val="superscript"/>
        </w:rPr>
        <w:t>2</w:t>
      </w:r>
      <w:r>
        <w:rPr>
          <w:rFonts w:ascii="Times New Roman" w:hAnsi="Times New Roman"/>
          <w:szCs w:val="24"/>
        </w:rPr>
        <w:t>，占矿区面积的0.01%。</w:t>
      </w:r>
    </w:p>
    <w:p>
      <w:pPr>
        <w:spacing w:line="440" w:lineRule="exact"/>
        <w:ind w:firstLine="480" w:firstLineChars="20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5 \* GB3</w:instrText>
      </w:r>
      <w:r>
        <w:rPr>
          <w:rFonts w:ascii="Times New Roman" w:hAnsi="Times New Roman"/>
          <w:szCs w:val="24"/>
        </w:rPr>
        <w:fldChar w:fldCharType="separate"/>
      </w:r>
      <w:r>
        <w:rPr>
          <w:rFonts w:hint="eastAsia" w:cs="宋体"/>
          <w:szCs w:val="24"/>
        </w:rPr>
        <w:t>⑤</w:t>
      </w:r>
      <w:r>
        <w:rPr>
          <w:rFonts w:ascii="Times New Roman" w:hAnsi="Times New Roman"/>
          <w:szCs w:val="24"/>
        </w:rPr>
        <w:fldChar w:fldCharType="end"/>
      </w:r>
      <w:r>
        <w:rPr>
          <w:rFonts w:ascii="Times New Roman" w:hAnsi="Times New Roman"/>
          <w:szCs w:val="24"/>
        </w:rPr>
        <w:t>住宅用地</w:t>
      </w:r>
    </w:p>
    <w:p>
      <w:pPr>
        <w:spacing w:line="440" w:lineRule="exact"/>
        <w:ind w:firstLine="480" w:firstLineChars="200"/>
        <w:rPr>
          <w:rFonts w:ascii="Times New Roman" w:hAnsi="Times New Roman"/>
          <w:szCs w:val="24"/>
        </w:rPr>
      </w:pPr>
      <w:r>
        <w:rPr>
          <w:rFonts w:ascii="Times New Roman" w:hAnsi="Times New Roman"/>
          <w:szCs w:val="24"/>
        </w:rPr>
        <w:t>评价区内的住宅用地包括城镇住宅用地和农村宅基地。</w:t>
      </w:r>
      <w:r>
        <w:rPr>
          <w:rFonts w:ascii="Times New Roman" w:hAnsi="Times New Roman"/>
        </w:rPr>
        <w:t>城镇住宅用地主要是红庆河镇，农村宅基地零星分布于整个评价区。</w:t>
      </w:r>
      <w:r>
        <w:rPr>
          <w:rFonts w:ascii="Times New Roman" w:hAnsi="Times New Roman"/>
          <w:szCs w:val="24"/>
        </w:rPr>
        <w:t>评价区内城镇住宅用地面积0.35km</w:t>
      </w:r>
      <w:r>
        <w:rPr>
          <w:rFonts w:ascii="Times New Roman" w:hAnsi="Times New Roman"/>
          <w:szCs w:val="24"/>
          <w:vertAlign w:val="superscript"/>
        </w:rPr>
        <w:t>2</w:t>
      </w:r>
      <w:r>
        <w:rPr>
          <w:rFonts w:ascii="Times New Roman" w:hAnsi="Times New Roman"/>
          <w:szCs w:val="24"/>
        </w:rPr>
        <w:t>，占评价区面积的0.03%，矿区内城镇住宅用地面积为0.23km</w:t>
      </w:r>
      <w:r>
        <w:rPr>
          <w:rFonts w:ascii="Times New Roman" w:hAnsi="Times New Roman"/>
          <w:szCs w:val="24"/>
          <w:vertAlign w:val="superscript"/>
        </w:rPr>
        <w:t>2</w:t>
      </w:r>
      <w:r>
        <w:rPr>
          <w:rFonts w:ascii="Times New Roman" w:hAnsi="Times New Roman"/>
          <w:szCs w:val="24"/>
        </w:rPr>
        <w:t>，占矿区面积的0.03%，评价区内农村宅基地面积9.85km</w:t>
      </w:r>
      <w:r>
        <w:rPr>
          <w:rFonts w:ascii="Times New Roman" w:hAnsi="Times New Roman"/>
          <w:szCs w:val="24"/>
          <w:vertAlign w:val="superscript"/>
        </w:rPr>
        <w:t>2</w:t>
      </w:r>
      <w:r>
        <w:rPr>
          <w:rFonts w:ascii="Times New Roman" w:hAnsi="Times New Roman"/>
          <w:szCs w:val="24"/>
        </w:rPr>
        <w:t>，占评价区面积的0.94%；矿区内城镇面积为0.23km</w:t>
      </w:r>
      <w:r>
        <w:rPr>
          <w:rFonts w:ascii="Times New Roman" w:hAnsi="Times New Roman"/>
          <w:szCs w:val="24"/>
          <w:vertAlign w:val="superscript"/>
        </w:rPr>
        <w:t>2</w:t>
      </w:r>
      <w:r>
        <w:rPr>
          <w:rFonts w:ascii="Times New Roman" w:hAnsi="Times New Roman"/>
          <w:szCs w:val="24"/>
        </w:rPr>
        <w:t>，占矿区面积的0.03%，矿区内农村宅基地面积7.22km</w:t>
      </w:r>
      <w:r>
        <w:rPr>
          <w:rFonts w:ascii="Times New Roman" w:hAnsi="Times New Roman"/>
          <w:szCs w:val="24"/>
          <w:vertAlign w:val="superscript"/>
        </w:rPr>
        <w:t>2</w:t>
      </w:r>
      <w:r>
        <w:rPr>
          <w:rFonts w:ascii="Times New Roman" w:hAnsi="Times New Roman"/>
          <w:szCs w:val="24"/>
        </w:rPr>
        <w:t>，占矿区面积的1.02%。</w:t>
      </w:r>
    </w:p>
    <w:p>
      <w:pPr>
        <w:spacing w:line="440" w:lineRule="exact"/>
        <w:ind w:firstLine="480" w:firstLineChars="20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6 \* GB3 </w:instrText>
      </w:r>
      <w:r>
        <w:rPr>
          <w:rFonts w:ascii="Times New Roman" w:hAnsi="Times New Roman"/>
          <w:szCs w:val="24"/>
        </w:rPr>
        <w:fldChar w:fldCharType="separate"/>
      </w:r>
      <w:r>
        <w:rPr>
          <w:rFonts w:hint="eastAsia" w:cs="宋体"/>
          <w:szCs w:val="24"/>
        </w:rPr>
        <w:t>⑥</w:t>
      </w:r>
      <w:r>
        <w:rPr>
          <w:rFonts w:ascii="Times New Roman" w:hAnsi="Times New Roman"/>
          <w:szCs w:val="24"/>
        </w:rPr>
        <w:fldChar w:fldCharType="end"/>
      </w:r>
      <w:r>
        <w:rPr>
          <w:rFonts w:ascii="Times New Roman" w:hAnsi="Times New Roman"/>
          <w:szCs w:val="24"/>
        </w:rPr>
        <w:t>交通运输用地</w:t>
      </w:r>
    </w:p>
    <w:p>
      <w:pPr>
        <w:spacing w:line="440" w:lineRule="exact"/>
        <w:ind w:firstLine="480" w:firstLineChars="200"/>
        <w:rPr>
          <w:rFonts w:ascii="Times New Roman" w:hAnsi="Times New Roman"/>
          <w:szCs w:val="24"/>
        </w:rPr>
      </w:pPr>
      <w:r>
        <w:rPr>
          <w:rFonts w:ascii="Times New Roman" w:hAnsi="Times New Roman"/>
          <w:szCs w:val="24"/>
        </w:rPr>
        <w:t>评价区内的交通运输用地可分为铁路用地、公路用地和农村道路。铁路用地主要为东乌铁路，公路用地主要有荣乌高速公路、阿乌公路、阿四公路等。评价区内铁路用地面积1.51km</w:t>
      </w:r>
      <w:r>
        <w:rPr>
          <w:rFonts w:ascii="Times New Roman" w:hAnsi="Times New Roman"/>
          <w:szCs w:val="24"/>
          <w:vertAlign w:val="superscript"/>
        </w:rPr>
        <w:t>2</w:t>
      </w:r>
      <w:r>
        <w:rPr>
          <w:rFonts w:ascii="Times New Roman" w:hAnsi="Times New Roman"/>
          <w:szCs w:val="24"/>
        </w:rPr>
        <w:t>，占评价区面积的0.14%，矿区内铁路用地面积1.22km</w:t>
      </w:r>
      <w:r>
        <w:rPr>
          <w:rFonts w:ascii="Times New Roman" w:hAnsi="Times New Roman"/>
          <w:szCs w:val="24"/>
          <w:vertAlign w:val="superscript"/>
        </w:rPr>
        <w:t>2</w:t>
      </w:r>
      <w:r>
        <w:rPr>
          <w:rFonts w:ascii="Times New Roman" w:hAnsi="Times New Roman"/>
          <w:szCs w:val="24"/>
        </w:rPr>
        <w:t>，占矿区面积的0.17%。评价区内公路用地面积3.91km</w:t>
      </w:r>
      <w:r>
        <w:rPr>
          <w:rFonts w:ascii="Times New Roman" w:hAnsi="Times New Roman"/>
          <w:szCs w:val="24"/>
          <w:vertAlign w:val="superscript"/>
        </w:rPr>
        <w:t>2</w:t>
      </w:r>
      <w:r>
        <w:rPr>
          <w:rFonts w:ascii="Times New Roman" w:hAnsi="Times New Roman"/>
          <w:szCs w:val="24"/>
        </w:rPr>
        <w:t>，占评价区面积的0.37%，矿区内公路用地面积2.79km</w:t>
      </w:r>
      <w:r>
        <w:rPr>
          <w:rFonts w:ascii="Times New Roman" w:hAnsi="Times New Roman"/>
          <w:szCs w:val="24"/>
          <w:vertAlign w:val="superscript"/>
        </w:rPr>
        <w:t>2</w:t>
      </w:r>
      <w:r>
        <w:rPr>
          <w:rFonts w:ascii="Times New Roman" w:hAnsi="Times New Roman"/>
          <w:szCs w:val="24"/>
        </w:rPr>
        <w:t>，占矿区面积的0.39%。评价区内农村道路面积14.42km</w:t>
      </w:r>
      <w:r>
        <w:rPr>
          <w:rFonts w:ascii="Times New Roman" w:hAnsi="Times New Roman"/>
          <w:szCs w:val="24"/>
          <w:vertAlign w:val="superscript"/>
        </w:rPr>
        <w:t>2</w:t>
      </w:r>
      <w:r>
        <w:rPr>
          <w:rFonts w:ascii="Times New Roman" w:hAnsi="Times New Roman"/>
          <w:szCs w:val="24"/>
        </w:rPr>
        <w:t>，占评价区面积的1.37%，矿区内农村道路面积9.79km</w:t>
      </w:r>
      <w:r>
        <w:rPr>
          <w:rFonts w:ascii="Times New Roman" w:hAnsi="Times New Roman"/>
          <w:szCs w:val="24"/>
          <w:vertAlign w:val="superscript"/>
        </w:rPr>
        <w:t>2</w:t>
      </w:r>
      <w:r>
        <w:rPr>
          <w:rFonts w:ascii="Times New Roman" w:hAnsi="Times New Roman"/>
          <w:szCs w:val="24"/>
        </w:rPr>
        <w:t>，占矿区面积的1.38%。</w:t>
      </w:r>
    </w:p>
    <w:p>
      <w:pPr>
        <w:spacing w:line="440" w:lineRule="exact"/>
        <w:ind w:firstLine="480" w:firstLineChars="20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7 \* GB3 \* MERGEFORMAT </w:instrText>
      </w:r>
      <w:r>
        <w:rPr>
          <w:rFonts w:ascii="Times New Roman" w:hAnsi="Times New Roman"/>
          <w:szCs w:val="24"/>
        </w:rPr>
        <w:fldChar w:fldCharType="separate"/>
      </w:r>
      <w:r>
        <w:rPr>
          <w:rFonts w:hint="eastAsia" w:cs="宋体"/>
        </w:rPr>
        <w:t>⑦</w:t>
      </w:r>
      <w:r>
        <w:rPr>
          <w:rFonts w:ascii="Times New Roman" w:hAnsi="Times New Roman"/>
          <w:szCs w:val="24"/>
        </w:rPr>
        <w:fldChar w:fldCharType="end"/>
      </w:r>
      <w:r>
        <w:rPr>
          <w:rFonts w:ascii="Times New Roman" w:hAnsi="Times New Roman"/>
          <w:szCs w:val="24"/>
        </w:rPr>
        <w:t>水域及水利设施用地</w:t>
      </w:r>
    </w:p>
    <w:p>
      <w:pPr>
        <w:spacing w:line="440" w:lineRule="exact"/>
        <w:ind w:firstLine="480" w:firstLineChars="200"/>
        <w:rPr>
          <w:rFonts w:ascii="Times New Roman" w:hAnsi="Times New Roman"/>
          <w:szCs w:val="24"/>
        </w:rPr>
      </w:pPr>
      <w:r>
        <w:rPr>
          <w:rFonts w:ascii="Times New Roman" w:hAnsi="Times New Roman"/>
          <w:szCs w:val="24"/>
        </w:rPr>
        <w:t>评价区内的水域及水利设施用地包括河流水面、湖泊水面、坑塘水面和内陆滩涂。湖泊水面为多个大小不一的咸水湖，其水量受大气降水控制，夏秋季大，冬春季小。评价区内水域及水利设施用地面积33.87km</w:t>
      </w:r>
      <w:r>
        <w:rPr>
          <w:rFonts w:ascii="Times New Roman" w:hAnsi="Times New Roman"/>
          <w:szCs w:val="24"/>
          <w:vertAlign w:val="superscript"/>
        </w:rPr>
        <w:t>2</w:t>
      </w:r>
      <w:r>
        <w:rPr>
          <w:rFonts w:ascii="Times New Roman" w:hAnsi="Times New Roman"/>
          <w:szCs w:val="24"/>
        </w:rPr>
        <w:t>，占评价区面积的3.22%，矿区内水域及水利设施用地面积26.61km</w:t>
      </w:r>
      <w:r>
        <w:rPr>
          <w:rFonts w:ascii="Times New Roman" w:hAnsi="Times New Roman"/>
          <w:szCs w:val="24"/>
          <w:vertAlign w:val="superscript"/>
        </w:rPr>
        <w:t>2</w:t>
      </w:r>
      <w:r>
        <w:rPr>
          <w:rFonts w:ascii="Times New Roman" w:hAnsi="Times New Roman"/>
          <w:szCs w:val="24"/>
        </w:rPr>
        <w:t>，占矿区面积的3.76%。</w:t>
      </w:r>
    </w:p>
    <w:p>
      <w:pPr>
        <w:spacing w:line="440" w:lineRule="exact"/>
        <w:ind w:firstLine="480" w:firstLineChars="20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8 \* GB3 \* MERGEFORMAT </w:instrText>
      </w:r>
      <w:r>
        <w:rPr>
          <w:rFonts w:ascii="Times New Roman" w:hAnsi="Times New Roman"/>
          <w:szCs w:val="24"/>
        </w:rPr>
        <w:fldChar w:fldCharType="separate"/>
      </w:r>
      <w:r>
        <w:rPr>
          <w:rFonts w:hint="eastAsia" w:cs="宋体"/>
        </w:rPr>
        <w:t>⑧</w:t>
      </w:r>
      <w:r>
        <w:rPr>
          <w:rFonts w:ascii="Times New Roman" w:hAnsi="Times New Roman"/>
          <w:szCs w:val="24"/>
        </w:rPr>
        <w:fldChar w:fldCharType="end"/>
      </w:r>
      <w:r>
        <w:rPr>
          <w:rFonts w:ascii="Times New Roman" w:hAnsi="Times New Roman"/>
          <w:szCs w:val="24"/>
        </w:rPr>
        <w:t>其他土地</w:t>
      </w:r>
    </w:p>
    <w:p>
      <w:pPr>
        <w:spacing w:line="440" w:lineRule="exact"/>
        <w:ind w:firstLine="480" w:firstLineChars="200"/>
        <w:rPr>
          <w:rFonts w:ascii="Times New Roman" w:hAnsi="Times New Roman"/>
          <w:szCs w:val="24"/>
        </w:rPr>
      </w:pPr>
      <w:r>
        <w:rPr>
          <w:rFonts w:ascii="Times New Roman" w:hAnsi="Times New Roman"/>
          <w:szCs w:val="24"/>
        </w:rPr>
        <w:t>评价区内的其他土地包括设施农用地、盐碱地、沙地和裸地。评价区盐碱地多分布于低洼地段，评价区内盐碱地面积9.18km</w:t>
      </w:r>
      <w:r>
        <w:rPr>
          <w:rFonts w:ascii="Times New Roman" w:hAnsi="Times New Roman"/>
          <w:szCs w:val="24"/>
          <w:vertAlign w:val="superscript"/>
        </w:rPr>
        <w:t>2</w:t>
      </w:r>
      <w:r>
        <w:rPr>
          <w:rFonts w:ascii="Times New Roman" w:hAnsi="Times New Roman"/>
          <w:szCs w:val="24"/>
        </w:rPr>
        <w:t>，占评价区面积的0.87%，矿区内盐碱地面积为8.84km</w:t>
      </w:r>
      <w:r>
        <w:rPr>
          <w:rFonts w:ascii="Times New Roman" w:hAnsi="Times New Roman"/>
          <w:szCs w:val="24"/>
          <w:vertAlign w:val="superscript"/>
        </w:rPr>
        <w:t>2</w:t>
      </w:r>
      <w:r>
        <w:rPr>
          <w:rFonts w:ascii="Times New Roman" w:hAnsi="Times New Roman"/>
          <w:szCs w:val="24"/>
        </w:rPr>
        <w:t>，占矿区面积的1.25%。评价区的沙地多数分布在评价区北部，面积4.23km</w:t>
      </w:r>
      <w:r>
        <w:rPr>
          <w:rFonts w:ascii="Times New Roman" w:hAnsi="Times New Roman"/>
          <w:szCs w:val="24"/>
          <w:vertAlign w:val="superscript"/>
        </w:rPr>
        <w:t>2</w:t>
      </w:r>
      <w:r>
        <w:rPr>
          <w:rFonts w:ascii="Times New Roman" w:hAnsi="Times New Roman"/>
          <w:szCs w:val="24"/>
        </w:rPr>
        <w:t>，占评价区面积的0.40%，矿区内沙地面积为3.76km</w:t>
      </w:r>
      <w:r>
        <w:rPr>
          <w:rFonts w:ascii="Times New Roman" w:hAnsi="Times New Roman"/>
          <w:szCs w:val="24"/>
          <w:vertAlign w:val="superscript"/>
        </w:rPr>
        <w:t>2</w:t>
      </w:r>
      <w:r>
        <w:rPr>
          <w:rFonts w:ascii="Times New Roman" w:hAnsi="Times New Roman"/>
          <w:szCs w:val="24"/>
        </w:rPr>
        <w:t>，占矿区面积的0.53%。评价区裸地面积1.51km</w:t>
      </w:r>
      <w:r>
        <w:rPr>
          <w:rFonts w:ascii="Times New Roman" w:hAnsi="Times New Roman"/>
          <w:szCs w:val="24"/>
          <w:vertAlign w:val="superscript"/>
        </w:rPr>
        <w:t>2</w:t>
      </w:r>
      <w:r>
        <w:rPr>
          <w:rFonts w:ascii="Times New Roman" w:hAnsi="Times New Roman"/>
          <w:szCs w:val="24"/>
        </w:rPr>
        <w:t>，占评价区面积的0.14%，矿区内裸地面积为0.26km</w:t>
      </w:r>
      <w:r>
        <w:rPr>
          <w:rFonts w:ascii="Times New Roman" w:hAnsi="Times New Roman"/>
          <w:szCs w:val="24"/>
          <w:vertAlign w:val="superscript"/>
        </w:rPr>
        <w:t>2</w:t>
      </w:r>
      <w:r>
        <w:rPr>
          <w:rFonts w:ascii="Times New Roman" w:hAnsi="Times New Roman"/>
          <w:szCs w:val="24"/>
        </w:rPr>
        <w:t>，占矿区面积的0.04%。</w:t>
      </w:r>
    </w:p>
    <w:p>
      <w:pPr>
        <w:keepNext/>
        <w:keepLines/>
        <w:spacing w:line="440" w:lineRule="exact"/>
        <w:outlineLvl w:val="3"/>
        <w:rPr>
          <w:rFonts w:ascii="Times New Roman" w:hAnsi="Times New Roman"/>
          <w:b/>
        </w:rPr>
      </w:pPr>
      <w:r>
        <w:rPr>
          <w:rFonts w:ascii="Times New Roman" w:hAnsi="Times New Roman"/>
          <w:b/>
        </w:rPr>
        <w:t>3.5.2.4 植被现状评价</w:t>
      </w:r>
      <w:bookmarkEnd w:id="171"/>
    </w:p>
    <w:p>
      <w:pPr>
        <w:spacing w:line="440" w:lineRule="exact"/>
        <w:ind w:firstLine="482" w:firstLineChars="200"/>
        <w:rPr>
          <w:rFonts w:ascii="Times New Roman" w:hAnsi="Times New Roman"/>
          <w:b/>
          <w:bCs/>
        </w:rPr>
      </w:pPr>
      <w:r>
        <w:rPr>
          <w:rFonts w:ascii="Times New Roman" w:hAnsi="Times New Roman"/>
          <w:b/>
          <w:bCs/>
        </w:rPr>
        <w:t>（1）植被类型</w:t>
      </w:r>
    </w:p>
    <w:p>
      <w:pPr>
        <w:spacing w:line="440" w:lineRule="exact"/>
        <w:ind w:firstLine="480" w:firstLineChars="200"/>
        <w:rPr>
          <w:rFonts w:ascii="Times New Roman" w:hAnsi="Times New Roman"/>
          <w:szCs w:val="24"/>
        </w:rPr>
      </w:pPr>
      <w:r>
        <w:rPr>
          <w:szCs w:val="24"/>
        </w:rPr>
        <w:t>评价区处于我国的农牧交错带上，依据《中国植被区划》，该区域植被分区属于温带南部典型草原亚地带鄂尔多斯高原长茅草、克氏针茅草原区</w:t>
      </w:r>
      <w:r>
        <w:rPr>
          <w:rFonts w:hint="eastAsia" w:cs="宋体"/>
          <w:szCs w:val="24"/>
        </w:rPr>
        <w:t>。由于临近毛乌素沙地，地表强烈侵蚀和沙漠化广泛存在，加之垦植历史的长久，使该区</w:t>
      </w:r>
      <w:r>
        <w:rPr>
          <w:szCs w:val="24"/>
        </w:rPr>
        <w:t>典型地带性植被退化严重，大部分被沙生植被和灌丛植被所取代。</w:t>
      </w:r>
    </w:p>
    <w:p>
      <w:pPr>
        <w:spacing w:line="440" w:lineRule="exact"/>
        <w:ind w:firstLine="480" w:firstLineChars="200"/>
        <w:rPr>
          <w:rFonts w:ascii="Times New Roman" w:hAnsi="Times New Roman"/>
        </w:rPr>
      </w:pPr>
      <w:r>
        <w:rPr>
          <w:rFonts w:ascii="Times New Roman" w:hAnsi="Times New Roman"/>
        </w:rPr>
        <w:t>评价区植被类型见表3.5-3和图3.5-4。</w:t>
      </w:r>
    </w:p>
    <w:p>
      <w:pPr>
        <w:spacing w:line="500" w:lineRule="exact"/>
        <w:jc w:val="center"/>
        <w:rPr>
          <w:rFonts w:ascii="Times New Roman" w:hAnsi="Times New Roman"/>
          <w:b/>
          <w:szCs w:val="24"/>
        </w:rPr>
      </w:pPr>
      <w:r>
        <w:rPr>
          <w:rFonts w:ascii="Times New Roman" w:hAnsi="Times New Roman"/>
          <w:b/>
          <w:szCs w:val="24"/>
        </w:rPr>
        <w:t>评价区植被类型统计表</w:t>
      </w:r>
    </w:p>
    <w:p>
      <w:pPr>
        <w:ind w:firstLine="240" w:firstLineChars="100"/>
        <w:outlineLvl w:val="4"/>
        <w:rPr>
          <w:rFonts w:ascii="Times New Roman" w:hAnsi="Times New Roman"/>
          <w:szCs w:val="24"/>
          <w:lang w:val="zh-CN"/>
        </w:rPr>
      </w:pPr>
      <w:r>
        <w:rPr>
          <w:rFonts w:ascii="Times New Roman" w:hAnsi="Times New Roman"/>
          <w:szCs w:val="24"/>
          <w:lang w:val="zh-CN"/>
        </w:rPr>
        <w:t>表3.5-3</w:t>
      </w:r>
    </w:p>
    <w:tbl>
      <w:tblPr>
        <w:tblStyle w:val="59"/>
        <w:tblW w:w="9165"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5"/>
        <w:gridCol w:w="1515"/>
        <w:gridCol w:w="1515"/>
        <w:gridCol w:w="1515"/>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vMerge w:val="restart"/>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sz w:val="21"/>
                <w:szCs w:val="21"/>
              </w:rPr>
            </w:pPr>
            <w:r>
              <w:rPr>
                <w:kern w:val="0"/>
                <w:sz w:val="21"/>
                <w:szCs w:val="21"/>
              </w:rPr>
              <w:t>植被类型</w:t>
            </w:r>
          </w:p>
        </w:tc>
        <w:tc>
          <w:tcPr>
            <w:tcW w:w="3030" w:type="dxa"/>
            <w:gridSpan w:val="2"/>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sz w:val="21"/>
                <w:szCs w:val="21"/>
              </w:rPr>
            </w:pPr>
            <w:r>
              <w:rPr>
                <w:kern w:val="0"/>
                <w:sz w:val="21"/>
                <w:szCs w:val="21"/>
              </w:rPr>
              <w:t>评价区</w:t>
            </w:r>
          </w:p>
        </w:tc>
        <w:tc>
          <w:tcPr>
            <w:tcW w:w="3030" w:type="dxa"/>
            <w:gridSpan w:val="2"/>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sz w:val="21"/>
                <w:szCs w:val="21"/>
              </w:rPr>
            </w:pPr>
            <w:r>
              <w:rPr>
                <w:kern w:val="0"/>
                <w:sz w:val="21"/>
                <w:szCs w:val="21"/>
              </w:rPr>
              <w:t>矿区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sz w:val="21"/>
                <w:szCs w:val="21"/>
              </w:rPr>
            </w:pP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sz w:val="21"/>
                <w:szCs w:val="21"/>
              </w:rPr>
            </w:pPr>
            <w:r>
              <w:rPr>
                <w:kern w:val="0"/>
                <w:sz w:val="21"/>
                <w:szCs w:val="21"/>
              </w:rPr>
              <w:t>面积（</w:t>
            </w:r>
            <w:r>
              <w:rPr>
                <w:rFonts w:ascii="Times New Roman" w:hAnsi="Times New Roman"/>
                <w:kern w:val="0"/>
                <w:sz w:val="21"/>
                <w:szCs w:val="21"/>
              </w:rPr>
              <w:t>km</w:t>
            </w:r>
            <w:r>
              <w:rPr>
                <w:rFonts w:ascii="Times New Roman" w:hAnsi="Times New Roman"/>
                <w:sz w:val="21"/>
                <w:szCs w:val="21"/>
                <w:vertAlign w:val="superscript"/>
              </w:rPr>
              <w:t>2</w:t>
            </w:r>
            <w:r>
              <w:rPr>
                <w:kern w:val="0"/>
                <w:sz w:val="21"/>
                <w:szCs w:val="21"/>
              </w:rPr>
              <w:t>）</w:t>
            </w: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sz w:val="21"/>
                <w:szCs w:val="21"/>
              </w:rPr>
            </w:pPr>
            <w:r>
              <w:rPr>
                <w:kern w:val="0"/>
                <w:sz w:val="21"/>
                <w:szCs w:val="21"/>
              </w:rPr>
              <w:t>比例（</w:t>
            </w:r>
            <w:r>
              <w:rPr>
                <w:rFonts w:ascii="Times New Roman" w:hAnsi="Times New Roman"/>
                <w:kern w:val="0"/>
                <w:sz w:val="21"/>
                <w:szCs w:val="21"/>
              </w:rPr>
              <w:t>%</w:t>
            </w:r>
            <w:r>
              <w:rPr>
                <w:kern w:val="0"/>
                <w:sz w:val="21"/>
                <w:szCs w:val="21"/>
              </w:rPr>
              <w:t>）</w:t>
            </w: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sz w:val="21"/>
                <w:szCs w:val="21"/>
              </w:rPr>
            </w:pPr>
            <w:r>
              <w:rPr>
                <w:kern w:val="0"/>
                <w:sz w:val="21"/>
                <w:szCs w:val="21"/>
              </w:rPr>
              <w:t>面积（</w:t>
            </w:r>
            <w:r>
              <w:rPr>
                <w:rFonts w:ascii="Times New Roman" w:hAnsi="Times New Roman"/>
                <w:kern w:val="0"/>
                <w:sz w:val="21"/>
                <w:szCs w:val="21"/>
              </w:rPr>
              <w:t>km</w:t>
            </w:r>
            <w:r>
              <w:rPr>
                <w:rFonts w:ascii="Times New Roman" w:hAnsi="Times New Roman"/>
                <w:sz w:val="21"/>
                <w:szCs w:val="21"/>
                <w:vertAlign w:val="superscript"/>
              </w:rPr>
              <w:t>2</w:t>
            </w:r>
            <w:r>
              <w:rPr>
                <w:kern w:val="0"/>
                <w:sz w:val="21"/>
                <w:szCs w:val="21"/>
              </w:rPr>
              <w:t>）</w:t>
            </w: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sz w:val="21"/>
                <w:szCs w:val="21"/>
              </w:rPr>
            </w:pPr>
            <w:r>
              <w:rPr>
                <w:kern w:val="0"/>
                <w:sz w:val="21"/>
                <w:szCs w:val="21"/>
              </w:rPr>
              <w:t>比例（</w:t>
            </w:r>
            <w:r>
              <w:rPr>
                <w:rFonts w:ascii="Times New Roman" w:hAnsi="Times New Roman"/>
                <w:kern w:val="0"/>
                <w:sz w:val="21"/>
                <w:szCs w:val="21"/>
              </w:rPr>
              <w:t>%</w:t>
            </w:r>
            <w:r>
              <w:rPr>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sz w:val="21"/>
                <w:szCs w:val="21"/>
              </w:rPr>
            </w:pPr>
            <w:r>
              <w:rPr>
                <w:kern w:val="0"/>
                <w:sz w:val="21"/>
                <w:szCs w:val="21"/>
              </w:rPr>
              <w:t>落叶阔叶林</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eastAsia="等线"/>
                <w:kern w:val="0"/>
                <w:sz w:val="21"/>
                <w:szCs w:val="21"/>
              </w:rPr>
              <w:t>38.84</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eastAsia="等线"/>
                <w:kern w:val="0"/>
                <w:sz w:val="21"/>
                <w:szCs w:val="21"/>
              </w:rPr>
              <w:t>3.70</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eastAsia="等线"/>
                <w:kern w:val="0"/>
                <w:sz w:val="21"/>
                <w:szCs w:val="21"/>
              </w:rPr>
              <w:t>27.46</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eastAsia="等线"/>
                <w:kern w:val="0"/>
                <w:sz w:val="21"/>
                <w:szCs w:val="21"/>
              </w:rPr>
              <w:t>3.88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sz w:val="21"/>
                <w:szCs w:val="21"/>
              </w:rPr>
            </w:pPr>
            <w:r>
              <w:rPr>
                <w:kern w:val="0"/>
                <w:sz w:val="21"/>
                <w:szCs w:val="21"/>
              </w:rPr>
              <w:t>落叶灌木、半灌木灌丛</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eastAsia="等线"/>
                <w:kern w:val="0"/>
                <w:sz w:val="21"/>
                <w:szCs w:val="21"/>
              </w:rPr>
              <w:t>410.55</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eastAsia="等线"/>
                <w:kern w:val="0"/>
                <w:sz w:val="21"/>
                <w:szCs w:val="21"/>
              </w:rPr>
              <w:t>39.07</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eastAsia="等线"/>
                <w:kern w:val="0"/>
                <w:sz w:val="21"/>
                <w:szCs w:val="21"/>
              </w:rPr>
              <w:t>262.68</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eastAsia="等线"/>
                <w:kern w:val="0"/>
                <w:sz w:val="21"/>
                <w:szCs w:val="21"/>
              </w:rPr>
              <w:t>37.09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sz w:val="21"/>
                <w:szCs w:val="21"/>
              </w:rPr>
            </w:pPr>
            <w:r>
              <w:rPr>
                <w:kern w:val="0"/>
                <w:sz w:val="21"/>
                <w:szCs w:val="21"/>
              </w:rPr>
              <w:t>半灌木、禾草草原</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312.12</w:t>
            </w: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29.70</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209.61</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29.60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sz w:val="21"/>
                <w:szCs w:val="21"/>
              </w:rPr>
            </w:pPr>
            <w:r>
              <w:rPr>
                <w:kern w:val="0"/>
                <w:sz w:val="21"/>
                <w:szCs w:val="21"/>
              </w:rPr>
              <w:t>芨芨草盐生草甸</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92.27</w:t>
            </w: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8.78</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58.45</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8.25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sz w:val="21"/>
                <w:szCs w:val="21"/>
              </w:rPr>
            </w:pPr>
            <w:r>
              <w:rPr>
                <w:kern w:val="0"/>
                <w:sz w:val="21"/>
                <w:szCs w:val="21"/>
              </w:rPr>
              <w:t>碱蓬盐生草甸</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30.08</w:t>
            </w: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2.86</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28.61</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4.04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sz w:val="21"/>
                <w:szCs w:val="21"/>
              </w:rPr>
            </w:pPr>
            <w:r>
              <w:rPr>
                <w:kern w:val="0"/>
                <w:sz w:val="21"/>
                <w:szCs w:val="21"/>
              </w:rPr>
              <w:t>沙蒿、沙蓬等沙生植被</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58.89</w:t>
            </w: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5.60</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42.40</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5.99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sz w:val="21"/>
                <w:szCs w:val="21"/>
              </w:rPr>
            </w:pPr>
            <w:r>
              <w:rPr>
                <w:kern w:val="0"/>
                <w:sz w:val="21"/>
                <w:szCs w:val="21"/>
              </w:rPr>
              <w:t>小麦、玉米等农作物</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54.35</w:t>
            </w: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5.17</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39.96</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5.64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kern w:val="0"/>
                <w:sz w:val="21"/>
                <w:szCs w:val="21"/>
              </w:rPr>
            </w:pPr>
            <w:r>
              <w:rPr>
                <w:rFonts w:hint="eastAsia"/>
                <w:kern w:val="0"/>
                <w:sz w:val="21"/>
                <w:szCs w:val="21"/>
              </w:rPr>
              <w:t>无植被区</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kern w:val="0"/>
                <w:sz w:val="21"/>
                <w:szCs w:val="21"/>
              </w:rPr>
            </w:pPr>
            <w:r>
              <w:rPr>
                <w:rFonts w:ascii="Times New Roman" w:hAnsi="Times New Roman"/>
                <w:sz w:val="21"/>
                <w:szCs w:val="21"/>
              </w:rPr>
              <w:t>53.80</w:t>
            </w:r>
          </w:p>
        </w:tc>
        <w:tc>
          <w:tcPr>
            <w:tcW w:w="15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等线"/>
                <w:kern w:val="0"/>
                <w:sz w:val="21"/>
                <w:szCs w:val="21"/>
              </w:rPr>
            </w:pPr>
            <w:r>
              <w:rPr>
                <w:rFonts w:ascii="Times New Roman" w:hAnsi="Times New Roman"/>
                <w:sz w:val="21"/>
                <w:szCs w:val="21"/>
              </w:rPr>
              <w:t>5.12</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kern w:val="0"/>
                <w:sz w:val="21"/>
                <w:szCs w:val="21"/>
              </w:rPr>
            </w:pPr>
            <w:r>
              <w:rPr>
                <w:rFonts w:ascii="Times New Roman" w:hAnsi="Times New Roman"/>
                <w:sz w:val="21"/>
                <w:szCs w:val="21"/>
              </w:rPr>
              <w:t>38.99</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kern w:val="0"/>
                <w:sz w:val="21"/>
                <w:szCs w:val="21"/>
              </w:rPr>
            </w:pPr>
            <w:r>
              <w:rPr>
                <w:rFonts w:ascii="Times New Roman" w:hAnsi="Times New Roman"/>
                <w:sz w:val="21"/>
                <w:szCs w:val="21"/>
              </w:rPr>
              <w:t>5.51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0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sz w:val="21"/>
                <w:szCs w:val="21"/>
              </w:rPr>
            </w:pPr>
            <w:r>
              <w:rPr>
                <w:kern w:val="0"/>
                <w:sz w:val="21"/>
                <w:szCs w:val="21"/>
              </w:rPr>
              <w:t>合计</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1050.90</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100.00</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708.16</w:t>
            </w:r>
          </w:p>
        </w:tc>
        <w:tc>
          <w:tcPr>
            <w:tcW w:w="1515" w:type="dxa"/>
            <w:tcBorders>
              <w:top w:val="single" w:color="auto" w:sz="4" w:space="0"/>
              <w:left w:val="single" w:color="auto" w:sz="4" w:space="0"/>
              <w:bottom w:val="single" w:color="auto" w:sz="4" w:space="0"/>
              <w:right w:val="single" w:color="auto" w:sz="4" w:space="0"/>
            </w:tcBorders>
            <w:noWrap/>
            <w:vAlign w:val="center"/>
          </w:tcPr>
          <w:p>
            <w:pPr>
              <w:widowControl/>
              <w:jc w:val="center"/>
              <w:textAlignment w:val="center"/>
              <w:rPr>
                <w:rFonts w:ascii="Times New Roman" w:hAnsi="Times New Roman" w:eastAsia="等线"/>
                <w:sz w:val="21"/>
                <w:szCs w:val="21"/>
              </w:rPr>
            </w:pPr>
            <w:r>
              <w:rPr>
                <w:rFonts w:ascii="Times New Roman" w:hAnsi="Times New Roman"/>
                <w:sz w:val="21"/>
                <w:szCs w:val="21"/>
              </w:rPr>
              <w:t>100.00</w:t>
            </w:r>
          </w:p>
        </w:tc>
      </w:tr>
    </w:tbl>
    <w:p>
      <w:pPr>
        <w:spacing w:line="440" w:lineRule="exact"/>
        <w:ind w:firstLine="480" w:firstLineChars="200"/>
        <w:rPr>
          <w:rFonts w:ascii="Times New Roman" w:hAnsi="Times New Roman"/>
          <w:kern w:val="0"/>
          <w:szCs w:val="24"/>
        </w:rPr>
      </w:pPr>
      <w:r>
        <w:rPr>
          <w:rFonts w:ascii="Times New Roman" w:hAnsi="Times New Roman"/>
          <w:kern w:val="0"/>
          <w:szCs w:val="24"/>
        </w:rPr>
        <w:t>1</w:t>
      </w:r>
      <w:r>
        <w:rPr>
          <w:rFonts w:hint="eastAsia" w:cs="宋体"/>
          <w:kern w:val="0"/>
          <w:szCs w:val="24"/>
        </w:rPr>
        <w:t>）</w:t>
      </w:r>
      <w:r>
        <w:rPr>
          <w:kern w:val="0"/>
          <w:szCs w:val="24"/>
        </w:rPr>
        <w:t>落叶阔叶林</w:t>
      </w:r>
    </w:p>
    <w:p>
      <w:pPr>
        <w:spacing w:line="440" w:lineRule="exact"/>
        <w:ind w:firstLine="480" w:firstLineChars="200"/>
        <w:rPr>
          <w:rFonts w:ascii="Times New Roman" w:hAnsi="Times New Roman"/>
          <w:szCs w:val="24"/>
        </w:rPr>
      </w:pPr>
      <w:r>
        <w:rPr>
          <w:rFonts w:hint="eastAsia" w:cs="宋体"/>
          <w:kern w:val="0"/>
          <w:szCs w:val="24"/>
        </w:rPr>
        <w:t>评价区落叶阔叶林面积为</w:t>
      </w:r>
      <w:r>
        <w:rPr>
          <w:rFonts w:hint="eastAsia" w:ascii="Times New Roman" w:hAnsi="Times New Roman"/>
          <w:kern w:val="0"/>
          <w:szCs w:val="24"/>
        </w:rPr>
        <w:t>3</w:t>
      </w:r>
      <w:r>
        <w:rPr>
          <w:rFonts w:ascii="Times New Roman" w:hAnsi="Times New Roman"/>
          <w:kern w:val="0"/>
          <w:szCs w:val="24"/>
        </w:rPr>
        <w:t>8.84</w:t>
      </w:r>
      <w:r>
        <w:rPr>
          <w:rFonts w:ascii="Times New Roman" w:hAnsi="Times New Roman"/>
          <w:szCs w:val="24"/>
        </w:rPr>
        <w:t>km</w:t>
      </w:r>
      <w:r>
        <w:rPr>
          <w:rFonts w:ascii="Times New Roman" w:hAnsi="Times New Roman"/>
          <w:szCs w:val="24"/>
          <w:vertAlign w:val="superscript"/>
        </w:rPr>
        <w:t>2</w:t>
      </w:r>
      <w:r>
        <w:rPr>
          <w:rFonts w:hint="eastAsia" w:cs="宋体"/>
          <w:kern w:val="0"/>
          <w:szCs w:val="24"/>
        </w:rPr>
        <w:t>，占评价区面积的</w:t>
      </w:r>
      <w:r>
        <w:rPr>
          <w:rFonts w:hint="eastAsia" w:ascii="Times New Roman" w:hAnsi="Times New Roman"/>
          <w:kern w:val="0"/>
          <w:szCs w:val="24"/>
        </w:rPr>
        <w:t>3</w:t>
      </w:r>
      <w:r>
        <w:rPr>
          <w:rFonts w:ascii="Times New Roman" w:hAnsi="Times New Roman"/>
          <w:kern w:val="0"/>
          <w:szCs w:val="24"/>
        </w:rPr>
        <w:t>.70</w:t>
      </w:r>
      <w:r>
        <w:rPr>
          <w:rFonts w:hint="eastAsia" w:ascii="Times New Roman" w:hAnsi="Times New Roman"/>
          <w:kern w:val="0"/>
          <w:szCs w:val="24"/>
        </w:rPr>
        <w:t>%</w:t>
      </w:r>
      <w:r>
        <w:rPr>
          <w:rFonts w:hint="eastAsia" w:cs="宋体"/>
          <w:kern w:val="0"/>
          <w:szCs w:val="24"/>
        </w:rPr>
        <w:t>。</w:t>
      </w:r>
      <w:r>
        <w:rPr>
          <w:kern w:val="0"/>
          <w:szCs w:val="24"/>
        </w:rPr>
        <w:t>落叶阔叶林地以人工营造为主，多分布在村庄、耕地周边及道路两侧，成林方式以片状或带状为主，造林树种有杂交杨、旱柳、柠条、沙柳和柽柳等。</w:t>
      </w:r>
    </w:p>
    <w:p>
      <w:pPr>
        <w:spacing w:line="440" w:lineRule="exact"/>
        <w:ind w:firstLine="480" w:firstLineChars="200"/>
        <w:rPr>
          <w:rFonts w:ascii="Times New Roman" w:hAnsi="Times New Roman"/>
          <w:szCs w:val="24"/>
        </w:rPr>
      </w:pPr>
      <w:r>
        <w:rPr>
          <w:rFonts w:ascii="Times New Roman" w:hAnsi="Times New Roman"/>
          <w:szCs w:val="24"/>
        </w:rPr>
        <w:t>2</w:t>
      </w:r>
      <w:r>
        <w:rPr>
          <w:rFonts w:hint="eastAsia" w:cs="宋体"/>
          <w:szCs w:val="24"/>
        </w:rPr>
        <w:t>）</w:t>
      </w:r>
      <w:r>
        <w:rPr>
          <w:szCs w:val="24"/>
        </w:rPr>
        <w:t>落叶灌木、半灌木灌丛</w:t>
      </w:r>
    </w:p>
    <w:p>
      <w:pPr>
        <w:spacing w:line="440" w:lineRule="exact"/>
        <w:ind w:firstLine="480" w:firstLineChars="200"/>
        <w:rPr>
          <w:rFonts w:ascii="Times New Roman" w:hAnsi="Times New Roman"/>
          <w:szCs w:val="24"/>
        </w:rPr>
      </w:pPr>
      <w:r>
        <w:rPr>
          <w:rFonts w:hint="eastAsia" w:cs="宋体"/>
          <w:kern w:val="0"/>
          <w:szCs w:val="24"/>
        </w:rPr>
        <w:t>评价区</w:t>
      </w:r>
      <w:r>
        <w:rPr>
          <w:szCs w:val="24"/>
        </w:rPr>
        <w:t>落叶灌木、半灌木灌丛</w:t>
      </w:r>
      <w:r>
        <w:rPr>
          <w:rFonts w:hint="eastAsia" w:cs="宋体"/>
          <w:kern w:val="0"/>
          <w:szCs w:val="24"/>
        </w:rPr>
        <w:t>面积为</w:t>
      </w:r>
      <w:r>
        <w:rPr>
          <w:rFonts w:ascii="Times New Roman" w:hAnsi="Times New Roman"/>
          <w:kern w:val="0"/>
          <w:szCs w:val="24"/>
        </w:rPr>
        <w:t>410.55</w:t>
      </w:r>
      <w:r>
        <w:rPr>
          <w:rFonts w:ascii="Times New Roman" w:hAnsi="Times New Roman"/>
          <w:szCs w:val="24"/>
        </w:rPr>
        <w:t>km</w:t>
      </w:r>
      <w:r>
        <w:rPr>
          <w:rFonts w:ascii="Times New Roman" w:hAnsi="Times New Roman"/>
          <w:szCs w:val="24"/>
          <w:vertAlign w:val="superscript"/>
        </w:rPr>
        <w:t>2</w:t>
      </w:r>
      <w:r>
        <w:rPr>
          <w:rFonts w:hint="eastAsia" w:cs="宋体"/>
          <w:kern w:val="0"/>
          <w:szCs w:val="24"/>
        </w:rPr>
        <w:t>，占评价区面积的</w:t>
      </w:r>
      <w:r>
        <w:rPr>
          <w:rFonts w:ascii="Times New Roman" w:hAnsi="Times New Roman"/>
          <w:kern w:val="0"/>
          <w:szCs w:val="24"/>
        </w:rPr>
        <w:t>39.07</w:t>
      </w:r>
      <w:r>
        <w:rPr>
          <w:rFonts w:hint="eastAsia" w:ascii="Times New Roman" w:hAnsi="Times New Roman"/>
          <w:kern w:val="0"/>
          <w:szCs w:val="24"/>
        </w:rPr>
        <w:t>%</w:t>
      </w:r>
      <w:r>
        <w:rPr>
          <w:rFonts w:hint="eastAsia" w:cs="宋体"/>
          <w:kern w:val="0"/>
          <w:szCs w:val="24"/>
        </w:rPr>
        <w:t>，为评价区主要植被类型。</w:t>
      </w:r>
      <w:r>
        <w:rPr>
          <w:szCs w:val="24"/>
        </w:rPr>
        <w:t>落叶灌木、半灌木灌丛以中间锦鸡儿、沙柳灌丛为优势植物，次优势植物为猪毛菜、沙蒿，草本以百里香、本氏针茅为主，伴生植物有阿尔泰狗哇花、糙隐子草、茵陈蒿、地锦等，平均盖度</w:t>
      </w:r>
      <w:r>
        <w:rPr>
          <w:rFonts w:ascii="Times New Roman" w:hAnsi="Times New Roman"/>
          <w:szCs w:val="24"/>
        </w:rPr>
        <w:t>30%</w:t>
      </w:r>
      <w:r>
        <w:rPr>
          <w:szCs w:val="24"/>
        </w:rPr>
        <w:t>。灌木层高度为</w:t>
      </w:r>
      <w:r>
        <w:rPr>
          <w:rFonts w:ascii="Times New Roman" w:hAnsi="Times New Roman"/>
          <w:szCs w:val="24"/>
        </w:rPr>
        <w:t>30.5-65.0</w:t>
      </w:r>
      <w:r>
        <w:rPr>
          <w:szCs w:val="24"/>
        </w:rPr>
        <w:t>厘米，草本层高度为</w:t>
      </w:r>
      <w:r>
        <w:rPr>
          <w:rFonts w:ascii="Times New Roman" w:hAnsi="Times New Roman"/>
          <w:szCs w:val="24"/>
        </w:rPr>
        <w:t>3.5-21.0</w:t>
      </w:r>
      <w:r>
        <w:rPr>
          <w:szCs w:val="24"/>
        </w:rPr>
        <w:t>厘米；每平方米植物种数</w:t>
      </w:r>
      <w:r>
        <w:rPr>
          <w:rFonts w:ascii="Times New Roman" w:hAnsi="Times New Roman"/>
          <w:szCs w:val="24"/>
        </w:rPr>
        <w:t>6-10</w:t>
      </w:r>
      <w:r>
        <w:rPr>
          <w:szCs w:val="24"/>
        </w:rPr>
        <w:t>种，少数为</w:t>
      </w:r>
      <w:r>
        <w:rPr>
          <w:rFonts w:ascii="Times New Roman" w:hAnsi="Times New Roman"/>
          <w:szCs w:val="24"/>
        </w:rPr>
        <w:t>1</w:t>
      </w:r>
      <w:r>
        <w:rPr>
          <w:szCs w:val="24"/>
        </w:rPr>
        <w:t>种。平均亩产鲜草</w:t>
      </w:r>
      <w:r>
        <w:rPr>
          <w:rFonts w:ascii="Times New Roman" w:hAnsi="Times New Roman"/>
          <w:szCs w:val="24"/>
        </w:rPr>
        <w:t>89.21</w:t>
      </w:r>
      <w:r>
        <w:rPr>
          <w:szCs w:val="24"/>
        </w:rPr>
        <w:t>公斤，其中禾草类占</w:t>
      </w:r>
      <w:r>
        <w:rPr>
          <w:rFonts w:ascii="Times New Roman" w:hAnsi="Times New Roman"/>
          <w:szCs w:val="24"/>
        </w:rPr>
        <w:t>l5.36%</w:t>
      </w:r>
      <w:r>
        <w:rPr>
          <w:szCs w:val="24"/>
        </w:rPr>
        <w:t>，豆科草本类占</w:t>
      </w:r>
      <w:r>
        <w:rPr>
          <w:rFonts w:ascii="Times New Roman" w:hAnsi="Times New Roman"/>
          <w:szCs w:val="24"/>
        </w:rPr>
        <w:t>14.24%</w:t>
      </w:r>
      <w:r>
        <w:rPr>
          <w:szCs w:val="24"/>
        </w:rPr>
        <w:t>，蒿类</w:t>
      </w:r>
      <w:r>
        <w:rPr>
          <w:rFonts w:ascii="Times New Roman" w:hAnsi="Times New Roman"/>
          <w:szCs w:val="24"/>
        </w:rPr>
        <w:t>(</w:t>
      </w:r>
      <w:r>
        <w:rPr>
          <w:szCs w:val="24"/>
        </w:rPr>
        <w:t>草本</w:t>
      </w:r>
      <w:r>
        <w:rPr>
          <w:rFonts w:ascii="Times New Roman" w:hAnsi="Times New Roman"/>
          <w:szCs w:val="24"/>
        </w:rPr>
        <w:t>)</w:t>
      </w:r>
      <w:r>
        <w:rPr>
          <w:szCs w:val="24"/>
        </w:rPr>
        <w:t>占</w:t>
      </w:r>
      <w:r>
        <w:rPr>
          <w:rFonts w:ascii="Times New Roman" w:hAnsi="Times New Roman"/>
          <w:szCs w:val="24"/>
        </w:rPr>
        <w:t>3.91%</w:t>
      </w:r>
      <w:r>
        <w:rPr>
          <w:szCs w:val="24"/>
        </w:rPr>
        <w:t>，猪毛菜类占</w:t>
      </w:r>
      <w:r>
        <w:rPr>
          <w:rFonts w:ascii="Times New Roman" w:hAnsi="Times New Roman"/>
          <w:szCs w:val="24"/>
        </w:rPr>
        <w:t>1.95%</w:t>
      </w:r>
      <w:r>
        <w:rPr>
          <w:szCs w:val="24"/>
        </w:rPr>
        <w:t>，杂类草占</w:t>
      </w:r>
      <w:r>
        <w:rPr>
          <w:rFonts w:ascii="Times New Roman" w:hAnsi="Times New Roman"/>
          <w:szCs w:val="24"/>
        </w:rPr>
        <w:t>16.47%</w:t>
      </w:r>
      <w:r>
        <w:rPr>
          <w:szCs w:val="24"/>
        </w:rPr>
        <w:t>，半灌木类占</w:t>
      </w:r>
      <w:r>
        <w:rPr>
          <w:rFonts w:ascii="Times New Roman" w:hAnsi="Times New Roman"/>
          <w:szCs w:val="24"/>
        </w:rPr>
        <w:t>22.90%</w:t>
      </w:r>
      <w:r>
        <w:rPr>
          <w:szCs w:val="24"/>
        </w:rPr>
        <w:t>，灌木类占</w:t>
      </w:r>
      <w:r>
        <w:rPr>
          <w:rFonts w:ascii="Times New Roman" w:hAnsi="Times New Roman"/>
          <w:szCs w:val="24"/>
        </w:rPr>
        <w:t>24.65%</w:t>
      </w:r>
      <w:r>
        <w:rPr>
          <w:szCs w:val="24"/>
        </w:rPr>
        <w:t>，有毒有害植物类占</w:t>
      </w:r>
      <w:r>
        <w:rPr>
          <w:rFonts w:ascii="Times New Roman" w:hAnsi="Times New Roman"/>
          <w:szCs w:val="24"/>
        </w:rPr>
        <w:t>0.51%</w:t>
      </w:r>
      <w:r>
        <w:rPr>
          <w:szCs w:val="24"/>
        </w:rPr>
        <w:t>。</w:t>
      </w:r>
    </w:p>
    <w:p>
      <w:pPr>
        <w:spacing w:line="440" w:lineRule="exact"/>
        <w:ind w:firstLine="480" w:firstLineChars="200"/>
        <w:rPr>
          <w:rFonts w:ascii="Times New Roman" w:hAnsi="Times New Roman"/>
          <w:szCs w:val="24"/>
        </w:rPr>
      </w:pPr>
      <w:r>
        <w:rPr>
          <w:rFonts w:ascii="Times New Roman" w:hAnsi="Times New Roman"/>
          <w:szCs w:val="24"/>
        </w:rPr>
        <w:t>3</w:t>
      </w:r>
      <w:r>
        <w:rPr>
          <w:rFonts w:hint="eastAsia" w:cs="宋体"/>
          <w:szCs w:val="24"/>
        </w:rPr>
        <w:t>）</w:t>
      </w:r>
      <w:r>
        <w:rPr>
          <w:szCs w:val="24"/>
        </w:rPr>
        <w:t>半灌木、禾草草原</w:t>
      </w:r>
    </w:p>
    <w:p>
      <w:pPr>
        <w:spacing w:line="440" w:lineRule="exact"/>
        <w:ind w:firstLine="480" w:firstLineChars="200"/>
        <w:rPr>
          <w:rFonts w:ascii="Times New Roman" w:hAnsi="Times New Roman"/>
          <w:szCs w:val="24"/>
        </w:rPr>
      </w:pPr>
      <w:r>
        <w:rPr>
          <w:rFonts w:hint="eastAsia" w:cs="宋体"/>
          <w:kern w:val="0"/>
          <w:szCs w:val="24"/>
        </w:rPr>
        <w:t>评价区</w:t>
      </w:r>
      <w:r>
        <w:rPr>
          <w:rFonts w:hint="eastAsia" w:cs="宋体"/>
          <w:szCs w:val="24"/>
        </w:rPr>
        <w:t>半灌木、禾草草原</w:t>
      </w:r>
      <w:r>
        <w:rPr>
          <w:rFonts w:hint="eastAsia" w:cs="宋体"/>
          <w:kern w:val="0"/>
          <w:szCs w:val="24"/>
        </w:rPr>
        <w:t>面积为</w:t>
      </w:r>
      <w:r>
        <w:rPr>
          <w:rFonts w:ascii="Times New Roman" w:hAnsi="Times New Roman"/>
          <w:kern w:val="0"/>
          <w:szCs w:val="24"/>
        </w:rPr>
        <w:t>312.12</w:t>
      </w:r>
      <w:r>
        <w:rPr>
          <w:rFonts w:ascii="Times New Roman" w:hAnsi="Times New Roman"/>
          <w:szCs w:val="24"/>
        </w:rPr>
        <w:t>km</w:t>
      </w:r>
      <w:r>
        <w:rPr>
          <w:rFonts w:ascii="Times New Roman" w:hAnsi="Times New Roman"/>
          <w:szCs w:val="24"/>
          <w:vertAlign w:val="superscript"/>
        </w:rPr>
        <w:t>2</w:t>
      </w:r>
      <w:r>
        <w:rPr>
          <w:rFonts w:hint="eastAsia" w:cs="宋体"/>
          <w:kern w:val="0"/>
          <w:szCs w:val="24"/>
        </w:rPr>
        <w:t>，占评价区面积的</w:t>
      </w:r>
      <w:r>
        <w:rPr>
          <w:rFonts w:ascii="Times New Roman" w:hAnsi="Times New Roman"/>
          <w:kern w:val="0"/>
          <w:szCs w:val="24"/>
        </w:rPr>
        <w:t>29.70</w:t>
      </w:r>
      <w:r>
        <w:rPr>
          <w:rFonts w:hint="eastAsia" w:ascii="Times New Roman" w:hAnsi="Times New Roman"/>
          <w:kern w:val="0"/>
          <w:szCs w:val="24"/>
        </w:rPr>
        <w:t>%</w:t>
      </w:r>
      <w:r>
        <w:rPr>
          <w:rFonts w:hint="eastAsia" w:cs="宋体"/>
          <w:kern w:val="0"/>
          <w:szCs w:val="24"/>
        </w:rPr>
        <w:t>，为评价区第二大植被类型。</w:t>
      </w:r>
      <w:r>
        <w:rPr>
          <w:szCs w:val="24"/>
        </w:rPr>
        <w:t>半灌木、禾草草原包括两个草地型百里香</w:t>
      </w:r>
      <w:r>
        <w:rPr>
          <w:rFonts w:ascii="Times New Roman" w:hAnsi="Times New Roman"/>
          <w:szCs w:val="24"/>
        </w:rPr>
        <w:t>+</w:t>
      </w:r>
      <w:r>
        <w:rPr>
          <w:szCs w:val="24"/>
        </w:rPr>
        <w:t>本氏针茅草地和百里香</w:t>
      </w:r>
      <w:r>
        <w:rPr>
          <w:rFonts w:ascii="Times New Roman" w:hAnsi="Times New Roman"/>
          <w:szCs w:val="24"/>
        </w:rPr>
        <w:t>+</w:t>
      </w:r>
      <w:r>
        <w:rPr>
          <w:szCs w:val="24"/>
        </w:rPr>
        <w:t>短花针茅草地，其中百里香</w:t>
      </w:r>
      <w:r>
        <w:rPr>
          <w:rFonts w:ascii="Times New Roman" w:hAnsi="Times New Roman"/>
          <w:szCs w:val="24"/>
        </w:rPr>
        <w:t>+</w:t>
      </w:r>
      <w:r>
        <w:rPr>
          <w:szCs w:val="24"/>
        </w:rPr>
        <w:t>本氏针茅草地占绝对优势。</w:t>
      </w:r>
    </w:p>
    <w:p>
      <w:pPr>
        <w:spacing w:line="440" w:lineRule="exact"/>
        <w:ind w:firstLine="480" w:firstLineChars="200"/>
        <w:rPr>
          <w:rFonts w:ascii="Times New Roman" w:hAnsi="Times New Roman"/>
          <w:szCs w:val="24"/>
        </w:rPr>
      </w:pPr>
      <w:r>
        <w:rPr>
          <w:rFonts w:hint="eastAsia" w:cs="宋体"/>
          <w:szCs w:val="24"/>
        </w:rPr>
        <w:t>①</w:t>
      </w:r>
      <w:r>
        <w:rPr>
          <w:szCs w:val="24"/>
        </w:rPr>
        <w:t>百里香</w:t>
      </w:r>
      <w:r>
        <w:rPr>
          <w:rFonts w:ascii="Times New Roman" w:hAnsi="Times New Roman"/>
          <w:szCs w:val="24"/>
        </w:rPr>
        <w:t>+</w:t>
      </w:r>
      <w:r>
        <w:rPr>
          <w:szCs w:val="24"/>
        </w:rPr>
        <w:t>本氏针茅草地</w:t>
      </w:r>
      <w:r>
        <w:rPr>
          <w:rFonts w:hint="eastAsia" w:cs="宋体"/>
          <w:szCs w:val="24"/>
        </w:rPr>
        <w:t>：</w:t>
      </w:r>
      <w:r>
        <w:rPr>
          <w:szCs w:val="24"/>
        </w:rPr>
        <w:t>草群盖度约</w:t>
      </w:r>
      <w:r>
        <w:rPr>
          <w:rFonts w:ascii="Times New Roman" w:hAnsi="Times New Roman"/>
          <w:szCs w:val="24"/>
        </w:rPr>
        <w:t>40.0%</w:t>
      </w:r>
      <w:r>
        <w:rPr>
          <w:szCs w:val="24"/>
        </w:rPr>
        <w:t>；草群高度</w:t>
      </w:r>
      <w:r>
        <w:rPr>
          <w:rFonts w:ascii="Times New Roman" w:hAnsi="Times New Roman"/>
          <w:szCs w:val="24"/>
        </w:rPr>
        <w:t>7.5</w:t>
      </w:r>
      <w:r>
        <w:rPr>
          <w:szCs w:val="24"/>
        </w:rPr>
        <w:t>～</w:t>
      </w:r>
      <w:r>
        <w:rPr>
          <w:rFonts w:ascii="Times New Roman" w:hAnsi="Times New Roman"/>
          <w:szCs w:val="24"/>
        </w:rPr>
        <w:t>40.0</w:t>
      </w:r>
      <w:r>
        <w:rPr>
          <w:szCs w:val="24"/>
        </w:rPr>
        <w:t>厘米；每平方米植物种数</w:t>
      </w:r>
      <w:r>
        <w:rPr>
          <w:rFonts w:ascii="Times New Roman" w:hAnsi="Times New Roman"/>
          <w:szCs w:val="24"/>
        </w:rPr>
        <w:t>2</w:t>
      </w:r>
      <w:r>
        <w:rPr>
          <w:szCs w:val="24"/>
        </w:rPr>
        <w:t>～</w:t>
      </w:r>
      <w:r>
        <w:rPr>
          <w:rFonts w:ascii="Times New Roman" w:hAnsi="Times New Roman"/>
          <w:szCs w:val="24"/>
        </w:rPr>
        <w:t>7</w:t>
      </w:r>
      <w:r>
        <w:rPr>
          <w:szCs w:val="24"/>
        </w:rPr>
        <w:t>种。优势植物有百里香、本氏针茅，次优势植物有糙隐子草、达乌里胡枝子。主要伴生植物是狗尾草、猪毛葛、砂珍棘豆、溜果虫实、羊草、英萌、地锦、碱韭、冷蒿等，鲜草产量</w:t>
      </w:r>
      <w:r>
        <w:rPr>
          <w:rFonts w:ascii="Times New Roman" w:hAnsi="Times New Roman"/>
          <w:szCs w:val="24"/>
        </w:rPr>
        <w:t>71.96</w:t>
      </w:r>
      <w:r>
        <w:rPr>
          <w:szCs w:val="24"/>
        </w:rPr>
        <w:t>公斤</w:t>
      </w:r>
      <w:r>
        <w:rPr>
          <w:rFonts w:ascii="Times New Roman" w:hAnsi="Times New Roman"/>
          <w:szCs w:val="24"/>
        </w:rPr>
        <w:t>/</w:t>
      </w:r>
      <w:r>
        <w:rPr>
          <w:szCs w:val="24"/>
        </w:rPr>
        <w:t>亩。</w:t>
      </w:r>
    </w:p>
    <w:p>
      <w:pPr>
        <w:spacing w:line="440" w:lineRule="exact"/>
        <w:ind w:firstLine="480" w:firstLineChars="200"/>
        <w:rPr>
          <w:rFonts w:ascii="Times New Roman" w:hAnsi="Times New Roman"/>
          <w:szCs w:val="24"/>
        </w:rPr>
      </w:pPr>
      <w:r>
        <w:rPr>
          <w:rFonts w:hint="eastAsia" w:cs="宋体"/>
          <w:szCs w:val="24"/>
        </w:rPr>
        <w:t>②</w:t>
      </w:r>
      <w:r>
        <w:rPr>
          <w:szCs w:val="24"/>
        </w:rPr>
        <w:t>百里香</w:t>
      </w:r>
      <w:r>
        <w:rPr>
          <w:rFonts w:ascii="Times New Roman" w:hAnsi="Times New Roman"/>
          <w:szCs w:val="24"/>
        </w:rPr>
        <w:t>+</w:t>
      </w:r>
      <w:r>
        <w:rPr>
          <w:szCs w:val="24"/>
        </w:rPr>
        <w:t>短花针茅草地</w:t>
      </w:r>
      <w:r>
        <w:rPr>
          <w:rFonts w:hint="eastAsia" w:cs="宋体"/>
          <w:szCs w:val="24"/>
        </w:rPr>
        <w:t>：</w:t>
      </w:r>
      <w:r>
        <w:rPr>
          <w:szCs w:val="24"/>
        </w:rPr>
        <w:t>草群盖度约</w:t>
      </w:r>
      <w:r>
        <w:rPr>
          <w:rFonts w:ascii="Times New Roman" w:hAnsi="Times New Roman"/>
          <w:szCs w:val="24"/>
        </w:rPr>
        <w:t>35.0%</w:t>
      </w:r>
      <w:r>
        <w:rPr>
          <w:szCs w:val="24"/>
        </w:rPr>
        <w:t>；草群高度</w:t>
      </w:r>
      <w:r>
        <w:rPr>
          <w:rFonts w:ascii="Times New Roman" w:hAnsi="Times New Roman"/>
          <w:szCs w:val="24"/>
        </w:rPr>
        <w:t>7.5</w:t>
      </w:r>
      <w:r>
        <w:rPr>
          <w:szCs w:val="24"/>
        </w:rPr>
        <w:t>～</w:t>
      </w:r>
      <w:r>
        <w:rPr>
          <w:rFonts w:ascii="Times New Roman" w:hAnsi="Times New Roman"/>
          <w:szCs w:val="24"/>
        </w:rPr>
        <w:t>20.0</w:t>
      </w:r>
      <w:r>
        <w:rPr>
          <w:szCs w:val="24"/>
        </w:rPr>
        <w:t>厘米；每平方米植物种数为</w:t>
      </w:r>
      <w:r>
        <w:rPr>
          <w:rFonts w:ascii="Times New Roman" w:hAnsi="Times New Roman"/>
          <w:szCs w:val="24"/>
        </w:rPr>
        <w:t>6</w:t>
      </w:r>
      <w:r>
        <w:rPr>
          <w:szCs w:val="24"/>
        </w:rPr>
        <w:t>种。优势植物为百里香、短花针茅，次优势植物有糙隐子草、达乌里胡技子，主要伴生植物有阿尔泰狗哇花、冠芒草、砂珍棘豆、远志等。鲜草产量</w:t>
      </w:r>
      <w:r>
        <w:rPr>
          <w:rFonts w:ascii="Times New Roman" w:hAnsi="Times New Roman"/>
          <w:szCs w:val="24"/>
        </w:rPr>
        <w:t>63.67</w:t>
      </w:r>
      <w:r>
        <w:rPr>
          <w:szCs w:val="24"/>
        </w:rPr>
        <w:t>公斤</w:t>
      </w:r>
      <w:r>
        <w:rPr>
          <w:rFonts w:ascii="Times New Roman" w:hAnsi="Times New Roman"/>
          <w:szCs w:val="24"/>
        </w:rPr>
        <w:t>/</w:t>
      </w:r>
      <w:r>
        <w:rPr>
          <w:szCs w:val="24"/>
        </w:rPr>
        <w:t>亩。</w:t>
      </w:r>
    </w:p>
    <w:p>
      <w:pPr>
        <w:spacing w:line="440" w:lineRule="exact"/>
        <w:ind w:firstLine="480" w:firstLineChars="200"/>
        <w:rPr>
          <w:rFonts w:ascii="Times New Roman" w:hAnsi="Times New Roman"/>
          <w:szCs w:val="24"/>
        </w:rPr>
      </w:pPr>
      <w:r>
        <w:rPr>
          <w:rFonts w:ascii="Times New Roman" w:hAnsi="Times New Roman"/>
          <w:szCs w:val="24"/>
        </w:rPr>
        <w:t>4</w:t>
      </w:r>
      <w:r>
        <w:rPr>
          <w:rFonts w:hint="eastAsia" w:cs="宋体"/>
          <w:szCs w:val="24"/>
        </w:rPr>
        <w:t>）</w:t>
      </w:r>
      <w:r>
        <w:rPr>
          <w:szCs w:val="24"/>
        </w:rPr>
        <w:t>芨芨草盐生草甸</w:t>
      </w:r>
    </w:p>
    <w:p>
      <w:pPr>
        <w:spacing w:line="440" w:lineRule="exact"/>
        <w:ind w:firstLine="480" w:firstLineChars="200"/>
        <w:rPr>
          <w:rFonts w:ascii="Times New Roman" w:hAnsi="Times New Roman"/>
          <w:szCs w:val="24"/>
        </w:rPr>
      </w:pPr>
      <w:r>
        <w:rPr>
          <w:rFonts w:hint="eastAsia" w:cs="宋体"/>
          <w:kern w:val="0"/>
          <w:szCs w:val="24"/>
        </w:rPr>
        <w:t>评价区</w:t>
      </w:r>
      <w:r>
        <w:rPr>
          <w:szCs w:val="24"/>
        </w:rPr>
        <w:t>芨芨草盐生草甸</w:t>
      </w:r>
      <w:r>
        <w:rPr>
          <w:rFonts w:hint="eastAsia" w:cs="宋体"/>
          <w:kern w:val="0"/>
          <w:szCs w:val="24"/>
        </w:rPr>
        <w:t>面积为</w:t>
      </w:r>
      <w:r>
        <w:rPr>
          <w:rFonts w:ascii="Times New Roman" w:hAnsi="Times New Roman"/>
          <w:kern w:val="0"/>
          <w:szCs w:val="24"/>
        </w:rPr>
        <w:t>92.27</w:t>
      </w:r>
      <w:r>
        <w:rPr>
          <w:rFonts w:ascii="Times New Roman" w:hAnsi="Times New Roman"/>
          <w:szCs w:val="24"/>
        </w:rPr>
        <w:t>km</w:t>
      </w:r>
      <w:r>
        <w:rPr>
          <w:rFonts w:ascii="Times New Roman" w:hAnsi="Times New Roman"/>
          <w:szCs w:val="24"/>
          <w:vertAlign w:val="superscript"/>
        </w:rPr>
        <w:t>2</w:t>
      </w:r>
      <w:r>
        <w:rPr>
          <w:rFonts w:hint="eastAsia" w:cs="宋体"/>
          <w:kern w:val="0"/>
          <w:szCs w:val="24"/>
        </w:rPr>
        <w:t>，占评价区面积的</w:t>
      </w:r>
      <w:r>
        <w:rPr>
          <w:rFonts w:ascii="Times New Roman" w:hAnsi="Times New Roman"/>
          <w:kern w:val="0"/>
          <w:szCs w:val="24"/>
        </w:rPr>
        <w:t>8.78</w:t>
      </w:r>
      <w:r>
        <w:rPr>
          <w:rFonts w:hint="eastAsia" w:ascii="Times New Roman" w:hAnsi="Times New Roman"/>
          <w:kern w:val="0"/>
          <w:szCs w:val="24"/>
        </w:rPr>
        <w:t>%</w:t>
      </w:r>
      <w:r>
        <w:rPr>
          <w:rFonts w:hint="eastAsia" w:cs="宋体"/>
          <w:kern w:val="0"/>
          <w:szCs w:val="24"/>
        </w:rPr>
        <w:t>。</w:t>
      </w:r>
      <w:r>
        <w:rPr>
          <w:szCs w:val="24"/>
        </w:rPr>
        <w:t>芨芨草盐生草甸主要分布评价区内的低平地段。草群盖度约</w:t>
      </w:r>
      <w:r>
        <w:rPr>
          <w:rFonts w:ascii="Times New Roman" w:hAnsi="Times New Roman"/>
          <w:szCs w:val="24"/>
        </w:rPr>
        <w:t>50%</w:t>
      </w:r>
      <w:r>
        <w:rPr>
          <w:szCs w:val="24"/>
        </w:rPr>
        <w:t>，草群高度</w:t>
      </w:r>
      <w:r>
        <w:rPr>
          <w:rFonts w:ascii="Times New Roman" w:hAnsi="Times New Roman"/>
          <w:szCs w:val="24"/>
        </w:rPr>
        <w:t>15.0</w:t>
      </w:r>
      <w:r>
        <w:rPr>
          <w:szCs w:val="24"/>
        </w:rPr>
        <w:t>～</w:t>
      </w:r>
      <w:r>
        <w:rPr>
          <w:rFonts w:ascii="Times New Roman" w:hAnsi="Times New Roman"/>
          <w:szCs w:val="24"/>
        </w:rPr>
        <w:t>60.0</w:t>
      </w:r>
      <w:r>
        <w:rPr>
          <w:szCs w:val="24"/>
        </w:rPr>
        <w:t>厘米；每平方米植物种数为</w:t>
      </w:r>
      <w:r>
        <w:rPr>
          <w:rFonts w:ascii="Times New Roman" w:hAnsi="Times New Roman"/>
          <w:szCs w:val="24"/>
        </w:rPr>
        <w:t>2</w:t>
      </w:r>
      <w:r>
        <w:rPr>
          <w:szCs w:val="24"/>
        </w:rPr>
        <w:t>～</w:t>
      </w:r>
      <w:r>
        <w:rPr>
          <w:rFonts w:ascii="Times New Roman" w:hAnsi="Times New Roman"/>
          <w:szCs w:val="24"/>
        </w:rPr>
        <w:t>7</w:t>
      </w:r>
      <w:r>
        <w:rPr>
          <w:szCs w:val="24"/>
        </w:rPr>
        <w:t>种，少数为</w:t>
      </w:r>
      <w:r>
        <w:rPr>
          <w:rFonts w:ascii="Times New Roman" w:hAnsi="Times New Roman"/>
          <w:szCs w:val="24"/>
        </w:rPr>
        <w:t>1</w:t>
      </w:r>
      <w:r>
        <w:rPr>
          <w:szCs w:val="24"/>
        </w:rPr>
        <w:t>种。优势植物为芨芨草，次优势植物为芦苇，主要伴生植物有白草、羊草、旋复花、委陵菜、麻花头、砂珍棘豆、远志等。鲜草产量</w:t>
      </w:r>
      <w:r>
        <w:rPr>
          <w:rFonts w:ascii="Times New Roman" w:hAnsi="Times New Roman"/>
          <w:szCs w:val="24"/>
        </w:rPr>
        <w:t>114.51</w:t>
      </w:r>
      <w:r>
        <w:rPr>
          <w:szCs w:val="24"/>
        </w:rPr>
        <w:t>公斤</w:t>
      </w:r>
      <w:r>
        <w:rPr>
          <w:rFonts w:ascii="Times New Roman" w:hAnsi="Times New Roman"/>
          <w:szCs w:val="24"/>
        </w:rPr>
        <w:t>/</w:t>
      </w:r>
      <w:r>
        <w:rPr>
          <w:szCs w:val="24"/>
        </w:rPr>
        <w:t>亩。</w:t>
      </w:r>
    </w:p>
    <w:p>
      <w:pPr>
        <w:spacing w:line="440" w:lineRule="exact"/>
        <w:ind w:firstLine="480" w:firstLineChars="200"/>
        <w:rPr>
          <w:rFonts w:ascii="Times New Roman" w:hAnsi="Times New Roman"/>
          <w:szCs w:val="24"/>
        </w:rPr>
      </w:pPr>
      <w:r>
        <w:rPr>
          <w:rFonts w:ascii="Times New Roman" w:hAnsi="Times New Roman"/>
          <w:szCs w:val="24"/>
        </w:rPr>
        <w:t>5</w:t>
      </w:r>
      <w:r>
        <w:rPr>
          <w:rFonts w:hint="eastAsia" w:cs="宋体"/>
          <w:szCs w:val="24"/>
        </w:rPr>
        <w:t>）</w:t>
      </w:r>
      <w:r>
        <w:rPr>
          <w:szCs w:val="24"/>
        </w:rPr>
        <w:t>碱蓬盐生草甸</w:t>
      </w:r>
    </w:p>
    <w:p>
      <w:pPr>
        <w:spacing w:line="440" w:lineRule="exact"/>
        <w:ind w:firstLine="480" w:firstLineChars="200"/>
        <w:rPr>
          <w:rFonts w:ascii="Times New Roman" w:hAnsi="Times New Roman"/>
          <w:szCs w:val="24"/>
        </w:rPr>
      </w:pPr>
      <w:r>
        <w:rPr>
          <w:rFonts w:hint="eastAsia" w:cs="宋体"/>
          <w:kern w:val="0"/>
          <w:szCs w:val="24"/>
        </w:rPr>
        <w:t>评价区</w:t>
      </w:r>
      <w:r>
        <w:rPr>
          <w:rFonts w:hint="eastAsia" w:cs="宋体"/>
          <w:szCs w:val="24"/>
        </w:rPr>
        <w:t>碱蓬盐生草甸</w:t>
      </w:r>
      <w:r>
        <w:rPr>
          <w:rFonts w:hint="eastAsia" w:cs="宋体"/>
          <w:kern w:val="0"/>
          <w:szCs w:val="24"/>
        </w:rPr>
        <w:t>面积为</w:t>
      </w:r>
      <w:r>
        <w:rPr>
          <w:rFonts w:ascii="Times New Roman" w:hAnsi="Times New Roman"/>
          <w:kern w:val="0"/>
          <w:szCs w:val="24"/>
        </w:rPr>
        <w:t>30.08</w:t>
      </w:r>
      <w:r>
        <w:rPr>
          <w:rFonts w:ascii="Times New Roman" w:hAnsi="Times New Roman"/>
          <w:szCs w:val="24"/>
        </w:rPr>
        <w:t>km</w:t>
      </w:r>
      <w:r>
        <w:rPr>
          <w:rFonts w:ascii="Times New Roman" w:hAnsi="Times New Roman"/>
          <w:szCs w:val="24"/>
          <w:vertAlign w:val="superscript"/>
        </w:rPr>
        <w:t>2</w:t>
      </w:r>
      <w:r>
        <w:rPr>
          <w:rFonts w:hint="eastAsia" w:cs="宋体"/>
          <w:kern w:val="0"/>
          <w:szCs w:val="24"/>
        </w:rPr>
        <w:t>，占评价区面积的</w:t>
      </w:r>
      <w:r>
        <w:rPr>
          <w:rFonts w:ascii="Times New Roman" w:hAnsi="Times New Roman"/>
          <w:kern w:val="0"/>
          <w:szCs w:val="24"/>
        </w:rPr>
        <w:t>2.86</w:t>
      </w:r>
      <w:r>
        <w:rPr>
          <w:rFonts w:hint="eastAsia" w:ascii="Times New Roman" w:hAnsi="Times New Roman"/>
          <w:kern w:val="0"/>
          <w:szCs w:val="24"/>
        </w:rPr>
        <w:t>%</w:t>
      </w:r>
      <w:r>
        <w:rPr>
          <w:rFonts w:hint="eastAsia" w:cs="宋体"/>
          <w:kern w:val="0"/>
          <w:szCs w:val="24"/>
        </w:rPr>
        <w:t>。</w:t>
      </w:r>
      <w:r>
        <w:rPr>
          <w:szCs w:val="24"/>
        </w:rPr>
        <w:t>碱蓬盐生草甸主要分布在评价区的河流滩地和湖盆低地边缘。草群外貌单调，群落稀疏，群落中出现缺少植物的碱斑，草群盖度</w:t>
      </w:r>
      <w:r>
        <w:rPr>
          <w:rFonts w:ascii="Times New Roman" w:hAnsi="Times New Roman"/>
          <w:szCs w:val="24"/>
        </w:rPr>
        <w:t>10%</w:t>
      </w:r>
      <w:r>
        <w:rPr>
          <w:szCs w:val="24"/>
        </w:rPr>
        <w:t>～</w:t>
      </w:r>
      <w:r>
        <w:rPr>
          <w:rFonts w:ascii="Times New Roman" w:hAnsi="Times New Roman"/>
          <w:szCs w:val="24"/>
        </w:rPr>
        <w:t>20%</w:t>
      </w:r>
      <w:r>
        <w:rPr>
          <w:szCs w:val="24"/>
        </w:rPr>
        <w:t>；草群高度</w:t>
      </w:r>
      <w:r>
        <w:rPr>
          <w:rFonts w:ascii="Times New Roman" w:hAnsi="Times New Roman"/>
          <w:szCs w:val="24"/>
        </w:rPr>
        <w:t>3</w:t>
      </w:r>
      <w:r>
        <w:rPr>
          <w:szCs w:val="24"/>
        </w:rPr>
        <w:t>～</w:t>
      </w:r>
      <w:r>
        <w:rPr>
          <w:rFonts w:ascii="Times New Roman" w:hAnsi="Times New Roman"/>
          <w:szCs w:val="24"/>
        </w:rPr>
        <w:t>6</w:t>
      </w:r>
      <w:r>
        <w:rPr>
          <w:szCs w:val="24"/>
        </w:rPr>
        <w:t>厘米；每平方米植物种数</w:t>
      </w:r>
      <w:r>
        <w:rPr>
          <w:rFonts w:ascii="Times New Roman" w:hAnsi="Times New Roman"/>
          <w:szCs w:val="24"/>
        </w:rPr>
        <w:t>2</w:t>
      </w:r>
      <w:r>
        <w:rPr>
          <w:szCs w:val="24"/>
        </w:rPr>
        <w:t>～</w:t>
      </w:r>
      <w:r>
        <w:rPr>
          <w:rFonts w:ascii="Times New Roman" w:hAnsi="Times New Roman"/>
          <w:szCs w:val="24"/>
        </w:rPr>
        <w:t>3</w:t>
      </w:r>
      <w:r>
        <w:rPr>
          <w:szCs w:val="24"/>
        </w:rPr>
        <w:t>种，少数为</w:t>
      </w:r>
      <w:r>
        <w:rPr>
          <w:rFonts w:ascii="Times New Roman" w:hAnsi="Times New Roman"/>
          <w:szCs w:val="24"/>
        </w:rPr>
        <w:t>1</w:t>
      </w:r>
      <w:r>
        <w:rPr>
          <w:szCs w:val="24"/>
        </w:rPr>
        <w:t>种。优势植物有碱蓬，主要伴生植物是碱地风毛菊、灰脉苔草、无脉苔草等，鲜草产量</w:t>
      </w:r>
      <w:r>
        <w:rPr>
          <w:rFonts w:ascii="Times New Roman" w:hAnsi="Times New Roman"/>
          <w:szCs w:val="24"/>
        </w:rPr>
        <w:t>33.1</w:t>
      </w:r>
      <w:r>
        <w:rPr>
          <w:szCs w:val="24"/>
        </w:rPr>
        <w:t>公斤</w:t>
      </w:r>
      <w:r>
        <w:rPr>
          <w:rFonts w:ascii="Times New Roman" w:hAnsi="Times New Roman"/>
          <w:szCs w:val="24"/>
        </w:rPr>
        <w:t>/</w:t>
      </w:r>
      <w:r>
        <w:rPr>
          <w:szCs w:val="24"/>
        </w:rPr>
        <w:t>亩。</w:t>
      </w:r>
    </w:p>
    <w:p>
      <w:pPr>
        <w:spacing w:line="440" w:lineRule="exact"/>
        <w:ind w:firstLine="480" w:firstLineChars="200"/>
        <w:rPr>
          <w:rFonts w:ascii="Times New Roman" w:hAnsi="Times New Roman"/>
          <w:szCs w:val="24"/>
        </w:rPr>
      </w:pPr>
      <w:r>
        <w:rPr>
          <w:rFonts w:ascii="Times New Roman" w:hAnsi="Times New Roman"/>
          <w:szCs w:val="24"/>
        </w:rPr>
        <w:t>6</w:t>
      </w:r>
      <w:r>
        <w:rPr>
          <w:rFonts w:hint="eastAsia" w:cs="宋体"/>
          <w:szCs w:val="24"/>
        </w:rPr>
        <w:t>）</w:t>
      </w:r>
      <w:r>
        <w:rPr>
          <w:szCs w:val="24"/>
        </w:rPr>
        <w:t>沙蒿、沙蓬等沙生植被</w:t>
      </w:r>
    </w:p>
    <w:p>
      <w:pPr>
        <w:spacing w:line="440" w:lineRule="exact"/>
        <w:ind w:firstLine="480" w:firstLineChars="200"/>
        <w:rPr>
          <w:rFonts w:ascii="Times New Roman" w:hAnsi="Times New Roman"/>
          <w:szCs w:val="24"/>
        </w:rPr>
      </w:pPr>
      <w:r>
        <w:rPr>
          <w:rFonts w:hint="eastAsia" w:cs="宋体"/>
          <w:kern w:val="0"/>
          <w:szCs w:val="24"/>
        </w:rPr>
        <w:t>评价区</w:t>
      </w:r>
      <w:r>
        <w:rPr>
          <w:rFonts w:hint="eastAsia" w:cs="宋体"/>
          <w:szCs w:val="24"/>
        </w:rPr>
        <w:t>沙蒿、沙蓬等沙生植被</w:t>
      </w:r>
      <w:r>
        <w:rPr>
          <w:rFonts w:hint="eastAsia" w:cs="宋体"/>
          <w:kern w:val="0"/>
          <w:szCs w:val="24"/>
        </w:rPr>
        <w:t>面积为</w:t>
      </w:r>
      <w:r>
        <w:rPr>
          <w:rFonts w:ascii="Times New Roman" w:hAnsi="Times New Roman"/>
          <w:kern w:val="0"/>
          <w:szCs w:val="24"/>
        </w:rPr>
        <w:t>58.89</w:t>
      </w:r>
      <w:r>
        <w:rPr>
          <w:rFonts w:ascii="Times New Roman" w:hAnsi="Times New Roman"/>
          <w:szCs w:val="24"/>
        </w:rPr>
        <w:t>km</w:t>
      </w:r>
      <w:r>
        <w:rPr>
          <w:rFonts w:ascii="Times New Roman" w:hAnsi="Times New Roman"/>
          <w:szCs w:val="24"/>
          <w:vertAlign w:val="superscript"/>
        </w:rPr>
        <w:t>2</w:t>
      </w:r>
      <w:r>
        <w:rPr>
          <w:rFonts w:hint="eastAsia" w:cs="宋体"/>
          <w:kern w:val="0"/>
          <w:szCs w:val="24"/>
        </w:rPr>
        <w:t>，占评价区面积的</w:t>
      </w:r>
      <w:r>
        <w:rPr>
          <w:rFonts w:ascii="Times New Roman" w:hAnsi="Times New Roman"/>
          <w:kern w:val="0"/>
          <w:szCs w:val="24"/>
        </w:rPr>
        <w:t>5.60</w:t>
      </w:r>
      <w:r>
        <w:rPr>
          <w:rFonts w:hint="eastAsia" w:ascii="Times New Roman" w:hAnsi="Times New Roman"/>
          <w:kern w:val="0"/>
          <w:szCs w:val="24"/>
        </w:rPr>
        <w:t>%</w:t>
      </w:r>
      <w:r>
        <w:rPr>
          <w:rFonts w:hint="eastAsia" w:cs="宋体"/>
          <w:kern w:val="0"/>
          <w:szCs w:val="24"/>
        </w:rPr>
        <w:t>。</w:t>
      </w:r>
      <w:r>
        <w:rPr>
          <w:szCs w:val="24"/>
        </w:rPr>
        <w:t>沙蒿、沙蓬等沙生植被主要分布在评价区北部的固定、半固定沙丘上。草群盖度</w:t>
      </w:r>
      <w:r>
        <w:rPr>
          <w:rFonts w:ascii="Times New Roman" w:hAnsi="Times New Roman"/>
          <w:szCs w:val="24"/>
        </w:rPr>
        <w:t>5%</w:t>
      </w:r>
      <w:r>
        <w:rPr>
          <w:szCs w:val="24"/>
        </w:rPr>
        <w:t>～</w:t>
      </w:r>
      <w:r>
        <w:rPr>
          <w:rFonts w:ascii="Times New Roman" w:hAnsi="Times New Roman"/>
          <w:szCs w:val="24"/>
        </w:rPr>
        <w:t>20%</w:t>
      </w:r>
      <w:r>
        <w:rPr>
          <w:szCs w:val="24"/>
        </w:rPr>
        <w:t>，草群高度</w:t>
      </w:r>
      <w:r>
        <w:rPr>
          <w:rFonts w:ascii="Times New Roman" w:hAnsi="Times New Roman"/>
          <w:szCs w:val="24"/>
        </w:rPr>
        <w:t>10</w:t>
      </w:r>
      <w:r>
        <w:rPr>
          <w:szCs w:val="24"/>
        </w:rPr>
        <w:t>～</w:t>
      </w:r>
      <w:r>
        <w:rPr>
          <w:rFonts w:ascii="Times New Roman" w:hAnsi="Times New Roman"/>
          <w:szCs w:val="24"/>
        </w:rPr>
        <w:t>60</w:t>
      </w:r>
      <w:r>
        <w:rPr>
          <w:szCs w:val="24"/>
        </w:rPr>
        <w:t>厘米；每平方米植物种数</w:t>
      </w:r>
      <w:r>
        <w:rPr>
          <w:rFonts w:ascii="Times New Roman" w:hAnsi="Times New Roman"/>
          <w:szCs w:val="24"/>
        </w:rPr>
        <w:t>2</w:t>
      </w:r>
      <w:r>
        <w:rPr>
          <w:szCs w:val="24"/>
        </w:rPr>
        <w:t>～</w:t>
      </w:r>
      <w:r>
        <w:rPr>
          <w:rFonts w:ascii="Times New Roman" w:hAnsi="Times New Roman"/>
          <w:szCs w:val="24"/>
        </w:rPr>
        <w:t>3</w:t>
      </w:r>
      <w:r>
        <w:rPr>
          <w:szCs w:val="24"/>
        </w:rPr>
        <w:t>种，少数为</w:t>
      </w:r>
      <w:r>
        <w:rPr>
          <w:rFonts w:ascii="Times New Roman" w:hAnsi="Times New Roman"/>
          <w:szCs w:val="24"/>
        </w:rPr>
        <w:t>1</w:t>
      </w:r>
      <w:r>
        <w:rPr>
          <w:szCs w:val="24"/>
        </w:rPr>
        <w:t>种。优势植物有沙蒿、沙蓬，主要伴生植物有虫实、猪毛菜、沙米、沙芥等，鲜草产量</w:t>
      </w:r>
      <w:r>
        <w:rPr>
          <w:rFonts w:ascii="Times New Roman" w:hAnsi="Times New Roman"/>
          <w:szCs w:val="24"/>
        </w:rPr>
        <w:t>35.04</w:t>
      </w:r>
      <w:r>
        <w:rPr>
          <w:szCs w:val="24"/>
        </w:rPr>
        <w:t>公斤</w:t>
      </w:r>
      <w:r>
        <w:rPr>
          <w:rFonts w:ascii="Times New Roman" w:hAnsi="Times New Roman"/>
          <w:szCs w:val="24"/>
        </w:rPr>
        <w:t>/</w:t>
      </w:r>
      <w:r>
        <w:rPr>
          <w:szCs w:val="24"/>
        </w:rPr>
        <w:t>亩。</w:t>
      </w:r>
    </w:p>
    <w:p>
      <w:pPr>
        <w:spacing w:line="440" w:lineRule="exact"/>
        <w:ind w:firstLine="480" w:firstLineChars="200"/>
        <w:rPr>
          <w:rFonts w:ascii="Times New Roman" w:hAnsi="Times New Roman"/>
          <w:szCs w:val="24"/>
        </w:rPr>
      </w:pPr>
      <w:r>
        <w:rPr>
          <w:rFonts w:ascii="Times New Roman" w:hAnsi="Times New Roman"/>
          <w:szCs w:val="24"/>
        </w:rPr>
        <w:t>7）小麦、玉米等农作物</w:t>
      </w:r>
    </w:p>
    <w:p>
      <w:pPr>
        <w:spacing w:line="440" w:lineRule="exact"/>
        <w:ind w:firstLine="480" w:firstLineChars="200"/>
        <w:rPr>
          <w:rFonts w:ascii="Times New Roman" w:hAnsi="Times New Roman"/>
          <w:kern w:val="0"/>
          <w:szCs w:val="24"/>
        </w:rPr>
      </w:pPr>
      <w:r>
        <w:rPr>
          <w:rFonts w:ascii="Times New Roman" w:hAnsi="Times New Roman"/>
          <w:kern w:val="0"/>
          <w:szCs w:val="24"/>
        </w:rPr>
        <w:t>评价区小麦、玉米等农作物面积为54.35km</w:t>
      </w:r>
      <w:r>
        <w:rPr>
          <w:rFonts w:ascii="Times New Roman" w:hAnsi="Times New Roman"/>
          <w:kern w:val="0"/>
          <w:szCs w:val="24"/>
          <w:vertAlign w:val="superscript"/>
        </w:rPr>
        <w:t>2</w:t>
      </w:r>
      <w:r>
        <w:rPr>
          <w:rFonts w:ascii="Times New Roman" w:hAnsi="Times New Roman"/>
          <w:kern w:val="0"/>
          <w:szCs w:val="24"/>
        </w:rPr>
        <w:t>，占评价区面积的5.17%。该区处于农牧交错带上，主要的农作物有小麦、玉米、糜子、荞麦和向日葵等，旱地亩产300～400斤/亩，水浇地亩产700～800斤/亩。</w:t>
      </w:r>
    </w:p>
    <w:p>
      <w:pPr>
        <w:spacing w:line="440" w:lineRule="exact"/>
        <w:ind w:firstLine="482" w:firstLineChars="200"/>
        <w:rPr>
          <w:rFonts w:ascii="Times New Roman" w:hAnsi="Times New Roman"/>
          <w:b/>
          <w:bCs/>
          <w:szCs w:val="24"/>
        </w:rPr>
      </w:pPr>
      <w:r>
        <w:rPr>
          <w:rFonts w:ascii="Times New Roman" w:hAnsi="Times New Roman"/>
          <w:b/>
          <w:bCs/>
          <w:szCs w:val="24"/>
        </w:rPr>
        <w:t>（2）植物资源</w:t>
      </w:r>
    </w:p>
    <w:p>
      <w:pPr>
        <w:spacing w:line="440" w:lineRule="exact"/>
        <w:ind w:firstLine="480" w:firstLineChars="200"/>
        <w:rPr>
          <w:rFonts w:ascii="Times New Roman" w:hAnsi="Times New Roman"/>
          <w:szCs w:val="24"/>
        </w:rPr>
      </w:pPr>
      <w:r>
        <w:rPr>
          <w:rFonts w:ascii="Times New Roman" w:hAnsi="Times New Roman"/>
        </w:rPr>
        <w:t>该区域气候特征属于半干旱的温带高原大陆性气候，</w:t>
      </w:r>
      <w:r>
        <w:rPr>
          <w:rFonts w:ascii="Times New Roman" w:hAnsi="Times New Roman"/>
          <w:bCs/>
        </w:rPr>
        <w:t>评价区内分布有固定和半固定沙丘，还分布有大小不等的低滩湿地和水泡子，因而形成了该区域旱生植被、沙生植被和湿生植被交替并存的格局，</w:t>
      </w:r>
      <w:r>
        <w:rPr>
          <w:rFonts w:ascii="Times New Roman" w:hAnsi="Times New Roman"/>
          <w:szCs w:val="24"/>
        </w:rPr>
        <w:t>评价区常见植被名录见表3.5-4。</w:t>
      </w:r>
    </w:p>
    <w:p>
      <w:pPr>
        <w:spacing w:line="500" w:lineRule="exact"/>
        <w:jc w:val="center"/>
        <w:rPr>
          <w:rFonts w:ascii="Times New Roman" w:hAnsi="Times New Roman"/>
          <w:b/>
          <w:szCs w:val="24"/>
        </w:rPr>
      </w:pPr>
      <w:r>
        <w:rPr>
          <w:rFonts w:ascii="Times New Roman" w:hAnsi="Times New Roman"/>
          <w:b/>
          <w:szCs w:val="24"/>
        </w:rPr>
        <w:t>评价区常见植被名录</w:t>
      </w:r>
    </w:p>
    <w:p>
      <w:pPr>
        <w:tabs>
          <w:tab w:val="left" w:pos="2400"/>
        </w:tabs>
        <w:jc w:val="left"/>
        <w:outlineLvl w:val="4"/>
        <w:rPr>
          <w:rFonts w:ascii="Times New Roman" w:hAnsi="Times New Roman"/>
          <w:szCs w:val="24"/>
        </w:rPr>
      </w:pPr>
      <w:r>
        <w:rPr>
          <w:rFonts w:ascii="Times New Roman" w:hAnsi="Times New Roman"/>
          <w:szCs w:val="24"/>
        </w:rPr>
        <w:t>表3.5-4</w:t>
      </w:r>
    </w:p>
    <w:tbl>
      <w:tblPr>
        <w:tblStyle w:val="59"/>
        <w:tblW w:w="9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8"/>
        <w:gridCol w:w="2405"/>
        <w:gridCol w:w="5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序号</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中文名</w:t>
            </w:r>
          </w:p>
        </w:tc>
        <w:tc>
          <w:tcPr>
            <w:tcW w:w="540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拉丁名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一、禾本科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糙隐子草</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Cleistogenes squarrosaT(</w:t>
            </w:r>
            <w:r>
              <w:rPr>
                <w:rFonts w:ascii="Times New Roman" w:hAnsi="Times New Roman" w:cs="Times New Roman"/>
              </w:rPr>
              <w:t>Trin.</w:t>
            </w:r>
            <w:r>
              <w:rPr>
                <w:rFonts w:ascii="Times New Roman" w:hAnsi="Times New Roman" w:cs="Times New Roman"/>
                <w:i/>
              </w:rPr>
              <w:t xml:space="preserve">) </w:t>
            </w:r>
            <w:r>
              <w:rPr>
                <w:rFonts w:ascii="Times New Roman" w:hAnsi="Times New Roman" w:cs="Times New Roman"/>
              </w:rPr>
              <w:t>keng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短花针茅</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Stipa breviflora </w:t>
            </w:r>
            <w:r>
              <w:rPr>
                <w:rFonts w:ascii="Times New Roman" w:hAnsi="Times New Roman" w:cs="Times New Roman"/>
              </w:rPr>
              <w:t>Griseb.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本氏针茅</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Stipa bungeana </w:t>
            </w:r>
            <w:r>
              <w:rPr>
                <w:rFonts w:ascii="Times New Roman" w:hAnsi="Times New Roman" w:cs="Times New Roman"/>
              </w:rPr>
              <w:t>Trin.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沙生针茅</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Stipa glareosa </w:t>
            </w:r>
            <w:r>
              <w:rPr>
                <w:rFonts w:ascii="Times New Roman" w:hAnsi="Times New Roman" w:cs="Times New Roman"/>
              </w:rPr>
              <w:t>P. Smirn.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戈壁针茅</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Stipa gobica Roshev．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披碱草</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Elymus dashuricus </w:t>
            </w:r>
            <w:r>
              <w:rPr>
                <w:rFonts w:ascii="Times New Roman" w:hAnsi="Times New Roman" w:cs="Times New Roman"/>
              </w:rPr>
              <w:t>Turcz.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硬质早熟禾</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Poa sphondylodes </w:t>
            </w:r>
            <w:r>
              <w:rPr>
                <w:rFonts w:ascii="Times New Roman" w:hAnsi="Times New Roman" w:cs="Times New Roman"/>
              </w:rPr>
              <w:t>Trin.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羊草</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Leymus secalinus(</w:t>
            </w:r>
            <w:r>
              <w:rPr>
                <w:rFonts w:ascii="Times New Roman" w:hAnsi="Times New Roman" w:cs="Times New Roman"/>
              </w:rPr>
              <w:t>Georgi.</w:t>
            </w:r>
            <w:r>
              <w:rPr>
                <w:rFonts w:ascii="Times New Roman" w:hAnsi="Times New Roman" w:cs="Times New Roman"/>
                <w:i/>
              </w:rPr>
              <w:t xml:space="preserve">) </w:t>
            </w:r>
            <w:r>
              <w:rPr>
                <w:rFonts w:ascii="Times New Roman" w:hAnsi="Times New Roman" w:cs="Times New Roman"/>
              </w:rPr>
              <w:t>Tzvel.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8</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冰草</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Agropyron cristatum(</w:t>
            </w:r>
            <w:r>
              <w:rPr>
                <w:rFonts w:ascii="Times New Roman" w:hAnsi="Times New Roman" w:cs="Times New Roman"/>
              </w:rPr>
              <w:t>L.</w:t>
            </w:r>
            <w:r>
              <w:rPr>
                <w:rFonts w:ascii="Times New Roman" w:hAnsi="Times New Roman" w:cs="Times New Roman"/>
                <w:i/>
              </w:rPr>
              <w:t xml:space="preserve">) </w:t>
            </w:r>
            <w:r>
              <w:rPr>
                <w:rFonts w:ascii="Times New Roman" w:hAnsi="Times New Roman" w:cs="Times New Roman"/>
              </w:rPr>
              <w:t>Gaertn.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9</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芨芨草</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Achnatherum splendens (</w:t>
            </w:r>
            <w:r>
              <w:rPr>
                <w:rFonts w:ascii="Times New Roman" w:hAnsi="Times New Roman" w:cs="Times New Roman"/>
              </w:rPr>
              <w:t>Trin.</w:t>
            </w:r>
            <w:r>
              <w:rPr>
                <w:rFonts w:ascii="Times New Roman" w:hAnsi="Times New Roman" w:cs="Times New Roman"/>
                <w:i/>
              </w:rPr>
              <w:t xml:space="preserve">) </w:t>
            </w:r>
            <w:r>
              <w:rPr>
                <w:rFonts w:ascii="Times New Roman" w:hAnsi="Times New Roman" w:cs="Times New Roman"/>
              </w:rPr>
              <w:t>Nevski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10</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spacing w:val="8"/>
              </w:rPr>
              <w:t>拂子茅</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Calamagrostis epigeios (</w:t>
            </w:r>
            <w:r>
              <w:rPr>
                <w:rFonts w:ascii="Times New Roman" w:hAnsi="Times New Roman" w:cs="Times New Roman"/>
              </w:rPr>
              <w:t>L.</w:t>
            </w:r>
            <w:r>
              <w:rPr>
                <w:rFonts w:ascii="Times New Roman" w:hAnsi="Times New Roman" w:cs="Times New Roman"/>
                <w:i/>
              </w:rPr>
              <w:t xml:space="preserve">) </w:t>
            </w:r>
            <w:r>
              <w:rPr>
                <w:rFonts w:ascii="Times New Roman" w:hAnsi="Times New Roman" w:cs="Times New Roman"/>
              </w:rPr>
              <w:t>Roth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11</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虎尾草</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Chloris virgata </w:t>
            </w:r>
            <w:r>
              <w:rPr>
                <w:rFonts w:ascii="Times New Roman" w:hAnsi="Times New Roman" w:cs="Times New Roman"/>
              </w:rPr>
              <w:t>Sw.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12</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狗尾草</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Setaria viridis</w:t>
            </w:r>
            <w:r>
              <w:rPr>
                <w:rFonts w:ascii="Times New Roman" w:hAnsi="Times New Roman" w:cs="Times New Roman"/>
              </w:rPr>
              <w:t>(L.)Beauv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13</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赖草</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Aneurolepidium dasystachys</w:t>
            </w:r>
            <w:r>
              <w:rPr>
                <w:rFonts w:ascii="Times New Roman" w:hAnsi="Times New Roman" w:cs="Times New Roman"/>
              </w:rPr>
              <w:t>(Trin.)Nevski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14</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碱茅</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Puccinellia hauptiana</w:t>
            </w:r>
            <w:r>
              <w:rPr>
                <w:rFonts w:ascii="Times New Roman" w:hAnsi="Times New Roman" w:cs="Times New Roman"/>
              </w:rPr>
              <w:t>(Trin.)V.Krecz.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芦苇</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Phragmites communis </w:t>
            </w:r>
            <w:r>
              <w:rPr>
                <w:rFonts w:ascii="Times New Roman" w:hAnsi="Times New Roman" w:cs="Times New Roman"/>
              </w:rPr>
              <w:t>Trin.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16</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沙鞭</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Psammochloa villosa</w:t>
            </w:r>
            <w:r>
              <w:rPr>
                <w:rFonts w:ascii="Times New Roman" w:hAnsi="Times New Roman" w:cs="Times New Roman"/>
              </w:rPr>
              <w:t>(Trin.)Bor.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i/>
              </w:rPr>
            </w:pPr>
            <w:r>
              <w:rPr>
                <w:rFonts w:ascii="Times New Roman" w:hAnsi="Times New Roman" w:cs="Times New Roman"/>
              </w:rPr>
              <w:t>二、豆科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17</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达乌里胡枝子</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Lespedezadavurica(Laxm.)Schindl.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18</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小叶锦鸡儿</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Caragana microphylla </w:t>
            </w:r>
            <w:r>
              <w:rPr>
                <w:rFonts w:ascii="Times New Roman" w:hAnsi="Times New Roman" w:cs="Times New Roman"/>
              </w:rPr>
              <w:t>Lam.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19</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狭叶锦鸡儿</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Caragana stenophylla </w:t>
            </w:r>
            <w:r>
              <w:rPr>
                <w:rFonts w:ascii="Times New Roman" w:hAnsi="Times New Roman" w:cs="Times New Roman"/>
              </w:rPr>
              <w:t>Pojark.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20</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柠条锦鸡儿</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Caragana korshinskii </w:t>
            </w:r>
            <w:r>
              <w:rPr>
                <w:rFonts w:ascii="Times New Roman" w:hAnsi="Times New Roman" w:cs="Times New Roman"/>
              </w:rPr>
              <w:t>kom.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21</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斜茎黄芪</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Astragalus adsurgens </w:t>
            </w:r>
            <w:r>
              <w:rPr>
                <w:rFonts w:ascii="Times New Roman" w:hAnsi="Times New Roman" w:cs="Times New Roman"/>
              </w:rPr>
              <w:t>Pall.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22</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糙叶黄芪</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Astragalus scaberrimus </w:t>
            </w:r>
            <w:r>
              <w:rPr>
                <w:rFonts w:ascii="Times New Roman" w:hAnsi="Times New Roman" w:cs="Times New Roman"/>
              </w:rPr>
              <w:t>Bunge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23</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草木犀状黄芪</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Astragalus melilotoides Pall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24</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披针叶黄华</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Thermopsis lanceolata </w:t>
            </w:r>
            <w:r>
              <w:rPr>
                <w:rFonts w:ascii="Times New Roman" w:hAnsi="Times New Roman" w:cs="Times New Roman"/>
              </w:rPr>
              <w:t>R.Br.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扁蓿豆</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Pocockia ruthenica</w:t>
            </w:r>
            <w:r>
              <w:rPr>
                <w:rFonts w:ascii="Times New Roman" w:hAnsi="Times New Roman" w:cs="Times New Roman"/>
              </w:rPr>
              <w:t>(L.)P.Y.Fu et Y.A.Chen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26</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砂珍棘豆</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Oxytropis gracillima </w:t>
            </w:r>
            <w:r>
              <w:rPr>
                <w:rFonts w:ascii="Times New Roman" w:hAnsi="Times New Roman" w:cs="Times New Roman"/>
              </w:rPr>
              <w:t>Bunge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27</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刺叶柄棘豆</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Oxytropis aciphylla </w:t>
            </w:r>
            <w:r>
              <w:rPr>
                <w:rFonts w:ascii="Times New Roman" w:hAnsi="Times New Roman" w:cs="Times New Roman"/>
              </w:rPr>
              <w:t>Ledeb.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28</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草木樨</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Melilotus suavelens </w:t>
            </w:r>
            <w:r>
              <w:rPr>
                <w:rFonts w:ascii="Times New Roman" w:hAnsi="Times New Roman" w:cs="Times New Roman"/>
              </w:rPr>
              <w:t>Ledeb.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29</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苜蓿</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Medicago sativa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30</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bCs/>
              </w:rPr>
              <w:t>羊柴</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Hedysarum fruticosum </w:t>
            </w:r>
            <w:r>
              <w:rPr>
                <w:rFonts w:ascii="Times New Roman" w:hAnsi="Times New Roman" w:cs="Times New Roman"/>
              </w:rPr>
              <w:t>Pall.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31</w:t>
            </w:r>
          </w:p>
        </w:tc>
        <w:tc>
          <w:tcPr>
            <w:tcW w:w="2405" w:type="dxa"/>
            <w:tcMar>
              <w:top w:w="28" w:type="dxa"/>
              <w:left w:w="57" w:type="dxa"/>
              <w:bottom w:w="28" w:type="dxa"/>
              <w:right w:w="57" w:type="dxa"/>
            </w:tcMar>
            <w:vAlign w:val="center"/>
          </w:tcPr>
          <w:p>
            <w:pPr>
              <w:pStyle w:val="910"/>
              <w:rPr>
                <w:rFonts w:ascii="Times New Roman" w:hAnsi="Times New Roman" w:cs="Times New Roman"/>
                <w:bCs/>
              </w:rPr>
            </w:pPr>
            <w:r>
              <w:rPr>
                <w:rFonts w:ascii="Times New Roman" w:hAnsi="Times New Roman" w:cs="Times New Roman"/>
                <w:bCs/>
              </w:rPr>
              <w:t>苦豆子</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Sophora alopecuroides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32</w:t>
            </w:r>
          </w:p>
        </w:tc>
        <w:tc>
          <w:tcPr>
            <w:tcW w:w="2405" w:type="dxa"/>
            <w:tcMar>
              <w:top w:w="28" w:type="dxa"/>
              <w:left w:w="57" w:type="dxa"/>
              <w:bottom w:w="28" w:type="dxa"/>
              <w:right w:w="57" w:type="dxa"/>
            </w:tcMar>
            <w:vAlign w:val="center"/>
          </w:tcPr>
          <w:p>
            <w:pPr>
              <w:pStyle w:val="910"/>
              <w:rPr>
                <w:rFonts w:ascii="Times New Roman" w:hAnsi="Times New Roman" w:cs="Times New Roman"/>
                <w:bCs/>
              </w:rPr>
            </w:pPr>
            <w:r>
              <w:rPr>
                <w:rFonts w:ascii="Times New Roman" w:hAnsi="Times New Roman" w:cs="Times New Roman"/>
                <w:bCs/>
              </w:rPr>
              <w:t>甘草</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Glycyrrhiza uralensis </w:t>
            </w:r>
            <w:r>
              <w:rPr>
                <w:rFonts w:ascii="Times New Roman" w:hAnsi="Times New Roman" w:cs="Times New Roman"/>
              </w:rPr>
              <w:t>Fisch.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33</w:t>
            </w:r>
          </w:p>
        </w:tc>
        <w:tc>
          <w:tcPr>
            <w:tcW w:w="2405" w:type="dxa"/>
            <w:tcMar>
              <w:top w:w="28" w:type="dxa"/>
              <w:left w:w="57" w:type="dxa"/>
              <w:bottom w:w="28" w:type="dxa"/>
              <w:right w:w="57" w:type="dxa"/>
            </w:tcMar>
            <w:vAlign w:val="center"/>
          </w:tcPr>
          <w:p>
            <w:pPr>
              <w:pStyle w:val="910"/>
              <w:rPr>
                <w:rFonts w:ascii="Times New Roman" w:hAnsi="Times New Roman" w:cs="Times New Roman"/>
                <w:bCs/>
              </w:rPr>
            </w:pPr>
            <w:r>
              <w:rPr>
                <w:rFonts w:ascii="Times New Roman" w:hAnsi="Times New Roman" w:cs="Times New Roman"/>
                <w:bCs/>
              </w:rPr>
              <w:t>狭叶米口袋</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Gueldenstaedtia stenophylla </w:t>
            </w:r>
            <w:r>
              <w:rPr>
                <w:rFonts w:ascii="Times New Roman" w:hAnsi="Times New Roman" w:cs="Times New Roman"/>
              </w:rPr>
              <w:t>Bunge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三、菊科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34</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油蒿</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Artemisia Ordosica </w:t>
            </w:r>
            <w:r>
              <w:rPr>
                <w:rFonts w:ascii="Times New Roman" w:hAnsi="Times New Roman" w:cs="Times New Roman"/>
              </w:rPr>
              <w:t>Krasch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变蒿</w:t>
            </w:r>
          </w:p>
        </w:tc>
        <w:tc>
          <w:tcPr>
            <w:tcW w:w="5402" w:type="dxa"/>
            <w:tcMar>
              <w:top w:w="28" w:type="dxa"/>
              <w:left w:w="57" w:type="dxa"/>
              <w:bottom w:w="28" w:type="dxa"/>
              <w:right w:w="57" w:type="dxa"/>
            </w:tcMar>
            <w:vAlign w:val="center"/>
          </w:tcPr>
          <w:p>
            <w:pPr>
              <w:pStyle w:val="910"/>
              <w:rPr>
                <w:rFonts w:ascii="Times New Roman" w:hAnsi="Times New Roman" w:cs="Times New Roman"/>
                <w:i/>
                <w:u w:val="single"/>
              </w:rPr>
            </w:pPr>
            <w:r>
              <w:rPr>
                <w:rFonts w:ascii="Times New Roman" w:hAnsi="Times New Roman" w:cs="Times New Roman"/>
                <w:i/>
              </w:rPr>
              <w:t>Artemisia commutata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冷蒿</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Artemisia frigida </w:t>
            </w:r>
            <w:r>
              <w:rPr>
                <w:rFonts w:ascii="Times New Roman" w:hAnsi="Times New Roman" w:cs="Times New Roman"/>
              </w:rPr>
              <w:t>Willd.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36</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大籽蒿</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Artemisia sieversiana </w:t>
            </w:r>
            <w:r>
              <w:rPr>
                <w:rFonts w:ascii="Times New Roman" w:hAnsi="Times New Roman" w:cs="Times New Roman"/>
              </w:rPr>
              <w:t>Wild.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37</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黄花蒿</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Artemisia annua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38</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苦荬菜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Ixeris denticulate</w:t>
            </w:r>
            <w:r>
              <w:rPr>
                <w:rFonts w:ascii="Times New Roman" w:hAnsi="Times New Roman" w:cs="Times New Roman"/>
              </w:rPr>
              <w:t>(Houtt.) Stebbins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39</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阿尔泰狗哇花</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Heteropappus altaicus</w:t>
            </w:r>
            <w:r>
              <w:rPr>
                <w:rFonts w:ascii="Times New Roman" w:hAnsi="Times New Roman" w:cs="Times New Roman"/>
              </w:rPr>
              <w:t>(Wild.)Novopokr.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40</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苍耳</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Xanrthium sibiricum </w:t>
            </w:r>
            <w:r>
              <w:rPr>
                <w:rFonts w:ascii="Times New Roman" w:hAnsi="Times New Roman" w:cs="Times New Roman"/>
              </w:rPr>
              <w:t>Patr.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41</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蒲公英</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Taraxacum mongolicun </w:t>
            </w:r>
            <w:r>
              <w:rPr>
                <w:rFonts w:ascii="Times New Roman" w:hAnsi="Times New Roman" w:cs="Times New Roman"/>
              </w:rPr>
              <w:t>Hand.-Mazz.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42</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山苦荬</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Ixeris chinensis</w:t>
            </w:r>
            <w:r>
              <w:rPr>
                <w:rFonts w:ascii="Times New Roman" w:hAnsi="Times New Roman" w:cs="Times New Roman"/>
              </w:rPr>
              <w:t>(Thunb.)Nakai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43</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莴苣</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Lactuca sativa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44</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草地风毛菊</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Saussurea glomerata </w:t>
            </w:r>
            <w:r>
              <w:rPr>
                <w:rFonts w:ascii="Times New Roman" w:hAnsi="Times New Roman" w:cs="Times New Roman"/>
              </w:rPr>
              <w:t>Pori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四、旋花科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阿氏旋花</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Convolvulus ammanii </w:t>
            </w:r>
            <w:r>
              <w:rPr>
                <w:rFonts w:ascii="Times New Roman" w:hAnsi="Times New Roman" w:cs="Times New Roman"/>
              </w:rPr>
              <w:t>Desr.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46</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刺旋花</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Convolvulus.tragacanthoides </w:t>
            </w:r>
            <w:r>
              <w:rPr>
                <w:rFonts w:ascii="Times New Roman" w:hAnsi="Times New Roman" w:cs="Times New Roman"/>
              </w:rPr>
              <w:t>Turcz.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47</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田旋花</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Convolvulus arvensis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五、唇形科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48</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百里香</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Thymus serpyllum </w:t>
            </w:r>
            <w:r>
              <w:rPr>
                <w:rFonts w:ascii="Times New Roman" w:hAnsi="Times New Roman" w:cs="Times New Roman"/>
              </w:rPr>
              <w:t xml:space="preserve">L. </w:t>
            </w:r>
            <w:r>
              <w:rPr>
                <w:rFonts w:ascii="Times New Roman" w:hAnsi="Times New Roman" w:cs="Times New Roman"/>
                <w:i/>
              </w:rPr>
              <w:t xml:space="preserve">var. mongolicus </w:t>
            </w:r>
            <w:r>
              <w:rPr>
                <w:rFonts w:ascii="Times New Roman" w:hAnsi="Times New Roman" w:cs="Times New Roman"/>
              </w:rPr>
              <w:t>Ronn.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49</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黄花黄芩</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Scutellaria baicalensis </w:t>
            </w:r>
            <w:r>
              <w:rPr>
                <w:rFonts w:ascii="Times New Roman" w:hAnsi="Times New Roman" w:cs="Times New Roman"/>
              </w:rPr>
              <w:t>Georgi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50</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香青兰</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Dracocephalum Moldavica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六、藜科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51</w:t>
            </w:r>
          </w:p>
        </w:tc>
        <w:tc>
          <w:tcPr>
            <w:tcW w:w="2405" w:type="dxa"/>
            <w:tcMar>
              <w:top w:w="28" w:type="dxa"/>
              <w:left w:w="57" w:type="dxa"/>
              <w:bottom w:w="28" w:type="dxa"/>
              <w:right w:w="57" w:type="dxa"/>
            </w:tcMar>
            <w:vAlign w:val="center"/>
          </w:tcPr>
          <w:p>
            <w:pPr>
              <w:pStyle w:val="910"/>
              <w:rPr>
                <w:rFonts w:ascii="Times New Roman" w:hAnsi="Times New Roman" w:cs="Times New Roman"/>
                <w:bCs/>
              </w:rPr>
            </w:pPr>
            <w:r>
              <w:rPr>
                <w:rFonts w:ascii="Times New Roman" w:hAnsi="Times New Roman" w:cs="Times New Roman"/>
                <w:bCs/>
              </w:rPr>
              <w:t>猪毛菜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Salsola collina </w:t>
            </w:r>
            <w:r>
              <w:rPr>
                <w:rFonts w:ascii="Times New Roman" w:hAnsi="Times New Roman" w:cs="Times New Roman"/>
              </w:rPr>
              <w:t>Pall.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52</w:t>
            </w:r>
          </w:p>
        </w:tc>
        <w:tc>
          <w:tcPr>
            <w:tcW w:w="2405" w:type="dxa"/>
            <w:tcMar>
              <w:top w:w="28" w:type="dxa"/>
              <w:left w:w="57" w:type="dxa"/>
              <w:bottom w:w="28" w:type="dxa"/>
              <w:right w:w="57" w:type="dxa"/>
            </w:tcMar>
            <w:vAlign w:val="center"/>
          </w:tcPr>
          <w:p>
            <w:pPr>
              <w:pStyle w:val="910"/>
              <w:rPr>
                <w:rFonts w:ascii="Times New Roman" w:hAnsi="Times New Roman" w:cs="Times New Roman"/>
                <w:bCs/>
              </w:rPr>
            </w:pPr>
            <w:r>
              <w:rPr>
                <w:rFonts w:ascii="Times New Roman" w:hAnsi="Times New Roman" w:cs="Times New Roman"/>
                <w:bCs/>
              </w:rPr>
              <w:t>伏地肤</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Kochia prostrata</w:t>
            </w:r>
            <w:r>
              <w:rPr>
                <w:rFonts w:ascii="Times New Roman" w:hAnsi="Times New Roman" w:cs="Times New Roman"/>
              </w:rPr>
              <w:t>(L.)Schrad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53</w:t>
            </w:r>
          </w:p>
        </w:tc>
        <w:tc>
          <w:tcPr>
            <w:tcW w:w="2405" w:type="dxa"/>
            <w:tcMar>
              <w:top w:w="28" w:type="dxa"/>
              <w:left w:w="57" w:type="dxa"/>
              <w:bottom w:w="28" w:type="dxa"/>
              <w:right w:w="57" w:type="dxa"/>
            </w:tcMar>
            <w:vAlign w:val="center"/>
          </w:tcPr>
          <w:p>
            <w:pPr>
              <w:pStyle w:val="910"/>
              <w:rPr>
                <w:rFonts w:ascii="Times New Roman" w:hAnsi="Times New Roman" w:cs="Times New Roman"/>
                <w:bCs/>
              </w:rPr>
            </w:pPr>
            <w:r>
              <w:rPr>
                <w:rFonts w:ascii="Times New Roman" w:hAnsi="Times New Roman" w:cs="Times New Roman"/>
                <w:bCs/>
              </w:rPr>
              <w:t>灰绿藜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Chenopodium glaucum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54</w:t>
            </w:r>
          </w:p>
        </w:tc>
        <w:tc>
          <w:tcPr>
            <w:tcW w:w="2405" w:type="dxa"/>
            <w:tcMar>
              <w:top w:w="28" w:type="dxa"/>
              <w:left w:w="57" w:type="dxa"/>
              <w:bottom w:w="28" w:type="dxa"/>
              <w:right w:w="57" w:type="dxa"/>
            </w:tcMar>
            <w:vAlign w:val="center"/>
          </w:tcPr>
          <w:p>
            <w:pPr>
              <w:pStyle w:val="910"/>
              <w:rPr>
                <w:rFonts w:ascii="Times New Roman" w:hAnsi="Times New Roman" w:cs="Times New Roman"/>
                <w:bCs/>
              </w:rPr>
            </w:pPr>
            <w:r>
              <w:rPr>
                <w:rFonts w:ascii="Times New Roman" w:hAnsi="Times New Roman" w:cs="Times New Roman"/>
                <w:bCs/>
              </w:rPr>
              <w:t>雾冰藜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Bassia dasyphylla</w:t>
            </w:r>
            <w:r>
              <w:rPr>
                <w:rFonts w:ascii="Times New Roman" w:hAnsi="Times New Roman" w:cs="Times New Roman"/>
              </w:rPr>
              <w:t>(Fisch.et Mey.) Kuntze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刺</w:t>
            </w:r>
            <w:r>
              <w:rPr>
                <w:rFonts w:ascii="Times New Roman" w:hAnsi="Times New Roman" w:cs="Times New Roman"/>
                <w:bCs/>
              </w:rPr>
              <w:t>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Chenopodium aristaum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56</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小果白刺</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Nitraria sibirica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57</w:t>
            </w:r>
          </w:p>
        </w:tc>
        <w:tc>
          <w:tcPr>
            <w:tcW w:w="2405" w:type="dxa"/>
            <w:tcMar>
              <w:top w:w="28" w:type="dxa"/>
              <w:left w:w="57" w:type="dxa"/>
              <w:bottom w:w="28" w:type="dxa"/>
              <w:right w:w="57" w:type="dxa"/>
            </w:tcMar>
            <w:vAlign w:val="center"/>
          </w:tcPr>
          <w:p>
            <w:pPr>
              <w:pStyle w:val="910"/>
              <w:rPr>
                <w:rFonts w:ascii="Times New Roman" w:hAnsi="Times New Roman" w:cs="Times New Roman"/>
              </w:rPr>
            </w:pPr>
          </w:p>
        </w:tc>
        <w:tc>
          <w:tcPr>
            <w:tcW w:w="5402" w:type="dxa"/>
            <w:tcMar>
              <w:top w:w="28" w:type="dxa"/>
              <w:left w:w="57" w:type="dxa"/>
              <w:bottom w:w="28" w:type="dxa"/>
              <w:right w:w="57" w:type="dxa"/>
            </w:tcMar>
            <w:vAlign w:val="center"/>
          </w:tcPr>
          <w:p>
            <w:pPr>
              <w:pStyle w:val="910"/>
              <w:rPr>
                <w:rFonts w:ascii="Times New Roman" w:hAnsi="Times New Roman" w:cs="Times New Roman"/>
                <w: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58</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沙米</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Agriophyllum squarrosum</w:t>
            </w:r>
            <w:r>
              <w:rPr>
                <w:rFonts w:ascii="Times New Roman" w:hAnsi="Times New Roman" w:cs="Times New Roman"/>
              </w:rPr>
              <w:t>(L.)Moq.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59</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虫实</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Corispermum candelabrum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60</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角果碱蓬</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Suaeda glacua </w:t>
            </w:r>
            <w:r>
              <w:rPr>
                <w:rFonts w:ascii="Times New Roman" w:hAnsi="Times New Roman" w:cs="Times New Roman"/>
              </w:rPr>
              <w:t>Bunge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七、蔷薇科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61</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二裂委陵菜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Potentilla bifurca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62</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菊叶委陵菜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Potentilla tanaceifolia </w:t>
            </w:r>
            <w:r>
              <w:rPr>
                <w:rFonts w:ascii="Times New Roman" w:hAnsi="Times New Roman" w:cs="Times New Roman"/>
              </w:rPr>
              <w:t>Wild. ex Schlecht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八、伞形科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63</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防风</w:t>
            </w:r>
          </w:p>
        </w:tc>
        <w:tc>
          <w:tcPr>
            <w:tcW w:w="540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i/>
              </w:rPr>
              <w:t xml:space="preserve">Divaricate Saposhnikovia </w:t>
            </w:r>
            <w:r>
              <w:rPr>
                <w:rFonts w:ascii="Times New Roman" w:hAnsi="Times New Roman" w:cs="Times New Roman"/>
              </w:rPr>
              <w:t>Root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九、萝藦科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64</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牛心卜子</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Cynanchum Komarovii </w:t>
            </w:r>
            <w:r>
              <w:rPr>
                <w:rFonts w:ascii="Times New Roman" w:hAnsi="Times New Roman" w:cs="Times New Roman"/>
              </w:rPr>
              <w:t>Al. Iljinski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地梢瓜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Cynanchum thesioides</w:t>
            </w:r>
            <w:r>
              <w:rPr>
                <w:rFonts w:ascii="Times New Roman" w:hAnsi="Times New Roman" w:cs="Times New Roman"/>
              </w:rPr>
              <w:t>(Freyn)K.Schum.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十、百合科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66</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蒙古葱</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Allium mongolicum </w:t>
            </w:r>
            <w:r>
              <w:rPr>
                <w:rFonts w:ascii="Times New Roman" w:hAnsi="Times New Roman" w:cs="Times New Roman"/>
              </w:rPr>
              <w:t>Regel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67</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多根葱</w:t>
            </w:r>
          </w:p>
        </w:tc>
        <w:tc>
          <w:tcPr>
            <w:tcW w:w="5402" w:type="dxa"/>
            <w:tcMar>
              <w:top w:w="28" w:type="dxa"/>
              <w:left w:w="57" w:type="dxa"/>
              <w:bottom w:w="28" w:type="dxa"/>
              <w:right w:w="57" w:type="dxa"/>
            </w:tcMar>
            <w:vAlign w:val="center"/>
          </w:tcPr>
          <w:p>
            <w:pPr>
              <w:pStyle w:val="910"/>
              <w:rPr>
                <w:rFonts w:ascii="Times New Roman" w:hAnsi="Times New Roman" w:cs="Times New Roman"/>
                <w:i/>
                <w:lang w:val="de-DE"/>
              </w:rPr>
            </w:pPr>
            <w:r>
              <w:rPr>
                <w:rFonts w:ascii="Times New Roman" w:hAnsi="Times New Roman" w:cs="Times New Roman"/>
                <w:i/>
                <w:lang w:val="de-DE"/>
              </w:rPr>
              <w:t xml:space="preserve">Allium polyrhizum </w:t>
            </w:r>
            <w:r>
              <w:rPr>
                <w:rFonts w:ascii="Times New Roman" w:hAnsi="Times New Roman" w:cs="Times New Roman"/>
                <w:lang w:val="de-DE"/>
              </w:rPr>
              <w:t>Turcz. ex Regel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68</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砂韭</w:t>
            </w:r>
          </w:p>
        </w:tc>
        <w:tc>
          <w:tcPr>
            <w:tcW w:w="5402" w:type="dxa"/>
            <w:tcMar>
              <w:top w:w="28" w:type="dxa"/>
              <w:left w:w="57" w:type="dxa"/>
              <w:bottom w:w="28" w:type="dxa"/>
              <w:right w:w="57" w:type="dxa"/>
            </w:tcMar>
            <w:vAlign w:val="center"/>
          </w:tcPr>
          <w:p>
            <w:pPr>
              <w:pStyle w:val="910"/>
              <w:rPr>
                <w:rFonts w:ascii="Times New Roman" w:hAnsi="Times New Roman" w:cs="Times New Roman"/>
                <w:i/>
                <w:lang w:val="de-DE"/>
              </w:rPr>
            </w:pPr>
            <w:r>
              <w:rPr>
                <w:rFonts w:ascii="Times New Roman" w:hAnsi="Times New Roman" w:cs="Times New Roman"/>
                <w:i/>
                <w:lang w:val="de-DE"/>
              </w:rPr>
              <w:t>Allium bidentatum Fisch. ex Prokh. et Ikonnikov-Galitzky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69</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细叶葱</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Allium tenuissimum 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十一、车前科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70</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车前</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Plantaginaceae asiatica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十二、十字花科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71</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沙芥</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Pugionium cornutum</w:t>
            </w:r>
            <w:r>
              <w:rPr>
                <w:rFonts w:ascii="Times New Roman" w:hAnsi="Times New Roman" w:cs="Times New Roman"/>
              </w:rPr>
              <w:t>(L.) Gaertn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72</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独行菜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Lepidium apetalum </w:t>
            </w:r>
            <w:r>
              <w:rPr>
                <w:rFonts w:ascii="Times New Roman" w:hAnsi="Times New Roman" w:cs="Times New Roman"/>
              </w:rPr>
              <w:t>Wild</w:t>
            </w:r>
            <w:r>
              <w:rPr>
                <w:rFonts w:ascii="Times New Roman" w:hAnsi="Times New Roman" w:cs="Times New Roman"/>
                <w: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十三、蒺藜科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73</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蒺藜</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Tribulus terrestris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74</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骆驼蓬</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Peganum harmala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十四、杨柳科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小叶杨</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Populus simonii </w:t>
            </w:r>
            <w:r>
              <w:rPr>
                <w:rFonts w:ascii="Times New Roman" w:hAnsi="Times New Roman" w:cs="Times New Roman"/>
              </w:rPr>
              <w:t>Carr.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76</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沙柳</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Salix psammophyla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77</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黄柳</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Salix flavida </w:t>
            </w:r>
            <w:r>
              <w:rPr>
                <w:rFonts w:ascii="Times New Roman" w:hAnsi="Times New Roman" w:cs="Times New Roman"/>
              </w:rPr>
              <w:t>Chang et Skv.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78</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旱柳</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Salix matsudana </w:t>
            </w:r>
            <w:r>
              <w:rPr>
                <w:rFonts w:ascii="Times New Roman" w:hAnsi="Times New Roman" w:cs="Times New Roman"/>
              </w:rPr>
              <w:t>Koidz.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十五、榆科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79</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榆</w:t>
            </w:r>
          </w:p>
        </w:tc>
        <w:tc>
          <w:tcPr>
            <w:tcW w:w="540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i/>
              </w:rPr>
              <w:t xml:space="preserve">Ulmus pumila </w:t>
            </w:r>
            <w:r>
              <w:rPr>
                <w:rFonts w:ascii="Times New Roman" w:hAnsi="Times New Roman" w:cs="Times New Roman"/>
              </w:rPr>
              <w: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十六、茄科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80</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马铃薯</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Solanum tuberosum</w:t>
            </w:r>
            <w:r>
              <w:rPr>
                <w:rFonts w:ascii="Times New Roman" w:hAnsi="Times New Roman" w:cs="Times New Roman"/>
              </w:rPr>
              <w:t xml:space="preserve"> 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i/>
              </w:rPr>
            </w:pPr>
            <w:r>
              <w:rPr>
                <w:rFonts w:ascii="Times New Roman" w:hAnsi="Times New Roman" w:cs="Times New Roman"/>
              </w:rPr>
              <w:t>十七、苔草科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81</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寸草苔</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Carex duriuscula </w:t>
            </w:r>
            <w:r>
              <w:rPr>
                <w:rFonts w:ascii="Times New Roman" w:hAnsi="Times New Roman" w:cs="Times New Roman"/>
              </w:rPr>
              <w:t>C.A.Mey.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i/>
              </w:rPr>
            </w:pPr>
            <w:r>
              <w:rPr>
                <w:rFonts w:ascii="Times New Roman" w:hAnsi="Times New Roman" w:cs="Times New Roman"/>
              </w:rPr>
              <w:t>十八、大戟科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82</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地锦</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 xml:space="preserve">Euphorbia humifusa </w:t>
            </w:r>
            <w:r>
              <w:rPr>
                <w:rFonts w:ascii="Times New Roman" w:hAnsi="Times New Roman" w:cs="Times New Roman"/>
              </w:rPr>
              <w:t>Wild.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83" w:type="dxa"/>
            <w:gridSpan w:val="2"/>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十九、柽柳科</w:t>
            </w:r>
          </w:p>
        </w:tc>
        <w:tc>
          <w:tcPr>
            <w:tcW w:w="5402" w:type="dxa"/>
            <w:tcMar>
              <w:top w:w="28" w:type="dxa"/>
              <w:left w:w="57" w:type="dxa"/>
              <w:bottom w:w="28" w:type="dxa"/>
              <w:right w:w="57" w:type="dxa"/>
            </w:tcMar>
            <w:vAlign w:val="center"/>
          </w:tcPr>
          <w:p>
            <w:pPr>
              <w:pStyle w:val="910"/>
              <w:rPr>
                <w:rFonts w:ascii="Times New Roman" w:hAnsi="Times New Roman" w:cs="Times New Roman"/>
                <w: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83</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柽柳</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Tamarix chinensis Lour.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83" w:type="dxa"/>
            <w:gridSpan w:val="2"/>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二十、瑞香科</w:t>
            </w:r>
          </w:p>
        </w:tc>
        <w:tc>
          <w:tcPr>
            <w:tcW w:w="5402" w:type="dxa"/>
            <w:tcMar>
              <w:top w:w="28" w:type="dxa"/>
              <w:left w:w="57" w:type="dxa"/>
              <w:bottom w:w="28" w:type="dxa"/>
              <w:right w:w="57" w:type="dxa"/>
            </w:tcMar>
            <w:vAlign w:val="center"/>
          </w:tcPr>
          <w:p>
            <w:pPr>
              <w:pStyle w:val="910"/>
              <w:rPr>
                <w:rFonts w:ascii="Times New Roman" w:hAnsi="Times New Roman" w:cs="Times New Roman"/>
                <w: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84</w:t>
            </w:r>
          </w:p>
        </w:tc>
        <w:tc>
          <w:tcPr>
            <w:tcW w:w="2405"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rPr>
              <w:t>狼毒</w:t>
            </w:r>
          </w:p>
        </w:tc>
        <w:tc>
          <w:tcPr>
            <w:tcW w:w="5402"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Stellera chamaejasme Linn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83" w:type="dxa"/>
            <w:gridSpan w:val="2"/>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十一、大戟科</w:t>
            </w:r>
          </w:p>
        </w:tc>
        <w:tc>
          <w:tcPr>
            <w:tcW w:w="5402" w:type="dxa"/>
            <w:tcMar>
              <w:top w:w="28" w:type="dxa"/>
              <w:left w:w="57" w:type="dxa"/>
              <w:bottom w:w="28" w:type="dxa"/>
              <w:right w:w="57" w:type="dxa"/>
            </w:tcMar>
            <w:vAlign w:val="center"/>
          </w:tcPr>
          <w:p>
            <w:pPr>
              <w:pStyle w:val="910"/>
              <w:rPr>
                <w:rFonts w:ascii="Times New Roman" w:hAnsi="Times New Roman" w:cs="Times New Roman"/>
                <w:i/>
                <w:u w:val="single"/>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78"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85</w:t>
            </w:r>
          </w:p>
        </w:tc>
        <w:tc>
          <w:tcPr>
            <w:tcW w:w="2405"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shd w:val="clear" w:color="auto" w:fill="FFFFFF"/>
              </w:rPr>
              <w:t>乳浆大戟</w:t>
            </w:r>
          </w:p>
        </w:tc>
        <w:tc>
          <w:tcPr>
            <w:tcW w:w="5402" w:type="dxa"/>
            <w:tcMar>
              <w:top w:w="28" w:type="dxa"/>
              <w:left w:w="57" w:type="dxa"/>
              <w:bottom w:w="28" w:type="dxa"/>
              <w:right w:w="57" w:type="dxa"/>
            </w:tcMar>
            <w:vAlign w:val="center"/>
          </w:tcPr>
          <w:p>
            <w:pPr>
              <w:pStyle w:val="910"/>
              <w:rPr>
                <w:rFonts w:ascii="Times New Roman" w:hAnsi="Times New Roman" w:cs="Times New Roman"/>
                <w:i/>
                <w:u w:val="single"/>
                <w:shd w:val="clear" w:color="auto" w:fill="FFFFFF"/>
              </w:rPr>
            </w:pPr>
            <w:r>
              <w:rPr>
                <w:rFonts w:ascii="Times New Roman" w:hAnsi="Times New Roman" w:cs="Times New Roman"/>
                <w:i/>
              </w:rPr>
              <w:t>Euphorbia esula Linn.</w:t>
            </w:r>
          </w:p>
        </w:tc>
      </w:tr>
      <w:bookmarkEnd w:id="170"/>
    </w:tbl>
    <w:p>
      <w:pPr>
        <w:adjustRightInd w:val="0"/>
        <w:snapToGrid w:val="0"/>
        <w:spacing w:line="440" w:lineRule="exact"/>
        <w:ind w:firstLine="482" w:firstLineChars="200"/>
        <w:rPr>
          <w:rFonts w:ascii="Times New Roman" w:hAnsi="Times New Roman"/>
          <w:b/>
          <w:bCs/>
          <w:szCs w:val="24"/>
        </w:rPr>
      </w:pPr>
      <w:bookmarkStart w:id="172" w:name="_Toc408312732"/>
      <w:r>
        <w:rPr>
          <w:rFonts w:ascii="Times New Roman" w:hAnsi="Times New Roman"/>
          <w:b/>
          <w:bCs/>
          <w:szCs w:val="24"/>
        </w:rPr>
        <w:t>（3）</w:t>
      </w:r>
      <w:r>
        <w:rPr>
          <w:rFonts w:hint="eastAsia" w:ascii="Times New Roman" w:hAnsi="Times New Roman"/>
          <w:b/>
          <w:bCs/>
          <w:szCs w:val="24"/>
        </w:rPr>
        <w:t>样方调查</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1</w:t>
      </w:r>
      <w:r>
        <w:rPr>
          <w:rFonts w:hint="eastAsia" w:cs="宋体"/>
          <w:szCs w:val="24"/>
        </w:rPr>
        <w:t>）</w:t>
      </w:r>
      <w:r>
        <w:rPr>
          <w:szCs w:val="24"/>
        </w:rPr>
        <w:t>样地选择依据</w:t>
      </w:r>
    </w:p>
    <w:p>
      <w:pPr>
        <w:adjustRightInd w:val="0"/>
        <w:snapToGrid w:val="0"/>
        <w:spacing w:line="440" w:lineRule="exact"/>
        <w:ind w:firstLine="480" w:firstLineChars="200"/>
        <w:rPr>
          <w:rFonts w:ascii="Times New Roman" w:hAnsi="Times New Roman"/>
          <w:szCs w:val="24"/>
        </w:rPr>
      </w:pPr>
      <w:r>
        <w:rPr>
          <w:szCs w:val="24"/>
        </w:rPr>
        <w:t>本次环评于</w:t>
      </w:r>
      <w:r>
        <w:rPr>
          <w:rFonts w:ascii="Times New Roman" w:hAnsi="Times New Roman"/>
          <w:szCs w:val="24"/>
        </w:rPr>
        <w:t>2020</w:t>
      </w:r>
      <w:r>
        <w:rPr>
          <w:szCs w:val="24"/>
        </w:rPr>
        <w:t>年</w:t>
      </w:r>
      <w:r>
        <w:rPr>
          <w:rFonts w:ascii="Times New Roman" w:hAnsi="Times New Roman"/>
          <w:szCs w:val="24"/>
        </w:rPr>
        <w:t>8</w:t>
      </w:r>
      <w:r>
        <w:rPr>
          <w:szCs w:val="24"/>
        </w:rPr>
        <w:t>月对评价区内的生态植被进行了实地调查。先查阅资料初步了解区域植被分布情况，结合评价区遥感影像确定调查对象及调查路线，然后通过植被调查确定评价区内的植被群落性质，选择典型样地调查取样。</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2</w:t>
      </w:r>
      <w:r>
        <w:rPr>
          <w:rFonts w:hint="eastAsia" w:cs="宋体"/>
          <w:szCs w:val="24"/>
        </w:rPr>
        <w:t>）</w:t>
      </w:r>
      <w:r>
        <w:rPr>
          <w:szCs w:val="24"/>
        </w:rPr>
        <w:t>样方设计</w:t>
      </w:r>
    </w:p>
    <w:p>
      <w:pPr>
        <w:adjustRightInd w:val="0"/>
        <w:snapToGrid w:val="0"/>
        <w:spacing w:line="440" w:lineRule="exact"/>
        <w:ind w:firstLine="480" w:firstLineChars="200"/>
        <w:rPr>
          <w:rFonts w:ascii="Times New Roman" w:hAnsi="Times New Roman"/>
          <w:szCs w:val="24"/>
        </w:rPr>
      </w:pPr>
      <w:r>
        <w:rPr>
          <w:szCs w:val="24"/>
        </w:rPr>
        <w:t>本次环评采用样方法进行植被调查。评价区内植被以草本植物和半灌木植物为主，参照《陆地生态系统生物观测规范》，草本群落样方取样面积为</w:t>
      </w:r>
      <w:r>
        <w:rPr>
          <w:rFonts w:ascii="Times New Roman" w:hAnsi="Times New Roman"/>
          <w:szCs w:val="24"/>
        </w:rPr>
        <w:t>1m×1m</w:t>
      </w:r>
      <w:r>
        <w:rPr>
          <w:szCs w:val="24"/>
        </w:rPr>
        <w:t>，半灌木群落样方的取样面积为</w:t>
      </w:r>
      <w:r>
        <w:rPr>
          <w:rFonts w:ascii="Times New Roman" w:hAnsi="Times New Roman"/>
          <w:szCs w:val="24"/>
        </w:rPr>
        <w:t>5m×5m</w:t>
      </w:r>
      <w:r>
        <w:rPr>
          <w:szCs w:val="24"/>
        </w:rPr>
        <w:t>，乔木群落样方取样面积</w:t>
      </w:r>
      <w:r>
        <w:rPr>
          <w:rFonts w:ascii="Times New Roman" w:hAnsi="Times New Roman"/>
          <w:szCs w:val="24"/>
        </w:rPr>
        <w:t>10m×10m</w:t>
      </w:r>
      <w:r>
        <w:rPr>
          <w:szCs w:val="24"/>
        </w:rPr>
        <w:t>。</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3</w:t>
      </w:r>
      <w:r>
        <w:rPr>
          <w:rFonts w:hint="eastAsia" w:cs="宋体"/>
          <w:szCs w:val="24"/>
        </w:rPr>
        <w:t>）</w:t>
      </w:r>
      <w:r>
        <w:rPr>
          <w:szCs w:val="24"/>
        </w:rPr>
        <w:t>测定指标</w:t>
      </w:r>
    </w:p>
    <w:p>
      <w:pPr>
        <w:adjustRightInd w:val="0"/>
        <w:snapToGrid w:val="0"/>
        <w:spacing w:line="440" w:lineRule="exact"/>
        <w:ind w:firstLine="480" w:firstLineChars="200"/>
        <w:rPr>
          <w:rFonts w:ascii="Times New Roman" w:hAnsi="Times New Roman"/>
          <w:szCs w:val="24"/>
        </w:rPr>
      </w:pPr>
      <w:r>
        <w:rPr>
          <w:szCs w:val="24"/>
        </w:rPr>
        <w:t>本次调查的测定指标包括样地位置（经纬度）、海拔高度、土壤特征、群落名称、盖度、植物种类、优势种、生物量等群落特征。</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4</w:t>
      </w:r>
      <w:r>
        <w:rPr>
          <w:rFonts w:hint="eastAsia" w:cs="宋体"/>
          <w:szCs w:val="24"/>
        </w:rPr>
        <w:t>）</w:t>
      </w:r>
      <w:r>
        <w:rPr>
          <w:szCs w:val="24"/>
        </w:rPr>
        <w:t>观测方法</w:t>
      </w:r>
    </w:p>
    <w:p>
      <w:pPr>
        <w:adjustRightInd w:val="0"/>
        <w:snapToGrid w:val="0"/>
        <w:spacing w:line="440" w:lineRule="exact"/>
        <w:ind w:firstLine="480" w:firstLineChars="200"/>
        <w:rPr>
          <w:rFonts w:ascii="Times New Roman" w:hAnsi="Times New Roman"/>
          <w:szCs w:val="24"/>
        </w:rPr>
      </w:pPr>
      <w:r>
        <w:rPr>
          <w:rFonts w:hint="eastAsia" w:cs="宋体"/>
          <w:szCs w:val="24"/>
        </w:rPr>
        <w:t>①</w:t>
      </w:r>
      <w:r>
        <w:rPr>
          <w:szCs w:val="24"/>
        </w:rPr>
        <w:t>植被覆盖度</w:t>
      </w:r>
      <w:r>
        <w:rPr>
          <w:rFonts w:hint="eastAsia" w:cs="宋体"/>
          <w:szCs w:val="24"/>
        </w:rPr>
        <w:t>：</w:t>
      </w:r>
      <w:r>
        <w:rPr>
          <w:szCs w:val="24"/>
        </w:rPr>
        <w:t>采用目测法的方式观测。</w:t>
      </w:r>
    </w:p>
    <w:p>
      <w:pPr>
        <w:adjustRightInd w:val="0"/>
        <w:snapToGrid w:val="0"/>
        <w:spacing w:line="440" w:lineRule="exact"/>
        <w:ind w:firstLine="480" w:firstLineChars="200"/>
        <w:rPr>
          <w:rFonts w:ascii="Times New Roman" w:hAnsi="Times New Roman"/>
          <w:szCs w:val="24"/>
        </w:rPr>
      </w:pPr>
      <w:r>
        <w:rPr>
          <w:rFonts w:hint="eastAsia" w:cs="宋体"/>
          <w:szCs w:val="24"/>
        </w:rPr>
        <w:t>②</w:t>
      </w:r>
      <w:r>
        <w:rPr>
          <w:szCs w:val="24"/>
        </w:rPr>
        <w:t>木本生物量</w:t>
      </w:r>
      <w:r>
        <w:rPr>
          <w:rFonts w:hint="eastAsia" w:cs="宋体"/>
          <w:szCs w:val="24"/>
        </w:rPr>
        <w:t>：</w:t>
      </w:r>
      <w:r>
        <w:rPr>
          <w:szCs w:val="24"/>
        </w:rPr>
        <w:t>观测内容主要为地上生物量，包括立木和冠层下部观测，立木与冠层下部生物量之和即为样方生物量。</w:t>
      </w:r>
    </w:p>
    <w:p>
      <w:pPr>
        <w:adjustRightInd w:val="0"/>
        <w:snapToGrid w:val="0"/>
        <w:spacing w:line="440" w:lineRule="exact"/>
        <w:ind w:firstLine="480" w:firstLineChars="200"/>
        <w:rPr>
          <w:rFonts w:ascii="Times New Roman" w:hAnsi="Times New Roman"/>
          <w:szCs w:val="24"/>
        </w:rPr>
      </w:pPr>
      <w:r>
        <w:rPr>
          <w:rFonts w:hint="eastAsia" w:cs="宋体"/>
          <w:szCs w:val="24"/>
        </w:rPr>
        <w:t>③</w:t>
      </w:r>
      <w:r>
        <w:rPr>
          <w:szCs w:val="24"/>
        </w:rPr>
        <w:t>立木的地上生物量观测：是通过样方内所有林木进行测量，获取其树高、胸径等地面观测数据，依据生长方程计算，对所有立木生物量求取平均值并除以样方面积，获得单位面积的立木生物量。</w:t>
      </w:r>
    </w:p>
    <w:p>
      <w:pPr>
        <w:adjustRightInd w:val="0"/>
        <w:snapToGrid w:val="0"/>
        <w:spacing w:line="440" w:lineRule="exact"/>
        <w:ind w:firstLine="480" w:firstLineChars="200"/>
        <w:rPr>
          <w:rFonts w:ascii="Times New Roman" w:hAnsi="Times New Roman"/>
          <w:szCs w:val="24"/>
        </w:rPr>
      </w:pPr>
      <w:r>
        <w:rPr>
          <w:rFonts w:hint="eastAsia" w:cs="宋体"/>
          <w:szCs w:val="24"/>
        </w:rPr>
        <w:t>④</w:t>
      </w:r>
      <w:r>
        <w:rPr>
          <w:szCs w:val="24"/>
        </w:rPr>
        <w:t>冠层下部生物量观测：在样方内，随机选择不小于</w:t>
      </w:r>
      <w:r>
        <w:rPr>
          <w:rFonts w:ascii="Times New Roman" w:hAnsi="Times New Roman"/>
          <w:szCs w:val="24"/>
        </w:rPr>
        <w:t>3</w:t>
      </w:r>
      <w:r>
        <w:rPr>
          <w:szCs w:val="24"/>
        </w:rPr>
        <w:t>个</w:t>
      </w:r>
      <w:r>
        <w:rPr>
          <w:rFonts w:ascii="Times New Roman" w:hAnsi="Times New Roman"/>
          <w:szCs w:val="24"/>
        </w:rPr>
        <w:t>1m×1m</w:t>
      </w:r>
      <w:r>
        <w:rPr>
          <w:szCs w:val="24"/>
        </w:rPr>
        <w:t>的区域，分别收集其中全部地上植被，称量鲜重，</w:t>
      </w:r>
      <w:r>
        <w:rPr>
          <w:rFonts w:ascii="Times New Roman" w:hAnsi="Times New Roman"/>
          <w:szCs w:val="24"/>
        </w:rPr>
        <w:t>65℃</w:t>
      </w:r>
      <w:r>
        <w:rPr>
          <w:szCs w:val="24"/>
        </w:rPr>
        <w:t>下烘干称干重，计算多个区域平均值，作为冠层下部单位面积的生物量。</w:t>
      </w:r>
    </w:p>
    <w:p>
      <w:pPr>
        <w:adjustRightInd w:val="0"/>
        <w:snapToGrid w:val="0"/>
        <w:spacing w:line="440" w:lineRule="exact"/>
        <w:ind w:firstLine="480" w:firstLineChars="200"/>
        <w:rPr>
          <w:rFonts w:ascii="Times New Roman" w:hAnsi="Times New Roman"/>
          <w:szCs w:val="24"/>
        </w:rPr>
      </w:pPr>
      <w:r>
        <w:rPr>
          <w:rFonts w:hint="eastAsia" w:cs="宋体"/>
          <w:szCs w:val="24"/>
        </w:rPr>
        <w:t>⑤</w:t>
      </w:r>
      <w:r>
        <w:rPr>
          <w:szCs w:val="24"/>
        </w:rPr>
        <w:t>草本生物量</w:t>
      </w:r>
      <w:r>
        <w:rPr>
          <w:rFonts w:hint="eastAsia" w:cs="宋体"/>
          <w:szCs w:val="24"/>
        </w:rPr>
        <w:t>：</w:t>
      </w:r>
      <w:r>
        <w:rPr>
          <w:szCs w:val="24"/>
        </w:rPr>
        <w:t>野外观测应选择植物生长高峰期时进行，主要方法是将样方内植物地面以上所有绿色部分用剪刀齐地面剪下，对采集的样本进行称量鲜重后，</w:t>
      </w:r>
      <w:r>
        <w:rPr>
          <w:rFonts w:ascii="Times New Roman" w:hAnsi="Times New Roman"/>
          <w:szCs w:val="24"/>
        </w:rPr>
        <w:t>65ºC</w:t>
      </w:r>
      <w:r>
        <w:rPr>
          <w:szCs w:val="24"/>
        </w:rPr>
        <w:t>烘干称量干重，得到单位面积的生物量。</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5</w:t>
      </w:r>
      <w:r>
        <w:rPr>
          <w:rFonts w:hint="eastAsia" w:cs="宋体"/>
          <w:szCs w:val="24"/>
        </w:rPr>
        <w:t>）样方调查表</w:t>
      </w:r>
    </w:p>
    <w:p>
      <w:pPr>
        <w:adjustRightInd w:val="0"/>
        <w:snapToGrid w:val="0"/>
        <w:spacing w:line="440" w:lineRule="exact"/>
        <w:ind w:firstLine="480" w:firstLineChars="200"/>
        <w:rPr>
          <w:rFonts w:ascii="Times New Roman" w:hAnsi="Times New Roman"/>
          <w:szCs w:val="24"/>
        </w:rPr>
      </w:pPr>
      <w:r>
        <w:rPr>
          <w:szCs w:val="24"/>
        </w:rPr>
        <w:t>本次植被调查共设置草本群落样方、半灌木样方和乔木样方</w:t>
      </w:r>
      <w:r>
        <w:rPr>
          <w:rFonts w:ascii="Times New Roman" w:hAnsi="Times New Roman"/>
          <w:szCs w:val="24"/>
        </w:rPr>
        <w:t>16</w:t>
      </w:r>
      <w:r>
        <w:rPr>
          <w:szCs w:val="24"/>
        </w:rPr>
        <w:t>个，植物样方调查见表</w:t>
      </w:r>
      <w:r>
        <w:rPr>
          <w:rFonts w:ascii="Times New Roman" w:hAnsi="Times New Roman"/>
          <w:szCs w:val="24"/>
        </w:rPr>
        <w:t>3.4-5</w:t>
      </w:r>
      <w:r>
        <w:rPr>
          <w:szCs w:val="24"/>
        </w:rPr>
        <w:t>～</w:t>
      </w:r>
      <w:r>
        <w:rPr>
          <w:rFonts w:ascii="Times New Roman" w:hAnsi="Times New Roman"/>
          <w:szCs w:val="24"/>
        </w:rPr>
        <w:t>3.4-20</w:t>
      </w:r>
      <w:r>
        <w:rPr>
          <w:szCs w:val="24"/>
        </w:rPr>
        <w:t>，样方点位布设图见图</w:t>
      </w:r>
      <w:r>
        <w:rPr>
          <w:rFonts w:ascii="Times New Roman" w:hAnsi="Times New Roman"/>
          <w:szCs w:val="24"/>
        </w:rPr>
        <w:t>3.5-4</w:t>
      </w:r>
      <w:r>
        <w:rPr>
          <w:szCs w:val="24"/>
        </w:rPr>
        <w:t>。</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br w:type="page"/>
      </w:r>
    </w:p>
    <w:p>
      <w:pPr>
        <w:spacing w:line="500" w:lineRule="exact"/>
        <w:jc w:val="center"/>
        <w:rPr>
          <w:rFonts w:ascii="Times New Roman" w:hAnsi="Times New Roman"/>
          <w:b/>
          <w:szCs w:val="27"/>
        </w:rPr>
      </w:pPr>
      <w:r>
        <w:rPr>
          <w:rFonts w:ascii="Times New Roman" w:hAnsi="Times New Roman"/>
          <w:b/>
          <w:szCs w:val="27"/>
        </w:rPr>
        <w:t>1#植被样方调查表</w:t>
      </w:r>
    </w:p>
    <w:p>
      <w:pPr>
        <w:outlineLvl w:val="4"/>
        <w:rPr>
          <w:rFonts w:ascii="Times New Roman" w:hAnsi="Times New Roman"/>
        </w:rPr>
      </w:pPr>
      <w:r>
        <w:rPr>
          <w:rFonts w:ascii="Times New Roman" w:hAnsi="Times New Roman"/>
          <w:szCs w:val="27"/>
        </w:rPr>
        <w:t>表3.5-5</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样方号：1</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样方面积：1m×1m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361m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GPS定位：东经109.3955° 北纬39.5738°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总盖度：70％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平均群落高：15cm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主要植物：羊草、芦苇、赖草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优势种：羊草</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生物量：107.0g/m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样方外植物：羊草、芦苇、赖草、草地风毛菊、车前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2879725" cy="2159635"/>
                  <wp:effectExtent l="0" t="0" r="1587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inline>
              </w:drawing>
            </w:r>
          </w:p>
        </w:tc>
      </w:tr>
    </w:tbl>
    <w:p>
      <w:pPr>
        <w:spacing w:line="500" w:lineRule="exact"/>
        <w:jc w:val="center"/>
        <w:rPr>
          <w:rFonts w:ascii="Times New Roman" w:hAnsi="Times New Roman"/>
          <w:b/>
          <w:szCs w:val="27"/>
        </w:rPr>
      </w:pPr>
    </w:p>
    <w:p>
      <w:pPr>
        <w:spacing w:line="500" w:lineRule="exact"/>
        <w:jc w:val="center"/>
        <w:rPr>
          <w:rFonts w:ascii="Times New Roman" w:hAnsi="Times New Roman"/>
          <w:b/>
          <w:szCs w:val="27"/>
        </w:rPr>
      </w:pPr>
      <w:r>
        <w:rPr>
          <w:rFonts w:ascii="Times New Roman" w:hAnsi="Times New Roman"/>
          <w:b/>
          <w:szCs w:val="27"/>
        </w:rPr>
        <w:t>2#植被样方调查表</w:t>
      </w:r>
    </w:p>
    <w:p>
      <w:pPr>
        <w:outlineLvl w:val="4"/>
        <w:rPr>
          <w:rFonts w:ascii="Times New Roman" w:hAnsi="Times New Roman"/>
          <w:szCs w:val="27"/>
        </w:rPr>
      </w:pPr>
      <w:r>
        <w:rPr>
          <w:rFonts w:ascii="Times New Roman" w:hAnsi="Times New Roman"/>
          <w:szCs w:val="27"/>
        </w:rPr>
        <w:t>表3.5-6</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样方号：2</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样方面积：1m×1m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366</w:t>
            </w:r>
            <w:r>
              <w:rPr>
                <w:rFonts w:hint="eastAsia" w:ascii="Times New Roman" w:hAnsi="Times New Roman" w:cs="Times New Roman"/>
              </w:rPr>
              <w:t>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GPS定位：东经109.3707° 北纬39.5736°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总盖度：50％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平均群落高：60cm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主要植物：猪毛菜、赖草、糙隐子草、大籽蒿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优势种：猪毛菜</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生物量：117.0g/m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样方外植物：猪毛菜、大籽蒿、赖草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2879725" cy="2159635"/>
                  <wp:effectExtent l="0" t="0" r="15875" b="1206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inline>
              </w:drawing>
            </w:r>
          </w:p>
        </w:tc>
      </w:tr>
    </w:tbl>
    <w:p>
      <w:pPr>
        <w:spacing w:line="500" w:lineRule="exact"/>
        <w:jc w:val="center"/>
        <w:rPr>
          <w:rFonts w:ascii="Times New Roman" w:hAnsi="Times New Roman"/>
          <w:b/>
          <w:szCs w:val="27"/>
        </w:rPr>
      </w:pPr>
    </w:p>
    <w:p>
      <w:pPr>
        <w:spacing w:line="500" w:lineRule="exact"/>
        <w:jc w:val="center"/>
        <w:rPr>
          <w:rFonts w:ascii="Times New Roman" w:hAnsi="Times New Roman"/>
          <w:b/>
          <w:szCs w:val="27"/>
        </w:rPr>
      </w:pPr>
      <w:r>
        <w:rPr>
          <w:rFonts w:ascii="Times New Roman" w:hAnsi="Times New Roman"/>
          <w:b/>
          <w:szCs w:val="27"/>
        </w:rPr>
        <w:t>3#植被样方调查表</w:t>
      </w:r>
    </w:p>
    <w:p>
      <w:pPr>
        <w:outlineLvl w:val="4"/>
        <w:rPr>
          <w:rFonts w:ascii="Times New Roman" w:hAnsi="Times New Roman"/>
          <w:szCs w:val="27"/>
        </w:rPr>
      </w:pPr>
      <w:r>
        <w:rPr>
          <w:rFonts w:ascii="Times New Roman" w:hAnsi="Times New Roman"/>
          <w:szCs w:val="27"/>
        </w:rPr>
        <w:t>表3.5-7</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样方号：3</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样方面积：10m×10m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334</w:t>
            </w:r>
            <w:r>
              <w:rPr>
                <w:rFonts w:hint="eastAsia" w:ascii="Times New Roman" w:hAnsi="Times New Roman" w:cs="Times New Roman"/>
              </w:rPr>
              <w:t>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GPS定位：东经109.3136° 北纬39.5961°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总盖度：50％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主要植物：旱柳、赖草、大籽蒿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优势种：旱柳</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生物量：1354g/m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样方外植物：旱柳、大籽蒿、赖草、芨芨草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16250" cy="2260600"/>
                  <wp:effectExtent l="0" t="0" r="12700" b="635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016800" cy="2260800"/>
                          </a:xfrm>
                          <a:prstGeom prst="rect">
                            <a:avLst/>
                          </a:prstGeom>
                        </pic:spPr>
                      </pic:pic>
                    </a:graphicData>
                  </a:graphic>
                </wp:inline>
              </w:drawing>
            </w:r>
          </w:p>
        </w:tc>
      </w:tr>
    </w:tbl>
    <w:p>
      <w:pPr>
        <w:widowControl/>
        <w:jc w:val="left"/>
        <w:rPr>
          <w:rFonts w:ascii="Times New Roman" w:hAnsi="Times New Roman"/>
          <w:b/>
          <w:szCs w:val="27"/>
        </w:rPr>
      </w:pPr>
    </w:p>
    <w:p>
      <w:pPr>
        <w:spacing w:line="500" w:lineRule="exact"/>
        <w:jc w:val="center"/>
        <w:rPr>
          <w:rFonts w:ascii="Times New Roman" w:hAnsi="Times New Roman"/>
          <w:b/>
          <w:szCs w:val="27"/>
        </w:rPr>
      </w:pPr>
      <w:r>
        <w:rPr>
          <w:rFonts w:ascii="Times New Roman" w:hAnsi="Times New Roman"/>
          <w:b/>
          <w:szCs w:val="27"/>
        </w:rPr>
        <w:t>4#植被样方调查表</w:t>
      </w:r>
    </w:p>
    <w:p>
      <w:pPr>
        <w:outlineLvl w:val="4"/>
        <w:rPr>
          <w:rFonts w:ascii="Times New Roman" w:hAnsi="Times New Roman"/>
          <w:szCs w:val="27"/>
        </w:rPr>
      </w:pPr>
      <w:r>
        <w:rPr>
          <w:rFonts w:ascii="Times New Roman" w:hAnsi="Times New Roman"/>
          <w:szCs w:val="27"/>
        </w:rPr>
        <w:t>表3.5-8</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样方号：4</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样方面积：1m×1m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336</w:t>
            </w:r>
            <w:r>
              <w:rPr>
                <w:rFonts w:hint="eastAsia" w:ascii="Times New Roman" w:hAnsi="Times New Roman" w:cs="Times New Roman"/>
              </w:rPr>
              <w:t>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GPS定位：东经109.3136° 北纬39.5961°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总盖度：40％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平均群落高：15cm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主要植物：芦苇、委陵菜、碱地风毛菊、细叶葱、刺菜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优势种：芦苇</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生物量：91g/m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样方外植物：碱地风毛菊、细叶葱、披碱草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2919095" cy="2188210"/>
                  <wp:effectExtent l="0" t="0" r="14605" b="254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919600" cy="2188800"/>
                          </a:xfrm>
                          <a:prstGeom prst="rect">
                            <a:avLst/>
                          </a:prstGeom>
                        </pic:spPr>
                      </pic:pic>
                    </a:graphicData>
                  </a:graphic>
                </wp:inline>
              </w:drawing>
            </w:r>
          </w:p>
        </w:tc>
      </w:tr>
    </w:tbl>
    <w:p>
      <w:pPr>
        <w:widowControl/>
        <w:jc w:val="center"/>
        <w:rPr>
          <w:rFonts w:ascii="Times New Roman" w:hAnsi="Times New Roman"/>
          <w:b/>
          <w:szCs w:val="27"/>
        </w:rPr>
      </w:pPr>
      <w:r>
        <w:rPr>
          <w:rFonts w:ascii="Times New Roman" w:hAnsi="Times New Roman"/>
          <w:b/>
          <w:szCs w:val="27"/>
        </w:rPr>
        <w:br w:type="page"/>
      </w:r>
      <w:r>
        <w:rPr>
          <w:rFonts w:ascii="Times New Roman" w:hAnsi="Times New Roman"/>
          <w:b/>
          <w:szCs w:val="27"/>
        </w:rPr>
        <w:t>5#植被样方调查表</w:t>
      </w:r>
    </w:p>
    <w:p>
      <w:pPr>
        <w:outlineLvl w:val="4"/>
        <w:rPr>
          <w:rFonts w:ascii="Times New Roman" w:hAnsi="Times New Roman"/>
          <w:szCs w:val="27"/>
        </w:rPr>
      </w:pPr>
      <w:r>
        <w:rPr>
          <w:rFonts w:ascii="Times New Roman" w:hAnsi="Times New Roman"/>
          <w:szCs w:val="27"/>
        </w:rPr>
        <w:t>表3.5-9</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t>样方号：5</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样方面积：5m×5m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470m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GPS定位：东经109.2636° 北纬39.6126°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总盖度：30％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平均群落高：20cm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主要植物：柠条、砂珍棘豆、针茅、糙隐子草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优势种：芦苇</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生物量：112g/m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样方外植物：柠条、针茅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13075" cy="2260600"/>
                  <wp:effectExtent l="0" t="0" r="15875" b="635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013200" cy="2260800"/>
                          </a:xfrm>
                          <a:prstGeom prst="rect">
                            <a:avLst/>
                          </a:prstGeom>
                        </pic:spPr>
                      </pic:pic>
                    </a:graphicData>
                  </a:graphic>
                </wp:inline>
              </w:drawing>
            </w:r>
          </w:p>
        </w:tc>
      </w:tr>
    </w:tbl>
    <w:p>
      <w:pPr>
        <w:spacing w:line="440" w:lineRule="exact"/>
        <w:ind w:firstLine="480" w:firstLineChars="200"/>
        <w:rPr>
          <w:rFonts w:ascii="Times New Roman" w:hAnsi="Times New Roman"/>
        </w:rPr>
      </w:pPr>
    </w:p>
    <w:p>
      <w:pPr>
        <w:spacing w:line="500" w:lineRule="exact"/>
        <w:jc w:val="center"/>
        <w:rPr>
          <w:rFonts w:ascii="Times New Roman" w:hAnsi="Times New Roman"/>
          <w:b/>
          <w:szCs w:val="27"/>
        </w:rPr>
      </w:pPr>
      <w:r>
        <w:rPr>
          <w:rFonts w:ascii="Times New Roman" w:hAnsi="Times New Roman"/>
          <w:b/>
          <w:szCs w:val="27"/>
        </w:rPr>
        <w:t>6#植被样方调查表</w:t>
      </w:r>
    </w:p>
    <w:p>
      <w:pPr>
        <w:outlineLvl w:val="4"/>
        <w:rPr>
          <w:rFonts w:ascii="Times New Roman" w:hAnsi="Times New Roman"/>
          <w:szCs w:val="27"/>
        </w:rPr>
      </w:pPr>
      <w:r>
        <w:rPr>
          <w:rFonts w:ascii="Times New Roman" w:hAnsi="Times New Roman"/>
          <w:szCs w:val="27"/>
        </w:rPr>
        <w:t>表3.5-10</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样方号：6</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样方面积：1m×1m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473m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GPS定位：东经109.2109° 北纬39.6191°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总盖度：20％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平均群落高：5cm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主要植物：针茅、扁蓿豆、百里香、达乌里胡枝子、猪毛菜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优势种：针茅、扁蓿豆</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生物量：78g/m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样方外植物：针茅、猪毛菜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20060" cy="2263775"/>
                  <wp:effectExtent l="0" t="0" r="8890" b="317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020400" cy="2264400"/>
                          </a:xfrm>
                          <a:prstGeom prst="rect">
                            <a:avLst/>
                          </a:prstGeom>
                        </pic:spPr>
                      </pic:pic>
                    </a:graphicData>
                  </a:graphic>
                </wp:inline>
              </w:drawing>
            </w:r>
          </w:p>
        </w:tc>
      </w:tr>
    </w:tbl>
    <w:p>
      <w:pPr>
        <w:spacing w:line="440" w:lineRule="exact"/>
        <w:ind w:firstLine="480" w:firstLineChars="200"/>
        <w:rPr>
          <w:rFonts w:ascii="Times New Roman" w:hAnsi="Times New Roman"/>
        </w:rPr>
      </w:pPr>
    </w:p>
    <w:p>
      <w:pPr>
        <w:spacing w:line="500" w:lineRule="exact"/>
        <w:jc w:val="center"/>
        <w:rPr>
          <w:rFonts w:ascii="Times New Roman" w:hAnsi="Times New Roman"/>
          <w:b/>
          <w:szCs w:val="27"/>
        </w:rPr>
      </w:pPr>
      <w:r>
        <w:rPr>
          <w:rFonts w:ascii="Times New Roman" w:hAnsi="Times New Roman"/>
          <w:b/>
          <w:szCs w:val="27"/>
        </w:rPr>
        <w:t>7#植被样方调查表</w:t>
      </w:r>
    </w:p>
    <w:p>
      <w:pPr>
        <w:outlineLvl w:val="4"/>
        <w:rPr>
          <w:rFonts w:ascii="Times New Roman" w:hAnsi="Times New Roman"/>
          <w:szCs w:val="27"/>
        </w:rPr>
      </w:pPr>
      <w:r>
        <w:rPr>
          <w:rFonts w:ascii="Times New Roman" w:hAnsi="Times New Roman"/>
          <w:szCs w:val="27"/>
        </w:rPr>
        <w:t>表3.5-11</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样方号：7</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样方面积：5m×5m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520m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GPS定位：东经109.1855° 北纬39.6981°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总盖度：40％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平均群落高：120cm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主要植物：沙柳、针茅、猪毛菜、沙打旺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优势种：针茅、扁蓿豆</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生物量：128g/m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样方外植物：针茅、猪毛菜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347720" cy="1882775"/>
                  <wp:effectExtent l="0" t="0" r="5080" b="317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348000" cy="1882800"/>
                          </a:xfrm>
                          <a:prstGeom prst="rect">
                            <a:avLst/>
                          </a:prstGeom>
                        </pic:spPr>
                      </pic:pic>
                    </a:graphicData>
                  </a:graphic>
                </wp:inline>
              </w:drawing>
            </w:r>
          </w:p>
        </w:tc>
      </w:tr>
    </w:tbl>
    <w:p>
      <w:pPr>
        <w:widowControl/>
        <w:jc w:val="left"/>
        <w:rPr>
          <w:rFonts w:ascii="Times New Roman" w:hAnsi="Times New Roman"/>
          <w:b/>
          <w:szCs w:val="27"/>
        </w:rPr>
      </w:pPr>
    </w:p>
    <w:p>
      <w:pPr>
        <w:spacing w:line="500" w:lineRule="exact"/>
        <w:jc w:val="center"/>
        <w:rPr>
          <w:rFonts w:ascii="Times New Roman" w:hAnsi="Times New Roman"/>
          <w:b/>
          <w:szCs w:val="27"/>
        </w:rPr>
      </w:pPr>
      <w:r>
        <w:rPr>
          <w:rFonts w:ascii="Times New Roman" w:hAnsi="Times New Roman"/>
          <w:b/>
          <w:szCs w:val="27"/>
        </w:rPr>
        <w:t>8#植被样方调查表</w:t>
      </w:r>
    </w:p>
    <w:p>
      <w:pPr>
        <w:outlineLvl w:val="4"/>
        <w:rPr>
          <w:rFonts w:ascii="Times New Roman" w:hAnsi="Times New Roman"/>
          <w:szCs w:val="27"/>
        </w:rPr>
      </w:pPr>
      <w:r>
        <w:rPr>
          <w:rFonts w:ascii="Times New Roman" w:hAnsi="Times New Roman"/>
          <w:szCs w:val="27"/>
        </w:rPr>
        <w:t>表3.5-12</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样方号：8</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样方面积：1m×1m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350m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GPS定位：东经109.3151° 北纬39.6302°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总盖度：60％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平均群落高：20cm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主要植物：针茅、羊草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优势种：针茅</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生物量：98g/m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样方外植物：针茅、羊草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20060" cy="2263775"/>
                  <wp:effectExtent l="0" t="0" r="8890"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020400" cy="2264400"/>
                          </a:xfrm>
                          <a:prstGeom prst="rect">
                            <a:avLst/>
                          </a:prstGeom>
                        </pic:spPr>
                      </pic:pic>
                    </a:graphicData>
                  </a:graphic>
                </wp:inline>
              </w:drawing>
            </w:r>
          </w:p>
        </w:tc>
      </w:tr>
    </w:tbl>
    <w:p>
      <w:pPr>
        <w:spacing w:line="500" w:lineRule="exact"/>
        <w:jc w:val="center"/>
        <w:rPr>
          <w:rFonts w:ascii="Times New Roman" w:hAnsi="Times New Roman"/>
          <w:szCs w:val="27"/>
        </w:rPr>
      </w:pPr>
    </w:p>
    <w:p>
      <w:pPr>
        <w:spacing w:line="440" w:lineRule="exact"/>
        <w:jc w:val="center"/>
        <w:rPr>
          <w:rFonts w:ascii="Times New Roman" w:hAnsi="Times New Roman"/>
          <w:b/>
          <w:szCs w:val="27"/>
        </w:rPr>
      </w:pPr>
      <w:r>
        <w:rPr>
          <w:rFonts w:ascii="Times New Roman" w:hAnsi="Times New Roman"/>
        </w:rPr>
        <w:br w:type="page"/>
      </w:r>
      <w:r>
        <w:rPr>
          <w:rFonts w:ascii="Times New Roman" w:hAnsi="Times New Roman"/>
          <w:b/>
          <w:szCs w:val="27"/>
        </w:rPr>
        <w:t>9#植被样方调查表</w:t>
      </w:r>
    </w:p>
    <w:p>
      <w:pPr>
        <w:outlineLvl w:val="4"/>
        <w:rPr>
          <w:rFonts w:ascii="Times New Roman" w:hAnsi="Times New Roman"/>
          <w:szCs w:val="27"/>
        </w:rPr>
      </w:pPr>
      <w:r>
        <w:rPr>
          <w:rFonts w:ascii="Times New Roman" w:hAnsi="Times New Roman"/>
          <w:szCs w:val="27"/>
        </w:rPr>
        <w:t>表3.5-13</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样方号：9</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样方面积：5m×5m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358m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GPS定位：东经109.2705° 北纬39.5532°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总盖度：70％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平均群落高：40cm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主要植物：猪毛菜、柠条、针茅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优势种：猪毛菜</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生物量：208g/m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样方外植物：柠条、猪毛菜、杨树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20060" cy="2263775"/>
                  <wp:effectExtent l="0" t="0" r="8890" b="317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020400" cy="2264400"/>
                          </a:xfrm>
                          <a:prstGeom prst="rect">
                            <a:avLst/>
                          </a:prstGeom>
                        </pic:spPr>
                      </pic:pic>
                    </a:graphicData>
                  </a:graphic>
                </wp:inline>
              </w:drawing>
            </w:r>
          </w:p>
        </w:tc>
      </w:tr>
    </w:tbl>
    <w:p>
      <w:pPr>
        <w:spacing w:line="440" w:lineRule="exact"/>
        <w:jc w:val="center"/>
        <w:rPr>
          <w:rFonts w:ascii="Times New Roman" w:hAnsi="Times New Roman"/>
          <w:b/>
          <w:szCs w:val="27"/>
        </w:rPr>
      </w:pPr>
    </w:p>
    <w:p>
      <w:pPr>
        <w:spacing w:line="440" w:lineRule="exact"/>
        <w:jc w:val="center"/>
        <w:rPr>
          <w:rFonts w:ascii="Times New Roman" w:hAnsi="Times New Roman"/>
          <w:b/>
          <w:szCs w:val="27"/>
        </w:rPr>
      </w:pPr>
      <w:r>
        <w:rPr>
          <w:rFonts w:ascii="Times New Roman" w:hAnsi="Times New Roman"/>
          <w:b/>
          <w:szCs w:val="27"/>
        </w:rPr>
        <w:t>10#植被样方调查表</w:t>
      </w:r>
    </w:p>
    <w:p>
      <w:pPr>
        <w:outlineLvl w:val="4"/>
        <w:rPr>
          <w:rFonts w:ascii="Times New Roman" w:hAnsi="Times New Roman"/>
          <w:szCs w:val="27"/>
        </w:rPr>
      </w:pPr>
      <w:r>
        <w:rPr>
          <w:rFonts w:ascii="Times New Roman" w:hAnsi="Times New Roman"/>
          <w:szCs w:val="27"/>
        </w:rPr>
        <w:t>表3.5-14</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样方号：10</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样方面积：5m×5m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361m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GPS定位：东经109.2854° 北纬39.5224°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总盖度：70％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平均群落高：40cm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主要植物：沙柳、变蒿、针茅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优势种：沙柳</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生物量：220g/m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样方外植物：沙柳、变蒿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20060" cy="2263775"/>
                  <wp:effectExtent l="0" t="0" r="8890" b="317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20400" cy="2264400"/>
                          </a:xfrm>
                          <a:prstGeom prst="rect">
                            <a:avLst/>
                          </a:prstGeom>
                        </pic:spPr>
                      </pic:pic>
                    </a:graphicData>
                  </a:graphic>
                </wp:inline>
              </w:drawing>
            </w:r>
          </w:p>
        </w:tc>
      </w:tr>
    </w:tbl>
    <w:p>
      <w:pPr>
        <w:widowControl/>
        <w:jc w:val="left"/>
        <w:rPr>
          <w:rFonts w:ascii="Times New Roman" w:hAnsi="Times New Roman"/>
          <w:b/>
          <w:szCs w:val="27"/>
        </w:rPr>
      </w:pPr>
      <w:r>
        <w:rPr>
          <w:rFonts w:ascii="Times New Roman" w:hAnsi="Times New Roman"/>
          <w:b/>
          <w:szCs w:val="27"/>
        </w:rPr>
        <w:br w:type="page"/>
      </w:r>
    </w:p>
    <w:p>
      <w:pPr>
        <w:spacing w:line="500" w:lineRule="exact"/>
        <w:jc w:val="center"/>
        <w:rPr>
          <w:rFonts w:ascii="Times New Roman" w:hAnsi="Times New Roman"/>
          <w:b/>
          <w:szCs w:val="27"/>
        </w:rPr>
      </w:pPr>
      <w:r>
        <w:rPr>
          <w:rFonts w:ascii="Times New Roman" w:hAnsi="Times New Roman"/>
          <w:b/>
          <w:szCs w:val="27"/>
        </w:rPr>
        <w:t>11#植被样方调查表</w:t>
      </w:r>
    </w:p>
    <w:p>
      <w:pPr>
        <w:outlineLvl w:val="4"/>
        <w:rPr>
          <w:rFonts w:ascii="Times New Roman" w:hAnsi="Times New Roman"/>
          <w:szCs w:val="27"/>
        </w:rPr>
      </w:pPr>
      <w:r>
        <w:rPr>
          <w:rFonts w:ascii="Times New Roman" w:hAnsi="Times New Roman"/>
          <w:szCs w:val="27"/>
        </w:rPr>
        <w:t>表3.5-15</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样方号：11</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样方面积：1m×1m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321m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GPS定位：东经109.3297° 北纬39.5125°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总盖度：60％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平均群落高：15cm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主要植物：委陵菜、针茅、羊草、糙隐子草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优势种：委陵菜、针茅</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生物量：87g/m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样方外植物：委陵菜、针茅、羊草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20060" cy="2263775"/>
                  <wp:effectExtent l="0" t="0" r="8890" b="317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020400" cy="2264400"/>
                          </a:xfrm>
                          <a:prstGeom prst="rect">
                            <a:avLst/>
                          </a:prstGeom>
                        </pic:spPr>
                      </pic:pic>
                    </a:graphicData>
                  </a:graphic>
                </wp:inline>
              </w:drawing>
            </w:r>
          </w:p>
        </w:tc>
      </w:tr>
    </w:tbl>
    <w:p>
      <w:pPr>
        <w:widowControl/>
        <w:jc w:val="center"/>
        <w:rPr>
          <w:rFonts w:ascii="Times New Roman" w:hAnsi="Times New Roman"/>
          <w:b/>
          <w:szCs w:val="27"/>
        </w:rPr>
      </w:pPr>
    </w:p>
    <w:p>
      <w:pPr>
        <w:widowControl/>
        <w:jc w:val="center"/>
        <w:rPr>
          <w:rFonts w:ascii="Times New Roman" w:hAnsi="Times New Roman"/>
          <w:b/>
          <w:szCs w:val="27"/>
        </w:rPr>
      </w:pPr>
      <w:r>
        <w:rPr>
          <w:rFonts w:ascii="Times New Roman" w:hAnsi="Times New Roman"/>
          <w:b/>
          <w:szCs w:val="27"/>
        </w:rPr>
        <w:t>12#植被样方调查表</w:t>
      </w:r>
    </w:p>
    <w:p>
      <w:pPr>
        <w:outlineLvl w:val="4"/>
        <w:rPr>
          <w:rFonts w:ascii="Times New Roman" w:hAnsi="Times New Roman"/>
          <w:szCs w:val="27"/>
        </w:rPr>
      </w:pPr>
      <w:r>
        <w:rPr>
          <w:rFonts w:ascii="Times New Roman" w:hAnsi="Times New Roman"/>
          <w:szCs w:val="27"/>
        </w:rPr>
        <w:t>表3.5-16</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样方号：12</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样方面积：1m×1m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321m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GPS定位：东经109.3284° 北纬39.4994°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总盖度：70％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平均群落高：20cm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主要植物：针茅、羊草、糙隐子草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优势种：针茅</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生物量：107g/m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样方外植物：针茅、羊草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20060" cy="2263775"/>
                  <wp:effectExtent l="0" t="0" r="8890" b="317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020400" cy="2264400"/>
                          </a:xfrm>
                          <a:prstGeom prst="rect">
                            <a:avLst/>
                          </a:prstGeom>
                        </pic:spPr>
                      </pic:pic>
                    </a:graphicData>
                  </a:graphic>
                </wp:inline>
              </w:drawing>
            </w:r>
          </w:p>
        </w:tc>
      </w:tr>
    </w:tbl>
    <w:p>
      <w:pPr>
        <w:spacing w:line="500" w:lineRule="exact"/>
        <w:jc w:val="center"/>
        <w:rPr>
          <w:rFonts w:ascii="Times New Roman" w:hAnsi="Times New Roman"/>
          <w:b/>
          <w:szCs w:val="27"/>
        </w:rPr>
      </w:pPr>
    </w:p>
    <w:p>
      <w:pPr>
        <w:widowControl/>
        <w:jc w:val="left"/>
        <w:rPr>
          <w:rFonts w:ascii="Times New Roman" w:hAnsi="Times New Roman"/>
          <w:b/>
          <w:szCs w:val="27"/>
        </w:rPr>
      </w:pPr>
      <w:r>
        <w:rPr>
          <w:rFonts w:ascii="Times New Roman" w:hAnsi="Times New Roman"/>
          <w:b/>
          <w:szCs w:val="27"/>
        </w:rPr>
        <w:br w:type="page"/>
      </w:r>
    </w:p>
    <w:p>
      <w:pPr>
        <w:spacing w:line="500" w:lineRule="exact"/>
        <w:jc w:val="center"/>
        <w:rPr>
          <w:rFonts w:ascii="Times New Roman" w:hAnsi="Times New Roman"/>
          <w:b/>
          <w:szCs w:val="27"/>
        </w:rPr>
      </w:pPr>
      <w:r>
        <w:rPr>
          <w:rFonts w:ascii="Times New Roman" w:hAnsi="Times New Roman"/>
          <w:b/>
          <w:szCs w:val="27"/>
        </w:rPr>
        <w:t>13#植被样方调查表</w:t>
      </w:r>
    </w:p>
    <w:p>
      <w:pPr>
        <w:outlineLvl w:val="4"/>
        <w:rPr>
          <w:rFonts w:ascii="Times New Roman" w:hAnsi="Times New Roman"/>
          <w:szCs w:val="27"/>
        </w:rPr>
      </w:pPr>
      <w:r>
        <w:rPr>
          <w:rFonts w:ascii="Times New Roman" w:hAnsi="Times New Roman"/>
          <w:szCs w:val="27"/>
        </w:rPr>
        <w:t>表3.5-17</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样方号：13</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样方面积：1m×1m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302m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GPS定位：东经109.3458° 北纬39.4280°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总盖度：30％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平均群落高：15cm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主要植物：碱蓬、狭叶米口袋、无脉苔草、赖草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优势种：碱蓬、狭叶米口袋</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生物量：107g/m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样方外植物：碱蓬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20060" cy="2263775"/>
                  <wp:effectExtent l="0" t="0" r="8890" b="317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020400" cy="2264400"/>
                          </a:xfrm>
                          <a:prstGeom prst="rect">
                            <a:avLst/>
                          </a:prstGeom>
                        </pic:spPr>
                      </pic:pic>
                    </a:graphicData>
                  </a:graphic>
                </wp:inline>
              </w:drawing>
            </w:r>
          </w:p>
        </w:tc>
      </w:tr>
    </w:tbl>
    <w:p>
      <w:pPr>
        <w:spacing w:line="500" w:lineRule="exact"/>
        <w:jc w:val="center"/>
        <w:rPr>
          <w:rFonts w:ascii="Times New Roman" w:hAnsi="Times New Roman"/>
          <w:b/>
          <w:szCs w:val="27"/>
        </w:rPr>
      </w:pPr>
    </w:p>
    <w:p>
      <w:pPr>
        <w:spacing w:line="500" w:lineRule="exact"/>
        <w:jc w:val="center"/>
        <w:rPr>
          <w:rFonts w:ascii="Times New Roman" w:hAnsi="Times New Roman"/>
          <w:b/>
          <w:szCs w:val="27"/>
        </w:rPr>
      </w:pPr>
      <w:r>
        <w:rPr>
          <w:rFonts w:ascii="Times New Roman" w:hAnsi="Times New Roman"/>
          <w:b/>
          <w:szCs w:val="27"/>
        </w:rPr>
        <w:t>14#植被样方调查表</w:t>
      </w:r>
    </w:p>
    <w:p>
      <w:pPr>
        <w:outlineLvl w:val="4"/>
        <w:rPr>
          <w:rFonts w:ascii="Times New Roman" w:hAnsi="Times New Roman"/>
          <w:szCs w:val="27"/>
        </w:rPr>
      </w:pPr>
      <w:r>
        <w:rPr>
          <w:rFonts w:ascii="Times New Roman" w:hAnsi="Times New Roman"/>
          <w:szCs w:val="27"/>
        </w:rPr>
        <w:t>表3.5-18</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样方号：14</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样方面积：5m×5m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294m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GPS定位：东经109.3479° 北纬39.4156°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总盖度：30％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平均群落高：2m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主要植物：柽柳、针茅、羊草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优势种：柽柳</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生物量：387g/m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样方外植物：柽柳、针茅、羊草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020060" cy="2263775"/>
                  <wp:effectExtent l="0" t="0" r="8890" b="317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020400" cy="2264400"/>
                          </a:xfrm>
                          <a:prstGeom prst="rect">
                            <a:avLst/>
                          </a:prstGeom>
                        </pic:spPr>
                      </pic:pic>
                    </a:graphicData>
                  </a:graphic>
                </wp:inline>
              </w:drawing>
            </w:r>
          </w:p>
        </w:tc>
      </w:tr>
    </w:tbl>
    <w:p>
      <w:pPr>
        <w:spacing w:line="440" w:lineRule="exact"/>
        <w:ind w:firstLine="480" w:firstLineChars="200"/>
        <w:rPr>
          <w:rFonts w:ascii="Times New Roman" w:hAnsi="Times New Roman"/>
        </w:rPr>
      </w:pPr>
    </w:p>
    <w:p>
      <w:pPr>
        <w:spacing w:line="500" w:lineRule="exact"/>
        <w:jc w:val="center"/>
        <w:rPr>
          <w:rFonts w:ascii="Times New Roman" w:hAnsi="Times New Roman"/>
          <w:b/>
          <w:szCs w:val="27"/>
        </w:rPr>
      </w:pPr>
      <w:r>
        <w:rPr>
          <w:rFonts w:ascii="Times New Roman" w:hAnsi="Times New Roman"/>
          <w:b/>
          <w:szCs w:val="27"/>
        </w:rPr>
        <w:t>15#植被样方调查表</w:t>
      </w:r>
    </w:p>
    <w:p>
      <w:pPr>
        <w:outlineLvl w:val="4"/>
        <w:rPr>
          <w:rFonts w:ascii="Times New Roman" w:hAnsi="Times New Roman"/>
          <w:szCs w:val="27"/>
        </w:rPr>
      </w:pPr>
      <w:r>
        <w:rPr>
          <w:rFonts w:ascii="Times New Roman" w:hAnsi="Times New Roman"/>
          <w:szCs w:val="27"/>
        </w:rPr>
        <w:t>表3.5-19</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样方号：15</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样方面积：10m×10m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306m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GPS定位：东经109.3685° 北纬39.3989°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总盖度：50％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主要植物：旱柳、猪毛菜、芨芨草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优势种：旱柳</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生物量：1013g/m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样方外植物：旱柳、猪毛菜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174"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347720" cy="1882775"/>
                  <wp:effectExtent l="0" t="0" r="5080" b="317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348000" cy="1882800"/>
                          </a:xfrm>
                          <a:prstGeom prst="rect">
                            <a:avLst/>
                          </a:prstGeom>
                        </pic:spPr>
                      </pic:pic>
                    </a:graphicData>
                  </a:graphic>
                </wp:inline>
              </w:drawing>
            </w:r>
          </w:p>
        </w:tc>
      </w:tr>
    </w:tbl>
    <w:p>
      <w:pPr>
        <w:spacing w:line="500" w:lineRule="exact"/>
        <w:jc w:val="center"/>
        <w:rPr>
          <w:rFonts w:ascii="Times New Roman" w:hAnsi="Times New Roman"/>
          <w:b/>
          <w:szCs w:val="27"/>
        </w:rPr>
      </w:pPr>
      <w:r>
        <w:rPr>
          <w:rFonts w:ascii="Times New Roman" w:hAnsi="Times New Roman"/>
          <w:b/>
          <w:szCs w:val="27"/>
        </w:rPr>
        <w:t>16#植被样方调查表</w:t>
      </w:r>
    </w:p>
    <w:p>
      <w:pPr>
        <w:outlineLvl w:val="4"/>
        <w:rPr>
          <w:rFonts w:ascii="Times New Roman" w:hAnsi="Times New Roman"/>
          <w:szCs w:val="27"/>
        </w:rPr>
      </w:pPr>
      <w:r>
        <w:rPr>
          <w:rFonts w:ascii="Times New Roman" w:hAnsi="Times New Roman"/>
          <w:szCs w:val="27"/>
        </w:rPr>
        <w:t>表3.5-20</w:t>
      </w:r>
    </w:p>
    <w:tbl>
      <w:tblPr>
        <w:tblStyle w:val="59"/>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125"/>
        <w:gridCol w:w="1883"/>
        <w:gridCol w:w="1308"/>
        <w:gridCol w:w="2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br w:type="page"/>
            </w:r>
            <w:r>
              <w:rPr>
                <w:rFonts w:ascii="Times New Roman" w:hAnsi="Times New Roman" w:cs="Times New Roman"/>
              </w:rPr>
              <w:br w:type="page"/>
            </w:r>
            <w:r>
              <w:rPr>
                <w:rFonts w:ascii="Times New Roman" w:hAnsi="Times New Roman" w:cs="Times New Roman"/>
              </w:rPr>
              <w:t>样方号：16</w:t>
            </w:r>
          </w:p>
        </w:tc>
        <w:tc>
          <w:tcPr>
            <w:tcW w:w="3191" w:type="dxa"/>
            <w:gridSpan w:val="2"/>
            <w:vAlign w:val="center"/>
          </w:tcPr>
          <w:p>
            <w:pPr>
              <w:pStyle w:val="910"/>
              <w:rPr>
                <w:rFonts w:ascii="Times New Roman" w:hAnsi="Times New Roman" w:cs="Times New Roman"/>
              </w:rPr>
            </w:pPr>
            <w:r>
              <w:rPr>
                <w:rFonts w:ascii="Times New Roman" w:hAnsi="Times New Roman" w:cs="Times New Roman"/>
              </w:rPr>
              <w:t>样方面积：5m×5m</w:t>
            </w:r>
          </w:p>
        </w:tc>
        <w:tc>
          <w:tcPr>
            <w:tcW w:w="2811" w:type="dxa"/>
            <w:vAlign w:val="center"/>
          </w:tcPr>
          <w:p>
            <w:pPr>
              <w:pStyle w:val="910"/>
              <w:rPr>
                <w:rFonts w:ascii="Times New Roman" w:hAnsi="Times New Roman" w:cs="Times New Roman"/>
              </w:rPr>
            </w:pPr>
            <w:r>
              <w:rPr>
                <w:rFonts w:ascii="Times New Roman" w:hAnsi="Times New Roman" w:cs="Times New Roman"/>
              </w:rPr>
              <w:t>时间：2020/8/12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3125" w:type="dxa"/>
            <w:vAlign w:val="center"/>
          </w:tcPr>
          <w:p>
            <w:pPr>
              <w:pStyle w:val="910"/>
              <w:rPr>
                <w:rFonts w:ascii="Times New Roman" w:hAnsi="Times New Roman" w:cs="Times New Roman"/>
              </w:rPr>
            </w:pPr>
            <w:r>
              <w:rPr>
                <w:rFonts w:ascii="Times New Roman" w:hAnsi="Times New Roman" w:cs="Times New Roman"/>
              </w:rPr>
              <w:t>海拔：</w:t>
            </w:r>
            <w:r>
              <w:rPr>
                <w:rFonts w:hint="eastAsia" w:ascii="Times New Roman" w:hAnsi="Times New Roman" w:cs="Times New Roman"/>
              </w:rPr>
              <w:t>1</w:t>
            </w:r>
            <w:r>
              <w:rPr>
                <w:rFonts w:ascii="Times New Roman" w:hAnsi="Times New Roman" w:cs="Times New Roman"/>
              </w:rPr>
              <w:t>343m</w:t>
            </w:r>
          </w:p>
        </w:tc>
        <w:tc>
          <w:tcPr>
            <w:tcW w:w="6002" w:type="dxa"/>
            <w:gridSpan w:val="3"/>
            <w:vAlign w:val="center"/>
          </w:tcPr>
          <w:p>
            <w:pPr>
              <w:pStyle w:val="910"/>
              <w:rPr>
                <w:rFonts w:ascii="Times New Roman" w:hAnsi="Times New Roman" w:cs="Times New Roman"/>
              </w:rPr>
            </w:pPr>
            <w:r>
              <w:rPr>
                <w:rFonts w:ascii="Times New Roman" w:hAnsi="Times New Roman" w:cs="Times New Roman"/>
              </w:rPr>
              <w:t>GPS定位：东经109.3094° 北纬39.3793°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总盖度：50％</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平均群落高：40cm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主要植物：柠条、猪毛菜、芨芨草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5008" w:type="dxa"/>
            <w:gridSpan w:val="2"/>
            <w:vAlign w:val="center"/>
          </w:tcPr>
          <w:p>
            <w:pPr>
              <w:pStyle w:val="910"/>
              <w:rPr>
                <w:rFonts w:ascii="Times New Roman" w:hAnsi="Times New Roman" w:cs="Times New Roman"/>
              </w:rPr>
            </w:pPr>
            <w:r>
              <w:rPr>
                <w:rFonts w:ascii="Times New Roman" w:hAnsi="Times New Roman" w:cs="Times New Roman"/>
              </w:rPr>
              <w:t>优势种：柠条</w:t>
            </w:r>
          </w:p>
        </w:tc>
        <w:tc>
          <w:tcPr>
            <w:tcW w:w="4119" w:type="dxa"/>
            <w:gridSpan w:val="2"/>
            <w:vAlign w:val="center"/>
          </w:tcPr>
          <w:p>
            <w:pPr>
              <w:pStyle w:val="910"/>
              <w:rPr>
                <w:rFonts w:ascii="Times New Roman" w:hAnsi="Times New Roman" w:cs="Times New Roman"/>
              </w:rPr>
            </w:pPr>
            <w:r>
              <w:rPr>
                <w:rFonts w:ascii="Times New Roman" w:hAnsi="Times New Roman" w:cs="Times New Roman"/>
              </w:rPr>
              <w:t>生物量：320g/m</w:t>
            </w:r>
            <w:r>
              <w:rPr>
                <w:rFonts w:ascii="Times New Roman" w:hAnsi="Times New Roman" w:cs="Times New Roman"/>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pStyle w:val="910"/>
              <w:rPr>
                <w:rFonts w:ascii="Times New Roman" w:hAnsi="Times New Roman" w:cs="Times New Roman"/>
              </w:rPr>
            </w:pPr>
            <w:r>
              <w:rPr>
                <w:rFonts w:ascii="Times New Roman" w:hAnsi="Times New Roman" w:cs="Times New Roman"/>
              </w:rPr>
              <w:t>样方外植物：柠条、猪毛菜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rPr>
        <w:tc>
          <w:tcPr>
            <w:tcW w:w="9127" w:type="dxa"/>
            <w:gridSpan w:val="4"/>
            <w:vAlign w:val="center"/>
          </w:tcPr>
          <w:p>
            <w:pPr>
              <w:topLinePunct/>
              <w:adjustRightInd w:val="0"/>
              <w:jc w:val="center"/>
              <w:textAlignment w:val="baseline"/>
              <w:rPr>
                <w:rFonts w:ascii="Times New Roman" w:hAnsi="Times New Roman"/>
                <w:b/>
                <w:sz w:val="21"/>
                <w:szCs w:val="21"/>
              </w:rPr>
            </w:pPr>
            <w:r>
              <w:rPr>
                <w:rFonts w:ascii="Times New Roman" w:hAnsi="Times New Roman"/>
                <w:b/>
                <w:sz w:val="21"/>
                <w:szCs w:val="21"/>
              </w:rPr>
              <w:drawing>
                <wp:inline distT="0" distB="0" distL="0" distR="0">
                  <wp:extent cx="3214370" cy="2407920"/>
                  <wp:effectExtent l="0" t="0" r="5080" b="1143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214800" cy="2408400"/>
                          </a:xfrm>
                          <a:prstGeom prst="rect">
                            <a:avLst/>
                          </a:prstGeom>
                        </pic:spPr>
                      </pic:pic>
                    </a:graphicData>
                  </a:graphic>
                </wp:inline>
              </w:drawing>
            </w:r>
          </w:p>
        </w:tc>
      </w:tr>
    </w:tbl>
    <w:p>
      <w:pPr>
        <w:widowControl/>
        <w:jc w:val="left"/>
        <w:rPr>
          <w:rFonts w:ascii="Times New Roman" w:hAnsi="Times New Roman"/>
        </w:rPr>
      </w:pPr>
      <w:r>
        <w:rPr>
          <w:rFonts w:ascii="Times New Roman" w:hAnsi="Times New Roman"/>
        </w:rPr>
        <w:br w:type="page"/>
      </w:r>
    </w:p>
    <w:p>
      <w:pPr>
        <w:keepNext/>
        <w:keepLines/>
        <w:spacing w:line="440" w:lineRule="exact"/>
        <w:outlineLvl w:val="3"/>
        <w:rPr>
          <w:rFonts w:ascii="Times New Roman" w:hAnsi="Times New Roman"/>
          <w:b/>
          <w:szCs w:val="21"/>
        </w:rPr>
      </w:pPr>
      <w:r>
        <w:rPr>
          <w:rFonts w:ascii="Times New Roman" w:hAnsi="Times New Roman"/>
          <w:b/>
          <w:szCs w:val="21"/>
        </w:rPr>
        <w:t>3.5.2.5 动物现状评价</w:t>
      </w:r>
      <w:bookmarkEnd w:id="172"/>
    </w:p>
    <w:p>
      <w:pPr>
        <w:spacing w:line="440" w:lineRule="exact"/>
        <w:ind w:firstLine="480" w:firstLineChars="200"/>
        <w:rPr>
          <w:rFonts w:ascii="Times New Roman" w:hAnsi="Times New Roman"/>
        </w:rPr>
      </w:pPr>
      <w:bookmarkStart w:id="173" w:name="_Toc408312733"/>
      <w:r>
        <w:rPr>
          <w:rFonts w:ascii="Times New Roman" w:hAnsi="Times New Roman"/>
        </w:rPr>
        <w:t>评价区地处中温带，野生动物的地理分布在动物地理区划中属古北界—蒙新区—东部草原亚区。典型的草原动物主要有蒙古兔、艾鼬、黄鼬、草原黄鼠、五趾跳鼠、长爪沙鼠和草原沙蜥等。评价区常见动物名录见表3.5-21</w:t>
      </w:r>
      <w:r>
        <w:rPr>
          <w:rFonts w:hint="eastAsia" w:ascii="Times New Roman" w:hAnsi="Times New Roman"/>
        </w:rPr>
        <w:t>。</w:t>
      </w:r>
    </w:p>
    <w:p>
      <w:pPr>
        <w:pStyle w:val="911"/>
        <w:rPr>
          <w:rFonts w:ascii="Times New Roman" w:hAnsi="Times New Roman" w:cs="Times New Roman"/>
          <w:kern w:val="0"/>
        </w:rPr>
      </w:pPr>
      <w:r>
        <w:rPr>
          <w:rFonts w:ascii="Times New Roman" w:hAnsi="Times New Roman" w:cs="Times New Roman"/>
          <w:kern w:val="0"/>
        </w:rPr>
        <w:t>评价区常见动物名录</w:t>
      </w:r>
    </w:p>
    <w:p>
      <w:pPr>
        <w:pStyle w:val="912"/>
        <w:ind w:left="0" w:leftChars="0"/>
        <w:rPr>
          <w:rFonts w:cs="Times New Roman"/>
        </w:rPr>
      </w:pPr>
      <w:r>
        <w:rPr>
          <w:rFonts w:cs="Times New Roman"/>
        </w:rPr>
        <w:t>表3.5-21</w:t>
      </w:r>
    </w:p>
    <w:tbl>
      <w:tblPr>
        <w:tblStyle w:val="59"/>
        <w:tblW w:w="91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2"/>
        <w:gridCol w:w="2750"/>
        <w:gridCol w:w="49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序号</w:t>
            </w:r>
          </w:p>
        </w:tc>
        <w:tc>
          <w:tcPr>
            <w:tcW w:w="2750"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名称</w:t>
            </w:r>
          </w:p>
        </w:tc>
        <w:tc>
          <w:tcPr>
            <w:tcW w:w="4943"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拉丁文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5" w:type="dxa"/>
            <w:gridSpan w:val="3"/>
            <w:tcMar>
              <w:top w:w="28" w:type="dxa"/>
              <w:left w:w="57" w:type="dxa"/>
              <w:bottom w:w="28" w:type="dxa"/>
              <w:right w:w="57" w:type="dxa"/>
            </w:tcMar>
            <w:vAlign w:val="center"/>
          </w:tcPr>
          <w:p>
            <w:pPr>
              <w:pStyle w:val="910"/>
              <w:jc w:val="both"/>
              <w:rPr>
                <w:rFonts w:ascii="Times New Roman" w:hAnsi="Times New Roman" w:cs="Times New Roman"/>
              </w:rPr>
            </w:pPr>
            <w:r>
              <w:rPr>
                <w:rFonts w:ascii="Times New Roman" w:hAnsi="Times New Roman" w:cs="Times New Roman"/>
              </w:rPr>
              <w:t>一、哺乳纲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1</w:t>
            </w:r>
          </w:p>
        </w:tc>
        <w:tc>
          <w:tcPr>
            <w:tcW w:w="2750"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蒙古兔</w:t>
            </w:r>
          </w:p>
        </w:tc>
        <w:tc>
          <w:tcPr>
            <w:tcW w:w="4943" w:type="dxa"/>
            <w:tcMar>
              <w:top w:w="28" w:type="dxa"/>
              <w:left w:w="57" w:type="dxa"/>
              <w:bottom w:w="28" w:type="dxa"/>
              <w:right w:w="57" w:type="dxa"/>
            </w:tcMar>
            <w:vAlign w:val="center"/>
          </w:tcPr>
          <w:p>
            <w:pPr>
              <w:pStyle w:val="910"/>
              <w:rPr>
                <w:rFonts w:ascii="Times New Roman" w:hAnsi="Times New Roman" w:cs="Times New Roman"/>
                <w:i/>
              </w:rPr>
            </w:pPr>
            <w:bookmarkStart w:id="174" w:name="_Toc381602440"/>
            <w:bookmarkStart w:id="175" w:name="_Toc389508302"/>
            <w:bookmarkStart w:id="176" w:name="_Toc389237080"/>
            <w:bookmarkStart w:id="177" w:name="_Toc392595454"/>
            <w:r>
              <w:rPr>
                <w:rFonts w:ascii="Times New Roman" w:hAnsi="Times New Roman" w:cs="Times New Roman"/>
                <w:i/>
              </w:rPr>
              <w:t xml:space="preserve">Lepus capensis </w:t>
            </w:r>
            <w:bookmarkEnd w:id="174"/>
            <w:r>
              <w:rPr>
                <w:rFonts w:ascii="Times New Roman" w:hAnsi="Times New Roman" w:cs="Times New Roman"/>
                <w:i/>
              </w:rPr>
              <w:t>Linnaeus</w:t>
            </w:r>
            <w:bookmarkEnd w:id="175"/>
            <w:bookmarkEnd w:id="176"/>
            <w:bookmarkEnd w:id="17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2</w:t>
            </w:r>
          </w:p>
        </w:tc>
        <w:tc>
          <w:tcPr>
            <w:tcW w:w="2750"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艾鼬</w:t>
            </w:r>
          </w:p>
        </w:tc>
        <w:tc>
          <w:tcPr>
            <w:tcW w:w="4943" w:type="dxa"/>
            <w:tcMar>
              <w:top w:w="28" w:type="dxa"/>
              <w:left w:w="57" w:type="dxa"/>
              <w:bottom w:w="28" w:type="dxa"/>
              <w:right w:w="57" w:type="dxa"/>
            </w:tcMar>
            <w:vAlign w:val="center"/>
          </w:tcPr>
          <w:p>
            <w:pPr>
              <w:pStyle w:val="910"/>
              <w:rPr>
                <w:rFonts w:ascii="Times New Roman" w:hAnsi="Times New Roman" w:cs="Times New Roman"/>
                <w:i/>
              </w:rPr>
            </w:pPr>
            <w:bookmarkStart w:id="178" w:name="_Toc389508303"/>
            <w:bookmarkStart w:id="179" w:name="_Toc389237081"/>
            <w:bookmarkStart w:id="180" w:name="_Toc392595455"/>
            <w:r>
              <w:rPr>
                <w:rFonts w:ascii="Times New Roman" w:hAnsi="Times New Roman" w:cs="Times New Roman"/>
                <w:i/>
              </w:rPr>
              <w:t>Mustela eversmanni lesson</w:t>
            </w:r>
            <w:bookmarkEnd w:id="178"/>
            <w:bookmarkEnd w:id="179"/>
            <w:bookmarkEnd w:id="18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3</w:t>
            </w:r>
          </w:p>
        </w:tc>
        <w:tc>
          <w:tcPr>
            <w:tcW w:w="2750"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黄鼬</w:t>
            </w:r>
          </w:p>
        </w:tc>
        <w:tc>
          <w:tcPr>
            <w:tcW w:w="4943" w:type="dxa"/>
            <w:tcMar>
              <w:top w:w="28" w:type="dxa"/>
              <w:left w:w="57" w:type="dxa"/>
              <w:bottom w:w="28" w:type="dxa"/>
              <w:right w:w="57" w:type="dxa"/>
            </w:tcMar>
            <w:vAlign w:val="center"/>
          </w:tcPr>
          <w:p>
            <w:pPr>
              <w:pStyle w:val="910"/>
              <w:rPr>
                <w:rFonts w:ascii="Times New Roman" w:hAnsi="Times New Roman" w:cs="Times New Roman"/>
                <w:i/>
              </w:rPr>
            </w:pPr>
            <w:r>
              <w:rPr>
                <w:rFonts w:ascii="Times New Roman" w:hAnsi="Times New Roman" w:cs="Times New Roman"/>
                <w:i/>
              </w:rPr>
              <w:t>Mustela sibirica Pallas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4</w:t>
            </w:r>
          </w:p>
        </w:tc>
        <w:tc>
          <w:tcPr>
            <w:tcW w:w="2750"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草原黄鼠</w:t>
            </w:r>
          </w:p>
        </w:tc>
        <w:tc>
          <w:tcPr>
            <w:tcW w:w="4943" w:type="dxa"/>
            <w:tcMar>
              <w:top w:w="28" w:type="dxa"/>
              <w:left w:w="57" w:type="dxa"/>
              <w:bottom w:w="28" w:type="dxa"/>
              <w:right w:w="57" w:type="dxa"/>
            </w:tcMar>
            <w:vAlign w:val="center"/>
          </w:tcPr>
          <w:p>
            <w:pPr>
              <w:pStyle w:val="910"/>
              <w:rPr>
                <w:rFonts w:ascii="Times New Roman" w:hAnsi="Times New Roman" w:cs="Times New Roman"/>
                <w:i/>
                <w:shd w:val="clear" w:color="auto" w:fill="FFFFFF"/>
              </w:rPr>
            </w:pPr>
            <w:r>
              <w:rPr>
                <w:rFonts w:ascii="Times New Roman" w:hAnsi="Times New Roman" w:cs="Times New Roman"/>
                <w:i/>
                <w:shd w:val="clear" w:color="auto" w:fill="FFFFFF"/>
              </w:rPr>
              <w:t>Citellus dauricus Brandt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5</w:t>
            </w:r>
          </w:p>
        </w:tc>
        <w:tc>
          <w:tcPr>
            <w:tcW w:w="2750"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五趾跳鼠</w:t>
            </w:r>
          </w:p>
        </w:tc>
        <w:tc>
          <w:tcPr>
            <w:tcW w:w="4943" w:type="dxa"/>
            <w:tcMar>
              <w:top w:w="28" w:type="dxa"/>
              <w:left w:w="57" w:type="dxa"/>
              <w:bottom w:w="28" w:type="dxa"/>
              <w:right w:w="57" w:type="dxa"/>
            </w:tcMar>
            <w:vAlign w:val="center"/>
          </w:tcPr>
          <w:p>
            <w:pPr>
              <w:pStyle w:val="910"/>
              <w:rPr>
                <w:rFonts w:ascii="Times New Roman" w:hAnsi="Times New Roman" w:cs="Times New Roman"/>
                <w:i/>
                <w:shd w:val="clear" w:color="auto" w:fill="FFFFFF"/>
              </w:rPr>
            </w:pPr>
            <w:r>
              <w:rPr>
                <w:rFonts w:ascii="Times New Roman" w:hAnsi="Times New Roman" w:cs="Times New Roman"/>
                <w:i/>
                <w:shd w:val="clear" w:color="auto" w:fill="FFFFFF"/>
              </w:rPr>
              <w:t>Allacataga sibirica Forster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6</w:t>
            </w:r>
          </w:p>
        </w:tc>
        <w:tc>
          <w:tcPr>
            <w:tcW w:w="2750"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长爪沙鼠</w:t>
            </w:r>
          </w:p>
        </w:tc>
        <w:tc>
          <w:tcPr>
            <w:tcW w:w="4943" w:type="dxa"/>
            <w:tcMar>
              <w:top w:w="28" w:type="dxa"/>
              <w:left w:w="57" w:type="dxa"/>
              <w:bottom w:w="28" w:type="dxa"/>
              <w:right w:w="57" w:type="dxa"/>
            </w:tcMar>
            <w:vAlign w:val="center"/>
          </w:tcPr>
          <w:p>
            <w:pPr>
              <w:pStyle w:val="910"/>
              <w:rPr>
                <w:rFonts w:ascii="Times New Roman" w:hAnsi="Times New Roman" w:cs="Times New Roman"/>
                <w:i/>
                <w:shd w:val="clear" w:color="auto" w:fill="FFFFFF"/>
              </w:rPr>
            </w:pPr>
            <w:r>
              <w:rPr>
                <w:rFonts w:ascii="Times New Roman" w:hAnsi="Times New Roman" w:cs="Times New Roman"/>
                <w:i/>
                <w:shd w:val="clear" w:color="auto" w:fill="FFFFFF"/>
              </w:rPr>
              <w:t>Meriones unguiculatus Mfine-Edwards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2"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7</w:t>
            </w:r>
          </w:p>
        </w:tc>
        <w:tc>
          <w:tcPr>
            <w:tcW w:w="2750" w:type="dxa"/>
            <w:tcMar>
              <w:top w:w="28" w:type="dxa"/>
              <w:left w:w="57" w:type="dxa"/>
              <w:bottom w:w="28" w:type="dxa"/>
              <w:right w:w="57" w:type="dxa"/>
            </w:tcMar>
            <w:vAlign w:val="center"/>
          </w:tcPr>
          <w:p>
            <w:pPr>
              <w:pStyle w:val="910"/>
              <w:rPr>
                <w:rFonts w:ascii="Times New Roman" w:hAnsi="Times New Roman" w:cs="Times New Roman"/>
              </w:rPr>
            </w:pPr>
            <w:r>
              <w:rPr>
                <w:rFonts w:ascii="Times New Roman" w:hAnsi="Times New Roman" w:cs="Times New Roman"/>
              </w:rPr>
              <w:t>草原沙蜥</w:t>
            </w:r>
          </w:p>
        </w:tc>
        <w:tc>
          <w:tcPr>
            <w:tcW w:w="4943" w:type="dxa"/>
            <w:tcMar>
              <w:top w:w="28" w:type="dxa"/>
              <w:left w:w="57" w:type="dxa"/>
              <w:bottom w:w="28" w:type="dxa"/>
              <w:right w:w="57" w:type="dxa"/>
            </w:tcMar>
            <w:vAlign w:val="center"/>
          </w:tcPr>
          <w:p>
            <w:pPr>
              <w:pStyle w:val="910"/>
              <w:rPr>
                <w:rFonts w:ascii="Times New Roman" w:hAnsi="Times New Roman" w:cs="Times New Roman"/>
                <w:i/>
                <w:shd w:val="clear" w:color="auto" w:fill="FFFFFF"/>
              </w:rPr>
            </w:pPr>
            <w:r>
              <w:rPr>
                <w:rFonts w:ascii="Times New Roman" w:hAnsi="Times New Roman" w:cs="Times New Roman"/>
                <w:i/>
                <w:shd w:val="clear" w:color="auto" w:fill="FFFFFF"/>
              </w:rPr>
              <w:t>Phrynocephalus frontalis Strauch</w:t>
            </w:r>
          </w:p>
        </w:tc>
      </w:tr>
    </w:tbl>
    <w:p>
      <w:pPr>
        <w:keepNext/>
        <w:keepLines/>
        <w:spacing w:before="240" w:beforeLines="100" w:line="440" w:lineRule="exact"/>
        <w:outlineLvl w:val="3"/>
        <w:rPr>
          <w:rFonts w:ascii="Times New Roman" w:hAnsi="Times New Roman"/>
          <w:b/>
          <w:szCs w:val="21"/>
        </w:rPr>
      </w:pPr>
      <w:r>
        <w:rPr>
          <w:rFonts w:ascii="Times New Roman" w:hAnsi="Times New Roman"/>
          <w:b/>
          <w:szCs w:val="21"/>
        </w:rPr>
        <w:t>3.5.2.6 土壤现状评价</w:t>
      </w:r>
      <w:bookmarkEnd w:id="173"/>
    </w:p>
    <w:p>
      <w:pPr>
        <w:spacing w:line="440" w:lineRule="exact"/>
        <w:ind w:firstLine="480" w:firstLineChars="200"/>
        <w:rPr>
          <w:rFonts w:ascii="Times New Roman" w:hAnsi="Times New Roman"/>
        </w:rPr>
      </w:pPr>
      <w:bookmarkStart w:id="181" w:name="_Toc408312734"/>
      <w:r>
        <w:rPr>
          <w:rFonts w:ascii="Times New Roman" w:hAnsi="Times New Roman"/>
        </w:rPr>
        <w:t>根据《中国土壤分类与代码》GB/T 17296-2009中的分类及现场调查，评价区内涉及四种土壤类型，分别为栗钙土、粗骨土、风沙土和草甸土。</w:t>
      </w:r>
    </w:p>
    <w:p>
      <w:pPr>
        <w:spacing w:line="440" w:lineRule="exact"/>
        <w:ind w:firstLine="480" w:firstLineChars="200"/>
        <w:rPr>
          <w:rFonts w:ascii="Times New Roman" w:hAnsi="Times New Roman"/>
        </w:rPr>
      </w:pPr>
      <w:r>
        <w:rPr>
          <w:rFonts w:ascii="Times New Roman" w:hAnsi="Times New Roman"/>
        </w:rPr>
        <w:t>（1）栗钙土</w:t>
      </w:r>
    </w:p>
    <w:p>
      <w:pPr>
        <w:spacing w:line="440" w:lineRule="exact"/>
        <w:ind w:firstLine="480" w:firstLineChars="200"/>
        <w:rPr>
          <w:rFonts w:ascii="Times New Roman" w:hAnsi="Times New Roman"/>
        </w:rPr>
      </w:pPr>
      <w:r>
        <w:rPr>
          <w:rFonts w:ascii="Times New Roman" w:hAnsi="Times New Roman"/>
        </w:rPr>
        <w:t>栗钙土成土母质为残积坡积物、冲积洪积物和黄土状物质，具有较明显的腐殖质累积和石灰的淋溶淀积过程，并多存在弱度的石膏化和盐化过程。调查结果表明，腐殖质层厚20-50厘米，多数在30厘米左右，有机质含量30-50克每千克之间，个别表层高的可超过此上限一般，表土层全氮含量2.4-4.6克每千克，全磷0.5-0.85克每千克，全钾18-23克每千克，速效磷、速效钾分别为1.5-4克每千克和150-270毫克每千克。除磷素较缺乏外，其它养分含量均较高。腐殖质组成表层以胡敏酸为主，胡敏酸碳占总碳量的20.1%，富里酸碳占总碳量的16.1%，胡富比为1.13-1.81，而钙积层以下底上的比值则小于1。钙积层（Bk）多出现在剖面40-50厘米以下，厚20-35厘米，碳酸钙多呈粉末状、假菌丝状或斑块状淀积，含量为50-250克每千克。母质层（C）呈浅黄色或灰黄色，多由黄土状沉积物和砂砾岩残坡积物形成。暗栗钙土的质地大致为两种类型，由黄土状沉积物发育的多为粘质土，由砂砾岩残坡积物发育的多为壤质土。全土呈弱碱性反应，pH7.3-5.5，由上向下增强。</w:t>
      </w:r>
    </w:p>
    <w:p>
      <w:pPr>
        <w:pStyle w:val="32"/>
        <w:spacing w:line="440" w:lineRule="exact"/>
        <w:ind w:firstLine="480"/>
        <w:rPr>
          <w:rFonts w:ascii="Times New Roman" w:hAnsi="Times New Roman"/>
          <w:szCs w:val="24"/>
        </w:rPr>
      </w:pPr>
      <w:r>
        <w:rPr>
          <w:rFonts w:ascii="Times New Roman" w:hAnsi="Times New Roman"/>
          <w:szCs w:val="24"/>
        </w:rPr>
        <w:t>评价区内该土壤面积为133.59km</w:t>
      </w:r>
      <w:r>
        <w:rPr>
          <w:rFonts w:ascii="Times New Roman" w:hAnsi="Times New Roman"/>
          <w:szCs w:val="24"/>
          <w:vertAlign w:val="superscript"/>
        </w:rPr>
        <w:t>2</w:t>
      </w:r>
      <w:r>
        <w:rPr>
          <w:rFonts w:ascii="Times New Roman" w:hAnsi="Times New Roman"/>
          <w:szCs w:val="24"/>
        </w:rPr>
        <w:t>，占总面积的12.71%；井田内该类土壤面积90.38km</w:t>
      </w:r>
      <w:r>
        <w:rPr>
          <w:rFonts w:ascii="Times New Roman" w:hAnsi="Times New Roman"/>
          <w:szCs w:val="24"/>
          <w:vertAlign w:val="superscript"/>
        </w:rPr>
        <w:t>2</w:t>
      </w:r>
      <w:r>
        <w:rPr>
          <w:rFonts w:ascii="Times New Roman" w:hAnsi="Times New Roman"/>
          <w:szCs w:val="24"/>
        </w:rPr>
        <w:t>，占总面积的12.76%。</w:t>
      </w:r>
    </w:p>
    <w:p>
      <w:pPr>
        <w:pStyle w:val="32"/>
        <w:spacing w:line="440" w:lineRule="exact"/>
        <w:ind w:firstLine="480"/>
        <w:rPr>
          <w:rFonts w:ascii="Times New Roman" w:hAnsi="Times New Roman"/>
          <w:szCs w:val="24"/>
        </w:rPr>
      </w:pPr>
      <w:r>
        <w:rPr>
          <w:rFonts w:ascii="Times New Roman" w:hAnsi="Times New Roman"/>
          <w:szCs w:val="24"/>
        </w:rPr>
        <w:t>（2）粗骨土</w:t>
      </w:r>
    </w:p>
    <w:p>
      <w:pPr>
        <w:pStyle w:val="32"/>
        <w:spacing w:line="440" w:lineRule="exact"/>
        <w:ind w:firstLine="480"/>
        <w:rPr>
          <w:rFonts w:ascii="Times New Roman" w:hAnsi="Times New Roman"/>
          <w:szCs w:val="24"/>
        </w:rPr>
      </w:pPr>
      <w:r>
        <w:rPr>
          <w:rFonts w:ascii="Times New Roman" w:hAnsi="Times New Roman"/>
          <w:szCs w:val="24"/>
        </w:rPr>
        <w:t>粗骨土是发育在砂岩、砂砾岩、泥质砾岩残坡积母质上的幼年土，主要分布在栗钙土地带上的残丘顶部或迎风坡上部。粗骨土剖面分化不明显，除表层有很弱的腐殖质积累外，基本上保留着母质的特性。粗骨土土质粗糙，且不断被侵蚀；土体极薄，均小于10厘米；土体中含有较多的砾石，一般达土壤体积的30-70%，或者在薄层A层下即为砾岩风化层，系A、C 构型；全剖面有石灰反应。</w:t>
      </w:r>
    </w:p>
    <w:p>
      <w:pPr>
        <w:pStyle w:val="32"/>
        <w:spacing w:line="440" w:lineRule="exact"/>
        <w:ind w:firstLine="480"/>
        <w:rPr>
          <w:rFonts w:ascii="Times New Roman" w:hAnsi="Times New Roman"/>
          <w:szCs w:val="24"/>
        </w:rPr>
      </w:pPr>
      <w:r>
        <w:rPr>
          <w:rFonts w:ascii="Times New Roman" w:hAnsi="Times New Roman"/>
          <w:szCs w:val="24"/>
        </w:rPr>
        <w:t>评价区内该土壤面积为24.63km</w:t>
      </w:r>
      <w:r>
        <w:rPr>
          <w:rFonts w:ascii="Times New Roman" w:hAnsi="Times New Roman"/>
          <w:szCs w:val="24"/>
          <w:vertAlign w:val="superscript"/>
        </w:rPr>
        <w:t>2</w:t>
      </w:r>
      <w:r>
        <w:rPr>
          <w:rFonts w:ascii="Times New Roman" w:hAnsi="Times New Roman"/>
          <w:szCs w:val="24"/>
        </w:rPr>
        <w:t>，占总面积的2.34%；井田内该类土壤面积9.04km</w:t>
      </w:r>
      <w:r>
        <w:rPr>
          <w:rFonts w:ascii="Times New Roman" w:hAnsi="Times New Roman"/>
          <w:szCs w:val="24"/>
          <w:vertAlign w:val="superscript"/>
        </w:rPr>
        <w:t>2</w:t>
      </w:r>
      <w:r>
        <w:rPr>
          <w:rFonts w:ascii="Times New Roman" w:hAnsi="Times New Roman"/>
          <w:szCs w:val="24"/>
        </w:rPr>
        <w:t>，占总面积的1.28%。</w:t>
      </w:r>
    </w:p>
    <w:p>
      <w:pPr>
        <w:pStyle w:val="32"/>
        <w:spacing w:line="440" w:lineRule="exact"/>
        <w:ind w:firstLine="480"/>
        <w:rPr>
          <w:rFonts w:ascii="Times New Roman" w:hAnsi="Times New Roman"/>
          <w:szCs w:val="24"/>
        </w:rPr>
      </w:pPr>
      <w:r>
        <w:rPr>
          <w:rFonts w:ascii="Times New Roman" w:hAnsi="Times New Roman"/>
          <w:szCs w:val="24"/>
        </w:rPr>
        <w:t>（3）风沙土</w:t>
      </w:r>
    </w:p>
    <w:p>
      <w:pPr>
        <w:spacing w:line="440" w:lineRule="exact"/>
        <w:ind w:firstLine="480" w:firstLineChars="200"/>
        <w:rPr>
          <w:rFonts w:ascii="Times New Roman" w:hAnsi="Times New Roman"/>
        </w:rPr>
      </w:pPr>
      <w:r>
        <w:rPr>
          <w:rFonts w:ascii="Times New Roman" w:hAnsi="Times New Roman"/>
        </w:rPr>
        <w:t>评价区风沙土有机质含量很低，盐分及石灰的积聚作用明显。风沙土质地粗，细砂粒占土壤矿质部分重量的80-90</w:t>
      </w:r>
      <w:r>
        <w:rPr>
          <w:rFonts w:ascii="Times New Roman" w:hAnsi="Times New Roman"/>
          <w:spacing w:val="6"/>
          <w:kern w:val="0"/>
        </w:rPr>
        <w:t>%</w:t>
      </w:r>
      <w:r>
        <w:rPr>
          <w:rFonts w:ascii="Times New Roman" w:hAnsi="Times New Roman"/>
        </w:rPr>
        <w:t>以上，而粗砂粒、粉砂粒及粘粒的含量甚微。干旱是风沙土的又一重要性状，土壤表层多为干沙层，厚度不一，通常在10-20cm左右，其下含水率也仅2-3</w:t>
      </w:r>
      <w:r>
        <w:rPr>
          <w:rFonts w:ascii="Times New Roman" w:hAnsi="Times New Roman"/>
          <w:spacing w:val="6"/>
          <w:kern w:val="0"/>
        </w:rPr>
        <w:t>%</w:t>
      </w:r>
      <w:r>
        <w:rPr>
          <w:rFonts w:ascii="Times New Roman" w:hAnsi="Times New Roman"/>
        </w:rPr>
        <w:t>。有机质含量低，约在0.1-1.0</w:t>
      </w:r>
      <w:r>
        <w:rPr>
          <w:rFonts w:ascii="Times New Roman" w:hAnsi="Times New Roman"/>
          <w:spacing w:val="6"/>
          <w:kern w:val="0"/>
        </w:rPr>
        <w:t>%</w:t>
      </w:r>
      <w:r>
        <w:rPr>
          <w:rFonts w:ascii="Times New Roman" w:hAnsi="Times New Roman"/>
        </w:rPr>
        <w:t xml:space="preserve">范围内；有盐分和碳酸钙的积聚，前者由风力从它处运积而来，后者是植物残体分解和沙尘沉积的结果。 </w:t>
      </w:r>
    </w:p>
    <w:p>
      <w:pPr>
        <w:pStyle w:val="32"/>
        <w:spacing w:line="440" w:lineRule="exact"/>
        <w:ind w:firstLine="480"/>
        <w:rPr>
          <w:rFonts w:ascii="Times New Roman" w:hAnsi="Times New Roman"/>
          <w:szCs w:val="24"/>
        </w:rPr>
      </w:pPr>
      <w:r>
        <w:rPr>
          <w:rFonts w:ascii="Times New Roman" w:hAnsi="Times New Roman"/>
          <w:szCs w:val="24"/>
        </w:rPr>
        <w:t>评价区内该土壤面积为539.13km</w:t>
      </w:r>
      <w:r>
        <w:rPr>
          <w:rFonts w:ascii="Times New Roman" w:hAnsi="Times New Roman"/>
          <w:szCs w:val="24"/>
          <w:vertAlign w:val="superscript"/>
        </w:rPr>
        <w:t>2</w:t>
      </w:r>
      <w:r>
        <w:rPr>
          <w:rFonts w:ascii="Times New Roman" w:hAnsi="Times New Roman"/>
          <w:szCs w:val="24"/>
        </w:rPr>
        <w:t>，占总面积的51.30%；井田内该土壤面积为341.18 km</w:t>
      </w:r>
      <w:r>
        <w:rPr>
          <w:rFonts w:ascii="Times New Roman" w:hAnsi="Times New Roman"/>
          <w:szCs w:val="24"/>
          <w:vertAlign w:val="superscript"/>
        </w:rPr>
        <w:t>2</w:t>
      </w:r>
      <w:r>
        <w:rPr>
          <w:rFonts w:ascii="Times New Roman" w:hAnsi="Times New Roman"/>
          <w:szCs w:val="24"/>
        </w:rPr>
        <w:t>，占总面积的48.18%。</w:t>
      </w:r>
    </w:p>
    <w:p>
      <w:pPr>
        <w:spacing w:line="440" w:lineRule="exact"/>
        <w:ind w:firstLine="480"/>
        <w:rPr>
          <w:rFonts w:ascii="Times New Roman" w:hAnsi="Times New Roman"/>
        </w:rPr>
      </w:pPr>
      <w:r>
        <w:rPr>
          <w:rFonts w:ascii="Times New Roman" w:hAnsi="Times New Roman"/>
          <w:bCs/>
        </w:rPr>
        <w:t>（4）草甸土</w:t>
      </w:r>
    </w:p>
    <w:p>
      <w:pPr>
        <w:spacing w:line="440" w:lineRule="exact"/>
        <w:ind w:firstLine="480" w:firstLineChars="200"/>
        <w:rPr>
          <w:rFonts w:ascii="Times New Roman" w:hAnsi="Times New Roman"/>
        </w:rPr>
      </w:pPr>
      <w:r>
        <w:rPr>
          <w:rFonts w:ascii="Times New Roman" w:hAnsi="Times New Roman"/>
        </w:rPr>
        <w:t>草甸土主要分布在地势低平，地下水埋深较浅的区域，土壤受地下水或潜水的直接浸润，属半水成土，上覆自然植被为草甸植被。其剖面形态为腐殖质层、氧化还原层、母质层，即A</w:t>
      </w:r>
      <w:r>
        <w:rPr>
          <w:rFonts w:ascii="Times New Roman" w:hAnsi="Times New Roman"/>
          <w:vertAlign w:val="subscript"/>
        </w:rPr>
        <w:t>p</w:t>
      </w:r>
      <w:r>
        <w:rPr>
          <w:rFonts w:ascii="Times New Roman" w:hAnsi="Times New Roman"/>
        </w:rPr>
        <w:t>—BC</w:t>
      </w:r>
      <w:r>
        <w:rPr>
          <w:rFonts w:ascii="Times New Roman" w:hAnsi="Times New Roman"/>
          <w:vertAlign w:val="subscript"/>
        </w:rPr>
        <w:t>g</w:t>
      </w:r>
      <w:r>
        <w:rPr>
          <w:rFonts w:ascii="Times New Roman" w:hAnsi="Times New Roman"/>
        </w:rPr>
        <w:t>—C</w:t>
      </w:r>
      <w:r>
        <w:rPr>
          <w:rFonts w:ascii="Times New Roman" w:hAnsi="Times New Roman"/>
          <w:vertAlign w:val="subscript"/>
        </w:rPr>
        <w:t>kg</w:t>
      </w:r>
      <w:r>
        <w:rPr>
          <w:rFonts w:ascii="Times New Roman" w:hAnsi="Times New Roman"/>
        </w:rPr>
        <w:t>(G)，或A</w:t>
      </w:r>
      <w:r>
        <w:rPr>
          <w:rFonts w:ascii="Times New Roman" w:hAnsi="Times New Roman"/>
          <w:vertAlign w:val="subscript"/>
        </w:rPr>
        <w:t>pk</w:t>
      </w:r>
      <w:r>
        <w:rPr>
          <w:rFonts w:ascii="Times New Roman" w:hAnsi="Times New Roman"/>
        </w:rPr>
        <w:t>—BC</w:t>
      </w:r>
      <w:r>
        <w:rPr>
          <w:rFonts w:ascii="Times New Roman" w:hAnsi="Times New Roman"/>
          <w:vertAlign w:val="subscript"/>
        </w:rPr>
        <w:t>kg</w:t>
      </w:r>
      <w:r>
        <w:rPr>
          <w:rFonts w:ascii="Times New Roman" w:hAnsi="Times New Roman"/>
        </w:rPr>
        <w:t>—C</w:t>
      </w:r>
      <w:r>
        <w:rPr>
          <w:rFonts w:ascii="Times New Roman" w:hAnsi="Times New Roman"/>
          <w:vertAlign w:val="subscript"/>
        </w:rPr>
        <w:t>kg</w:t>
      </w:r>
      <w:r>
        <w:rPr>
          <w:rFonts w:ascii="Times New Roman" w:hAnsi="Times New Roman"/>
        </w:rPr>
        <w:t>(G)。腐殖质层一般厚度为15-20cm，有机质含量&lt;10g/kg，缺磷、钾、锌，有盐分积聚。</w:t>
      </w:r>
    </w:p>
    <w:p>
      <w:pPr>
        <w:pStyle w:val="32"/>
        <w:spacing w:line="440" w:lineRule="exact"/>
        <w:ind w:firstLine="480"/>
        <w:rPr>
          <w:rFonts w:ascii="Times New Roman" w:hAnsi="Times New Roman"/>
          <w:szCs w:val="24"/>
        </w:rPr>
      </w:pPr>
      <w:r>
        <w:rPr>
          <w:rFonts w:ascii="Times New Roman" w:hAnsi="Times New Roman"/>
          <w:szCs w:val="24"/>
        </w:rPr>
        <w:t>评价区内该土壤面积为329.99km</w:t>
      </w:r>
      <w:r>
        <w:rPr>
          <w:rFonts w:ascii="Times New Roman" w:hAnsi="Times New Roman"/>
          <w:szCs w:val="24"/>
          <w:vertAlign w:val="superscript"/>
        </w:rPr>
        <w:t>2</w:t>
      </w:r>
      <w:r>
        <w:rPr>
          <w:rFonts w:ascii="Times New Roman" w:hAnsi="Times New Roman"/>
          <w:szCs w:val="24"/>
        </w:rPr>
        <w:t>，占总面积的31.40%；井田内该土壤面积为250.01 km</w:t>
      </w:r>
      <w:r>
        <w:rPr>
          <w:rFonts w:ascii="Times New Roman" w:hAnsi="Times New Roman"/>
          <w:szCs w:val="24"/>
          <w:vertAlign w:val="superscript"/>
        </w:rPr>
        <w:t>2</w:t>
      </w:r>
      <w:r>
        <w:rPr>
          <w:rFonts w:ascii="Times New Roman" w:hAnsi="Times New Roman"/>
          <w:szCs w:val="24"/>
        </w:rPr>
        <w:t>，占总面积的35.30%。</w:t>
      </w:r>
    </w:p>
    <w:p>
      <w:pPr>
        <w:spacing w:line="440" w:lineRule="exact"/>
        <w:ind w:firstLine="480" w:firstLineChars="200"/>
        <w:rPr>
          <w:rFonts w:ascii="Times New Roman" w:hAnsi="Times New Roman"/>
          <w:szCs w:val="24"/>
        </w:rPr>
      </w:pPr>
      <w:r>
        <w:rPr>
          <w:rFonts w:ascii="Times New Roman" w:hAnsi="Times New Roman"/>
          <w:szCs w:val="24"/>
        </w:rPr>
        <w:t>评价区及矿区内各土壤类型面积统计见表3.5-22，土壤类型分布图见图3.5-5。</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sectPr>
          <w:pgSz w:w="11907" w:h="16840"/>
          <w:pgMar w:top="1701" w:right="1418" w:bottom="1134" w:left="1418" w:header="1134" w:footer="851" w:gutter="0"/>
          <w:cols w:space="720" w:num="1"/>
          <w:docGrid w:linePitch="312" w:charSpace="0"/>
        </w:sectPr>
      </w:pPr>
    </w:p>
    <w:p>
      <w:pPr>
        <w:tabs>
          <w:tab w:val="left" w:pos="6840"/>
        </w:tabs>
        <w:topLinePunct/>
        <w:snapToGrid w:val="0"/>
        <w:spacing w:line="500" w:lineRule="exact"/>
        <w:jc w:val="center"/>
        <w:rPr>
          <w:rFonts w:ascii="Times New Roman" w:hAnsi="Times New Roman"/>
          <w:b/>
          <w:bCs/>
          <w:kern w:val="24"/>
          <w:szCs w:val="28"/>
        </w:rPr>
      </w:pPr>
      <w:r>
        <w:rPr>
          <w:rFonts w:ascii="Times New Roman" w:hAnsi="Times New Roman"/>
          <w:b/>
          <w:bCs/>
          <w:kern w:val="24"/>
          <w:szCs w:val="28"/>
        </w:rPr>
        <w:t>评价区土壤类型面积统计表</w:t>
      </w:r>
    </w:p>
    <w:p>
      <w:pPr>
        <w:widowControl/>
        <w:jc w:val="left"/>
        <w:outlineLvl w:val="4"/>
        <w:rPr>
          <w:rFonts w:ascii="Times New Roman" w:hAnsi="Times New Roman"/>
          <w:kern w:val="0"/>
          <w:szCs w:val="24"/>
        </w:rPr>
      </w:pPr>
      <w:r>
        <w:rPr>
          <w:rFonts w:ascii="Times New Roman" w:hAnsi="Times New Roman"/>
          <w:kern w:val="0"/>
          <w:szCs w:val="24"/>
        </w:rPr>
        <w:t>表3.5-22</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9"/>
        <w:gridCol w:w="2131"/>
        <w:gridCol w:w="1879"/>
        <w:gridCol w:w="1879"/>
        <w:gridCol w:w="18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19" w:type="dxa"/>
            <w:vMerge w:val="restart"/>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土壤类型</w:t>
            </w:r>
          </w:p>
        </w:tc>
        <w:tc>
          <w:tcPr>
            <w:tcW w:w="4010" w:type="dxa"/>
            <w:gridSpan w:val="2"/>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评价区</w:t>
            </w:r>
          </w:p>
        </w:tc>
        <w:tc>
          <w:tcPr>
            <w:tcW w:w="3758" w:type="dxa"/>
            <w:gridSpan w:val="2"/>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矿  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19" w:type="dxa"/>
            <w:vMerge w:val="continue"/>
            <w:shd w:val="clear" w:color="auto" w:fill="auto"/>
            <w:noWrap/>
            <w:vAlign w:val="center"/>
          </w:tcPr>
          <w:p>
            <w:pPr>
              <w:jc w:val="center"/>
              <w:rPr>
                <w:rFonts w:ascii="Times New Roman" w:hAnsi="Times New Roman"/>
                <w:sz w:val="21"/>
                <w:szCs w:val="21"/>
              </w:rPr>
            </w:pPr>
          </w:p>
        </w:tc>
        <w:tc>
          <w:tcPr>
            <w:tcW w:w="2131"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面积（km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1879"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比例（%）</w:t>
            </w:r>
          </w:p>
        </w:tc>
        <w:tc>
          <w:tcPr>
            <w:tcW w:w="1879"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面积（km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1879" w:type="dxa"/>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栗钙土</w:t>
            </w:r>
          </w:p>
        </w:tc>
        <w:tc>
          <w:tcPr>
            <w:tcW w:w="2131"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133.59</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12.71</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90.38</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12.76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粗骨土</w:t>
            </w:r>
          </w:p>
        </w:tc>
        <w:tc>
          <w:tcPr>
            <w:tcW w:w="2131"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24.63</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2.34</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9.04</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风沙土</w:t>
            </w:r>
          </w:p>
        </w:tc>
        <w:tc>
          <w:tcPr>
            <w:tcW w:w="2131"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539.13</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51.30</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341.18</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48.18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草甸土</w:t>
            </w:r>
          </w:p>
        </w:tc>
        <w:tc>
          <w:tcPr>
            <w:tcW w:w="2131" w:type="dxa"/>
            <w:shd w:val="clear" w:color="auto" w:fill="auto"/>
            <w:noWrap/>
            <w:vAlign w:val="center"/>
          </w:tcPr>
          <w:p>
            <w:pPr>
              <w:widowControl/>
              <w:jc w:val="center"/>
              <w:textAlignment w:val="center"/>
              <w:rPr>
                <w:rFonts w:ascii="Times New Roman" w:hAnsi="Times New Roman"/>
                <w:sz w:val="22"/>
                <w:szCs w:val="21"/>
              </w:rPr>
            </w:pPr>
            <w:r>
              <w:rPr>
                <w:rFonts w:ascii="Times New Roman" w:hAnsi="Times New Roman"/>
                <w:kern w:val="0"/>
                <w:sz w:val="22"/>
                <w:szCs w:val="22"/>
                <w:lang w:bidi="ar"/>
              </w:rPr>
              <w:t>329.99</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31.40</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250.01</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35.30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19" w:type="dxa"/>
            <w:shd w:val="clear" w:color="auto" w:fill="auto"/>
            <w:noWrap/>
            <w:vAlign w:val="center"/>
          </w:tcPr>
          <w:p>
            <w:pPr>
              <w:widowControl/>
              <w:jc w:val="center"/>
              <w:textAlignment w:val="center"/>
              <w:rPr>
                <w:rFonts w:ascii="Times New Roman" w:hAnsi="Times New Roman"/>
                <w:sz w:val="22"/>
                <w:szCs w:val="21"/>
              </w:rPr>
            </w:pPr>
            <w:r>
              <w:rPr>
                <w:rFonts w:ascii="Times New Roman" w:hAnsi="Times New Roman"/>
                <w:kern w:val="0"/>
                <w:sz w:val="21"/>
                <w:szCs w:val="21"/>
                <w:lang w:bidi="ar"/>
              </w:rPr>
              <w:t>水体</w:t>
            </w:r>
          </w:p>
        </w:tc>
        <w:tc>
          <w:tcPr>
            <w:tcW w:w="2131" w:type="dxa"/>
            <w:shd w:val="clear" w:color="auto" w:fill="auto"/>
            <w:noWrap/>
            <w:vAlign w:val="center"/>
          </w:tcPr>
          <w:p>
            <w:pPr>
              <w:widowControl/>
              <w:jc w:val="center"/>
              <w:textAlignment w:val="center"/>
              <w:rPr>
                <w:rFonts w:ascii="Times New Roman" w:hAnsi="Times New Roman"/>
                <w:sz w:val="22"/>
                <w:szCs w:val="21"/>
              </w:rPr>
            </w:pPr>
            <w:r>
              <w:rPr>
                <w:rFonts w:ascii="Times New Roman" w:hAnsi="Times New Roman"/>
                <w:kern w:val="0"/>
                <w:sz w:val="22"/>
                <w:szCs w:val="22"/>
                <w:lang w:bidi="ar"/>
              </w:rPr>
              <w:t>23.56</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2.24</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17.55</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合计</w:t>
            </w:r>
          </w:p>
        </w:tc>
        <w:tc>
          <w:tcPr>
            <w:tcW w:w="2131"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1050.90</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100.00</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708.16</w:t>
            </w:r>
          </w:p>
        </w:tc>
        <w:tc>
          <w:tcPr>
            <w:tcW w:w="187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100.00</w:t>
            </w:r>
          </w:p>
        </w:tc>
      </w:tr>
    </w:tbl>
    <w:p>
      <w:pPr>
        <w:keepNext/>
        <w:keepLines/>
        <w:spacing w:before="240" w:beforeLines="100" w:line="440" w:lineRule="exact"/>
        <w:outlineLvl w:val="3"/>
        <w:rPr>
          <w:rFonts w:ascii="Times New Roman" w:hAnsi="Times New Roman"/>
          <w:b/>
          <w:szCs w:val="21"/>
        </w:rPr>
      </w:pPr>
      <w:r>
        <w:rPr>
          <w:rFonts w:ascii="Times New Roman" w:hAnsi="Times New Roman"/>
          <w:b/>
          <w:szCs w:val="21"/>
        </w:rPr>
        <w:t>3.5.2.7 土壤侵蚀现状评价</w:t>
      </w:r>
      <w:bookmarkEnd w:id="181"/>
    </w:p>
    <w:p>
      <w:pPr>
        <w:spacing w:line="440" w:lineRule="exact"/>
        <w:ind w:firstLine="480" w:firstLineChars="200"/>
        <w:rPr>
          <w:rFonts w:ascii="Times New Roman" w:hAnsi="Times New Roman"/>
          <w:szCs w:val="24"/>
        </w:rPr>
      </w:pPr>
      <w:bookmarkStart w:id="182" w:name="_Toc408312735"/>
      <w:r>
        <w:rPr>
          <w:rFonts w:ascii="Times New Roman" w:hAnsi="Times New Roman"/>
          <w:szCs w:val="24"/>
        </w:rPr>
        <w:t>评价区位于鄂尔多斯高原之东部，受毛乌素沙漠的影响，该区域内常年风沙较大。按照水利部行业标准《土壤侵蚀分类分级标准》（SL 190-2007）划分，该区所属的土壤侵蚀类型区为内蒙古高原草原强烈风蚀水蚀区，土壤允许流失量为1000t/km</w:t>
      </w:r>
      <w:r>
        <w:rPr>
          <w:rFonts w:ascii="Times New Roman" w:hAnsi="Times New Roman"/>
          <w:szCs w:val="24"/>
          <w:vertAlign w:val="superscript"/>
        </w:rPr>
        <w:t>2</w:t>
      </w:r>
      <w:r>
        <w:rPr>
          <w:rFonts w:ascii="Times New Roman" w:hAnsi="Times New Roman"/>
          <w:szCs w:val="24"/>
        </w:rPr>
        <w:t>·a。水土流失类型以为风力侵蚀为主，兼有水力侵蚀，风力侵蚀和水力侵蚀强度分级标准见表3.5-23和表3.5-24。</w:t>
      </w:r>
    </w:p>
    <w:p>
      <w:pPr>
        <w:spacing w:line="440" w:lineRule="exact"/>
        <w:ind w:firstLine="480" w:firstLineChars="200"/>
        <w:rPr>
          <w:rFonts w:ascii="Times New Roman" w:hAnsi="Times New Roman"/>
          <w:b/>
          <w:bCs/>
          <w:kern w:val="24"/>
          <w:szCs w:val="28"/>
        </w:rPr>
      </w:pPr>
      <w:r>
        <w:rPr>
          <w:rFonts w:ascii="Times New Roman" w:hAnsi="Times New Roman"/>
          <w:szCs w:val="24"/>
        </w:rPr>
        <w:t>根据《全国水土保持规划国家级水土流失重点预防区和重点治理区复核划分成果》，项目区属于黄河多沙粗沙国家级水土流失重点治理区。</w:t>
      </w:r>
    </w:p>
    <w:p>
      <w:pPr>
        <w:tabs>
          <w:tab w:val="left" w:pos="6840"/>
        </w:tabs>
        <w:topLinePunct/>
        <w:adjustRightInd w:val="0"/>
        <w:spacing w:line="440" w:lineRule="exact"/>
        <w:jc w:val="center"/>
        <w:rPr>
          <w:rFonts w:ascii="Times New Roman" w:hAnsi="Times New Roman"/>
          <w:b/>
          <w:bCs/>
          <w:kern w:val="24"/>
          <w:szCs w:val="28"/>
        </w:rPr>
      </w:pPr>
      <w:r>
        <w:rPr>
          <w:rFonts w:ascii="Times New Roman" w:hAnsi="Times New Roman"/>
          <w:b/>
          <w:bCs/>
          <w:kern w:val="24"/>
          <w:szCs w:val="28"/>
        </w:rPr>
        <w:t>风力侵蚀强度分级指标</w:t>
      </w:r>
    </w:p>
    <w:p>
      <w:pPr>
        <w:widowControl/>
        <w:adjustRightInd w:val="0"/>
        <w:spacing w:line="440" w:lineRule="exact"/>
        <w:outlineLvl w:val="4"/>
        <w:rPr>
          <w:rFonts w:ascii="Times New Roman" w:hAnsi="Times New Roman"/>
          <w:kern w:val="0"/>
          <w:szCs w:val="32"/>
        </w:rPr>
      </w:pPr>
      <w:r>
        <w:rPr>
          <w:rFonts w:ascii="Times New Roman" w:hAnsi="Times New Roman"/>
          <w:kern w:val="0"/>
          <w:szCs w:val="32"/>
        </w:rPr>
        <w:t>表3.5-23</w:t>
      </w:r>
    </w:p>
    <w:tbl>
      <w:tblPr>
        <w:tblStyle w:val="59"/>
        <w:tblW w:w="91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5"/>
        <w:gridCol w:w="2838"/>
        <w:gridCol w:w="1824"/>
        <w:gridCol w:w="1396"/>
        <w:gridCol w:w="1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8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级别</w:t>
            </w:r>
          </w:p>
        </w:tc>
        <w:tc>
          <w:tcPr>
            <w:tcW w:w="283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床面形态（地表形态）</w:t>
            </w:r>
          </w:p>
        </w:tc>
        <w:tc>
          <w:tcPr>
            <w:tcW w:w="182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植被覆盖度（%）（非流沙面积）</w:t>
            </w:r>
          </w:p>
        </w:tc>
        <w:tc>
          <w:tcPr>
            <w:tcW w:w="1396"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风蚀厚度（mm/a）</w:t>
            </w:r>
          </w:p>
        </w:tc>
        <w:tc>
          <w:tcPr>
            <w:tcW w:w="188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侵蚀模数[t/(km</w:t>
            </w:r>
            <w:r>
              <w:rPr>
                <w:rFonts w:ascii="Times New Roman" w:hAnsi="Times New Roman"/>
                <w:sz w:val="21"/>
                <w:szCs w:val="21"/>
                <w:vertAlign w:val="superscript"/>
              </w:rPr>
              <w:t>2</w:t>
            </w:r>
            <w:r>
              <w:rPr>
                <w:rFonts w:ascii="Times New Roman" w:hAnsi="Times New Roman"/>
                <w:sz w:val="21"/>
                <w:szCs w:val="21"/>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8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微度侵蚀</w:t>
            </w:r>
          </w:p>
        </w:tc>
        <w:tc>
          <w:tcPr>
            <w:tcW w:w="283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固定沙丘，沙地和滩地</w:t>
            </w:r>
          </w:p>
        </w:tc>
        <w:tc>
          <w:tcPr>
            <w:tcW w:w="182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＞70</w:t>
            </w:r>
          </w:p>
        </w:tc>
        <w:tc>
          <w:tcPr>
            <w:tcW w:w="1396"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w:t>
            </w:r>
          </w:p>
        </w:tc>
        <w:tc>
          <w:tcPr>
            <w:tcW w:w="188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8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轻度侵蚀</w:t>
            </w:r>
          </w:p>
        </w:tc>
        <w:tc>
          <w:tcPr>
            <w:tcW w:w="283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固定沙丘，半固定沙丘，沙地</w:t>
            </w:r>
          </w:p>
        </w:tc>
        <w:tc>
          <w:tcPr>
            <w:tcW w:w="182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70-50</w:t>
            </w:r>
          </w:p>
        </w:tc>
        <w:tc>
          <w:tcPr>
            <w:tcW w:w="1396"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2-10</w:t>
            </w:r>
          </w:p>
        </w:tc>
        <w:tc>
          <w:tcPr>
            <w:tcW w:w="188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200-2500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8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中度侵蚀</w:t>
            </w:r>
          </w:p>
        </w:tc>
        <w:tc>
          <w:tcPr>
            <w:tcW w:w="283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半固定沙丘，沙地</w:t>
            </w:r>
          </w:p>
        </w:tc>
        <w:tc>
          <w:tcPr>
            <w:tcW w:w="182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50-30</w:t>
            </w:r>
          </w:p>
        </w:tc>
        <w:tc>
          <w:tcPr>
            <w:tcW w:w="1396"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10-25</w:t>
            </w:r>
          </w:p>
        </w:tc>
        <w:tc>
          <w:tcPr>
            <w:tcW w:w="188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2500-5000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8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强烈侵蚀</w:t>
            </w:r>
          </w:p>
        </w:tc>
        <w:tc>
          <w:tcPr>
            <w:tcW w:w="283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半固定沙丘，流动沙丘，沙地</w:t>
            </w:r>
          </w:p>
        </w:tc>
        <w:tc>
          <w:tcPr>
            <w:tcW w:w="182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30-10</w:t>
            </w:r>
          </w:p>
        </w:tc>
        <w:tc>
          <w:tcPr>
            <w:tcW w:w="1396"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25-50</w:t>
            </w:r>
          </w:p>
        </w:tc>
        <w:tc>
          <w:tcPr>
            <w:tcW w:w="188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5000-8000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8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极强烈侵蚀</w:t>
            </w:r>
          </w:p>
        </w:tc>
        <w:tc>
          <w:tcPr>
            <w:tcW w:w="283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流动沙丘，沙地</w:t>
            </w:r>
          </w:p>
        </w:tc>
        <w:tc>
          <w:tcPr>
            <w:tcW w:w="182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w:t>
            </w:r>
          </w:p>
        </w:tc>
        <w:tc>
          <w:tcPr>
            <w:tcW w:w="1396"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20-100</w:t>
            </w:r>
          </w:p>
        </w:tc>
        <w:tc>
          <w:tcPr>
            <w:tcW w:w="188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8000-15000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8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剧烈侵蚀</w:t>
            </w:r>
          </w:p>
        </w:tc>
        <w:tc>
          <w:tcPr>
            <w:tcW w:w="283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大片流动沙丘</w:t>
            </w:r>
          </w:p>
        </w:tc>
        <w:tc>
          <w:tcPr>
            <w:tcW w:w="182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w:t>
            </w:r>
          </w:p>
        </w:tc>
        <w:tc>
          <w:tcPr>
            <w:tcW w:w="1396"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88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＞15000</w:t>
            </w:r>
          </w:p>
        </w:tc>
      </w:tr>
    </w:tbl>
    <w:p>
      <w:pPr>
        <w:tabs>
          <w:tab w:val="left" w:pos="6840"/>
        </w:tabs>
        <w:topLinePunct/>
        <w:adjustRightInd w:val="0"/>
        <w:spacing w:line="440" w:lineRule="exact"/>
        <w:jc w:val="center"/>
        <w:rPr>
          <w:rFonts w:ascii="Times New Roman" w:hAnsi="Times New Roman"/>
          <w:b/>
          <w:bCs/>
          <w:kern w:val="24"/>
          <w:szCs w:val="28"/>
        </w:rPr>
      </w:pPr>
    </w:p>
    <w:p>
      <w:pPr>
        <w:tabs>
          <w:tab w:val="left" w:pos="6840"/>
        </w:tabs>
        <w:topLinePunct/>
        <w:adjustRightInd w:val="0"/>
        <w:spacing w:line="440" w:lineRule="exact"/>
        <w:jc w:val="center"/>
        <w:rPr>
          <w:rFonts w:ascii="Times New Roman" w:hAnsi="Times New Roman"/>
          <w:b/>
          <w:bCs/>
          <w:kern w:val="24"/>
          <w:szCs w:val="28"/>
        </w:rPr>
      </w:pPr>
    </w:p>
    <w:p>
      <w:pPr>
        <w:tabs>
          <w:tab w:val="left" w:pos="6840"/>
        </w:tabs>
        <w:topLinePunct/>
        <w:adjustRightInd w:val="0"/>
        <w:spacing w:line="440" w:lineRule="exact"/>
        <w:jc w:val="center"/>
        <w:rPr>
          <w:rFonts w:ascii="Times New Roman" w:hAnsi="Times New Roman"/>
          <w:b/>
          <w:bCs/>
          <w:kern w:val="24"/>
          <w:szCs w:val="28"/>
        </w:rPr>
      </w:pPr>
    </w:p>
    <w:p>
      <w:pPr>
        <w:tabs>
          <w:tab w:val="left" w:pos="6840"/>
        </w:tabs>
        <w:topLinePunct/>
        <w:adjustRightInd w:val="0"/>
        <w:spacing w:line="440" w:lineRule="exact"/>
        <w:jc w:val="center"/>
        <w:rPr>
          <w:rFonts w:ascii="Times New Roman" w:hAnsi="Times New Roman"/>
          <w:b/>
          <w:bCs/>
          <w:kern w:val="24"/>
          <w:szCs w:val="28"/>
        </w:rPr>
      </w:pPr>
    </w:p>
    <w:p>
      <w:pPr>
        <w:tabs>
          <w:tab w:val="left" w:pos="6840"/>
        </w:tabs>
        <w:topLinePunct/>
        <w:adjustRightInd w:val="0"/>
        <w:spacing w:line="440" w:lineRule="exact"/>
        <w:jc w:val="center"/>
        <w:rPr>
          <w:rFonts w:ascii="Times New Roman" w:hAnsi="Times New Roman"/>
          <w:b/>
          <w:bCs/>
          <w:kern w:val="24"/>
          <w:szCs w:val="28"/>
        </w:rPr>
      </w:pPr>
    </w:p>
    <w:p>
      <w:pPr>
        <w:tabs>
          <w:tab w:val="left" w:pos="6840"/>
        </w:tabs>
        <w:topLinePunct/>
        <w:adjustRightInd w:val="0"/>
        <w:spacing w:line="440" w:lineRule="exact"/>
        <w:jc w:val="center"/>
        <w:rPr>
          <w:rFonts w:ascii="Times New Roman" w:hAnsi="Times New Roman"/>
          <w:b/>
          <w:bCs/>
          <w:kern w:val="24"/>
          <w:szCs w:val="28"/>
        </w:rPr>
      </w:pPr>
      <w:r>
        <w:rPr>
          <w:rFonts w:ascii="Times New Roman" w:hAnsi="Times New Roman"/>
          <w:b/>
          <w:bCs/>
          <w:kern w:val="24"/>
          <w:szCs w:val="28"/>
        </w:rPr>
        <w:t>水力侵蚀强度分级指标</w:t>
      </w:r>
    </w:p>
    <w:p>
      <w:pPr>
        <w:widowControl/>
        <w:adjustRightInd w:val="0"/>
        <w:spacing w:line="440" w:lineRule="exact"/>
        <w:outlineLvl w:val="4"/>
        <w:rPr>
          <w:rFonts w:ascii="Times New Roman" w:hAnsi="Times New Roman"/>
          <w:kern w:val="0"/>
          <w:szCs w:val="32"/>
        </w:rPr>
      </w:pPr>
      <w:r>
        <w:rPr>
          <w:rFonts w:ascii="Times New Roman" w:hAnsi="Times New Roman"/>
          <w:kern w:val="0"/>
          <w:szCs w:val="32"/>
        </w:rPr>
        <w:t>表3.5-24</w:t>
      </w:r>
    </w:p>
    <w:tbl>
      <w:tblPr>
        <w:tblStyle w:val="59"/>
        <w:tblW w:w="92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5"/>
        <w:gridCol w:w="3392"/>
        <w:gridCol w:w="37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145" w:type="dxa"/>
            <w:vAlign w:val="center"/>
          </w:tcPr>
          <w:p>
            <w:pPr>
              <w:jc w:val="center"/>
              <w:rPr>
                <w:rFonts w:ascii="Times New Roman" w:hAnsi="Times New Roman"/>
                <w:sz w:val="21"/>
                <w:szCs w:val="21"/>
              </w:rPr>
            </w:pPr>
            <w:r>
              <w:rPr>
                <w:rFonts w:ascii="Times New Roman" w:hAnsi="Times New Roman"/>
                <w:sz w:val="21"/>
                <w:szCs w:val="21"/>
              </w:rPr>
              <w:t>侵蚀等级</w:t>
            </w:r>
          </w:p>
        </w:tc>
        <w:tc>
          <w:tcPr>
            <w:tcW w:w="3392" w:type="dxa"/>
            <w:vAlign w:val="center"/>
          </w:tcPr>
          <w:p>
            <w:pPr>
              <w:jc w:val="center"/>
              <w:rPr>
                <w:rFonts w:ascii="Times New Roman" w:hAnsi="Times New Roman"/>
                <w:sz w:val="21"/>
                <w:szCs w:val="21"/>
              </w:rPr>
            </w:pPr>
            <w:r>
              <w:rPr>
                <w:rFonts w:ascii="Times New Roman" w:hAnsi="Times New Roman"/>
                <w:sz w:val="21"/>
                <w:szCs w:val="21"/>
              </w:rPr>
              <w:t>侵蚀模数[t/(km</w:t>
            </w:r>
            <w:r>
              <w:rPr>
                <w:rFonts w:ascii="Times New Roman" w:hAnsi="Times New Roman"/>
                <w:sz w:val="21"/>
                <w:szCs w:val="21"/>
                <w:vertAlign w:val="superscript"/>
              </w:rPr>
              <w:t>2</w:t>
            </w:r>
            <w:r>
              <w:rPr>
                <w:rFonts w:ascii="Times New Roman" w:hAnsi="Times New Roman"/>
                <w:sz w:val="21"/>
                <w:szCs w:val="21"/>
              </w:rPr>
              <w:t>·a)]</w:t>
            </w:r>
          </w:p>
        </w:tc>
        <w:tc>
          <w:tcPr>
            <w:tcW w:w="3748" w:type="dxa"/>
            <w:vAlign w:val="center"/>
          </w:tcPr>
          <w:p>
            <w:pPr>
              <w:jc w:val="center"/>
              <w:rPr>
                <w:rFonts w:ascii="Times New Roman" w:hAnsi="Times New Roman"/>
                <w:sz w:val="21"/>
                <w:szCs w:val="21"/>
              </w:rPr>
            </w:pPr>
            <w:r>
              <w:rPr>
                <w:rFonts w:ascii="Times New Roman" w:hAnsi="Times New Roman"/>
                <w:sz w:val="21"/>
                <w:szCs w:val="21"/>
              </w:rPr>
              <w:t>侵蚀深度(mm/a)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40" w:hRule="atLeast"/>
          <w:jc w:val="center"/>
        </w:trPr>
        <w:tc>
          <w:tcPr>
            <w:tcW w:w="2145" w:type="dxa"/>
            <w:vAlign w:val="center"/>
          </w:tcPr>
          <w:p>
            <w:pPr>
              <w:jc w:val="center"/>
              <w:rPr>
                <w:rFonts w:ascii="Times New Roman" w:hAnsi="Times New Roman"/>
                <w:sz w:val="21"/>
                <w:szCs w:val="21"/>
              </w:rPr>
            </w:pPr>
            <w:r>
              <w:rPr>
                <w:rFonts w:ascii="Times New Roman" w:hAnsi="Times New Roman"/>
                <w:sz w:val="21"/>
                <w:szCs w:val="21"/>
              </w:rPr>
              <w:t>微度侵蚀</w:t>
            </w:r>
          </w:p>
        </w:tc>
        <w:tc>
          <w:tcPr>
            <w:tcW w:w="3392" w:type="dxa"/>
            <w:vAlign w:val="center"/>
          </w:tcPr>
          <w:p>
            <w:pPr>
              <w:jc w:val="center"/>
              <w:rPr>
                <w:rFonts w:ascii="Times New Roman" w:hAnsi="Times New Roman"/>
                <w:sz w:val="21"/>
                <w:szCs w:val="21"/>
              </w:rPr>
            </w:pPr>
            <w:r>
              <w:rPr>
                <w:rFonts w:ascii="Times New Roman" w:hAnsi="Times New Roman"/>
                <w:sz w:val="21"/>
                <w:szCs w:val="21"/>
              </w:rPr>
              <w:t>&lt;200,&lt;500,&lt;1000</w:t>
            </w:r>
          </w:p>
        </w:tc>
        <w:tc>
          <w:tcPr>
            <w:tcW w:w="3748" w:type="dxa"/>
            <w:vAlign w:val="center"/>
          </w:tcPr>
          <w:p>
            <w:pPr>
              <w:jc w:val="center"/>
              <w:rPr>
                <w:rFonts w:ascii="Times New Roman" w:hAnsi="Times New Roman"/>
                <w:sz w:val="21"/>
                <w:szCs w:val="21"/>
              </w:rPr>
            </w:pPr>
            <w:r>
              <w:rPr>
                <w:rFonts w:ascii="Times New Roman" w:hAnsi="Times New Roman"/>
                <w:sz w:val="21"/>
                <w:szCs w:val="21"/>
              </w:rPr>
              <w:t>&lt;0.15, &lt;0.37, &lt;0.74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145" w:type="dxa"/>
            <w:vAlign w:val="center"/>
          </w:tcPr>
          <w:p>
            <w:pPr>
              <w:jc w:val="center"/>
              <w:rPr>
                <w:rFonts w:ascii="Times New Roman" w:hAnsi="Times New Roman"/>
                <w:sz w:val="21"/>
                <w:szCs w:val="21"/>
              </w:rPr>
            </w:pPr>
            <w:r>
              <w:rPr>
                <w:rFonts w:ascii="Times New Roman" w:hAnsi="Times New Roman"/>
                <w:sz w:val="21"/>
                <w:szCs w:val="21"/>
              </w:rPr>
              <w:t>轻度侵蚀</w:t>
            </w:r>
          </w:p>
        </w:tc>
        <w:tc>
          <w:tcPr>
            <w:tcW w:w="3392" w:type="dxa"/>
            <w:vAlign w:val="center"/>
          </w:tcPr>
          <w:p>
            <w:pPr>
              <w:jc w:val="center"/>
              <w:rPr>
                <w:rFonts w:ascii="Times New Roman" w:hAnsi="Times New Roman"/>
                <w:sz w:val="21"/>
                <w:szCs w:val="21"/>
              </w:rPr>
            </w:pPr>
            <w:r>
              <w:rPr>
                <w:rFonts w:ascii="Times New Roman" w:hAnsi="Times New Roman"/>
                <w:sz w:val="21"/>
                <w:szCs w:val="21"/>
              </w:rPr>
              <w:t>200,500,1000-2500</w:t>
            </w:r>
          </w:p>
        </w:tc>
        <w:tc>
          <w:tcPr>
            <w:tcW w:w="3748" w:type="dxa"/>
            <w:vAlign w:val="center"/>
          </w:tcPr>
          <w:p>
            <w:pPr>
              <w:jc w:val="center"/>
              <w:rPr>
                <w:rFonts w:ascii="Times New Roman" w:hAnsi="Times New Roman"/>
                <w:sz w:val="21"/>
                <w:szCs w:val="21"/>
              </w:rPr>
            </w:pPr>
            <w:r>
              <w:rPr>
                <w:rFonts w:ascii="Times New Roman" w:hAnsi="Times New Roman"/>
                <w:sz w:val="21"/>
                <w:szCs w:val="21"/>
              </w:rPr>
              <w:t>0.15,0.37,0.74-1.9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40" w:hRule="atLeast"/>
          <w:jc w:val="center"/>
        </w:trPr>
        <w:tc>
          <w:tcPr>
            <w:tcW w:w="2145" w:type="dxa"/>
            <w:vAlign w:val="center"/>
          </w:tcPr>
          <w:p>
            <w:pPr>
              <w:jc w:val="center"/>
              <w:rPr>
                <w:rFonts w:ascii="Times New Roman" w:hAnsi="Times New Roman"/>
                <w:sz w:val="21"/>
                <w:szCs w:val="21"/>
              </w:rPr>
            </w:pPr>
            <w:r>
              <w:rPr>
                <w:rFonts w:ascii="Times New Roman" w:hAnsi="Times New Roman"/>
                <w:sz w:val="21"/>
                <w:szCs w:val="21"/>
              </w:rPr>
              <w:t>中度侵蚀</w:t>
            </w:r>
          </w:p>
        </w:tc>
        <w:tc>
          <w:tcPr>
            <w:tcW w:w="3392" w:type="dxa"/>
            <w:vAlign w:val="center"/>
          </w:tcPr>
          <w:p>
            <w:pPr>
              <w:jc w:val="center"/>
              <w:rPr>
                <w:rFonts w:ascii="Times New Roman" w:hAnsi="Times New Roman"/>
                <w:sz w:val="21"/>
                <w:szCs w:val="21"/>
              </w:rPr>
            </w:pPr>
            <w:r>
              <w:rPr>
                <w:rFonts w:ascii="Times New Roman" w:hAnsi="Times New Roman"/>
                <w:sz w:val="21"/>
                <w:szCs w:val="21"/>
              </w:rPr>
              <w:t>2500-5000</w:t>
            </w:r>
          </w:p>
        </w:tc>
        <w:tc>
          <w:tcPr>
            <w:tcW w:w="3748" w:type="dxa"/>
            <w:vAlign w:val="center"/>
          </w:tcPr>
          <w:p>
            <w:pPr>
              <w:jc w:val="center"/>
              <w:rPr>
                <w:rFonts w:ascii="Times New Roman" w:hAnsi="Times New Roman"/>
                <w:sz w:val="21"/>
                <w:szCs w:val="21"/>
              </w:rPr>
            </w:pPr>
            <w:r>
              <w:rPr>
                <w:rFonts w:ascii="Times New Roman" w:hAnsi="Times New Roman"/>
                <w:sz w:val="21"/>
                <w:szCs w:val="21"/>
              </w:rPr>
              <w:t>1.9-3.7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145" w:type="dxa"/>
            <w:vAlign w:val="center"/>
          </w:tcPr>
          <w:p>
            <w:pPr>
              <w:jc w:val="center"/>
              <w:rPr>
                <w:rFonts w:ascii="Times New Roman" w:hAnsi="Times New Roman"/>
                <w:sz w:val="21"/>
                <w:szCs w:val="21"/>
              </w:rPr>
            </w:pPr>
            <w:r>
              <w:rPr>
                <w:rFonts w:ascii="Times New Roman" w:hAnsi="Times New Roman"/>
                <w:sz w:val="21"/>
                <w:szCs w:val="21"/>
              </w:rPr>
              <w:t>强烈侵蚀</w:t>
            </w:r>
          </w:p>
        </w:tc>
        <w:tc>
          <w:tcPr>
            <w:tcW w:w="3392" w:type="dxa"/>
            <w:vAlign w:val="center"/>
          </w:tcPr>
          <w:p>
            <w:pPr>
              <w:jc w:val="center"/>
              <w:rPr>
                <w:rFonts w:ascii="Times New Roman" w:hAnsi="Times New Roman"/>
                <w:sz w:val="21"/>
                <w:szCs w:val="21"/>
              </w:rPr>
            </w:pPr>
            <w:r>
              <w:rPr>
                <w:rFonts w:ascii="Times New Roman" w:hAnsi="Times New Roman"/>
                <w:sz w:val="21"/>
                <w:szCs w:val="21"/>
              </w:rPr>
              <w:t>5000-8000</w:t>
            </w:r>
          </w:p>
        </w:tc>
        <w:tc>
          <w:tcPr>
            <w:tcW w:w="3748" w:type="dxa"/>
            <w:vAlign w:val="center"/>
          </w:tcPr>
          <w:p>
            <w:pPr>
              <w:jc w:val="center"/>
              <w:rPr>
                <w:rFonts w:ascii="Times New Roman" w:hAnsi="Times New Roman"/>
                <w:sz w:val="21"/>
                <w:szCs w:val="21"/>
              </w:rPr>
            </w:pPr>
            <w:r>
              <w:rPr>
                <w:rFonts w:ascii="Times New Roman" w:hAnsi="Times New Roman"/>
                <w:sz w:val="21"/>
                <w:szCs w:val="21"/>
              </w:rPr>
              <w:t>3.7-5.9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145" w:type="dxa"/>
            <w:vAlign w:val="center"/>
          </w:tcPr>
          <w:p>
            <w:pPr>
              <w:jc w:val="center"/>
              <w:rPr>
                <w:rFonts w:ascii="Times New Roman" w:hAnsi="Times New Roman"/>
                <w:sz w:val="21"/>
                <w:szCs w:val="21"/>
              </w:rPr>
            </w:pPr>
            <w:r>
              <w:rPr>
                <w:rFonts w:ascii="Times New Roman" w:hAnsi="Times New Roman"/>
                <w:sz w:val="21"/>
                <w:szCs w:val="21"/>
              </w:rPr>
              <w:t>极强烈侵蚀</w:t>
            </w:r>
          </w:p>
        </w:tc>
        <w:tc>
          <w:tcPr>
            <w:tcW w:w="3392" w:type="dxa"/>
            <w:vAlign w:val="center"/>
          </w:tcPr>
          <w:p>
            <w:pPr>
              <w:jc w:val="center"/>
              <w:rPr>
                <w:rFonts w:ascii="Times New Roman" w:hAnsi="Times New Roman"/>
                <w:sz w:val="21"/>
                <w:szCs w:val="21"/>
              </w:rPr>
            </w:pPr>
            <w:r>
              <w:rPr>
                <w:rFonts w:ascii="Times New Roman" w:hAnsi="Times New Roman"/>
                <w:sz w:val="21"/>
                <w:szCs w:val="21"/>
              </w:rPr>
              <w:t>8000-15000</w:t>
            </w:r>
          </w:p>
        </w:tc>
        <w:tc>
          <w:tcPr>
            <w:tcW w:w="3748" w:type="dxa"/>
            <w:vAlign w:val="center"/>
          </w:tcPr>
          <w:p>
            <w:pPr>
              <w:jc w:val="center"/>
              <w:rPr>
                <w:rFonts w:ascii="Times New Roman" w:hAnsi="Times New Roman"/>
                <w:sz w:val="21"/>
                <w:szCs w:val="21"/>
              </w:rPr>
            </w:pPr>
            <w:r>
              <w:rPr>
                <w:rFonts w:ascii="Times New Roman" w:hAnsi="Times New Roman"/>
                <w:sz w:val="21"/>
                <w:szCs w:val="21"/>
              </w:rPr>
              <w:t>5.9-11.1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2145" w:type="dxa"/>
            <w:vAlign w:val="center"/>
          </w:tcPr>
          <w:p>
            <w:pPr>
              <w:jc w:val="center"/>
              <w:rPr>
                <w:rFonts w:ascii="Times New Roman" w:hAnsi="Times New Roman"/>
                <w:sz w:val="21"/>
                <w:szCs w:val="21"/>
              </w:rPr>
            </w:pPr>
            <w:r>
              <w:rPr>
                <w:rFonts w:ascii="Times New Roman" w:hAnsi="Times New Roman"/>
                <w:sz w:val="21"/>
                <w:szCs w:val="21"/>
              </w:rPr>
              <w:t>剧烈侵蚀</w:t>
            </w:r>
          </w:p>
        </w:tc>
        <w:tc>
          <w:tcPr>
            <w:tcW w:w="3392" w:type="dxa"/>
            <w:vAlign w:val="center"/>
          </w:tcPr>
          <w:p>
            <w:pPr>
              <w:jc w:val="center"/>
              <w:rPr>
                <w:rFonts w:ascii="Times New Roman" w:hAnsi="Times New Roman"/>
                <w:sz w:val="21"/>
                <w:szCs w:val="21"/>
              </w:rPr>
            </w:pPr>
            <w:r>
              <w:rPr>
                <w:rFonts w:ascii="Times New Roman" w:hAnsi="Times New Roman"/>
                <w:sz w:val="21"/>
                <w:szCs w:val="21"/>
              </w:rPr>
              <w:t>&gt;15000</w:t>
            </w:r>
          </w:p>
        </w:tc>
        <w:tc>
          <w:tcPr>
            <w:tcW w:w="3748" w:type="dxa"/>
            <w:vAlign w:val="center"/>
          </w:tcPr>
          <w:p>
            <w:pPr>
              <w:jc w:val="center"/>
              <w:rPr>
                <w:rFonts w:ascii="Times New Roman" w:hAnsi="Times New Roman"/>
                <w:sz w:val="21"/>
                <w:szCs w:val="21"/>
              </w:rPr>
            </w:pPr>
            <w:r>
              <w:rPr>
                <w:rFonts w:ascii="Times New Roman" w:hAnsi="Times New Roman"/>
                <w:sz w:val="21"/>
                <w:szCs w:val="21"/>
              </w:rPr>
              <w:t>&gt;11.1</w:t>
            </w:r>
          </w:p>
        </w:tc>
      </w:tr>
    </w:tbl>
    <w:p>
      <w:pPr>
        <w:adjustRightInd w:val="0"/>
        <w:snapToGrid w:val="0"/>
        <w:spacing w:line="440" w:lineRule="exact"/>
        <w:ind w:firstLine="540" w:firstLineChars="225"/>
        <w:rPr>
          <w:rFonts w:ascii="Times New Roman" w:hAnsi="Times New Roman"/>
          <w:szCs w:val="24"/>
        </w:rPr>
      </w:pPr>
      <w:r>
        <w:rPr>
          <w:rFonts w:ascii="Times New Roman" w:hAnsi="Times New Roman"/>
          <w:szCs w:val="24"/>
        </w:rPr>
        <w:t>通过3S技术和实地调查，结合地貌类型、地表植被及土壤类型因素，划分出土壤侵蚀分布图，见图3.5-6。评价区及矿区内各侵蚀类型面积统计见表3.5-25。</w:t>
      </w:r>
    </w:p>
    <w:p>
      <w:pPr>
        <w:tabs>
          <w:tab w:val="left" w:pos="6840"/>
        </w:tabs>
        <w:topLinePunct/>
        <w:adjustRightInd w:val="0"/>
        <w:snapToGrid w:val="0"/>
        <w:spacing w:line="440" w:lineRule="exact"/>
        <w:jc w:val="center"/>
        <w:rPr>
          <w:rFonts w:ascii="Times New Roman" w:hAnsi="Times New Roman"/>
          <w:b/>
          <w:bCs/>
          <w:kern w:val="24"/>
          <w:szCs w:val="28"/>
        </w:rPr>
      </w:pPr>
      <w:r>
        <w:rPr>
          <w:rFonts w:ascii="Times New Roman" w:hAnsi="Times New Roman"/>
          <w:b/>
          <w:bCs/>
          <w:kern w:val="24"/>
          <w:szCs w:val="28"/>
        </w:rPr>
        <w:t>评价区及矿区土壤侵蚀强度分级面积统计表</w:t>
      </w:r>
    </w:p>
    <w:p>
      <w:pPr>
        <w:widowControl/>
        <w:adjustRightInd w:val="0"/>
        <w:snapToGrid w:val="0"/>
        <w:spacing w:line="440" w:lineRule="exact"/>
        <w:outlineLvl w:val="4"/>
        <w:rPr>
          <w:rFonts w:ascii="Times New Roman" w:hAnsi="Times New Roman"/>
          <w:kern w:val="0"/>
          <w:szCs w:val="24"/>
        </w:rPr>
      </w:pPr>
      <w:r>
        <w:rPr>
          <w:rFonts w:ascii="Times New Roman" w:hAnsi="Times New Roman"/>
          <w:kern w:val="0"/>
          <w:szCs w:val="24"/>
        </w:rPr>
        <w:t>表3.5-25</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679"/>
        <w:gridCol w:w="1681"/>
        <w:gridCol w:w="1679"/>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567" w:type="dxa"/>
            <w:vMerge w:val="restart"/>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土壤侵蚀分级</w:t>
            </w:r>
          </w:p>
        </w:tc>
        <w:tc>
          <w:tcPr>
            <w:tcW w:w="3360" w:type="dxa"/>
            <w:gridSpan w:val="2"/>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评价区</w:t>
            </w:r>
          </w:p>
        </w:tc>
        <w:tc>
          <w:tcPr>
            <w:tcW w:w="3360" w:type="dxa"/>
            <w:gridSpan w:val="2"/>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矿区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567" w:type="dxa"/>
            <w:vMerge w:val="continue"/>
            <w:shd w:val="clear" w:color="auto" w:fill="auto"/>
            <w:noWrap/>
            <w:vAlign w:val="center"/>
          </w:tcPr>
          <w:p>
            <w:pPr>
              <w:widowControl/>
              <w:jc w:val="center"/>
              <w:textAlignment w:val="center"/>
              <w:rPr>
                <w:rFonts w:ascii="Times New Roman" w:hAnsi="Times New Roman"/>
                <w:kern w:val="0"/>
                <w:sz w:val="21"/>
                <w:szCs w:val="21"/>
                <w:lang w:bidi="ar"/>
              </w:rPr>
            </w:pPr>
          </w:p>
        </w:tc>
        <w:tc>
          <w:tcPr>
            <w:tcW w:w="1679"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面积（km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比例（%</w:t>
            </w:r>
            <w:r>
              <w:rPr>
                <w:rFonts w:ascii="Times New Roman" w:hAnsi="Times New Roman"/>
                <w:kern w:val="0"/>
              </w:rPr>
              <w:t>）</w:t>
            </w:r>
          </w:p>
        </w:tc>
        <w:tc>
          <w:tcPr>
            <w:tcW w:w="1679"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面积（km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比例（%</w:t>
            </w:r>
            <w:r>
              <w:rPr>
                <w:rFonts w:ascii="Times New Roman" w:hAnsi="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567"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微度侵蚀</w:t>
            </w:r>
          </w:p>
        </w:tc>
        <w:tc>
          <w:tcPr>
            <w:tcW w:w="1679"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92.63</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8.81</w:t>
            </w:r>
          </w:p>
        </w:tc>
        <w:tc>
          <w:tcPr>
            <w:tcW w:w="1679"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66.45</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9.38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567"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轻度侵蚀</w:t>
            </w:r>
          </w:p>
        </w:tc>
        <w:tc>
          <w:tcPr>
            <w:tcW w:w="1679"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215.10</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20.47</w:t>
            </w:r>
          </w:p>
        </w:tc>
        <w:tc>
          <w:tcPr>
            <w:tcW w:w="1679"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142.68</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 xml:space="preserve">20.15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567"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中度侵蚀</w:t>
            </w:r>
          </w:p>
        </w:tc>
        <w:tc>
          <w:tcPr>
            <w:tcW w:w="1679"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717.58</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68.28</w:t>
            </w:r>
          </w:p>
        </w:tc>
        <w:tc>
          <w:tcPr>
            <w:tcW w:w="1679"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476.80</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67.33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567"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强烈侵蚀</w:t>
            </w:r>
          </w:p>
        </w:tc>
        <w:tc>
          <w:tcPr>
            <w:tcW w:w="1679"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 xml:space="preserve">25.58 </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 xml:space="preserve">2.43 </w:t>
            </w:r>
          </w:p>
        </w:tc>
        <w:tc>
          <w:tcPr>
            <w:tcW w:w="1679"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22.23</w:t>
            </w:r>
          </w:p>
        </w:tc>
        <w:tc>
          <w:tcPr>
            <w:tcW w:w="1681" w:type="dxa"/>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 xml:space="preserve">3.14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567"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合计</w:t>
            </w:r>
          </w:p>
        </w:tc>
        <w:tc>
          <w:tcPr>
            <w:tcW w:w="1679"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 xml:space="preserve">1050.90 </w:t>
            </w:r>
          </w:p>
        </w:tc>
        <w:tc>
          <w:tcPr>
            <w:tcW w:w="1681"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 xml:space="preserve">100.00 </w:t>
            </w:r>
          </w:p>
        </w:tc>
        <w:tc>
          <w:tcPr>
            <w:tcW w:w="1679"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708.16</w:t>
            </w:r>
          </w:p>
        </w:tc>
        <w:tc>
          <w:tcPr>
            <w:tcW w:w="1681"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 xml:space="preserve">100.00 </w:t>
            </w:r>
          </w:p>
        </w:tc>
      </w:tr>
    </w:tbl>
    <w:p>
      <w:pPr>
        <w:spacing w:line="440" w:lineRule="exact"/>
        <w:ind w:firstLine="480" w:firstLineChars="200"/>
        <w:rPr>
          <w:rFonts w:ascii="Times New Roman" w:hAnsi="Times New Roman"/>
        </w:rPr>
      </w:pPr>
    </w:p>
    <w:p>
      <w:pPr>
        <w:spacing w:line="440" w:lineRule="exact"/>
        <w:ind w:firstLine="480" w:firstLineChars="200"/>
        <w:rPr>
          <w:rFonts w:ascii="Times New Roman" w:hAnsi="Times New Roman"/>
          <w:bCs/>
        </w:rPr>
      </w:pPr>
      <w:r>
        <w:rPr>
          <w:rFonts w:ascii="Times New Roman" w:hAnsi="Times New Roman"/>
        </w:rPr>
        <w:t>从上表可以看出，评价区及</w:t>
      </w:r>
      <w:r>
        <w:rPr>
          <w:rFonts w:hint="eastAsia" w:ascii="Times New Roman" w:hAnsi="Times New Roman"/>
        </w:rPr>
        <w:t>矿区</w:t>
      </w:r>
      <w:r>
        <w:rPr>
          <w:rFonts w:ascii="Times New Roman" w:hAnsi="Times New Roman"/>
        </w:rPr>
        <w:t>内的土壤侵蚀强度均以中度侵蚀为主，分布占评价区及井田面积的68.28%和67.33%。土壤侵蚀的自然因素主要是地形、土壤、地质、植被和气候等。从地形看，评价区以地形复杂，沟谷纵横，但起伏不大，受毛乌素沙漠的影响，地面多被风积沙覆盖，为此区域的风蚀提供了物质基础，增加了区域水土流失强度；从气候因素分析，本区属半干旱的温带高原大陆性气候，区内风多雨少，平均风速13.4m/s，最大风速19m/s，为风蚀提供了气候条件。在今后的煤炭开采过程中，如果对水土保持工作不到位，很可能加剧区域水土流失强度，土壤侵蚀会加重，中度侵蚀区域可能恶化为强烈侵蚀区域。因此煤炭开采的同时尽量减少对地表植被和土层的扰动和破坏，严格控制活动范围，积极采取水土保持措施，使煤炭开采对水土流失的影响降到最低。</w:t>
      </w:r>
    </w:p>
    <w:p>
      <w:pPr>
        <w:pStyle w:val="5"/>
        <w:adjustRightInd w:val="0"/>
        <w:snapToGrid w:val="0"/>
        <w:spacing w:before="0" w:after="0" w:line="440" w:lineRule="exact"/>
        <w:rPr>
          <w:b w:val="0"/>
          <w:bCs/>
          <w:kern w:val="0"/>
          <w:szCs w:val="32"/>
        </w:rPr>
      </w:pPr>
      <w:r>
        <w:rPr>
          <w:bCs/>
          <w:kern w:val="0"/>
          <w:sz w:val="24"/>
          <w:szCs w:val="32"/>
        </w:rPr>
        <w:t>3.5.3 矿区生态环境现状评价</w:t>
      </w:r>
      <w:bookmarkEnd w:id="182"/>
    </w:p>
    <w:p>
      <w:pPr>
        <w:keepNext/>
        <w:keepLines/>
        <w:adjustRightInd w:val="0"/>
        <w:snapToGrid w:val="0"/>
        <w:spacing w:line="440" w:lineRule="exact"/>
        <w:outlineLvl w:val="3"/>
        <w:rPr>
          <w:rFonts w:ascii="Times New Roman" w:hAnsi="Times New Roman"/>
          <w:b/>
          <w:szCs w:val="21"/>
        </w:rPr>
      </w:pPr>
      <w:r>
        <w:rPr>
          <w:rFonts w:ascii="Times New Roman" w:hAnsi="Times New Roman"/>
          <w:b/>
          <w:szCs w:val="21"/>
        </w:rPr>
        <w:t>3.5.3.1 生态系统完整性评价</w:t>
      </w:r>
    </w:p>
    <w:p>
      <w:pPr>
        <w:spacing w:line="520" w:lineRule="exact"/>
        <w:ind w:left="480"/>
        <w:rPr>
          <w:rFonts w:ascii="Times New Roman" w:hAnsi="Times New Roman"/>
        </w:rPr>
      </w:pPr>
      <w:r>
        <w:rPr>
          <w:rFonts w:ascii="Times New Roman" w:hAnsi="Times New Roman"/>
        </w:rPr>
        <w:t>（1）生产力评价</w:t>
      </w:r>
    </w:p>
    <w:p>
      <w:pPr>
        <w:spacing w:line="440" w:lineRule="exact"/>
        <w:ind w:left="480"/>
        <w:rPr>
          <w:rFonts w:ascii="Times New Roman" w:hAnsi="Times New Roman"/>
          <w:szCs w:val="24"/>
        </w:rPr>
      </w:pPr>
      <w:r>
        <w:rPr>
          <w:rFonts w:ascii="Times New Roman" w:hAnsi="Times New Roman"/>
          <w:szCs w:val="24"/>
        </w:rPr>
        <w:t>1）生产力水平等级划分标准</w:t>
      </w:r>
    </w:p>
    <w:p>
      <w:pPr>
        <w:spacing w:line="440" w:lineRule="exact"/>
        <w:ind w:firstLine="480" w:firstLineChars="200"/>
        <w:rPr>
          <w:rFonts w:ascii="Times New Roman" w:hAnsi="Times New Roman"/>
          <w:szCs w:val="24"/>
        </w:rPr>
      </w:pPr>
      <w:r>
        <w:rPr>
          <w:rFonts w:ascii="Times New Roman" w:hAnsi="Times New Roman"/>
          <w:szCs w:val="24"/>
        </w:rPr>
        <w:t>为了充分了解评价区生产力水平，通过NPP估算模型计算出评价区生态系统净第一性生产力，按照奥德姆划分法，将地球上生态系统按照生产力的高低划分为4个等级，见表3.5-26，以此判别评价区内植被的生产力水平。</w:t>
      </w:r>
    </w:p>
    <w:p>
      <w:pPr>
        <w:spacing w:line="520" w:lineRule="exact"/>
        <w:jc w:val="center"/>
        <w:rPr>
          <w:rFonts w:ascii="Times New Roman" w:hAnsi="Times New Roman"/>
          <w:b/>
        </w:rPr>
      </w:pPr>
      <w:r>
        <w:rPr>
          <w:rFonts w:ascii="Times New Roman" w:hAnsi="Times New Roman"/>
          <w:b/>
        </w:rPr>
        <w:t>地球上生态系统生产力水平等级划分</w:t>
      </w:r>
    </w:p>
    <w:p>
      <w:pPr>
        <w:adjustRightInd w:val="0"/>
        <w:snapToGrid w:val="0"/>
        <w:spacing w:line="240" w:lineRule="atLeast"/>
        <w:outlineLvl w:val="4"/>
        <w:rPr>
          <w:rFonts w:ascii="Times New Roman" w:hAnsi="Times New Roman"/>
        </w:rPr>
      </w:pPr>
      <w:r>
        <w:rPr>
          <w:rFonts w:ascii="Times New Roman" w:hAnsi="Times New Roman"/>
        </w:rPr>
        <w:t>表3.5-26</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3841"/>
        <w:gridCol w:w="3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评价等级</w:t>
            </w:r>
          </w:p>
        </w:tc>
        <w:tc>
          <w:tcPr>
            <w:tcW w:w="3841"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生产力判断标准gC/(m</w:t>
            </w:r>
            <w:r>
              <w:rPr>
                <w:rFonts w:ascii="Times New Roman" w:hAnsi="Times New Roman"/>
                <w:kern w:val="0"/>
                <w:sz w:val="21"/>
                <w:szCs w:val="21"/>
                <w:vertAlign w:val="superscript"/>
              </w:rPr>
              <w:t>2</w:t>
            </w:r>
            <w:r>
              <w:rPr>
                <w:rFonts w:ascii="Times New Roman" w:hAnsi="Times New Roman"/>
                <w:kern w:val="0"/>
                <w:sz w:val="21"/>
                <w:szCs w:val="21"/>
              </w:rPr>
              <w:t>.a)</w:t>
            </w:r>
          </w:p>
        </w:tc>
        <w:tc>
          <w:tcPr>
            <w:tcW w:w="389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Times New Roman" w:hAnsi="Times New Roman"/>
                <w:sz w:val="21"/>
                <w:szCs w:val="21"/>
              </w:rPr>
            </w:pPr>
            <w:r>
              <w:rPr>
                <w:rFonts w:ascii="Times New Roman" w:hAnsi="Times New Roman"/>
                <w:sz w:val="21"/>
                <w:szCs w:val="21"/>
              </w:rPr>
              <w:t>生态类型举例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最低</w:t>
            </w:r>
          </w:p>
        </w:tc>
        <w:tc>
          <w:tcPr>
            <w:tcW w:w="384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Times New Roman" w:hAnsi="Times New Roman"/>
                <w:sz w:val="21"/>
                <w:szCs w:val="21"/>
              </w:rPr>
            </w:pPr>
            <w:r>
              <w:rPr>
                <w:rFonts w:ascii="Times New Roman" w:hAnsi="Times New Roman"/>
                <w:sz w:val="21"/>
                <w:szCs w:val="21"/>
              </w:rPr>
              <w:t>＜182.50</w:t>
            </w:r>
          </w:p>
        </w:tc>
        <w:tc>
          <w:tcPr>
            <w:tcW w:w="389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Times New Roman" w:hAnsi="Times New Roman"/>
                <w:sz w:val="21"/>
                <w:szCs w:val="21"/>
              </w:rPr>
            </w:pPr>
            <w:r>
              <w:rPr>
                <w:rFonts w:ascii="Times New Roman" w:hAnsi="Times New Roman"/>
                <w:sz w:val="21"/>
                <w:szCs w:val="21"/>
              </w:rPr>
              <w:t>荒漠和深海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较低</w:t>
            </w:r>
          </w:p>
        </w:tc>
        <w:tc>
          <w:tcPr>
            <w:tcW w:w="384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Times New Roman" w:hAnsi="Times New Roman"/>
                <w:sz w:val="21"/>
                <w:szCs w:val="21"/>
              </w:rPr>
            </w:pPr>
            <w:r>
              <w:rPr>
                <w:rFonts w:ascii="Times New Roman" w:hAnsi="Times New Roman"/>
                <w:sz w:val="21"/>
                <w:szCs w:val="21"/>
              </w:rPr>
              <w:t>182.50 ~ 1080</w:t>
            </w:r>
          </w:p>
        </w:tc>
        <w:tc>
          <w:tcPr>
            <w:tcW w:w="3891"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Times New Roman" w:hAnsi="Times New Roman"/>
                <w:sz w:val="21"/>
                <w:szCs w:val="21"/>
              </w:rPr>
            </w:pPr>
            <w:r>
              <w:rPr>
                <w:rFonts w:ascii="Times New Roman" w:hAnsi="Times New Roman"/>
                <w:sz w:val="21"/>
                <w:szCs w:val="21"/>
              </w:rPr>
              <w:t>山地森林、热带稀树草原、某些农耕地、半干旱草原、深湖和大陆架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较高</w:t>
            </w:r>
          </w:p>
        </w:tc>
        <w:tc>
          <w:tcPr>
            <w:tcW w:w="384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Times New Roman" w:hAnsi="Times New Roman"/>
                <w:sz w:val="21"/>
                <w:szCs w:val="21"/>
              </w:rPr>
            </w:pPr>
            <w:r>
              <w:rPr>
                <w:rFonts w:ascii="Times New Roman" w:hAnsi="Times New Roman"/>
                <w:sz w:val="21"/>
                <w:szCs w:val="21"/>
              </w:rPr>
              <w:t>1080 ~ 3600</w:t>
            </w:r>
          </w:p>
        </w:tc>
        <w:tc>
          <w:tcPr>
            <w:tcW w:w="389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Times New Roman" w:hAnsi="Times New Roman"/>
                <w:sz w:val="21"/>
                <w:szCs w:val="21"/>
              </w:rPr>
            </w:pPr>
            <w:r>
              <w:rPr>
                <w:rFonts w:ascii="Times New Roman" w:hAnsi="Times New Roman"/>
                <w:sz w:val="21"/>
                <w:szCs w:val="21"/>
              </w:rPr>
              <w:t>热带雨林、农耕地和浅湖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最高</w:t>
            </w:r>
          </w:p>
        </w:tc>
        <w:tc>
          <w:tcPr>
            <w:tcW w:w="384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Times New Roman" w:hAnsi="Times New Roman"/>
                <w:sz w:val="21"/>
                <w:szCs w:val="21"/>
              </w:rPr>
            </w:pPr>
            <w:r>
              <w:rPr>
                <w:rFonts w:ascii="Times New Roman" w:hAnsi="Times New Roman"/>
                <w:sz w:val="21"/>
                <w:szCs w:val="21"/>
              </w:rPr>
              <w:t>3600 ~ 7200</w:t>
            </w:r>
          </w:p>
        </w:tc>
        <w:tc>
          <w:tcPr>
            <w:tcW w:w="3891"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Times New Roman" w:hAnsi="Times New Roman"/>
                <w:sz w:val="21"/>
                <w:szCs w:val="21"/>
              </w:rPr>
            </w:pPr>
            <w:r>
              <w:rPr>
                <w:rFonts w:ascii="Times New Roman" w:hAnsi="Times New Roman"/>
                <w:sz w:val="21"/>
                <w:szCs w:val="21"/>
              </w:rPr>
              <w:t>少数特殊生态系统、如农业高产用、河漫滩、三角洲、珊瑚礁和红树林等</w:t>
            </w:r>
          </w:p>
        </w:tc>
      </w:tr>
    </w:tbl>
    <w:p>
      <w:pPr>
        <w:adjustRightInd w:val="0"/>
        <w:snapToGrid w:val="0"/>
        <w:spacing w:line="440" w:lineRule="exact"/>
        <w:ind w:left="480"/>
        <w:rPr>
          <w:rFonts w:ascii="Times New Roman" w:hAnsi="Times New Roman"/>
          <w:szCs w:val="24"/>
        </w:rPr>
      </w:pPr>
      <w:r>
        <w:rPr>
          <w:rFonts w:ascii="Times New Roman" w:hAnsi="Times New Roman"/>
          <w:szCs w:val="24"/>
        </w:rPr>
        <w:t>2）NPP模型</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根据NPP与植物吸收的光合有效辐射（APAR）和植物将所吸收的光合有效辐射转化为有机物的关系构建基于遥感卫星数据的NPP估算模型，本次评价采用CASA模型进行NPP估算。在模型中，NPP值由植物吸收的光合有效辐射（</w:t>
      </w:r>
      <w:r>
        <w:rPr>
          <w:rFonts w:ascii="Times New Roman" w:hAnsi="Times New Roman"/>
          <w:szCs w:val="24"/>
        </w:rPr>
        <w:drawing>
          <wp:inline distT="0" distB="0" distL="0" distR="0">
            <wp:extent cx="426085" cy="162560"/>
            <wp:effectExtent l="0" t="0" r="12065"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426085" cy="162560"/>
                    </a:xfrm>
                    <a:prstGeom prst="rect">
                      <a:avLst/>
                    </a:prstGeom>
                    <a:noFill/>
                    <a:ln>
                      <a:noFill/>
                    </a:ln>
                  </pic:spPr>
                </pic:pic>
              </a:graphicData>
            </a:graphic>
          </wp:inline>
        </w:drawing>
      </w:r>
      <w:r>
        <w:rPr>
          <w:rFonts w:ascii="Times New Roman" w:hAnsi="Times New Roman"/>
          <w:szCs w:val="24"/>
        </w:rPr>
        <w:t>）和光利用率（</w:t>
      </w:r>
      <w:r>
        <w:rPr>
          <w:rFonts w:ascii="Times New Roman" w:hAnsi="Times New Roman"/>
          <w:szCs w:val="24"/>
        </w:rPr>
        <w:drawing>
          <wp:inline distT="0" distB="0" distL="0" distR="0">
            <wp:extent cx="123190" cy="140335"/>
            <wp:effectExtent l="0" t="0" r="10160" b="133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）2个因子来表示，其估算公式如下：</w:t>
      </w:r>
    </w:p>
    <w:p>
      <w:pPr>
        <w:spacing w:before="120" w:beforeLines="50" w:line="440" w:lineRule="exact"/>
        <w:ind w:firstLine="480" w:firstLineChars="200"/>
        <w:jc w:val="center"/>
        <w:rPr>
          <w:rFonts w:ascii="Times New Roman" w:hAnsi="Times New Roman"/>
          <w:szCs w:val="24"/>
        </w:rPr>
      </w:pPr>
      <w:r>
        <w:rPr>
          <w:rFonts w:ascii="Times New Roman" w:hAnsi="Times New Roman"/>
          <w:szCs w:val="24"/>
        </w:rPr>
        <w:drawing>
          <wp:inline distT="0" distB="0" distL="0" distR="0">
            <wp:extent cx="2008505" cy="201930"/>
            <wp:effectExtent l="0" t="0" r="10795" b="635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2008505" cy="201930"/>
                    </a:xfrm>
                    <a:prstGeom prst="rect">
                      <a:avLst/>
                    </a:prstGeom>
                    <a:noFill/>
                    <a:ln>
                      <a:noFill/>
                    </a:ln>
                  </pic:spPr>
                </pic:pic>
              </a:graphicData>
            </a:graphic>
          </wp:inline>
        </w:drawing>
      </w:r>
    </w:p>
    <w:p>
      <w:pPr>
        <w:spacing w:line="440" w:lineRule="exact"/>
        <w:ind w:firstLine="480" w:firstLineChars="200"/>
        <w:rPr>
          <w:rFonts w:ascii="Times New Roman" w:hAnsi="Times New Roman"/>
          <w:szCs w:val="24"/>
        </w:rPr>
      </w:pPr>
      <w:r>
        <w:rPr>
          <w:rFonts w:ascii="Times New Roman" w:hAnsi="Times New Roman"/>
          <w:szCs w:val="24"/>
        </w:rPr>
        <w:t>式中，</w:t>
      </w:r>
      <w:r>
        <w:rPr>
          <w:rFonts w:ascii="Times New Roman" w:hAnsi="Times New Roman"/>
          <w:szCs w:val="24"/>
        </w:rPr>
        <w:drawing>
          <wp:inline distT="0" distB="0" distL="0" distR="0">
            <wp:extent cx="84455" cy="151765"/>
            <wp:effectExtent l="0" t="0" r="10795" b="635"/>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表示时间，</w:t>
      </w:r>
      <w:r>
        <w:rPr>
          <w:rFonts w:ascii="Times New Roman" w:hAnsi="Times New Roman"/>
          <w:szCs w:val="24"/>
        </w:rPr>
        <w:drawing>
          <wp:inline distT="0" distB="0" distL="0" distR="0">
            <wp:extent cx="123190" cy="140335"/>
            <wp:effectExtent l="0" t="0" r="10160" b="13970"/>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表示空间位置；</w:t>
      </w:r>
      <w:r>
        <w:rPr>
          <w:rFonts w:ascii="Times New Roman" w:hAnsi="Times New Roman"/>
          <w:szCs w:val="24"/>
        </w:rPr>
        <w:drawing>
          <wp:inline distT="0" distB="0" distL="0" distR="0">
            <wp:extent cx="409575" cy="151765"/>
            <wp:effectExtent l="0" t="0" r="0" b="635"/>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409575" cy="151765"/>
                    </a:xfrm>
                    <a:prstGeom prst="rect">
                      <a:avLst/>
                    </a:prstGeom>
                    <a:noFill/>
                    <a:ln>
                      <a:noFill/>
                    </a:ln>
                  </pic:spPr>
                </pic:pic>
              </a:graphicData>
            </a:graphic>
          </wp:inline>
        </w:drawing>
      </w:r>
      <w:r>
        <w:rPr>
          <w:rFonts w:ascii="Times New Roman" w:hAnsi="Times New Roman"/>
          <w:szCs w:val="24"/>
        </w:rPr>
        <w:t>（</w:t>
      </w:r>
      <w:r>
        <w:rPr>
          <w:rFonts w:ascii="Times New Roman" w:hAnsi="Times New Roman"/>
          <w:szCs w:val="24"/>
        </w:rPr>
        <w:drawing>
          <wp:inline distT="0" distB="0" distL="0" distR="0">
            <wp:extent cx="123190" cy="140335"/>
            <wp:effectExtent l="0" t="0" r="10160" b="13970"/>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45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w:t>
      </w:r>
      <w:r>
        <w:rPr>
          <w:rFonts w:ascii="Times New Roman" w:hAnsi="Times New Roman"/>
          <w:szCs w:val="24"/>
        </w:rPr>
        <w:drawing>
          <wp:inline distT="0" distB="0" distL="0" distR="0">
            <wp:extent cx="84455" cy="151765"/>
            <wp:effectExtent l="0" t="0" r="10795" b="635"/>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）表示像元</w:t>
      </w:r>
      <w:r>
        <w:rPr>
          <w:rFonts w:ascii="Times New Roman" w:hAnsi="Times New Roman"/>
          <w:szCs w:val="24"/>
        </w:rPr>
        <w:drawing>
          <wp:inline distT="0" distB="0" distL="0" distR="0">
            <wp:extent cx="123190" cy="140335"/>
            <wp:effectExtent l="0" t="0" r="10160" b="13970"/>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46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在</w:t>
      </w:r>
      <w:r>
        <w:rPr>
          <w:rFonts w:ascii="Times New Roman" w:hAnsi="Times New Roman"/>
          <w:szCs w:val="24"/>
        </w:rPr>
        <w:drawing>
          <wp:inline distT="0" distB="0" distL="0" distR="0">
            <wp:extent cx="84455" cy="151765"/>
            <wp:effectExtent l="0" t="0" r="10795" b="635"/>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月份吸收的光合有效辐射（MJ/m</w:t>
      </w:r>
      <w:r>
        <w:rPr>
          <w:rFonts w:ascii="Times New Roman" w:hAnsi="Times New Roman"/>
          <w:szCs w:val="24"/>
          <w:vertAlign w:val="superscript"/>
        </w:rPr>
        <w:t>2</w:t>
      </w:r>
      <w:r>
        <w:rPr>
          <w:rFonts w:ascii="Times New Roman" w:hAnsi="Times New Roman"/>
          <w:szCs w:val="24"/>
        </w:rPr>
        <w:t>/月）；</w:t>
      </w:r>
      <w:r>
        <w:rPr>
          <w:rFonts w:ascii="Times New Roman" w:hAnsi="Times New Roman"/>
          <w:szCs w:val="24"/>
        </w:rPr>
        <w:drawing>
          <wp:inline distT="0" distB="0" distL="0" distR="0">
            <wp:extent cx="123190" cy="140335"/>
            <wp:effectExtent l="0" t="0" r="10160" b="13335"/>
            <wp:docPr id="468"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w:t>
      </w:r>
      <w:r>
        <w:rPr>
          <w:rFonts w:ascii="Times New Roman" w:hAnsi="Times New Roman"/>
          <w:szCs w:val="24"/>
        </w:rPr>
        <w:drawing>
          <wp:inline distT="0" distB="0" distL="0" distR="0">
            <wp:extent cx="123190" cy="140335"/>
            <wp:effectExtent l="0" t="0" r="10160" b="13970"/>
            <wp:docPr id="469"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w:t>
      </w:r>
      <w:r>
        <w:rPr>
          <w:rFonts w:ascii="Times New Roman" w:hAnsi="Times New Roman"/>
          <w:szCs w:val="24"/>
        </w:rPr>
        <w:drawing>
          <wp:inline distT="0" distB="0" distL="0" distR="0">
            <wp:extent cx="84455" cy="151765"/>
            <wp:effectExtent l="0" t="0" r="10795" b="635"/>
            <wp:docPr id="470"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）表示像元</w:t>
      </w:r>
      <w:r>
        <w:rPr>
          <w:rFonts w:ascii="Times New Roman" w:hAnsi="Times New Roman"/>
          <w:szCs w:val="24"/>
        </w:rPr>
        <w:drawing>
          <wp:inline distT="0" distB="0" distL="0" distR="0">
            <wp:extent cx="123190" cy="140335"/>
            <wp:effectExtent l="0" t="0" r="10160" b="13970"/>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123190" cy="140335"/>
                    </a:xfrm>
                    <a:prstGeom prst="rect">
                      <a:avLst/>
                    </a:prstGeom>
                    <a:noFill/>
                    <a:ln>
                      <a:noFill/>
                    </a:ln>
                  </pic:spPr>
                </pic:pic>
              </a:graphicData>
            </a:graphic>
          </wp:inline>
        </w:drawing>
      </w:r>
      <w:r>
        <w:rPr>
          <w:rFonts w:ascii="Times New Roman" w:hAnsi="Times New Roman"/>
          <w:szCs w:val="24"/>
        </w:rPr>
        <w:t>在</w:t>
      </w:r>
      <w:r>
        <w:rPr>
          <w:rFonts w:ascii="Times New Roman" w:hAnsi="Times New Roman"/>
          <w:szCs w:val="24"/>
        </w:rPr>
        <w:drawing>
          <wp:inline distT="0" distB="0" distL="0" distR="0">
            <wp:extent cx="84455" cy="151765"/>
            <wp:effectExtent l="0" t="0" r="10795" b="635"/>
            <wp:docPr id="472"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7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84455" cy="151765"/>
                    </a:xfrm>
                    <a:prstGeom prst="rect">
                      <a:avLst/>
                    </a:prstGeom>
                    <a:noFill/>
                    <a:ln>
                      <a:noFill/>
                    </a:ln>
                  </pic:spPr>
                </pic:pic>
              </a:graphicData>
            </a:graphic>
          </wp:inline>
        </w:drawing>
      </w:r>
      <w:r>
        <w:rPr>
          <w:rFonts w:ascii="Times New Roman" w:hAnsi="Times New Roman"/>
          <w:szCs w:val="24"/>
        </w:rPr>
        <w:t>月份的实际光能利用率（g/MJ）。</w:t>
      </w:r>
    </w:p>
    <w:p>
      <w:pPr>
        <w:spacing w:line="440" w:lineRule="exact"/>
        <w:ind w:firstLine="480" w:firstLineChars="200"/>
        <w:rPr>
          <w:rFonts w:ascii="Times New Roman" w:hAnsi="Times New Roman"/>
          <w:szCs w:val="24"/>
        </w:rPr>
      </w:pPr>
      <w:r>
        <w:rPr>
          <w:rFonts w:ascii="Times New Roman" w:hAnsi="Times New Roman"/>
          <w:szCs w:val="24"/>
        </w:rPr>
        <w:t>植被吸收的光合有效辐射取决于太阳总辐射和植物本身的特征，光合有效辐射（APAR）的估算用下式计算。</w:t>
      </w:r>
    </w:p>
    <w:p>
      <w:pPr>
        <w:spacing w:before="120" w:beforeLines="50" w:line="440" w:lineRule="exact"/>
        <w:ind w:firstLine="480" w:firstLineChars="200"/>
        <w:jc w:val="center"/>
        <w:rPr>
          <w:rFonts w:ascii="Times New Roman" w:hAnsi="Times New Roman"/>
          <w:szCs w:val="24"/>
        </w:rPr>
      </w:pPr>
      <w:r>
        <w:rPr>
          <w:rFonts w:ascii="Times New Roman" w:hAnsi="Times New Roman"/>
          <w:szCs w:val="24"/>
        </w:rPr>
        <w:drawing>
          <wp:inline distT="0" distB="0" distL="0" distR="0">
            <wp:extent cx="2507615" cy="201930"/>
            <wp:effectExtent l="0" t="0" r="6985" b="6350"/>
            <wp:docPr id="473"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7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2507615" cy="201930"/>
                    </a:xfrm>
                    <a:prstGeom prst="rect">
                      <a:avLst/>
                    </a:prstGeom>
                    <a:noFill/>
                    <a:ln>
                      <a:noFill/>
                    </a:ln>
                  </pic:spPr>
                </pic:pic>
              </a:graphicData>
            </a:graphic>
          </wp:inline>
        </w:drawing>
      </w:r>
    </w:p>
    <w:p>
      <w:pPr>
        <w:spacing w:line="440" w:lineRule="exact"/>
        <w:ind w:firstLine="480" w:firstLineChars="200"/>
        <w:rPr>
          <w:rFonts w:ascii="Times New Roman" w:hAnsi="Times New Roman"/>
          <w:szCs w:val="24"/>
        </w:rPr>
      </w:pPr>
      <w:r>
        <w:rPr>
          <w:rFonts w:ascii="Times New Roman" w:hAnsi="Times New Roman"/>
          <w:szCs w:val="24"/>
        </w:rPr>
        <w:t>式中：</w:t>
      </w:r>
      <w:r>
        <w:rPr>
          <w:rFonts w:ascii="Times New Roman" w:hAnsi="Times New Roman"/>
          <w:i/>
          <w:szCs w:val="24"/>
        </w:rPr>
        <w:t>SOL</w:t>
      </w:r>
      <w:r>
        <w:rPr>
          <w:rFonts w:ascii="Times New Roman" w:hAnsi="Times New Roman"/>
          <w:szCs w:val="24"/>
        </w:rPr>
        <w:t>（x，t）表示t月在像元x处的太阳总辐射量（MJ/m</w:t>
      </w:r>
      <w:r>
        <w:rPr>
          <w:rFonts w:ascii="Times New Roman" w:hAnsi="Times New Roman"/>
          <w:szCs w:val="24"/>
          <w:vertAlign w:val="superscript"/>
        </w:rPr>
        <w:t>2</w:t>
      </w:r>
      <w:r>
        <w:rPr>
          <w:rFonts w:ascii="Times New Roman" w:hAnsi="Times New Roman"/>
          <w:szCs w:val="24"/>
        </w:rPr>
        <w:t>）；FPAR（x，t）为植被层对入射光合有效辐射的吸收比例；常数0.5表示植被所能利用的太阳有效辐射（波长为0.38～0.71μm）占太阳总辐射的比例。</w:t>
      </w:r>
    </w:p>
    <w:p>
      <w:pPr>
        <w:autoSpaceDE w:val="0"/>
        <w:autoSpaceDN w:val="0"/>
        <w:adjustRightInd w:val="0"/>
        <w:spacing w:line="440" w:lineRule="exact"/>
        <w:ind w:firstLine="480" w:firstLineChars="200"/>
        <w:rPr>
          <w:rFonts w:ascii="Times New Roman" w:hAnsi="Times New Roman"/>
          <w:kern w:val="0"/>
          <w:szCs w:val="24"/>
        </w:rPr>
      </w:pPr>
      <w:r>
        <w:rPr>
          <w:rFonts w:ascii="Times New Roman" w:hAnsi="Times New Roman"/>
          <w:kern w:val="0"/>
          <w:szCs w:val="24"/>
        </w:rPr>
        <w:t>环境因子如气温、土壤水分状况以及大气水汽压差等会通过影响植物的光合能力而调节植被的NPP。在遥感模型中，这些因子对NPP的调控是通过对最大光能利用率进行调节而实现的。</w:t>
      </w:r>
      <w:r>
        <w:rPr>
          <w:rFonts w:ascii="Times New Roman" w:hAnsi="Times New Roman"/>
          <w:szCs w:val="24"/>
        </w:rPr>
        <w:t>光能利用率</w:t>
      </w:r>
      <w:r>
        <w:rPr>
          <w:rFonts w:ascii="Times New Roman" w:hAnsi="Times New Roman"/>
          <w:szCs w:val="24"/>
        </w:rPr>
        <w:object>
          <v:shape id="_x0000_i1025" o:spt="75" type="#_x0000_t75" style="height:11.4pt;width:10pt;" o:ole="t" filled="f" o:preferrelative="t" stroked="f" coordsize="21600,21600">
            <v:path/>
            <v:fill on="f" focussize="0,0"/>
            <v:stroke on="f" joinstyle="miter"/>
            <v:imagedata r:id="rId87" o:title=""/>
            <o:lock v:ext="edit" aspectratio="t"/>
            <w10:wrap type="none"/>
            <w10:anchorlock/>
          </v:shape>
          <o:OLEObject Type="Embed" ProgID="Equation.3" ShapeID="_x0000_i1025" DrawAspect="Content" ObjectID="_1468075725" r:id="rId92">
            <o:LockedField>false</o:LockedField>
          </o:OLEObject>
        </w:object>
      </w:r>
      <w:r>
        <w:rPr>
          <w:rFonts w:ascii="Times New Roman" w:hAnsi="Times New Roman"/>
          <w:szCs w:val="24"/>
        </w:rPr>
        <w:t>的估算用下式计算：</w:t>
      </w:r>
    </w:p>
    <w:p>
      <w:pPr>
        <w:spacing w:line="440" w:lineRule="exact"/>
        <w:ind w:firstLine="480" w:firstLineChars="200"/>
        <w:jc w:val="center"/>
        <w:rPr>
          <w:rFonts w:ascii="Times New Roman" w:hAnsi="Times New Roman"/>
          <w:szCs w:val="24"/>
        </w:rPr>
      </w:pPr>
      <w:r>
        <w:rPr>
          <w:rFonts w:ascii="Times New Roman" w:hAnsi="Times New Roman"/>
          <w:position w:val="-12"/>
          <w:szCs w:val="24"/>
        </w:rPr>
        <w:object>
          <v:shape id="_x0000_i1026" o:spt="75" type="#_x0000_t75" style="height:18.2pt;width:206pt;" o:ole="t" filled="f" o:preferrelative="t" stroked="f" coordsize="21600,21600">
            <v:path/>
            <v:fill on="f" focussize="0,0"/>
            <v:stroke on="f" joinstyle="miter"/>
            <v:imagedata r:id="rId94" o:title=""/>
            <o:lock v:ext="edit" aspectratio="t"/>
            <w10:wrap type="none"/>
            <w10:anchorlock/>
          </v:shape>
          <o:OLEObject Type="Embed" ProgID="Equation.3" ShapeID="_x0000_i1026" DrawAspect="Content" ObjectID="_1468075726" r:id="rId93">
            <o:LockedField>false</o:LockedField>
          </o:OLEObject>
        </w:object>
      </w:r>
    </w:p>
    <w:p>
      <w:pPr>
        <w:autoSpaceDE w:val="0"/>
        <w:autoSpaceDN w:val="0"/>
        <w:adjustRightInd w:val="0"/>
        <w:spacing w:line="440" w:lineRule="exact"/>
        <w:ind w:firstLine="480" w:firstLineChars="200"/>
        <w:rPr>
          <w:rFonts w:ascii="Times New Roman" w:hAnsi="Times New Roman"/>
          <w:kern w:val="0"/>
          <w:szCs w:val="24"/>
        </w:rPr>
      </w:pPr>
      <w:r>
        <w:rPr>
          <w:rFonts w:ascii="Times New Roman" w:hAnsi="Times New Roman"/>
          <w:kern w:val="0"/>
          <w:szCs w:val="24"/>
        </w:rPr>
        <w:t>式中，</w:t>
      </w:r>
      <w:r>
        <w:rPr>
          <w:rFonts w:ascii="Times New Roman" w:hAnsi="Times New Roman"/>
          <w:position w:val="-12"/>
          <w:szCs w:val="24"/>
        </w:rPr>
        <w:object>
          <v:shape id="_x0000_i1027" o:spt="75" type="#_x0000_t75" style="height:18.2pt;width:39.9pt;" o:ole="t" filled="f" o:preferrelative="t" stroked="f" coordsize="21600,21600">
            <v:path/>
            <v:fill on="f" focussize="0,0"/>
            <v:stroke on="f" joinstyle="miter"/>
            <v:imagedata r:id="rId96" o:title=""/>
            <o:lock v:ext="edit" aspectratio="t"/>
            <w10:wrap type="none"/>
            <w10:anchorlock/>
          </v:shape>
          <o:OLEObject Type="Embed" ProgID="Equation.3" ShapeID="_x0000_i1027" DrawAspect="Content" ObjectID="_1468075727" r:id="rId95">
            <o:LockedField>false</o:LockedField>
          </o:OLEObject>
        </w:object>
      </w:r>
      <w:r>
        <w:rPr>
          <w:rFonts w:ascii="Times New Roman" w:hAnsi="Times New Roman"/>
          <w:kern w:val="0"/>
          <w:szCs w:val="24"/>
        </w:rPr>
        <w:t>和</w:t>
      </w:r>
      <w:r>
        <w:rPr>
          <w:rFonts w:ascii="Times New Roman" w:hAnsi="Times New Roman"/>
          <w:position w:val="-12"/>
          <w:szCs w:val="24"/>
        </w:rPr>
        <w:object>
          <v:shape id="_x0000_i1028" o:spt="75" type="#_x0000_t75" style="height:18.2pt;width:42.05pt;" o:ole="t" filled="f" o:preferrelative="t" stroked="f" coordsize="21600,21600">
            <v:path/>
            <v:fill on="f" focussize="0,0"/>
            <v:stroke on="f" joinstyle="miter"/>
            <v:imagedata r:id="rId98" o:title=""/>
            <o:lock v:ext="edit" aspectratio="t"/>
            <w10:wrap type="none"/>
            <w10:anchorlock/>
          </v:shape>
          <o:OLEObject Type="Embed" ProgID="Equation.3" ShapeID="_x0000_i1028" DrawAspect="Content" ObjectID="_1468075728" r:id="rId97">
            <o:LockedField>false</o:LockedField>
          </o:OLEObject>
        </w:object>
      </w:r>
      <w:r>
        <w:rPr>
          <w:rFonts w:ascii="Times New Roman" w:hAnsi="Times New Roman"/>
          <w:kern w:val="0"/>
          <w:szCs w:val="24"/>
        </w:rPr>
        <w:t>表示低温和高温对光能利用率的胁迫作用；</w:t>
      </w:r>
      <w:r>
        <w:rPr>
          <w:rFonts w:ascii="Times New Roman" w:hAnsi="Times New Roman"/>
          <w:position w:val="-12"/>
          <w:szCs w:val="24"/>
        </w:rPr>
        <w:object>
          <v:shape id="_x0000_i1029" o:spt="75" type="#_x0000_t75" style="height:18.2pt;width:41.35pt;" o:ole="t" filled="f" o:preferrelative="t" stroked="f" coordsize="21600,21600">
            <v:path/>
            <v:fill on="f" focussize="0,0"/>
            <v:stroke on="f" joinstyle="miter"/>
            <v:imagedata r:id="rId100" o:title=""/>
            <o:lock v:ext="edit" aspectratio="t"/>
            <w10:wrap type="none"/>
            <w10:anchorlock/>
          </v:shape>
          <o:OLEObject Type="Embed" ProgID="Equation.3" ShapeID="_x0000_i1029" DrawAspect="Content" ObjectID="_1468075729" r:id="rId99">
            <o:LockedField>false</o:LockedField>
          </o:OLEObject>
        </w:object>
      </w:r>
      <w:r>
        <w:rPr>
          <w:rFonts w:ascii="Times New Roman" w:hAnsi="Times New Roman"/>
          <w:kern w:val="0"/>
          <w:szCs w:val="24"/>
        </w:rPr>
        <w:t>为水分胁迫影响系数，反映水分条件的影响；</w:t>
      </w:r>
      <w:r>
        <w:rPr>
          <w:rFonts w:ascii="Times New Roman" w:hAnsi="Times New Roman"/>
          <w:position w:val="-12"/>
          <w:szCs w:val="24"/>
        </w:rPr>
        <w:object>
          <v:shape id="_x0000_i1030" o:spt="75" type="#_x0000_t75" style="height:18.2pt;width:21.4pt;" o:ole="t" filled="f" o:preferrelative="t" stroked="f" coordsize="21600,21600">
            <v:path/>
            <v:fill on="f" focussize="0,0"/>
            <v:stroke on="f" joinstyle="miter"/>
            <v:imagedata r:id="rId102" o:title=""/>
            <o:lock v:ext="edit" aspectratio="t"/>
            <w10:wrap type="none"/>
            <w10:anchorlock/>
          </v:shape>
          <o:OLEObject Type="Embed" ProgID="Equation.3" ShapeID="_x0000_i1030" DrawAspect="Content" ObjectID="_1468075730" r:id="rId101">
            <o:LockedField>false</o:LockedField>
          </o:OLEObject>
        </w:object>
      </w:r>
      <w:r>
        <w:rPr>
          <w:rFonts w:ascii="Times New Roman" w:hAnsi="Times New Roman"/>
          <w:kern w:val="0"/>
          <w:szCs w:val="24"/>
        </w:rPr>
        <w:t>是理想条件下的最大光能利用率（gC·MJ</w:t>
      </w:r>
      <w:r>
        <w:rPr>
          <w:rFonts w:ascii="Times New Roman" w:hAnsi="Times New Roman"/>
          <w:kern w:val="0"/>
          <w:szCs w:val="24"/>
          <w:vertAlign w:val="superscript"/>
        </w:rPr>
        <w:t>-1</w:t>
      </w:r>
      <w:r>
        <w:rPr>
          <w:rFonts w:ascii="Times New Roman" w:hAnsi="Times New Roman"/>
          <w:kern w:val="0"/>
          <w:szCs w:val="24"/>
        </w:rPr>
        <w:t>）。</w:t>
      </w:r>
    </w:p>
    <w:p>
      <w:pPr>
        <w:spacing w:line="440" w:lineRule="exact"/>
        <w:ind w:firstLine="480" w:firstLineChars="200"/>
        <w:rPr>
          <w:rFonts w:ascii="Times New Roman" w:hAnsi="Times New Roman"/>
        </w:rPr>
      </w:pPr>
      <w:r>
        <w:rPr>
          <w:rFonts w:ascii="Times New Roman" w:hAnsi="Times New Roman"/>
        </w:rPr>
        <w:t>3）评价区生产力评价</w:t>
      </w:r>
    </w:p>
    <w:p>
      <w:pPr>
        <w:spacing w:line="440" w:lineRule="exact"/>
        <w:ind w:firstLine="480" w:firstLineChars="200"/>
        <w:rPr>
          <w:rFonts w:ascii="Times New Roman" w:hAnsi="Times New Roman"/>
        </w:rPr>
      </w:pPr>
      <w:r>
        <w:rPr>
          <w:rFonts w:ascii="Times New Roman" w:hAnsi="Times New Roman"/>
        </w:rPr>
        <w:t>通过CASA模型估算出评价区植被NPP数据，在野外实地调查和卫片解译的基础上，综合生态评价区地表植被覆盖现状和植被立地情况，各植被类型净第一性生产力情况见表3.5-27。</w:t>
      </w:r>
    </w:p>
    <w:p>
      <w:pPr>
        <w:spacing w:line="520" w:lineRule="exact"/>
        <w:jc w:val="center"/>
        <w:rPr>
          <w:rFonts w:ascii="Times New Roman" w:hAnsi="Times New Roman"/>
          <w:b/>
        </w:rPr>
      </w:pPr>
      <w:r>
        <w:rPr>
          <w:rFonts w:ascii="Times New Roman" w:hAnsi="Times New Roman"/>
          <w:b/>
        </w:rPr>
        <w:t>评价区各个植被类型生产力情况</w:t>
      </w:r>
    </w:p>
    <w:p>
      <w:pPr>
        <w:adjustRightInd w:val="0"/>
        <w:snapToGrid w:val="0"/>
        <w:spacing w:line="240" w:lineRule="atLeast"/>
        <w:outlineLvl w:val="4"/>
        <w:rPr>
          <w:rFonts w:ascii="Times New Roman" w:hAnsi="Times New Roman"/>
        </w:rPr>
      </w:pPr>
      <w:r>
        <w:rPr>
          <w:rFonts w:ascii="Times New Roman" w:hAnsi="Times New Roman"/>
        </w:rPr>
        <w:t>表3.5-27</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6"/>
        <w:gridCol w:w="2156"/>
        <w:gridCol w:w="1986"/>
        <w:gridCol w:w="2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植被类型</w:t>
            </w:r>
          </w:p>
        </w:tc>
        <w:tc>
          <w:tcPr>
            <w:tcW w:w="4142" w:type="dxa"/>
            <w:gridSpan w:val="2"/>
            <w:shd w:val="clear" w:color="auto" w:fill="auto"/>
            <w:noWrap/>
            <w:vAlign w:val="center"/>
          </w:tcPr>
          <w:p>
            <w:pPr>
              <w:jc w:val="center"/>
              <w:rPr>
                <w:rFonts w:ascii="Times New Roman" w:hAnsi="Times New Roman"/>
                <w:kern w:val="0"/>
                <w:sz w:val="21"/>
                <w:szCs w:val="21"/>
              </w:rPr>
            </w:pPr>
            <w:r>
              <w:rPr>
                <w:rFonts w:ascii="Times New Roman" w:hAnsi="Times New Roman"/>
                <w:kern w:val="0"/>
                <w:sz w:val="21"/>
                <w:szCs w:val="21"/>
              </w:rPr>
              <w:t>评价区</w:t>
            </w:r>
          </w:p>
        </w:tc>
        <w:tc>
          <w:tcPr>
            <w:tcW w:w="2219"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生产力（g/(m</w:t>
            </w:r>
            <w:r>
              <w:rPr>
                <w:rFonts w:ascii="Times New Roman" w:hAnsi="Times New Roman"/>
                <w:kern w:val="0"/>
                <w:sz w:val="21"/>
                <w:szCs w:val="21"/>
                <w:vertAlign w:val="superscript"/>
              </w:rPr>
              <w:t>2·</w:t>
            </w:r>
            <w:r>
              <w:rPr>
                <w:rFonts w:ascii="Times New Roman" w:hAnsi="Times New Roman"/>
                <w:kern w:val="0"/>
                <w:sz w:val="21"/>
                <w:szCs w:val="21"/>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vMerge w:val="continue"/>
            <w:shd w:val="clear" w:color="auto" w:fill="auto"/>
            <w:noWrap/>
            <w:vAlign w:val="center"/>
          </w:tcPr>
          <w:p>
            <w:pPr>
              <w:widowControl/>
              <w:jc w:val="center"/>
              <w:rPr>
                <w:rFonts w:ascii="Times New Roman" w:hAnsi="Times New Roman"/>
                <w:kern w:val="0"/>
                <w:sz w:val="21"/>
                <w:szCs w:val="21"/>
              </w:rPr>
            </w:pPr>
          </w:p>
        </w:tc>
        <w:tc>
          <w:tcPr>
            <w:tcW w:w="215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面积（km</w:t>
            </w:r>
            <w:r>
              <w:rPr>
                <w:rFonts w:ascii="Times New Roman" w:hAnsi="Times New Roman"/>
                <w:kern w:val="0"/>
                <w:sz w:val="21"/>
                <w:szCs w:val="21"/>
                <w:vertAlign w:val="superscript"/>
              </w:rPr>
              <w:t>2</w:t>
            </w:r>
            <w:r>
              <w:rPr>
                <w:rFonts w:ascii="Times New Roman" w:hAnsi="Times New Roman"/>
                <w:kern w:val="0"/>
                <w:sz w:val="21"/>
                <w:szCs w:val="21"/>
              </w:rPr>
              <w:t>）</w:t>
            </w:r>
          </w:p>
        </w:tc>
        <w:tc>
          <w:tcPr>
            <w:tcW w:w="1986" w:type="dxa"/>
            <w:shd w:val="clear" w:color="auto" w:fill="auto"/>
            <w:noWrap/>
            <w:vAlign w:val="center"/>
          </w:tcPr>
          <w:p>
            <w:pPr>
              <w:jc w:val="center"/>
              <w:rPr>
                <w:rFonts w:ascii="Times New Roman" w:hAnsi="Times New Roman"/>
                <w:kern w:val="0"/>
                <w:sz w:val="21"/>
                <w:szCs w:val="21"/>
              </w:rPr>
            </w:pPr>
            <w:r>
              <w:rPr>
                <w:rFonts w:ascii="Times New Roman" w:hAnsi="Times New Roman"/>
                <w:kern w:val="0"/>
                <w:sz w:val="21"/>
                <w:szCs w:val="21"/>
              </w:rPr>
              <w:t>比例（%）</w:t>
            </w:r>
          </w:p>
        </w:tc>
        <w:tc>
          <w:tcPr>
            <w:tcW w:w="2219" w:type="dxa"/>
            <w:vMerge w:val="continue"/>
            <w:shd w:val="clear" w:color="auto" w:fill="auto"/>
            <w:vAlign w:val="center"/>
          </w:tcPr>
          <w:p>
            <w:pPr>
              <w:widowControl/>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kern w:val="0"/>
                <w:sz w:val="21"/>
                <w:szCs w:val="21"/>
                <w:lang w:bidi="ar"/>
              </w:rPr>
              <w:t>落叶阔叶林</w:t>
            </w:r>
          </w:p>
        </w:tc>
        <w:tc>
          <w:tcPr>
            <w:tcW w:w="215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38.84</w:t>
            </w:r>
          </w:p>
        </w:tc>
        <w:tc>
          <w:tcPr>
            <w:tcW w:w="198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3.70</w:t>
            </w:r>
          </w:p>
        </w:tc>
        <w:tc>
          <w:tcPr>
            <w:tcW w:w="2219"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1304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kern w:val="0"/>
                <w:sz w:val="21"/>
                <w:szCs w:val="21"/>
                <w:lang w:bidi="ar"/>
              </w:rPr>
              <w:t>落叶灌木、半灌木灌丛</w:t>
            </w:r>
          </w:p>
        </w:tc>
        <w:tc>
          <w:tcPr>
            <w:tcW w:w="215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410.55</w:t>
            </w:r>
          </w:p>
        </w:tc>
        <w:tc>
          <w:tcPr>
            <w:tcW w:w="198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39.07</w:t>
            </w:r>
          </w:p>
        </w:tc>
        <w:tc>
          <w:tcPr>
            <w:tcW w:w="2219"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193.82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kern w:val="0"/>
                <w:sz w:val="21"/>
                <w:szCs w:val="21"/>
                <w:lang w:bidi="ar"/>
              </w:rPr>
              <w:t>半灌木、禾草草原</w:t>
            </w:r>
          </w:p>
        </w:tc>
        <w:tc>
          <w:tcPr>
            <w:tcW w:w="215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312.12</w:t>
            </w:r>
          </w:p>
        </w:tc>
        <w:tc>
          <w:tcPr>
            <w:tcW w:w="198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29.70</w:t>
            </w:r>
          </w:p>
        </w:tc>
        <w:tc>
          <w:tcPr>
            <w:tcW w:w="2219"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101.72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kern w:val="0"/>
                <w:sz w:val="21"/>
                <w:szCs w:val="21"/>
                <w:lang w:bidi="ar"/>
              </w:rPr>
              <w:t>芨芨草盐生草甸</w:t>
            </w:r>
          </w:p>
        </w:tc>
        <w:tc>
          <w:tcPr>
            <w:tcW w:w="215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92.27</w:t>
            </w:r>
          </w:p>
        </w:tc>
        <w:tc>
          <w:tcPr>
            <w:tcW w:w="198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8.78</w:t>
            </w:r>
          </w:p>
        </w:tc>
        <w:tc>
          <w:tcPr>
            <w:tcW w:w="2219"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171.77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kern w:val="0"/>
                <w:sz w:val="21"/>
                <w:szCs w:val="21"/>
                <w:lang w:bidi="ar"/>
              </w:rPr>
              <w:t>碱蓬盐生草甸</w:t>
            </w:r>
          </w:p>
        </w:tc>
        <w:tc>
          <w:tcPr>
            <w:tcW w:w="215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30.08</w:t>
            </w:r>
          </w:p>
        </w:tc>
        <w:tc>
          <w:tcPr>
            <w:tcW w:w="198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2.86</w:t>
            </w:r>
          </w:p>
        </w:tc>
        <w:tc>
          <w:tcPr>
            <w:tcW w:w="2219"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49.65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kern w:val="0"/>
                <w:sz w:val="21"/>
                <w:szCs w:val="21"/>
                <w:lang w:bidi="ar"/>
              </w:rPr>
              <w:t>沙蒿、沙蓬等沙生植被</w:t>
            </w:r>
          </w:p>
        </w:tc>
        <w:tc>
          <w:tcPr>
            <w:tcW w:w="215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58.89</w:t>
            </w:r>
          </w:p>
        </w:tc>
        <w:tc>
          <w:tcPr>
            <w:tcW w:w="198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5.60</w:t>
            </w:r>
          </w:p>
        </w:tc>
        <w:tc>
          <w:tcPr>
            <w:tcW w:w="2219"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52.56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kern w:val="0"/>
                <w:sz w:val="21"/>
                <w:szCs w:val="21"/>
                <w:lang w:bidi="ar"/>
              </w:rPr>
              <w:t>小麦、玉米等农作物</w:t>
            </w:r>
          </w:p>
        </w:tc>
        <w:tc>
          <w:tcPr>
            <w:tcW w:w="215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54.35</w:t>
            </w:r>
          </w:p>
        </w:tc>
        <w:tc>
          <w:tcPr>
            <w:tcW w:w="198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5.17</w:t>
            </w:r>
          </w:p>
        </w:tc>
        <w:tc>
          <w:tcPr>
            <w:tcW w:w="2219"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466.00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kern w:val="0"/>
                <w:sz w:val="21"/>
                <w:szCs w:val="21"/>
                <w:lang w:bidi="ar"/>
              </w:rPr>
              <w:t>其他类型</w:t>
            </w:r>
          </w:p>
        </w:tc>
        <w:tc>
          <w:tcPr>
            <w:tcW w:w="215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53.79</w:t>
            </w:r>
          </w:p>
        </w:tc>
        <w:tc>
          <w:tcPr>
            <w:tcW w:w="198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5.12</w:t>
            </w:r>
          </w:p>
        </w:tc>
        <w:tc>
          <w:tcPr>
            <w:tcW w:w="2219"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92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kern w:val="0"/>
                <w:sz w:val="21"/>
                <w:szCs w:val="21"/>
                <w:lang w:bidi="ar"/>
              </w:rPr>
              <w:t>合计</w:t>
            </w:r>
          </w:p>
        </w:tc>
        <w:tc>
          <w:tcPr>
            <w:tcW w:w="215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1050.90</w:t>
            </w:r>
          </w:p>
        </w:tc>
        <w:tc>
          <w:tcPr>
            <w:tcW w:w="1986"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100.00</w:t>
            </w:r>
          </w:p>
        </w:tc>
        <w:tc>
          <w:tcPr>
            <w:tcW w:w="2219" w:type="dxa"/>
            <w:shd w:val="clear" w:color="auto" w:fill="auto"/>
            <w:noWrap/>
            <w:vAlign w:val="center"/>
          </w:tcPr>
          <w:p>
            <w:pPr>
              <w:widowControl/>
              <w:jc w:val="center"/>
              <w:textAlignment w:val="center"/>
              <w:rPr>
                <w:rFonts w:ascii="Times New Roman" w:hAnsi="Times New Roman"/>
                <w:kern w:val="0"/>
                <w:sz w:val="21"/>
                <w:szCs w:val="21"/>
              </w:rPr>
            </w:pPr>
            <w:r>
              <w:rPr>
                <w:rFonts w:ascii="Times New Roman" w:hAnsi="Times New Roman" w:eastAsia="等线"/>
                <w:kern w:val="0"/>
                <w:sz w:val="21"/>
                <w:szCs w:val="21"/>
                <w:lang w:bidi="ar"/>
              </w:rPr>
              <w:t>197.67</w:t>
            </w:r>
          </w:p>
        </w:tc>
      </w:tr>
    </w:tbl>
    <w:p>
      <w:pPr>
        <w:spacing w:line="440" w:lineRule="exact"/>
        <w:ind w:firstLine="480" w:firstLineChars="200"/>
        <w:rPr>
          <w:rFonts w:ascii="Times New Roman" w:hAnsi="Times New Roman"/>
        </w:rPr>
      </w:pPr>
      <w:r>
        <w:rPr>
          <w:rFonts w:ascii="Times New Roman" w:hAnsi="Times New Roman"/>
        </w:rPr>
        <w:t>从估算结果和判断标准来看，评价区平均净生产力为197.67gC/(m</w:t>
      </w:r>
      <w:r>
        <w:rPr>
          <w:rFonts w:ascii="Times New Roman" w:hAnsi="Times New Roman"/>
          <w:vertAlign w:val="superscript"/>
        </w:rPr>
        <w:t>2</w:t>
      </w:r>
      <w:r>
        <w:rPr>
          <w:rFonts w:ascii="Times New Roman" w:hAnsi="Times New Roman"/>
        </w:rPr>
        <w:t>·a)，按照奥德姆划分法，处于182.50~1080gC/(m</w:t>
      </w:r>
      <w:r>
        <w:rPr>
          <w:rFonts w:ascii="Times New Roman" w:hAnsi="Times New Roman"/>
          <w:vertAlign w:val="superscript"/>
        </w:rPr>
        <w:t>2</w:t>
      </w:r>
      <w:r>
        <w:rPr>
          <w:rFonts w:ascii="Times New Roman" w:hAnsi="Times New Roman"/>
        </w:rPr>
        <w:t>.a)的判断标准内，属于全球生态系统生产力“较低”水平，说明</w:t>
      </w:r>
      <w:r>
        <w:rPr>
          <w:rFonts w:ascii="Times New Roman" w:hAnsi="Times New Roman"/>
          <w:szCs w:val="24"/>
        </w:rPr>
        <w:t>评价区内生态系统生产力较低，受外界强力干扰后难以自然恢复</w:t>
      </w:r>
      <w:r>
        <w:rPr>
          <w:rFonts w:ascii="Times New Roman" w:hAnsi="Times New Roman"/>
        </w:rPr>
        <w:t>。</w:t>
      </w:r>
    </w:p>
    <w:p>
      <w:pPr>
        <w:spacing w:line="440" w:lineRule="exact"/>
        <w:ind w:firstLine="480" w:firstLineChars="200"/>
        <w:rPr>
          <w:rFonts w:ascii="Times New Roman" w:hAnsi="Times New Roman"/>
          <w:szCs w:val="24"/>
        </w:rPr>
      </w:pPr>
      <w:r>
        <w:rPr>
          <w:rFonts w:ascii="Times New Roman" w:hAnsi="Times New Roman"/>
          <w:szCs w:val="24"/>
        </w:rPr>
        <w:t>（2）稳定性评价</w:t>
      </w:r>
    </w:p>
    <w:p>
      <w:pPr>
        <w:spacing w:line="440" w:lineRule="exact"/>
        <w:ind w:firstLine="480" w:firstLineChars="200"/>
        <w:rPr>
          <w:rFonts w:ascii="Times New Roman" w:hAnsi="Times New Roman"/>
          <w:szCs w:val="24"/>
        </w:rPr>
      </w:pPr>
      <w:r>
        <w:rPr>
          <w:rFonts w:ascii="Times New Roman" w:hAnsi="Times New Roman"/>
          <w:szCs w:val="24"/>
        </w:rPr>
        <w:t>生态系统的稳定性包括两种特征，即阻抗能力和恢复能力。因此对于生态系统的稳定性评价也从这两个方面分别进行。</w:t>
      </w:r>
    </w:p>
    <w:p>
      <w:pPr>
        <w:spacing w:line="440" w:lineRule="exact"/>
        <w:ind w:firstLine="480" w:firstLineChars="200"/>
        <w:rPr>
          <w:rFonts w:ascii="Times New Roman" w:hAnsi="Times New Roman"/>
          <w:szCs w:val="24"/>
        </w:rPr>
      </w:pPr>
      <w:r>
        <w:rPr>
          <w:rFonts w:ascii="Times New Roman" w:hAnsi="Times New Roman"/>
          <w:szCs w:val="24"/>
        </w:rPr>
        <w:t>1）阻抗稳定性</w:t>
      </w:r>
    </w:p>
    <w:p>
      <w:pPr>
        <w:spacing w:line="440" w:lineRule="exact"/>
        <w:ind w:firstLine="480" w:firstLineChars="200"/>
        <w:rPr>
          <w:rFonts w:ascii="Times New Roman" w:hAnsi="Times New Roman"/>
          <w:szCs w:val="24"/>
        </w:rPr>
      </w:pPr>
      <w:r>
        <w:rPr>
          <w:rFonts w:ascii="Times New Roman" w:hAnsi="Times New Roman"/>
          <w:szCs w:val="24"/>
        </w:rPr>
        <w:t>生态系统的阻抗稳定性就是系统在环境变化或潜在干扰时反抗或阻止变化的能力。通过分析生态系统生产力可以看出评价区生态系统生产力处于“较低”水平，生态系统容易受到干扰破坏。但是通常生态系统的阻抗稳定性还与植被的异质化程度密切相关。评价区生态系统较为简单，植被类型单一，异质化程度不高，因此评价区生态系统阻抗稳定性较弱。</w:t>
      </w:r>
    </w:p>
    <w:p>
      <w:pPr>
        <w:spacing w:line="440" w:lineRule="exact"/>
        <w:ind w:firstLine="480" w:firstLineChars="200"/>
        <w:rPr>
          <w:rFonts w:ascii="Times New Roman" w:hAnsi="Times New Roman"/>
          <w:szCs w:val="24"/>
        </w:rPr>
      </w:pPr>
      <w:r>
        <w:rPr>
          <w:rFonts w:ascii="Times New Roman" w:hAnsi="Times New Roman"/>
          <w:szCs w:val="24"/>
        </w:rPr>
        <w:t>2）恢复稳定性</w:t>
      </w:r>
    </w:p>
    <w:p>
      <w:pPr>
        <w:spacing w:line="440" w:lineRule="exact"/>
        <w:ind w:firstLine="480" w:firstLineChars="200"/>
        <w:rPr>
          <w:rFonts w:ascii="Times New Roman" w:hAnsi="Times New Roman"/>
          <w:szCs w:val="24"/>
        </w:rPr>
      </w:pPr>
      <w:r>
        <w:rPr>
          <w:rFonts w:ascii="Times New Roman" w:hAnsi="Times New Roman"/>
          <w:szCs w:val="24"/>
        </w:rPr>
        <w:t>生态系统的恢复稳定性就是系统被改变后返回原来状态的能力。通过对评价区土地利用结构进行分析，可以看出评价区内主要土地利用类型为草地。由于草地生态系统受到破坏之后，繁殖能力和恢复到原有生产力水平的能力都较强，因此草地生态系统与其他类型生态系统相比恢复稳定性较强。</w:t>
      </w:r>
    </w:p>
    <w:p>
      <w:pPr>
        <w:spacing w:line="440" w:lineRule="exact"/>
        <w:ind w:firstLine="480" w:firstLineChars="200"/>
        <w:rPr>
          <w:rFonts w:ascii="Times New Roman" w:hAnsi="Times New Roman"/>
          <w:szCs w:val="24"/>
        </w:rPr>
      </w:pPr>
      <w:r>
        <w:rPr>
          <w:rFonts w:ascii="Times New Roman" w:hAnsi="Times New Roman"/>
          <w:szCs w:val="24"/>
        </w:rPr>
        <w:t>综上所述，虽然评价区生态系统的生产力不高，以草地和林地生态系统为主，区域植被类型较为简单，评价区生态系统结构与功能较稳定，但稳定程度不高，总体来说评价区内的生态系统较为完整。</w:t>
      </w:r>
    </w:p>
    <w:p>
      <w:pPr>
        <w:keepNext/>
        <w:keepLines/>
        <w:adjustRightInd w:val="0"/>
        <w:snapToGrid w:val="0"/>
        <w:spacing w:line="440" w:lineRule="exact"/>
        <w:outlineLvl w:val="3"/>
        <w:rPr>
          <w:rFonts w:ascii="Times New Roman" w:hAnsi="Times New Roman"/>
          <w:b/>
          <w:szCs w:val="24"/>
        </w:rPr>
      </w:pPr>
      <w:r>
        <w:rPr>
          <w:rFonts w:ascii="Times New Roman" w:hAnsi="Times New Roman"/>
          <w:b/>
          <w:szCs w:val="24"/>
        </w:rPr>
        <w:t>3.5.3.2 生态系统景观格局评价</w:t>
      </w:r>
    </w:p>
    <w:p>
      <w:pPr>
        <w:spacing w:line="440" w:lineRule="exact"/>
        <w:ind w:firstLine="480" w:firstLineChars="200"/>
        <w:rPr>
          <w:rFonts w:ascii="Times New Roman" w:hAnsi="Times New Roman"/>
          <w:szCs w:val="24"/>
        </w:rPr>
      </w:pPr>
      <w:r>
        <w:rPr>
          <w:rFonts w:ascii="Times New Roman" w:hAnsi="Times New Roman"/>
          <w:szCs w:val="24"/>
        </w:rPr>
        <w:t>景观生态体系的质量现状是由区域内自然环境、各种生物以及人类社会之间复杂的相互作用来决定的。从景观生态学结构与功能相匹配的观点出发，结构是否合理可以决定景观功能状况的优劣。在景观的三组分（斑块、廊道和基质）中，基质是景观的背景地块，是景观中一种可以控制环境质量的组分，因此基质的判定是空间分析的重要内容。本次生态环境质量评价采用景观生态学理论来评价评价区的生态质量，采用传统生态学中优势度值法，通过计算各斑块的优势度，确定生态系统中的基质，从而对评价区环境质量状况作出判定。判定基质的标准有三个，即相对面积要大、连通程度要高、具有动态控制能力。对景观基质的判定一般采用生态学中重要值的方法决定某一斑块在景观中的优势（优势度值），其计算如下：</w:t>
      </w:r>
    </w:p>
    <w:p>
      <w:pPr>
        <w:spacing w:line="520" w:lineRule="exact"/>
        <w:ind w:firstLine="480" w:firstLineChars="200"/>
        <w:rPr>
          <w:rFonts w:ascii="Times New Roman" w:hAnsi="Times New Roman"/>
          <w:szCs w:val="24"/>
        </w:rPr>
      </w:pPr>
      <w:r>
        <w:rPr>
          <w:rFonts w:ascii="Times New Roman" w:hAnsi="Times New Roman"/>
          <w:szCs w:val="24"/>
        </w:rPr>
        <w:pict>
          <v:shape id="Picture 12748" o:spid="_x0000_s2051" o:spt="75" type="#_x0000_t75" style="position:absolute;left:0pt;margin-left:139.4pt;margin-top:2.7pt;height:30.75pt;width:156.75pt;mso-wrap-distance-bottom:0pt;mso-wrap-distance-left:9pt;mso-wrap-distance-right:9pt;mso-wrap-distance-top:0pt;z-index:251666432;mso-width-relative:page;mso-height-relative:page;" o:ole="t" filled="f" o:preferrelative="t" stroked="f" coordsize="21600,21600">
            <v:path/>
            <v:fill on="f" focussize="0,0"/>
            <v:stroke on="f" joinstyle="miter"/>
            <v:imagedata r:id="rId104" o:title=""/>
            <o:lock v:ext="edit" aspectratio="t"/>
            <w10:wrap type="square"/>
          </v:shape>
          <o:OLEObject Type="Embed" ProgID="Equation.3" ShapeID="Picture 12748" DrawAspect="Content" ObjectID="_1468075731" r:id="rId103">
            <o:LockedField>false</o:LockedField>
          </o:OLEObject>
        </w:pict>
      </w:r>
    </w:p>
    <w:p>
      <w:pPr>
        <w:spacing w:line="240" w:lineRule="exact"/>
        <w:ind w:firstLine="480" w:firstLineChars="200"/>
        <w:rPr>
          <w:rFonts w:ascii="Times New Roman" w:hAnsi="Times New Roman"/>
          <w:szCs w:val="24"/>
        </w:rPr>
      </w:pPr>
    </w:p>
    <w:p>
      <w:pPr>
        <w:spacing w:line="520" w:lineRule="exact"/>
        <w:ind w:firstLine="480" w:firstLineChars="200"/>
        <w:rPr>
          <w:rFonts w:ascii="Times New Roman" w:hAnsi="Times New Roman"/>
          <w:szCs w:val="24"/>
        </w:rPr>
      </w:pPr>
      <w:r>
        <w:rPr>
          <w:rFonts w:ascii="Times New Roman" w:hAnsi="Times New Roman"/>
          <w:szCs w:val="24"/>
        </w:rPr>
        <w:t>式中：</w:t>
      </w:r>
      <w:r>
        <w:rPr>
          <w:rFonts w:ascii="Times New Roman" w:hAnsi="Times New Roman"/>
          <w:szCs w:val="24"/>
        </w:rPr>
        <w:drawing>
          <wp:inline distT="0" distB="0" distL="0" distR="0">
            <wp:extent cx="240030" cy="180975"/>
            <wp:effectExtent l="0" t="0" r="7620" b="889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240030" cy="180975"/>
                    </a:xfrm>
                    <a:prstGeom prst="rect">
                      <a:avLst/>
                    </a:prstGeom>
                    <a:noFill/>
                    <a:ln>
                      <a:noFill/>
                    </a:ln>
                  </pic:spPr>
                </pic:pic>
              </a:graphicData>
            </a:graphic>
          </wp:inline>
        </w:drawing>
      </w:r>
      <w:r>
        <w:rPr>
          <w:rFonts w:ascii="Times New Roman" w:hAnsi="Times New Roman"/>
          <w:szCs w:val="24"/>
        </w:rPr>
        <w:t>——为优势度；</w:t>
      </w:r>
    </w:p>
    <w:p>
      <w:pPr>
        <w:spacing w:line="240" w:lineRule="atLeast"/>
        <w:ind w:firstLine="1200" w:firstLineChars="500"/>
        <w:rPr>
          <w:rFonts w:ascii="Times New Roman" w:hAnsi="Times New Roman"/>
          <w:szCs w:val="24"/>
        </w:rPr>
      </w:pPr>
      <w:r>
        <w:rPr>
          <w:rFonts w:ascii="Times New Roman" w:hAnsi="Times New Roman"/>
          <w:i/>
          <w:szCs w:val="24"/>
        </w:rPr>
        <w:t xml:space="preserve">Rd </w:t>
      </w:r>
      <w:r>
        <w:rPr>
          <w:rFonts w:ascii="Times New Roman" w:hAnsi="Times New Roman"/>
          <w:szCs w:val="24"/>
        </w:rPr>
        <w:t>——拼块密度，其计算式为：</w:t>
      </w:r>
      <w:r>
        <w:rPr>
          <w:rFonts w:ascii="Times New Roman" w:hAnsi="Times New Roman"/>
          <w:position w:val="-26"/>
          <w:szCs w:val="24"/>
        </w:rPr>
        <w:drawing>
          <wp:inline distT="0" distB="0" distL="0" distR="0">
            <wp:extent cx="1675130" cy="421005"/>
            <wp:effectExtent l="0" t="0" r="1270" b="17145"/>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49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1675130" cy="421005"/>
                    </a:xfrm>
                    <a:prstGeom prst="rect">
                      <a:avLst/>
                    </a:prstGeom>
                    <a:noFill/>
                    <a:ln>
                      <a:noFill/>
                    </a:ln>
                  </pic:spPr>
                </pic:pic>
              </a:graphicData>
            </a:graphic>
          </wp:inline>
        </w:drawing>
      </w:r>
      <w:r>
        <w:rPr>
          <w:rFonts w:ascii="Times New Roman" w:hAnsi="Times New Roman"/>
          <w:szCs w:val="24"/>
        </w:rPr>
        <w:t>；</w:t>
      </w:r>
    </w:p>
    <w:p>
      <w:pPr>
        <w:spacing w:line="240" w:lineRule="atLeast"/>
        <w:ind w:firstLine="1080" w:firstLineChars="450"/>
        <w:rPr>
          <w:rFonts w:ascii="Times New Roman" w:hAnsi="Times New Roman"/>
          <w:szCs w:val="24"/>
        </w:rPr>
      </w:pPr>
      <w:r>
        <w:rPr>
          <w:rFonts w:ascii="Times New Roman" w:hAnsi="Times New Roman"/>
          <w:szCs w:val="24"/>
        </w:rPr>
        <w:drawing>
          <wp:inline distT="0" distB="0" distL="0" distR="0">
            <wp:extent cx="240030" cy="199390"/>
            <wp:effectExtent l="0" t="0" r="0"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a:xfrm>
                      <a:off x="0" y="0"/>
                      <a:ext cx="240030" cy="199390"/>
                    </a:xfrm>
                    <a:prstGeom prst="rect">
                      <a:avLst/>
                    </a:prstGeom>
                    <a:noFill/>
                    <a:ln>
                      <a:noFill/>
                    </a:ln>
                  </pic:spPr>
                </pic:pic>
              </a:graphicData>
            </a:graphic>
          </wp:inline>
        </w:drawing>
      </w:r>
      <w:r>
        <w:rPr>
          <w:rFonts w:ascii="Times New Roman" w:hAnsi="Times New Roman"/>
          <w:szCs w:val="24"/>
        </w:rPr>
        <w:t>——频率，其计算式为：</w:t>
      </w:r>
      <w:r>
        <w:rPr>
          <w:rFonts w:ascii="Times New Roman" w:hAnsi="Times New Roman"/>
          <w:position w:val="-26"/>
          <w:szCs w:val="24"/>
        </w:rPr>
        <w:drawing>
          <wp:inline distT="0" distB="0" distL="0" distR="0">
            <wp:extent cx="2132330" cy="421005"/>
            <wp:effectExtent l="0" t="0" r="1270" b="171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2132330" cy="421005"/>
                    </a:xfrm>
                    <a:prstGeom prst="rect">
                      <a:avLst/>
                    </a:prstGeom>
                    <a:noFill/>
                    <a:ln>
                      <a:noFill/>
                    </a:ln>
                  </pic:spPr>
                </pic:pic>
              </a:graphicData>
            </a:graphic>
          </wp:inline>
        </w:drawing>
      </w:r>
      <w:r>
        <w:rPr>
          <w:rFonts w:ascii="Times New Roman" w:hAnsi="Times New Roman"/>
          <w:szCs w:val="24"/>
        </w:rPr>
        <w:t>，以100m×100m为一个样方；</w:t>
      </w:r>
    </w:p>
    <w:p>
      <w:pPr>
        <w:spacing w:line="240" w:lineRule="atLeast"/>
        <w:ind w:firstLine="1080" w:firstLineChars="450"/>
        <w:rPr>
          <w:rFonts w:ascii="Times New Roman" w:hAnsi="Times New Roman"/>
          <w:szCs w:val="24"/>
        </w:rPr>
      </w:pPr>
      <w:r>
        <w:rPr>
          <w:rFonts w:ascii="Times New Roman" w:hAnsi="Times New Roman"/>
          <w:szCs w:val="24"/>
        </w:rPr>
        <w:drawing>
          <wp:inline distT="0" distB="0" distL="0" distR="0">
            <wp:extent cx="217170" cy="199390"/>
            <wp:effectExtent l="0" t="0" r="0" b="12065"/>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49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217170" cy="199390"/>
                    </a:xfrm>
                    <a:prstGeom prst="rect">
                      <a:avLst/>
                    </a:prstGeom>
                    <a:noFill/>
                    <a:ln>
                      <a:noFill/>
                    </a:ln>
                  </pic:spPr>
                </pic:pic>
              </a:graphicData>
            </a:graphic>
          </wp:inline>
        </w:drawing>
      </w:r>
      <w:r>
        <w:rPr>
          <w:rFonts w:ascii="Times New Roman" w:hAnsi="Times New Roman"/>
          <w:szCs w:val="24"/>
        </w:rPr>
        <w:t>——景观比例，其计算式为：</w:t>
      </w:r>
      <w:r>
        <w:rPr>
          <w:rFonts w:ascii="Times New Roman" w:hAnsi="Times New Roman"/>
          <w:position w:val="-26"/>
          <w:szCs w:val="24"/>
        </w:rPr>
        <w:drawing>
          <wp:inline distT="0" distB="0" distL="0" distR="0">
            <wp:extent cx="1675130" cy="421005"/>
            <wp:effectExtent l="0" t="0" r="1270" b="17145"/>
            <wp:docPr id="49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1675130" cy="421005"/>
                    </a:xfrm>
                    <a:prstGeom prst="rect">
                      <a:avLst/>
                    </a:prstGeom>
                    <a:noFill/>
                    <a:ln>
                      <a:noFill/>
                    </a:ln>
                  </pic:spPr>
                </pic:pic>
              </a:graphicData>
            </a:graphic>
          </wp:inline>
        </w:drawing>
      </w:r>
      <w:r>
        <w:rPr>
          <w:rFonts w:ascii="Times New Roman" w:hAnsi="Times New Roman"/>
          <w:szCs w:val="24"/>
        </w:rPr>
        <w:t>。</w:t>
      </w:r>
    </w:p>
    <w:p>
      <w:pPr>
        <w:spacing w:line="440" w:lineRule="exact"/>
        <w:ind w:firstLine="480" w:firstLineChars="200"/>
        <w:rPr>
          <w:rFonts w:ascii="Times New Roman" w:hAnsi="Times New Roman"/>
          <w:szCs w:val="24"/>
        </w:rPr>
      </w:pPr>
      <w:r>
        <w:rPr>
          <w:rFonts w:ascii="Times New Roman" w:hAnsi="Times New Roman"/>
          <w:szCs w:val="24"/>
        </w:rPr>
        <w:t>本次评价区面积</w:t>
      </w:r>
      <w:r>
        <w:rPr>
          <w:rFonts w:hint="eastAsia" w:ascii="Times New Roman" w:hAnsi="Times New Roman"/>
          <w:szCs w:val="24"/>
        </w:rPr>
        <w:t>1</w:t>
      </w:r>
      <w:r>
        <w:rPr>
          <w:rFonts w:ascii="Times New Roman" w:hAnsi="Times New Roman"/>
          <w:szCs w:val="24"/>
        </w:rPr>
        <w:t>050.90km</w:t>
      </w:r>
      <w:r>
        <w:rPr>
          <w:rFonts w:ascii="Times New Roman" w:hAnsi="Times New Roman"/>
          <w:szCs w:val="24"/>
          <w:vertAlign w:val="superscript"/>
        </w:rPr>
        <w:t>2</w:t>
      </w:r>
      <w:r>
        <w:rPr>
          <w:rFonts w:ascii="Times New Roman" w:hAnsi="Times New Roman"/>
          <w:szCs w:val="24"/>
        </w:rPr>
        <w:t>，</w:t>
      </w:r>
      <w:r>
        <w:rPr>
          <w:rFonts w:ascii="Times New Roman" w:hAnsi="Times New Roman"/>
        </w:rPr>
        <w:t>按1000m</w:t>
      </w:r>
      <w:r>
        <w:rPr>
          <w:rFonts w:ascii="Times New Roman" w:hAnsi="Times New Roman"/>
        </w:rPr>
        <w:object>
          <v:shape id="_x0000_i1031" o:spt="75" type="#_x0000_t75" style="height:11.4pt;width:8.9pt;" o:ole="t" filled="f" o:preferrelative="t" stroked="f" coordsize="21600,21600">
            <v:path/>
            <v:fill on="f" focussize="0,0"/>
            <v:stroke on="f" joinstyle="miter"/>
            <v:imagedata r:id="rId112" o:title=""/>
            <o:lock v:ext="edit" aspectratio="t"/>
            <w10:wrap type="none"/>
            <w10:anchorlock/>
          </v:shape>
          <o:OLEObject Type="Embed" ProgID="Equation.3" ShapeID="_x0000_i1031" DrawAspect="Content" ObjectID="_1468075732" r:id="rId111">
            <o:LockedField>false</o:LockedField>
          </o:OLEObject>
        </w:object>
      </w:r>
      <w:r>
        <w:rPr>
          <w:rFonts w:ascii="Times New Roman" w:hAnsi="Times New Roman"/>
        </w:rPr>
        <w:t>1000m对评价范围进行样方划分，共计样方1069个。</w:t>
      </w:r>
      <w:r>
        <w:rPr>
          <w:rFonts w:ascii="Times New Roman" w:hAnsi="Times New Roman"/>
          <w:szCs w:val="24"/>
        </w:rPr>
        <w:t>评价区景观生态格局分析见表3.5-28，景观优势度计算结果列于表3.5-29。</w:t>
      </w:r>
    </w:p>
    <w:p>
      <w:pPr>
        <w:spacing w:before="240" w:beforeLines="100" w:line="440" w:lineRule="exact"/>
        <w:jc w:val="center"/>
        <w:rPr>
          <w:rFonts w:ascii="Times New Roman" w:hAnsi="Times New Roman"/>
          <w:b/>
          <w:szCs w:val="24"/>
        </w:rPr>
      </w:pPr>
    </w:p>
    <w:p>
      <w:pPr>
        <w:spacing w:before="240" w:beforeLines="100" w:line="440" w:lineRule="exact"/>
        <w:jc w:val="center"/>
        <w:rPr>
          <w:rFonts w:ascii="Times New Roman" w:hAnsi="Times New Roman"/>
          <w:b/>
          <w:szCs w:val="24"/>
        </w:rPr>
      </w:pPr>
    </w:p>
    <w:p>
      <w:pPr>
        <w:spacing w:before="240" w:beforeLines="100" w:line="440" w:lineRule="exact"/>
        <w:jc w:val="center"/>
        <w:rPr>
          <w:rFonts w:ascii="Times New Roman" w:hAnsi="Times New Roman"/>
          <w:b/>
          <w:szCs w:val="24"/>
        </w:rPr>
      </w:pPr>
      <w:r>
        <w:rPr>
          <w:rFonts w:ascii="Times New Roman" w:hAnsi="Times New Roman"/>
          <w:b/>
          <w:szCs w:val="24"/>
        </w:rPr>
        <w:t>评价区主要斑块类型、数目和面积</w:t>
      </w:r>
    </w:p>
    <w:p>
      <w:pPr>
        <w:widowControl/>
        <w:adjustRightInd w:val="0"/>
        <w:snapToGrid w:val="0"/>
        <w:spacing w:line="440" w:lineRule="exact"/>
        <w:outlineLvl w:val="4"/>
        <w:rPr>
          <w:rFonts w:ascii="Times New Roman" w:hAnsi="Times New Roman"/>
          <w:kern w:val="0"/>
          <w:szCs w:val="24"/>
          <w:lang w:val="en-GB"/>
        </w:rPr>
      </w:pPr>
      <w:r>
        <w:rPr>
          <w:rFonts w:ascii="Times New Roman" w:hAnsi="Times New Roman"/>
          <w:kern w:val="0"/>
          <w:szCs w:val="24"/>
          <w:lang w:val="en-GB"/>
        </w:rPr>
        <w:t>表</w:t>
      </w:r>
      <w:r>
        <w:rPr>
          <w:rFonts w:ascii="Times New Roman" w:hAnsi="Times New Roman"/>
          <w:kern w:val="0"/>
          <w:szCs w:val="24"/>
        </w:rPr>
        <w:t>3</w:t>
      </w:r>
      <w:r>
        <w:rPr>
          <w:rFonts w:ascii="Times New Roman" w:hAnsi="Times New Roman"/>
          <w:kern w:val="0"/>
          <w:szCs w:val="24"/>
          <w:lang w:val="en-GB"/>
        </w:rPr>
        <w:t>.</w:t>
      </w:r>
      <w:r>
        <w:rPr>
          <w:rFonts w:ascii="Times New Roman" w:hAnsi="Times New Roman"/>
          <w:kern w:val="0"/>
          <w:szCs w:val="24"/>
        </w:rPr>
        <w:t>5-28</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1"/>
        <w:gridCol w:w="2322"/>
        <w:gridCol w:w="2322"/>
        <w:gridCol w:w="2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缀块类型</w:t>
            </w:r>
          </w:p>
        </w:tc>
        <w:tc>
          <w:tcPr>
            <w:tcW w:w="232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缀块数目（个）</w:t>
            </w:r>
          </w:p>
        </w:tc>
        <w:tc>
          <w:tcPr>
            <w:tcW w:w="232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面  积（km</w:t>
            </w:r>
            <w:r>
              <w:rPr>
                <w:rFonts w:ascii="Times New Roman" w:hAnsi="Times New Roman"/>
                <w:kern w:val="0"/>
                <w:sz w:val="21"/>
                <w:szCs w:val="21"/>
                <w:vertAlign w:val="superscript"/>
              </w:rPr>
              <w:t>2</w:t>
            </w:r>
            <w:r>
              <w:rPr>
                <w:rFonts w:ascii="Times New Roman" w:hAnsi="Times New Roman"/>
                <w:kern w:val="0"/>
                <w:sz w:val="21"/>
                <w:szCs w:val="21"/>
              </w:rPr>
              <w:t>）</w:t>
            </w:r>
          </w:p>
        </w:tc>
        <w:tc>
          <w:tcPr>
            <w:tcW w:w="2322"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出现样方数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耕地</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4860</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 xml:space="preserve">54.35 </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615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林地</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5806</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 xml:space="preserve">449.37 </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1055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草地</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7161</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 xml:space="preserve">468.15 </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1049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交通运输用地</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1216</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 xml:space="preserve">19.84 </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924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水域</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19420</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 xml:space="preserve">33.87 </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292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城镇村</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1878</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 xml:space="preserve">10.26 </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627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其他土地</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1155</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 xml:space="preserve">15.05 </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218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合计</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41496</w:t>
            </w:r>
          </w:p>
        </w:tc>
        <w:tc>
          <w:tcPr>
            <w:tcW w:w="2322" w:type="dxa"/>
            <w:shd w:val="clear" w:color="auto" w:fill="auto"/>
            <w:vAlign w:val="center"/>
          </w:tcPr>
          <w:p>
            <w:pPr>
              <w:widowControl/>
              <w:jc w:val="center"/>
              <w:textAlignment w:val="center"/>
              <w:rPr>
                <w:rFonts w:ascii="Times New Roman" w:hAnsi="Times New Roman" w:eastAsia="等线"/>
                <w:kern w:val="0"/>
                <w:sz w:val="21"/>
                <w:szCs w:val="21"/>
              </w:rPr>
            </w:pPr>
            <w:r>
              <w:rPr>
                <w:rFonts w:ascii="Times New Roman" w:hAnsi="Times New Roman" w:eastAsia="等线"/>
                <w:kern w:val="0"/>
                <w:sz w:val="21"/>
                <w:szCs w:val="21"/>
                <w:lang w:bidi="ar"/>
              </w:rPr>
              <w:t xml:space="preserve">1050.90 </w:t>
            </w:r>
          </w:p>
        </w:tc>
        <w:tc>
          <w:tcPr>
            <w:tcW w:w="2322" w:type="dxa"/>
            <w:shd w:val="clear" w:color="auto" w:fill="auto"/>
            <w:noWrap/>
            <w:vAlign w:val="center"/>
          </w:tcPr>
          <w:p>
            <w:pPr>
              <w:jc w:val="center"/>
              <w:rPr>
                <w:rFonts w:ascii="Times New Roman" w:hAnsi="Times New Roman" w:eastAsia="等线"/>
                <w:kern w:val="0"/>
                <w:sz w:val="21"/>
                <w:szCs w:val="21"/>
              </w:rPr>
            </w:pPr>
            <w:r>
              <w:rPr>
                <w:rFonts w:ascii="Times New Roman" w:hAnsi="Times New Roman" w:eastAsia="等线"/>
                <w:kern w:val="0"/>
                <w:sz w:val="21"/>
                <w:szCs w:val="21"/>
              </w:rPr>
              <w:t>/</w:t>
            </w:r>
          </w:p>
        </w:tc>
      </w:tr>
    </w:tbl>
    <w:p>
      <w:pPr>
        <w:spacing w:before="120" w:beforeLines="50" w:line="529" w:lineRule="exact"/>
        <w:jc w:val="center"/>
        <w:rPr>
          <w:rFonts w:ascii="Times New Roman" w:hAnsi="Times New Roman"/>
          <w:b/>
          <w:szCs w:val="24"/>
        </w:rPr>
      </w:pPr>
      <w:r>
        <w:rPr>
          <w:rFonts w:ascii="Times New Roman" w:hAnsi="Times New Roman"/>
          <w:b/>
          <w:szCs w:val="24"/>
        </w:rPr>
        <w:t>评价区各类斑块优势度值</w:t>
      </w:r>
    </w:p>
    <w:p>
      <w:pPr>
        <w:widowControl/>
        <w:adjustRightInd w:val="0"/>
        <w:snapToGrid w:val="0"/>
        <w:spacing w:line="440" w:lineRule="exact"/>
        <w:outlineLvl w:val="4"/>
        <w:rPr>
          <w:rFonts w:ascii="Times New Roman" w:hAnsi="Times New Roman"/>
          <w:kern w:val="0"/>
          <w:szCs w:val="24"/>
          <w:lang w:val="en-GB"/>
        </w:rPr>
      </w:pPr>
      <w:r>
        <w:rPr>
          <w:rFonts w:ascii="Times New Roman" w:hAnsi="Times New Roman"/>
          <w:kern w:val="0"/>
          <w:szCs w:val="24"/>
          <w:lang w:val="en-GB"/>
        </w:rPr>
        <w:t>表</w:t>
      </w:r>
      <w:r>
        <w:rPr>
          <w:rFonts w:ascii="Times New Roman" w:hAnsi="Times New Roman"/>
          <w:kern w:val="0"/>
          <w:szCs w:val="24"/>
        </w:rPr>
        <w:t>3</w:t>
      </w:r>
      <w:r>
        <w:rPr>
          <w:rFonts w:ascii="Times New Roman" w:hAnsi="Times New Roman"/>
          <w:kern w:val="0"/>
          <w:szCs w:val="24"/>
          <w:lang w:val="en-GB"/>
        </w:rPr>
        <w:t>.</w:t>
      </w:r>
      <w:r>
        <w:rPr>
          <w:rFonts w:ascii="Times New Roman" w:hAnsi="Times New Roman"/>
          <w:kern w:val="0"/>
          <w:szCs w:val="24"/>
        </w:rPr>
        <w:t>5-29</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5"/>
        <w:gridCol w:w="1857"/>
        <w:gridCol w:w="1857"/>
        <w:gridCol w:w="1859"/>
        <w:gridCol w:w="18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缀块类型</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R</w:t>
            </w:r>
            <w:r>
              <w:rPr>
                <w:rFonts w:ascii="Times New Roman" w:hAnsi="Times New Roman"/>
                <w:kern w:val="0"/>
                <w:sz w:val="21"/>
                <w:szCs w:val="21"/>
                <w:vertAlign w:val="subscript"/>
              </w:rPr>
              <w:t>d</w:t>
            </w:r>
            <w:r>
              <w:rPr>
                <w:rFonts w:ascii="Times New Roman" w:hAnsi="Times New Roman"/>
                <w:kern w:val="0"/>
                <w:sz w:val="21"/>
                <w:szCs w:val="21"/>
              </w:rPr>
              <w:t>（%）</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R</w:t>
            </w:r>
            <w:r>
              <w:rPr>
                <w:rFonts w:ascii="Times New Roman" w:hAnsi="Times New Roman"/>
                <w:kern w:val="0"/>
                <w:sz w:val="21"/>
                <w:szCs w:val="21"/>
                <w:vertAlign w:val="subscript"/>
              </w:rPr>
              <w:t>f</w:t>
            </w:r>
            <w:r>
              <w:rPr>
                <w:rFonts w:ascii="Times New Roman" w:hAnsi="Times New Roman"/>
                <w:kern w:val="0"/>
                <w:sz w:val="21"/>
                <w:szCs w:val="21"/>
              </w:rPr>
              <w:t>（%）</w:t>
            </w:r>
          </w:p>
        </w:tc>
        <w:tc>
          <w:tcPr>
            <w:tcW w:w="185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L</w:t>
            </w:r>
            <w:r>
              <w:rPr>
                <w:rFonts w:ascii="Times New Roman" w:hAnsi="Times New Roman"/>
                <w:kern w:val="0"/>
                <w:sz w:val="21"/>
                <w:szCs w:val="21"/>
                <w:vertAlign w:val="subscript"/>
              </w:rPr>
              <w:t>p</w:t>
            </w:r>
            <w:r>
              <w:rPr>
                <w:rFonts w:ascii="Times New Roman" w:hAnsi="Times New Roman"/>
                <w:kern w:val="0"/>
                <w:sz w:val="21"/>
                <w:szCs w:val="21"/>
              </w:rPr>
              <w:t>（%）</w:t>
            </w:r>
          </w:p>
        </w:tc>
        <w:tc>
          <w:tcPr>
            <w:tcW w:w="1859"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D</w:t>
            </w:r>
            <w:r>
              <w:rPr>
                <w:rFonts w:ascii="Times New Roman" w:hAnsi="Times New Roman"/>
                <w:kern w:val="0"/>
                <w:sz w:val="21"/>
                <w:szCs w:val="21"/>
                <w:vertAlign w:val="subscript"/>
              </w:rPr>
              <w:t>o</w:t>
            </w: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耕地</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11.71</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57.53</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5.03</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19.82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林地</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13.99</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98.69</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39.91</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草地</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17.26</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98.13</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40.91</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交通运输用地</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2.93</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86.44</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1.73</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水域</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46.80</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27.32</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3.13</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城镇村</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4.53</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58.65</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0.89</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5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其他土地</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2.78</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20.39</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1.43</w:t>
            </w:r>
          </w:p>
        </w:tc>
        <w:tc>
          <w:tcPr>
            <w:tcW w:w="185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6.51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287" w:type="dxa"/>
            <w:gridSpan w:val="5"/>
            <w:shd w:val="clear" w:color="auto" w:fill="auto"/>
            <w:vAlign w:val="center"/>
          </w:tcPr>
          <w:p>
            <w:pPr>
              <w:widowControl/>
              <w:rPr>
                <w:rFonts w:ascii="Times New Roman" w:hAnsi="Times New Roman"/>
                <w:kern w:val="0"/>
                <w:sz w:val="21"/>
                <w:szCs w:val="21"/>
              </w:rPr>
            </w:pPr>
            <w:r>
              <w:rPr>
                <w:rFonts w:ascii="Times New Roman" w:hAnsi="Times New Roman" w:eastAsia="等线"/>
                <w:sz w:val="21"/>
                <w:szCs w:val="21"/>
              </w:rPr>
              <w:t>注：Rd —</w:t>
            </w:r>
            <w:r>
              <w:rPr>
                <w:rFonts w:ascii="Times New Roman" w:hAnsi="Times New Roman"/>
                <w:sz w:val="21"/>
                <w:szCs w:val="21"/>
              </w:rPr>
              <w:t>密度；</w:t>
            </w:r>
            <w:r>
              <w:rPr>
                <w:rFonts w:ascii="Times New Roman" w:hAnsi="Times New Roman" w:eastAsia="等线"/>
                <w:sz w:val="21"/>
                <w:szCs w:val="21"/>
              </w:rPr>
              <w:t>Rf —</w:t>
            </w:r>
            <w:r>
              <w:rPr>
                <w:rFonts w:ascii="Times New Roman" w:hAnsi="Times New Roman"/>
                <w:sz w:val="21"/>
                <w:szCs w:val="21"/>
              </w:rPr>
              <w:t>频率；</w:t>
            </w:r>
            <w:r>
              <w:rPr>
                <w:rFonts w:ascii="Times New Roman" w:hAnsi="Times New Roman" w:eastAsia="等线"/>
                <w:sz w:val="21"/>
                <w:szCs w:val="21"/>
              </w:rPr>
              <w:t>Lp—</w:t>
            </w:r>
            <w:r>
              <w:rPr>
                <w:rFonts w:ascii="Times New Roman" w:hAnsi="Times New Roman"/>
                <w:sz w:val="21"/>
                <w:szCs w:val="21"/>
              </w:rPr>
              <w:t>景观比率；</w:t>
            </w:r>
            <w:r>
              <w:rPr>
                <w:rFonts w:ascii="Times New Roman" w:hAnsi="Times New Roman" w:eastAsia="等线"/>
                <w:sz w:val="21"/>
                <w:szCs w:val="21"/>
              </w:rPr>
              <w:t>Do—</w:t>
            </w:r>
            <w:r>
              <w:rPr>
                <w:rFonts w:ascii="Times New Roman" w:hAnsi="Times New Roman"/>
                <w:sz w:val="21"/>
                <w:szCs w:val="21"/>
              </w:rPr>
              <w:t>优势度</w:t>
            </w:r>
          </w:p>
        </w:tc>
      </w:tr>
    </w:tbl>
    <w:p>
      <w:pPr>
        <w:spacing w:before="120" w:beforeLines="50" w:line="440" w:lineRule="exact"/>
        <w:ind w:firstLine="480" w:firstLineChars="200"/>
        <w:rPr>
          <w:rFonts w:ascii="Times New Roman" w:hAnsi="Times New Roman"/>
          <w:szCs w:val="24"/>
        </w:rPr>
      </w:pPr>
      <w:r>
        <w:rPr>
          <w:rFonts w:ascii="Times New Roman" w:hAnsi="Times New Roman"/>
          <w:szCs w:val="24"/>
        </w:rPr>
        <w:t>由上表数据可知，评价区内林地和草地是环境资源斑块中对生态环境质量调控能力最强的高亚稳定性元素类型，其中草地优势度最高，达到了49.30%，林地次之，优势度达到48.12%。此外，交通运输用地和水域的优势度也相对较高分别为23.20%和20.09%。可以看出评价区地处草原区，虽然人类活动构成了区域的人为扰动，但还是以草原景观为主，其他斑块镶嵌其中。</w:t>
      </w:r>
    </w:p>
    <w:p>
      <w:pPr>
        <w:pStyle w:val="5"/>
        <w:adjustRightInd w:val="0"/>
        <w:snapToGrid w:val="0"/>
        <w:spacing w:before="0" w:after="0" w:line="440" w:lineRule="exact"/>
        <w:rPr>
          <w:b w:val="0"/>
          <w:bCs/>
          <w:kern w:val="0"/>
          <w:szCs w:val="32"/>
        </w:rPr>
      </w:pPr>
      <w:r>
        <w:rPr>
          <w:bCs/>
          <w:kern w:val="0"/>
          <w:sz w:val="24"/>
          <w:szCs w:val="32"/>
        </w:rPr>
        <w:t>3.5.4 生态敏感目标调查与评价</w:t>
      </w:r>
    </w:p>
    <w:p>
      <w:pPr>
        <w:keepNext/>
        <w:keepLines/>
        <w:adjustRightInd w:val="0"/>
        <w:snapToGrid w:val="0"/>
        <w:spacing w:line="440" w:lineRule="exact"/>
        <w:outlineLvl w:val="3"/>
        <w:rPr>
          <w:rFonts w:ascii="Times New Roman" w:hAnsi="Times New Roman"/>
          <w:b/>
          <w:szCs w:val="24"/>
        </w:rPr>
      </w:pPr>
      <w:r>
        <w:rPr>
          <w:rFonts w:ascii="Times New Roman" w:hAnsi="Times New Roman"/>
          <w:b/>
          <w:szCs w:val="24"/>
        </w:rPr>
        <w:t>3.5.4.1 永久基本农田</w:t>
      </w:r>
    </w:p>
    <w:p>
      <w:pPr>
        <w:spacing w:line="440" w:lineRule="exact"/>
        <w:ind w:firstLine="480" w:firstLineChars="200"/>
        <w:rPr>
          <w:rFonts w:ascii="Times New Roman" w:hAnsi="Times New Roman"/>
        </w:rPr>
      </w:pPr>
      <w:r>
        <w:rPr>
          <w:rFonts w:ascii="Times New Roman" w:hAnsi="Times New Roman"/>
        </w:rPr>
        <w:t>（1）分布情况</w:t>
      </w:r>
    </w:p>
    <w:p>
      <w:pPr>
        <w:spacing w:line="440" w:lineRule="exact"/>
        <w:ind w:firstLine="480" w:firstLineChars="200"/>
        <w:rPr>
          <w:rFonts w:ascii="Times New Roman" w:hAnsi="Times New Roman"/>
        </w:rPr>
      </w:pPr>
      <w:r>
        <w:rPr>
          <w:rFonts w:ascii="Times New Roman" w:hAnsi="Times New Roman"/>
          <w:bCs/>
          <w:kern w:val="0"/>
        </w:rPr>
        <w:t>根据收集到的土地利用三调数据，评价区内永久基本农田面积36.07km</w:t>
      </w:r>
      <w:r>
        <w:rPr>
          <w:rFonts w:ascii="Times New Roman" w:hAnsi="Times New Roman"/>
          <w:bCs/>
          <w:kern w:val="0"/>
          <w:vertAlign w:val="superscript"/>
        </w:rPr>
        <w:t>2</w:t>
      </w:r>
      <w:r>
        <w:rPr>
          <w:rFonts w:ascii="Times New Roman" w:hAnsi="Times New Roman"/>
          <w:bCs/>
          <w:kern w:val="0"/>
        </w:rPr>
        <w:t>，其中水浇地27.51km</w:t>
      </w:r>
      <w:r>
        <w:rPr>
          <w:rFonts w:ascii="Times New Roman" w:hAnsi="Times New Roman"/>
          <w:bCs/>
          <w:kern w:val="0"/>
          <w:vertAlign w:val="superscript"/>
        </w:rPr>
        <w:t>2</w:t>
      </w:r>
      <w:r>
        <w:rPr>
          <w:rFonts w:ascii="Times New Roman" w:hAnsi="Times New Roman"/>
          <w:bCs/>
          <w:kern w:val="0"/>
        </w:rPr>
        <w:t>，旱地8.56km</w:t>
      </w:r>
      <w:r>
        <w:rPr>
          <w:rFonts w:ascii="Times New Roman" w:hAnsi="Times New Roman"/>
          <w:bCs/>
          <w:kern w:val="0"/>
          <w:vertAlign w:val="superscript"/>
        </w:rPr>
        <w:t>2</w:t>
      </w:r>
      <w:r>
        <w:rPr>
          <w:rFonts w:ascii="Times New Roman" w:hAnsi="Times New Roman"/>
          <w:bCs/>
          <w:kern w:val="0"/>
        </w:rPr>
        <w:t>；矿区内永久基本农田面积28.85km</w:t>
      </w:r>
      <w:r>
        <w:rPr>
          <w:rFonts w:ascii="Times New Roman" w:hAnsi="Times New Roman"/>
          <w:bCs/>
          <w:kern w:val="0"/>
          <w:vertAlign w:val="superscript"/>
        </w:rPr>
        <w:t>2</w:t>
      </w:r>
      <w:r>
        <w:rPr>
          <w:rFonts w:ascii="Times New Roman" w:hAnsi="Times New Roman"/>
          <w:bCs/>
          <w:kern w:val="0"/>
        </w:rPr>
        <w:t>，其中水浇地22.11km</w:t>
      </w:r>
      <w:r>
        <w:rPr>
          <w:rFonts w:ascii="Times New Roman" w:hAnsi="Times New Roman"/>
          <w:bCs/>
          <w:kern w:val="0"/>
          <w:vertAlign w:val="superscript"/>
        </w:rPr>
        <w:t>2</w:t>
      </w:r>
      <w:r>
        <w:rPr>
          <w:rFonts w:ascii="Times New Roman" w:hAnsi="Times New Roman"/>
          <w:bCs/>
          <w:kern w:val="0"/>
        </w:rPr>
        <w:t>，旱地6.75km</w:t>
      </w:r>
      <w:r>
        <w:rPr>
          <w:rFonts w:ascii="Times New Roman" w:hAnsi="Times New Roman"/>
          <w:bCs/>
          <w:kern w:val="0"/>
          <w:vertAlign w:val="superscript"/>
        </w:rPr>
        <w:t>2</w:t>
      </w:r>
      <w:r>
        <w:rPr>
          <w:rFonts w:ascii="Times New Roman" w:hAnsi="Times New Roman"/>
          <w:bCs/>
          <w:kern w:val="0"/>
        </w:rPr>
        <w:t>。</w:t>
      </w:r>
      <w:r>
        <w:rPr>
          <w:rFonts w:ascii="Times New Roman" w:hAnsi="Times New Roman"/>
        </w:rPr>
        <w:t>评价区及矿区内永久基本农田分布情况见图3.5-7。各井田永久基本农田分布面积见表3.5-30。</w:t>
      </w:r>
    </w:p>
    <w:p>
      <w:pPr>
        <w:spacing w:line="440" w:lineRule="exact"/>
        <w:jc w:val="center"/>
        <w:rPr>
          <w:rFonts w:ascii="Times New Roman" w:hAnsi="Times New Roman"/>
          <w:b/>
          <w:szCs w:val="24"/>
        </w:rPr>
      </w:pPr>
      <w:r>
        <w:rPr>
          <w:rFonts w:ascii="Times New Roman" w:hAnsi="Times New Roman"/>
          <w:b/>
          <w:szCs w:val="24"/>
        </w:rPr>
        <w:t>各井田内永久基本农田分布情况统计表</w:t>
      </w:r>
    </w:p>
    <w:p>
      <w:pPr>
        <w:widowControl/>
        <w:adjustRightInd w:val="0"/>
        <w:snapToGrid w:val="0"/>
        <w:spacing w:line="440" w:lineRule="exact"/>
        <w:outlineLvl w:val="4"/>
        <w:rPr>
          <w:rFonts w:ascii="Times New Roman" w:hAnsi="Times New Roman"/>
          <w:kern w:val="0"/>
          <w:szCs w:val="24"/>
        </w:rPr>
      </w:pPr>
      <w:r>
        <w:rPr>
          <w:rFonts w:ascii="Times New Roman" w:hAnsi="Times New Roman"/>
          <w:kern w:val="0"/>
          <w:szCs w:val="24"/>
          <w:lang w:val="en-GB"/>
        </w:rPr>
        <w:t>表</w:t>
      </w:r>
      <w:r>
        <w:rPr>
          <w:rFonts w:ascii="Times New Roman" w:hAnsi="Times New Roman"/>
          <w:kern w:val="0"/>
          <w:szCs w:val="24"/>
        </w:rPr>
        <w:t>3</w:t>
      </w:r>
      <w:r>
        <w:rPr>
          <w:rFonts w:ascii="Times New Roman" w:hAnsi="Times New Roman"/>
          <w:kern w:val="0"/>
          <w:szCs w:val="24"/>
          <w:lang w:val="en-GB"/>
        </w:rPr>
        <w:t>.</w:t>
      </w:r>
      <w:r>
        <w:rPr>
          <w:rFonts w:ascii="Times New Roman" w:hAnsi="Times New Roman"/>
          <w:kern w:val="0"/>
          <w:szCs w:val="24"/>
        </w:rPr>
        <w:t>5-30</w:t>
      </w:r>
    </w:p>
    <w:tbl>
      <w:tblPr>
        <w:tblStyle w:val="59"/>
        <w:tblW w:w="92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6"/>
        <w:gridCol w:w="2520"/>
        <w:gridCol w:w="1954"/>
        <w:gridCol w:w="21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6" w:type="dxa"/>
            <w:vMerge w:val="restart"/>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井田</w:t>
            </w:r>
          </w:p>
        </w:tc>
        <w:tc>
          <w:tcPr>
            <w:tcW w:w="6647" w:type="dxa"/>
            <w:gridSpan w:val="3"/>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永久基本农田面积（km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6" w:type="dxa"/>
            <w:vMerge w:val="continue"/>
            <w:shd w:val="clear" w:color="auto" w:fill="auto"/>
            <w:noWrap/>
            <w:vAlign w:val="center"/>
          </w:tcPr>
          <w:p>
            <w:pPr>
              <w:jc w:val="center"/>
              <w:rPr>
                <w:rFonts w:ascii="Times New Roman" w:hAnsi="Times New Roman"/>
                <w:sz w:val="21"/>
                <w:szCs w:val="21"/>
              </w:rPr>
            </w:pPr>
          </w:p>
        </w:tc>
        <w:tc>
          <w:tcPr>
            <w:tcW w:w="252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水浇地</w:t>
            </w:r>
          </w:p>
        </w:tc>
        <w:tc>
          <w:tcPr>
            <w:tcW w:w="1954"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旱地</w:t>
            </w:r>
          </w:p>
        </w:tc>
        <w:tc>
          <w:tcPr>
            <w:tcW w:w="2173"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6"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奎腾沟</w:t>
            </w:r>
          </w:p>
        </w:tc>
        <w:tc>
          <w:tcPr>
            <w:tcW w:w="252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0.35</w:t>
            </w:r>
          </w:p>
        </w:tc>
        <w:tc>
          <w:tcPr>
            <w:tcW w:w="1954"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0.05</w:t>
            </w:r>
          </w:p>
        </w:tc>
        <w:tc>
          <w:tcPr>
            <w:tcW w:w="2173"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6"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苏布尔嘎</w:t>
            </w:r>
          </w:p>
        </w:tc>
        <w:tc>
          <w:tcPr>
            <w:tcW w:w="252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0.35</w:t>
            </w:r>
          </w:p>
        </w:tc>
        <w:tc>
          <w:tcPr>
            <w:tcW w:w="1954" w:type="dxa"/>
            <w:shd w:val="clear" w:color="auto" w:fill="auto"/>
            <w:noWrap/>
            <w:vAlign w:val="center"/>
          </w:tcPr>
          <w:p>
            <w:pPr>
              <w:jc w:val="center"/>
              <w:rPr>
                <w:rFonts w:ascii="Times New Roman" w:hAnsi="Times New Roman"/>
                <w:sz w:val="21"/>
                <w:szCs w:val="21"/>
              </w:rPr>
            </w:pPr>
            <w:r>
              <w:rPr>
                <w:rFonts w:ascii="Times New Roman" w:hAnsi="Times New Roman"/>
                <w:sz w:val="21"/>
                <w:szCs w:val="21"/>
              </w:rPr>
              <w:t>/</w:t>
            </w:r>
          </w:p>
        </w:tc>
        <w:tc>
          <w:tcPr>
            <w:tcW w:w="2173"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6"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纳林希里</w:t>
            </w:r>
          </w:p>
        </w:tc>
        <w:tc>
          <w:tcPr>
            <w:tcW w:w="252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12.74</w:t>
            </w:r>
          </w:p>
        </w:tc>
        <w:tc>
          <w:tcPr>
            <w:tcW w:w="1954"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0.62</w:t>
            </w:r>
          </w:p>
        </w:tc>
        <w:tc>
          <w:tcPr>
            <w:tcW w:w="2173"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13.36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6"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壕赖苏</w:t>
            </w:r>
          </w:p>
        </w:tc>
        <w:tc>
          <w:tcPr>
            <w:tcW w:w="252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5.69</w:t>
            </w:r>
          </w:p>
        </w:tc>
        <w:tc>
          <w:tcPr>
            <w:tcW w:w="1954"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1.80</w:t>
            </w:r>
          </w:p>
        </w:tc>
        <w:tc>
          <w:tcPr>
            <w:tcW w:w="2173"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7.48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6"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勘查区</w:t>
            </w:r>
          </w:p>
        </w:tc>
        <w:tc>
          <w:tcPr>
            <w:tcW w:w="252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2.98</w:t>
            </w:r>
          </w:p>
        </w:tc>
        <w:tc>
          <w:tcPr>
            <w:tcW w:w="1954"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4.27</w:t>
            </w:r>
          </w:p>
        </w:tc>
        <w:tc>
          <w:tcPr>
            <w:tcW w:w="2173"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7.26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36"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合计</w:t>
            </w:r>
          </w:p>
        </w:tc>
        <w:tc>
          <w:tcPr>
            <w:tcW w:w="252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22.11</w:t>
            </w:r>
          </w:p>
        </w:tc>
        <w:tc>
          <w:tcPr>
            <w:tcW w:w="1954"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6.75</w:t>
            </w:r>
          </w:p>
        </w:tc>
        <w:tc>
          <w:tcPr>
            <w:tcW w:w="2173"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28.85</w:t>
            </w:r>
          </w:p>
        </w:tc>
      </w:tr>
    </w:tbl>
    <w:p>
      <w:pPr>
        <w:spacing w:line="440" w:lineRule="exact"/>
        <w:ind w:firstLine="480" w:firstLineChars="200"/>
        <w:rPr>
          <w:rFonts w:ascii="Times New Roman" w:hAnsi="Times New Roman"/>
        </w:rPr>
      </w:pPr>
      <w:r>
        <w:rPr>
          <w:rFonts w:ascii="Times New Roman" w:hAnsi="Times New Roman"/>
        </w:rPr>
        <w:t>（2）保护要求</w:t>
      </w:r>
    </w:p>
    <w:p>
      <w:pPr>
        <w:spacing w:line="440" w:lineRule="exact"/>
        <w:ind w:firstLine="480" w:firstLineChars="200"/>
        <w:rPr>
          <w:rFonts w:ascii="Times New Roman" w:hAnsi="Times New Roman"/>
        </w:rPr>
      </w:pPr>
      <w:r>
        <w:rPr>
          <w:rFonts w:ascii="Times New Roman" w:hAnsi="Times New Roman"/>
        </w:rPr>
        <w:t>根据《永久基本农田保护条例》（国务院令257号）和《关于全面实行永久基本农田特殊保护的通知》(国土资规[2018]1号)中的有关规定：永久基本农田必须坚持农地农用，禁止任何单位和个人在永久基本农田保护区范围内建窑、建房、建坟、挖沙、采石、采矿、取土、堆放固体废弃物或者进行其他破坏永久基本农田的活动；禁止任何单位和个人破坏永久基本农田耕作层；禁止任何单位和个人闲置、荒芜永久基本农田；禁止以</w:t>
      </w:r>
      <w:r>
        <w:fldChar w:fldCharType="begin"/>
      </w:r>
      <w:r>
        <w:instrText xml:space="preserve"> HYPERLINK "https://www.tuliu.com/gongying/sheshinongyongdi/" \t "https://www.tuliu.com/_blank" </w:instrText>
      </w:r>
      <w:r>
        <w:fldChar w:fldCharType="separate"/>
      </w:r>
      <w:r>
        <w:rPr>
          <w:rFonts w:ascii="Times New Roman" w:hAnsi="Times New Roman"/>
        </w:rPr>
        <w:t>设施农用地</w:t>
      </w:r>
      <w:r>
        <w:rPr>
          <w:rFonts w:ascii="Times New Roman" w:hAnsi="Times New Roman"/>
        </w:rPr>
        <w:fldChar w:fldCharType="end"/>
      </w:r>
      <w:r>
        <w:rPr>
          <w:rFonts w:ascii="Times New Roman" w:hAnsi="Times New Roman"/>
        </w:rPr>
        <w:t>为名违规占用永久基本农田建设休闲旅游、仓储</w:t>
      </w:r>
      <w:r>
        <w:fldChar w:fldCharType="begin"/>
      </w:r>
      <w:r>
        <w:instrText xml:space="preserve"> HYPERLINK "https://www.tuliu.com/gongying/changfang/" \t "https://www.tuliu.com/_blank" </w:instrText>
      </w:r>
      <w:r>
        <w:fldChar w:fldCharType="separate"/>
      </w:r>
      <w:r>
        <w:rPr>
          <w:rFonts w:ascii="Times New Roman" w:hAnsi="Times New Roman"/>
        </w:rPr>
        <w:t>厂房</w:t>
      </w:r>
      <w:r>
        <w:rPr>
          <w:rFonts w:ascii="Times New Roman" w:hAnsi="Times New Roman"/>
        </w:rPr>
        <w:fldChar w:fldCharType="end"/>
      </w:r>
      <w:r>
        <w:rPr>
          <w:rFonts w:ascii="Times New Roman" w:hAnsi="Times New Roman"/>
        </w:rPr>
        <w:t>等设施；对利用永久基本农田进行农业结构调整的要合理引导，不得对耕作层造成破坏。</w:t>
      </w:r>
    </w:p>
    <w:p>
      <w:pPr>
        <w:spacing w:line="440" w:lineRule="exact"/>
        <w:ind w:firstLine="480" w:firstLineChars="200"/>
        <w:rPr>
          <w:rFonts w:ascii="Times New Roman" w:hAnsi="Times New Roman"/>
        </w:rPr>
      </w:pPr>
      <w:r>
        <w:rPr>
          <w:rFonts w:ascii="Times New Roman" w:hAnsi="Times New Roman"/>
        </w:rPr>
        <w:t>根据《关于加强和改进永久基本农田保护工作的通知》（自然资规[2019]1号）的第三条第八款：处理好涉及永久基本农田的矿业权设置。全国矿产资源规划确定的战略性矿产，区分油气和非油气矿产、探矿和采矿阶段、露天和井下开采等情况，在保护永久基本农田的同时，做好矿产资源勘查和开发利用。非战略性矿产，申请新设矿业权，应避让永久基本农田，其中地热、矿泉水勘查开采，不造成永久基本农田损毁、塌陷破坏的，可申请新设矿业权。</w:t>
      </w:r>
    </w:p>
    <w:p>
      <w:pPr>
        <w:spacing w:line="440" w:lineRule="exact"/>
        <w:ind w:firstLine="480" w:firstLineChars="200"/>
        <w:rPr>
          <w:rFonts w:ascii="Times New Roman" w:hAnsi="Times New Roman"/>
        </w:rPr>
      </w:pPr>
      <w:r>
        <w:rPr>
          <w:rFonts w:ascii="Times New Roman" w:hAnsi="Times New Roman"/>
        </w:rPr>
        <w:t>矿业权申请人依法申请战略性矿产探矿权，开展地质勘查需临时用地的，应依法办理临时用地审批手续。石油、天然气、页岩气、煤层气等油气战略性矿产的地质勘查，经批准可临时占用永久基本农田布设探井。在试采和取得采矿权后转为开采井的，可直接依法办理农用地转用和土地征收审批手续，按规定补划永久基本农田。</w:t>
      </w:r>
    </w:p>
    <w:p>
      <w:pPr>
        <w:spacing w:line="440" w:lineRule="exact"/>
        <w:ind w:firstLine="480" w:firstLineChars="200"/>
        <w:rPr>
          <w:rFonts w:ascii="Times New Roman" w:hAnsi="Times New Roman"/>
        </w:rPr>
      </w:pPr>
      <w:r>
        <w:rPr>
          <w:rFonts w:ascii="Times New Roman" w:hAnsi="Times New Roman"/>
        </w:rPr>
        <w:t>煤炭等非油气战略性矿产，矿业权人申请采矿权涉及永久基本农田的，根据露天、井下开采方式实行差别化管理。对于露天方式开采，开采项目应符合占用永久基本农田重大建设项目用地要求；对于井下方式开采，矿产资源开发利用与生态保护修复方案应落实保护性开发措施。井下开采方式所配套建设的地面工业广场等设施，要符合占用永久基本农田重大建设项目用地要求。</w:t>
      </w:r>
    </w:p>
    <w:p>
      <w:pPr>
        <w:spacing w:line="440" w:lineRule="exact"/>
        <w:ind w:firstLine="480" w:firstLineChars="200"/>
        <w:rPr>
          <w:rFonts w:ascii="Times New Roman" w:hAnsi="Times New Roman"/>
          <w:szCs w:val="24"/>
        </w:rPr>
      </w:pPr>
      <w:r>
        <w:rPr>
          <w:rFonts w:ascii="Times New Roman" w:hAnsi="Times New Roman"/>
        </w:rPr>
        <w:t>已设矿业权与永久基本农田空间重叠的，各级地方自然资源主管部门要加强永久基本农田保护、土地复垦等日常监管，允许在原矿业权范围内办理延续变更等登记手续。已取得探矿权申请划定矿区范围或探矿权转采矿权的按上述煤炭等非油气战略性矿产管理规定执行。矿业权人申请扩大勘查区块范围或扩大矿区范围、申请将勘查或开采矿种由战略性矿产变更为非战略性矿产，涉及与永久基本农田空间重叠的，按新设矿业权处理。矿业权人不依法履行土地复垦义务的，不得批准新设矿业权，不得批准新的建设用地。</w:t>
      </w:r>
    </w:p>
    <w:p>
      <w:pPr>
        <w:keepNext/>
        <w:keepLines/>
        <w:adjustRightInd w:val="0"/>
        <w:snapToGrid w:val="0"/>
        <w:spacing w:line="440" w:lineRule="exact"/>
        <w:outlineLvl w:val="3"/>
        <w:rPr>
          <w:rFonts w:ascii="Times New Roman" w:hAnsi="Times New Roman"/>
          <w:b/>
          <w:szCs w:val="24"/>
        </w:rPr>
      </w:pPr>
      <w:r>
        <w:rPr>
          <w:rFonts w:ascii="Times New Roman" w:hAnsi="Times New Roman"/>
          <w:b/>
          <w:szCs w:val="24"/>
        </w:rPr>
        <w:t>3.5.4.2 公益林</w:t>
      </w:r>
    </w:p>
    <w:p>
      <w:pPr>
        <w:spacing w:line="440" w:lineRule="exact"/>
        <w:ind w:firstLine="480" w:firstLineChars="200"/>
        <w:rPr>
          <w:rFonts w:ascii="Times New Roman" w:hAnsi="Times New Roman"/>
        </w:rPr>
      </w:pPr>
      <w:r>
        <w:rPr>
          <w:rFonts w:ascii="Times New Roman" w:hAnsi="Times New Roman"/>
        </w:rPr>
        <w:t>（1）分布情况</w:t>
      </w:r>
    </w:p>
    <w:p>
      <w:pPr>
        <w:spacing w:line="440" w:lineRule="exact"/>
        <w:ind w:firstLine="480" w:firstLineChars="200"/>
        <w:rPr>
          <w:rFonts w:ascii="Times New Roman" w:hAnsi="Times New Roman"/>
        </w:rPr>
      </w:pPr>
      <w:r>
        <w:rPr>
          <w:rFonts w:ascii="Times New Roman" w:hAnsi="Times New Roman"/>
          <w:bCs/>
          <w:kern w:val="0"/>
        </w:rPr>
        <w:t>根据林草局收集到的公益林林斑资料，评价区内国家级公益林面积304.60km</w:t>
      </w:r>
      <w:r>
        <w:rPr>
          <w:rFonts w:ascii="Times New Roman" w:hAnsi="Times New Roman"/>
          <w:bCs/>
          <w:kern w:val="0"/>
          <w:vertAlign w:val="superscript"/>
        </w:rPr>
        <w:t>2</w:t>
      </w:r>
      <w:r>
        <w:rPr>
          <w:rFonts w:ascii="Times New Roman" w:hAnsi="Times New Roman"/>
          <w:bCs/>
          <w:kern w:val="0"/>
        </w:rPr>
        <w:t>，其中一级国家级公益林9.98km</w:t>
      </w:r>
      <w:r>
        <w:rPr>
          <w:rFonts w:ascii="Times New Roman" w:hAnsi="Times New Roman"/>
          <w:bCs/>
          <w:kern w:val="0"/>
          <w:vertAlign w:val="superscript"/>
        </w:rPr>
        <w:t>2</w:t>
      </w:r>
      <w:r>
        <w:rPr>
          <w:rFonts w:ascii="Times New Roman" w:hAnsi="Times New Roman"/>
          <w:bCs/>
          <w:kern w:val="0"/>
        </w:rPr>
        <w:t>，二级国家级公益林294.62km</w:t>
      </w:r>
      <w:r>
        <w:rPr>
          <w:rFonts w:ascii="Times New Roman" w:hAnsi="Times New Roman"/>
          <w:bCs/>
          <w:kern w:val="0"/>
          <w:vertAlign w:val="superscript"/>
        </w:rPr>
        <w:t>2</w:t>
      </w:r>
      <w:r>
        <w:rPr>
          <w:rFonts w:ascii="Times New Roman" w:hAnsi="Times New Roman"/>
          <w:bCs/>
          <w:kern w:val="0"/>
        </w:rPr>
        <w:t>。矿区内国家级公益林面积191.29km</w:t>
      </w:r>
      <w:r>
        <w:rPr>
          <w:rFonts w:ascii="Times New Roman" w:hAnsi="Times New Roman"/>
          <w:bCs/>
          <w:kern w:val="0"/>
          <w:vertAlign w:val="superscript"/>
        </w:rPr>
        <w:t>2</w:t>
      </w:r>
      <w:r>
        <w:rPr>
          <w:rFonts w:ascii="Times New Roman" w:hAnsi="Times New Roman"/>
          <w:bCs/>
          <w:kern w:val="0"/>
        </w:rPr>
        <w:t>，全部为二级国家级公益林。</w:t>
      </w:r>
      <w:r>
        <w:rPr>
          <w:rFonts w:ascii="Times New Roman" w:hAnsi="Times New Roman"/>
        </w:rPr>
        <w:t>评价区及矿区内国家级公益林分布情况见图3.5-8。各井田公益林分布情况见表3.5-31。</w:t>
      </w:r>
    </w:p>
    <w:p>
      <w:pPr>
        <w:spacing w:line="440" w:lineRule="exact"/>
        <w:jc w:val="center"/>
        <w:rPr>
          <w:rFonts w:ascii="Times New Roman" w:hAnsi="Times New Roman"/>
          <w:b/>
          <w:szCs w:val="24"/>
        </w:rPr>
      </w:pPr>
      <w:r>
        <w:rPr>
          <w:rFonts w:ascii="Times New Roman" w:hAnsi="Times New Roman"/>
          <w:b/>
          <w:szCs w:val="24"/>
        </w:rPr>
        <w:t>各井田内公益林分布情况统计表</w:t>
      </w:r>
    </w:p>
    <w:p>
      <w:pPr>
        <w:widowControl/>
        <w:adjustRightInd w:val="0"/>
        <w:snapToGrid w:val="0"/>
        <w:spacing w:line="440" w:lineRule="exact"/>
        <w:outlineLvl w:val="4"/>
        <w:rPr>
          <w:rFonts w:ascii="Times New Roman" w:hAnsi="Times New Roman"/>
          <w:kern w:val="0"/>
          <w:szCs w:val="24"/>
        </w:rPr>
      </w:pPr>
      <w:r>
        <w:rPr>
          <w:rFonts w:ascii="Times New Roman" w:hAnsi="Times New Roman"/>
          <w:kern w:val="0"/>
          <w:szCs w:val="24"/>
          <w:lang w:val="en-GB"/>
        </w:rPr>
        <w:t>表</w:t>
      </w:r>
      <w:r>
        <w:rPr>
          <w:rFonts w:ascii="Times New Roman" w:hAnsi="Times New Roman"/>
          <w:kern w:val="0"/>
          <w:szCs w:val="24"/>
        </w:rPr>
        <w:t>3</w:t>
      </w:r>
      <w:r>
        <w:rPr>
          <w:rFonts w:ascii="Times New Roman" w:hAnsi="Times New Roman"/>
          <w:kern w:val="0"/>
          <w:szCs w:val="24"/>
          <w:lang w:val="en-GB"/>
        </w:rPr>
        <w:t>.</w:t>
      </w:r>
      <w:r>
        <w:rPr>
          <w:rFonts w:ascii="Times New Roman" w:hAnsi="Times New Roman"/>
          <w:kern w:val="0"/>
          <w:szCs w:val="24"/>
        </w:rPr>
        <w:t>5-31</w:t>
      </w:r>
    </w:p>
    <w:tbl>
      <w:tblPr>
        <w:tblStyle w:val="59"/>
        <w:tblW w:w="87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7"/>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井 田</w:t>
            </w:r>
          </w:p>
        </w:tc>
        <w:tc>
          <w:tcPr>
            <w:tcW w:w="436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二级国家级公益林面积（km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奎腾沟</w:t>
            </w:r>
          </w:p>
        </w:tc>
        <w:tc>
          <w:tcPr>
            <w:tcW w:w="436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53.79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苏布尔嘎</w:t>
            </w:r>
          </w:p>
        </w:tc>
        <w:tc>
          <w:tcPr>
            <w:tcW w:w="436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11.83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纳林希里</w:t>
            </w:r>
          </w:p>
        </w:tc>
        <w:tc>
          <w:tcPr>
            <w:tcW w:w="436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壕赖苏</w:t>
            </w:r>
          </w:p>
        </w:tc>
        <w:tc>
          <w:tcPr>
            <w:tcW w:w="436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33.45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7"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勘查区</w:t>
            </w:r>
          </w:p>
        </w:tc>
        <w:tc>
          <w:tcPr>
            <w:tcW w:w="436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69.02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7" w:type="dxa"/>
            <w:shd w:val="clear" w:color="auto" w:fill="auto"/>
            <w:noWrap/>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合计</w:t>
            </w:r>
          </w:p>
        </w:tc>
        <w:tc>
          <w:tcPr>
            <w:tcW w:w="4360"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191.29</w:t>
            </w:r>
          </w:p>
        </w:tc>
      </w:tr>
    </w:tbl>
    <w:p>
      <w:pPr>
        <w:spacing w:line="440" w:lineRule="exact"/>
        <w:ind w:firstLine="480" w:firstLineChars="200"/>
        <w:rPr>
          <w:rFonts w:ascii="Times New Roman" w:hAnsi="Times New Roman"/>
        </w:rPr>
      </w:pPr>
      <w:r>
        <w:rPr>
          <w:rFonts w:ascii="Times New Roman" w:hAnsi="Times New Roman"/>
        </w:rPr>
        <w:t>（2）保护要求</w:t>
      </w:r>
    </w:p>
    <w:p>
      <w:pPr>
        <w:spacing w:line="440" w:lineRule="exact"/>
        <w:ind w:firstLine="480" w:firstLineChars="200"/>
        <w:rPr>
          <w:rFonts w:ascii="Times New Roman" w:hAnsi="Times New Roman"/>
        </w:rPr>
      </w:pPr>
      <w:r>
        <w:rPr>
          <w:rFonts w:ascii="Times New Roman" w:hAnsi="Times New Roman"/>
        </w:rPr>
        <w:t>根据《内蒙古自治区公益林管理办法》（内蒙古自治区人民政府令[2007]152号）第十五条的规定，在公益林内禁止从事砍柴、狩猎、放牧；挖砂、取土和开山采石；野外用火；排放污染物和堆放固体废物等活动。</w:t>
      </w:r>
    </w:p>
    <w:p>
      <w:pPr>
        <w:spacing w:line="440" w:lineRule="exact"/>
        <w:ind w:firstLine="480" w:firstLineChars="200"/>
        <w:rPr>
          <w:rFonts w:ascii="Times New Roman" w:hAnsi="Times New Roman"/>
          <w:szCs w:val="24"/>
        </w:rPr>
      </w:pPr>
      <w:r>
        <w:rPr>
          <w:rFonts w:ascii="Times New Roman" w:hAnsi="Times New Roman"/>
        </w:rPr>
        <w:t>根据《国家级公益林管理办法》（林资发[2013]71号）第九条，严格控制勘查、开采矿藏和工程建设使用国家级公益林地。确需使用的，严格按照《建设项目使用林地审核审批管理办法》有关规定办理使用林地手续。涉及林木采伐的，按相关规定依法办理林木采伐手续。</w:t>
      </w:r>
    </w:p>
    <w:p>
      <w:pPr>
        <w:keepNext/>
        <w:keepLines/>
        <w:adjustRightInd w:val="0"/>
        <w:snapToGrid w:val="0"/>
        <w:spacing w:line="440" w:lineRule="exact"/>
        <w:outlineLvl w:val="3"/>
        <w:rPr>
          <w:rFonts w:ascii="Times New Roman" w:hAnsi="Times New Roman"/>
          <w:b/>
          <w:szCs w:val="24"/>
        </w:rPr>
      </w:pPr>
      <w:r>
        <w:rPr>
          <w:rFonts w:ascii="Times New Roman" w:hAnsi="Times New Roman"/>
          <w:b/>
          <w:szCs w:val="24"/>
        </w:rPr>
        <w:t>3.5.4.3 基本草原</w:t>
      </w:r>
    </w:p>
    <w:p>
      <w:pPr>
        <w:spacing w:line="440" w:lineRule="exact"/>
        <w:ind w:firstLine="480" w:firstLineChars="200"/>
        <w:rPr>
          <w:rFonts w:ascii="Times New Roman" w:hAnsi="Times New Roman"/>
        </w:rPr>
      </w:pPr>
      <w:r>
        <w:rPr>
          <w:rFonts w:ascii="Times New Roman" w:hAnsi="Times New Roman"/>
        </w:rPr>
        <w:t>（1）分布情况</w:t>
      </w:r>
    </w:p>
    <w:p>
      <w:pPr>
        <w:spacing w:line="440" w:lineRule="exact"/>
        <w:ind w:firstLine="480" w:firstLineChars="200"/>
        <w:rPr>
          <w:rFonts w:ascii="Times New Roman" w:hAnsi="Times New Roman"/>
        </w:rPr>
      </w:pPr>
      <w:r>
        <w:rPr>
          <w:rFonts w:ascii="Times New Roman" w:hAnsi="Times New Roman"/>
          <w:bCs/>
          <w:kern w:val="0"/>
        </w:rPr>
        <w:t>根据林草局收集到的基本草原资料，评价区内基本草原面积267.37km</w:t>
      </w:r>
      <w:r>
        <w:rPr>
          <w:rFonts w:ascii="Times New Roman" w:hAnsi="Times New Roman"/>
          <w:bCs/>
          <w:kern w:val="0"/>
          <w:vertAlign w:val="superscript"/>
        </w:rPr>
        <w:t>2</w:t>
      </w:r>
      <w:r>
        <w:rPr>
          <w:rFonts w:ascii="Times New Roman" w:hAnsi="Times New Roman"/>
          <w:bCs/>
          <w:kern w:val="0"/>
        </w:rPr>
        <w:t>，矿区内基本草原面积184.83km</w:t>
      </w:r>
      <w:r>
        <w:rPr>
          <w:rFonts w:ascii="Times New Roman" w:hAnsi="Times New Roman"/>
          <w:bCs/>
          <w:kern w:val="0"/>
          <w:vertAlign w:val="superscript"/>
        </w:rPr>
        <w:t>2</w:t>
      </w:r>
      <w:r>
        <w:rPr>
          <w:rFonts w:ascii="Times New Roman" w:hAnsi="Times New Roman"/>
          <w:bCs/>
          <w:kern w:val="0"/>
        </w:rPr>
        <w:t>。</w:t>
      </w:r>
      <w:r>
        <w:rPr>
          <w:rFonts w:ascii="Times New Roman" w:hAnsi="Times New Roman"/>
        </w:rPr>
        <w:t>评价区及矿区内基本草原分布情况见图3.5-9。</w:t>
      </w:r>
    </w:p>
    <w:p>
      <w:pPr>
        <w:spacing w:line="440" w:lineRule="exact"/>
        <w:ind w:firstLine="480" w:firstLineChars="200"/>
        <w:rPr>
          <w:rFonts w:ascii="Times New Roman" w:hAnsi="Times New Roman"/>
        </w:rPr>
      </w:pPr>
      <w:r>
        <w:rPr>
          <w:rFonts w:ascii="Times New Roman" w:hAnsi="Times New Roman"/>
        </w:rPr>
        <w:t>各井田基本草原分布情况见表3.5-32。</w:t>
      </w:r>
    </w:p>
    <w:p>
      <w:pPr>
        <w:spacing w:line="440" w:lineRule="exact"/>
        <w:jc w:val="center"/>
        <w:rPr>
          <w:rFonts w:ascii="Times New Roman" w:hAnsi="Times New Roman"/>
          <w:b/>
          <w:szCs w:val="24"/>
        </w:rPr>
      </w:pPr>
      <w:r>
        <w:rPr>
          <w:rFonts w:ascii="Times New Roman" w:hAnsi="Times New Roman"/>
          <w:b/>
          <w:szCs w:val="24"/>
        </w:rPr>
        <w:t>各井田内基本草原分布情况统计表</w:t>
      </w:r>
    </w:p>
    <w:p>
      <w:pPr>
        <w:widowControl/>
        <w:adjustRightInd w:val="0"/>
        <w:snapToGrid w:val="0"/>
        <w:spacing w:line="440" w:lineRule="exact"/>
        <w:ind w:firstLine="480" w:firstLineChars="200"/>
        <w:outlineLvl w:val="4"/>
        <w:rPr>
          <w:rFonts w:ascii="Times New Roman" w:hAnsi="Times New Roman"/>
          <w:kern w:val="0"/>
          <w:szCs w:val="24"/>
        </w:rPr>
      </w:pPr>
      <w:r>
        <w:rPr>
          <w:rFonts w:ascii="Times New Roman" w:hAnsi="Times New Roman"/>
          <w:kern w:val="0"/>
          <w:szCs w:val="24"/>
          <w:lang w:val="en-GB"/>
        </w:rPr>
        <w:t>表</w:t>
      </w:r>
      <w:r>
        <w:rPr>
          <w:rFonts w:ascii="Times New Roman" w:hAnsi="Times New Roman"/>
          <w:kern w:val="0"/>
          <w:szCs w:val="24"/>
        </w:rPr>
        <w:t>3</w:t>
      </w:r>
      <w:r>
        <w:rPr>
          <w:rFonts w:ascii="Times New Roman" w:hAnsi="Times New Roman"/>
          <w:kern w:val="0"/>
          <w:szCs w:val="24"/>
          <w:lang w:val="en-GB"/>
        </w:rPr>
        <w:t>.</w:t>
      </w:r>
      <w:r>
        <w:rPr>
          <w:rFonts w:ascii="Times New Roman" w:hAnsi="Times New Roman"/>
          <w:kern w:val="0"/>
          <w:szCs w:val="24"/>
        </w:rPr>
        <w:t>5-32</w:t>
      </w:r>
    </w:p>
    <w:tbl>
      <w:tblPr>
        <w:tblStyle w:val="59"/>
        <w:tblW w:w="8646"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7"/>
        <w:gridCol w:w="4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井 田</w:t>
            </w:r>
          </w:p>
        </w:tc>
        <w:tc>
          <w:tcPr>
            <w:tcW w:w="42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基本草原面积（km</w:t>
            </w:r>
            <w:r>
              <w:rPr>
                <w:rFonts w:ascii="Times New Roman" w:hAnsi="Times New Roman"/>
                <w:kern w:val="0"/>
                <w:sz w:val="21"/>
                <w:szCs w:val="21"/>
                <w:vertAlign w:val="superscript"/>
                <w:lang w:bidi="ar"/>
              </w:rPr>
              <w:t>2</w:t>
            </w:r>
            <w:r>
              <w:rPr>
                <w:rFonts w:ascii="Times New Roman" w:hAnsi="Times New Roman"/>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奎腾沟</w:t>
            </w:r>
          </w:p>
        </w:tc>
        <w:tc>
          <w:tcPr>
            <w:tcW w:w="42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苏布尔嘎</w:t>
            </w:r>
          </w:p>
        </w:tc>
        <w:tc>
          <w:tcPr>
            <w:tcW w:w="42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53.31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纳林希里</w:t>
            </w:r>
          </w:p>
        </w:tc>
        <w:tc>
          <w:tcPr>
            <w:tcW w:w="42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29.24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壕赖苏</w:t>
            </w:r>
          </w:p>
        </w:tc>
        <w:tc>
          <w:tcPr>
            <w:tcW w:w="42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22.80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勘查区</w:t>
            </w:r>
          </w:p>
        </w:tc>
        <w:tc>
          <w:tcPr>
            <w:tcW w:w="42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39.35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427"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合计</w:t>
            </w:r>
          </w:p>
        </w:tc>
        <w:tc>
          <w:tcPr>
            <w:tcW w:w="4219" w:type="dxa"/>
            <w:shd w:val="clear" w:color="auto" w:fill="auto"/>
            <w:noWrap/>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184.83</w:t>
            </w:r>
          </w:p>
        </w:tc>
      </w:tr>
    </w:tbl>
    <w:p>
      <w:pPr>
        <w:spacing w:before="120" w:beforeLines="50" w:line="440" w:lineRule="exact"/>
        <w:ind w:firstLine="480" w:firstLineChars="200"/>
        <w:rPr>
          <w:rFonts w:ascii="Times New Roman" w:hAnsi="Times New Roman"/>
        </w:rPr>
      </w:pPr>
      <w:r>
        <w:rPr>
          <w:rFonts w:ascii="Times New Roman" w:hAnsi="Times New Roman"/>
        </w:rPr>
        <w:t>（2）保护要求</w:t>
      </w:r>
    </w:p>
    <w:p>
      <w:pPr>
        <w:spacing w:line="440" w:lineRule="exact"/>
        <w:ind w:firstLine="480" w:firstLineChars="200"/>
        <w:rPr>
          <w:rFonts w:ascii="Times New Roman" w:hAnsi="Times New Roman"/>
          <w:bCs/>
          <w:kern w:val="0"/>
        </w:rPr>
      </w:pPr>
      <w:r>
        <w:rPr>
          <w:rFonts w:ascii="Times New Roman" w:hAnsi="Times New Roman"/>
          <w:bCs/>
          <w:kern w:val="0"/>
        </w:rPr>
        <w:t>根据《内蒙古自治区基本草原保护条例》，第十五条，禁止在基本草原上实施下列行为：(一)开垦基本草原；(二)擅自改变基本草原用途；(三)毁坏围栏、人畜饮水设施等草原建设保护设施；(四)擅自钻井提取工业用水；(五)挖鱼塘、挖沟渠、铲草皮、挖草炭等破坏草原植被的行为；(六)建造坟墓；(七)违反环境保护法律、法规倾倒排放固体、液体、气体废物和生活垃圾或者造成环境噪声污染、粉尘污染、放射性污染、电磁波辐射污染；(八)其他破坏基本草原的行为。第十八条，进行矿藏开采和工程建设确需征收、征用或者使用基本草原的，必须经自治区以上人民政府草原行政主管部门审核同意后，依照有关土地管理的法律、行政法规办理建设用地审批手续。征收、征用或者使用基本草原的查验工作，由自治区草原监督管理机构负责组织实施。第十九条，在基本草原上进行勘探、钻井、修筑地上地下工程、采土、采砂、采石、开采矿产资源等作业活动临时占用基本草原不足2公顷的，由旗县级人民政府草原行政主管部门审核同意；2公顷以上不足30公顷的，由盟行政公署、设区的市人民政府草原行政主管部门审核同意；30公顷以上的，由自治区人民政府草原行政主管部门审核同意。临时占用基本草原的期限不得超过二年，并不得在临时占用的基本草原上修建永久性建筑物、构筑物。</w:t>
      </w:r>
    </w:p>
    <w:p>
      <w:pPr>
        <w:keepNext/>
        <w:keepLines/>
        <w:adjustRightInd w:val="0"/>
        <w:snapToGrid w:val="0"/>
        <w:spacing w:line="440" w:lineRule="exact"/>
        <w:outlineLvl w:val="2"/>
        <w:rPr>
          <w:rFonts w:ascii="Times New Roman" w:hAnsi="Times New Roman"/>
          <w:bCs/>
          <w:kern w:val="0"/>
          <w:sz w:val="32"/>
          <w:szCs w:val="32"/>
        </w:rPr>
      </w:pPr>
      <w:r>
        <w:rPr>
          <w:rFonts w:ascii="Times New Roman" w:hAnsi="Times New Roman"/>
          <w:b/>
          <w:bCs/>
          <w:kern w:val="0"/>
          <w:szCs w:val="32"/>
        </w:rPr>
        <w:t>3.5.5 生态</w:t>
      </w:r>
      <w:r>
        <w:rPr>
          <w:rFonts w:hint="eastAsia" w:ascii="Times New Roman" w:hAnsi="Times New Roman"/>
          <w:b/>
          <w:bCs/>
          <w:kern w:val="0"/>
          <w:szCs w:val="32"/>
        </w:rPr>
        <w:t>环境质量变化情况</w:t>
      </w:r>
    </w:p>
    <w:p>
      <w:pPr>
        <w:spacing w:line="440" w:lineRule="exact"/>
        <w:ind w:firstLine="480" w:firstLineChars="200"/>
        <w:rPr>
          <w:rFonts w:ascii="Times New Roman" w:hAnsi="Times New Roman"/>
          <w:szCs w:val="24"/>
        </w:rPr>
      </w:pPr>
      <w:r>
        <w:rPr>
          <w:rFonts w:ascii="Times New Roman" w:hAnsi="Times New Roman"/>
          <w:szCs w:val="24"/>
        </w:rPr>
        <w:t>纳林希里矿区行政区划隶属于内蒙古自治区鄂尔多斯市伊金霍洛旗</w:t>
      </w:r>
      <w:r>
        <w:rPr>
          <w:rFonts w:hint="eastAsia" w:ascii="Times New Roman" w:hAnsi="Times New Roman"/>
          <w:szCs w:val="24"/>
        </w:rPr>
        <w:t>和</w:t>
      </w:r>
      <w:r>
        <w:rPr>
          <w:rFonts w:ascii="Times New Roman" w:hAnsi="Times New Roman"/>
          <w:szCs w:val="24"/>
        </w:rPr>
        <w:t>杭锦旗。</w:t>
      </w:r>
      <w:r>
        <w:rPr>
          <w:rFonts w:hint="eastAsia" w:ascii="Times New Roman" w:hAnsi="Times New Roman"/>
          <w:szCs w:val="24"/>
        </w:rPr>
        <w:t>根据《2</w:t>
      </w:r>
      <w:r>
        <w:rPr>
          <w:rFonts w:ascii="Times New Roman" w:hAnsi="Times New Roman"/>
          <w:szCs w:val="24"/>
        </w:rPr>
        <w:t>021</w:t>
      </w:r>
      <w:r>
        <w:rPr>
          <w:rFonts w:hint="eastAsia" w:ascii="Times New Roman" w:hAnsi="Times New Roman"/>
          <w:szCs w:val="24"/>
        </w:rPr>
        <w:t>年鄂尔多斯市环境质量报告》，</w:t>
      </w:r>
      <w:r>
        <w:rPr>
          <w:rFonts w:ascii="Times New Roman" w:hAnsi="Times New Roman"/>
          <w:szCs w:val="24"/>
        </w:rPr>
        <w:t>2021年</w:t>
      </w:r>
      <w:r>
        <w:rPr>
          <w:rFonts w:hint="eastAsia" w:ascii="Times New Roman" w:hAnsi="Times New Roman"/>
          <w:szCs w:val="24"/>
        </w:rPr>
        <w:t>鄂尔多斯</w:t>
      </w:r>
      <w:r>
        <w:rPr>
          <w:rFonts w:ascii="Times New Roman" w:hAnsi="Times New Roman"/>
          <w:szCs w:val="24"/>
        </w:rPr>
        <w:t>市生态环境状况指数为35.52，生态环境状况属于一般。对比2020年，生态环境状况指数增加了0.79。从各旗区生态环境状况指数看，伊金霍洛旗生环境指数最好，其指数为43.52，其生态环境状况为一般</w:t>
      </w:r>
      <w:r>
        <w:rPr>
          <w:rFonts w:hint="eastAsia" w:ascii="Times New Roman" w:hAnsi="Times New Roman"/>
          <w:szCs w:val="24"/>
        </w:rPr>
        <w:t>；而杭锦旗</w:t>
      </w:r>
      <w:r>
        <w:rPr>
          <w:rFonts w:ascii="Times New Roman" w:hAnsi="Times New Roman"/>
          <w:szCs w:val="24"/>
        </w:rPr>
        <w:t>生态</w:t>
      </w:r>
      <w:r>
        <w:rPr>
          <w:rFonts w:hint="eastAsia" w:ascii="Times New Roman" w:hAnsi="Times New Roman"/>
          <w:szCs w:val="24"/>
        </w:rPr>
        <w:t>环境指数为3</w:t>
      </w:r>
      <w:r>
        <w:rPr>
          <w:rFonts w:ascii="Times New Roman" w:hAnsi="Times New Roman"/>
          <w:szCs w:val="24"/>
        </w:rPr>
        <w:t>1.86</w:t>
      </w:r>
      <w:r>
        <w:rPr>
          <w:rFonts w:hint="eastAsia" w:ascii="Times New Roman" w:hAnsi="Times New Roman"/>
          <w:szCs w:val="24"/>
        </w:rPr>
        <w:t>，</w:t>
      </w:r>
      <w:r>
        <w:rPr>
          <w:rFonts w:ascii="Times New Roman" w:hAnsi="Times New Roman"/>
          <w:szCs w:val="24"/>
        </w:rPr>
        <w:t>其生态环境状况为</w:t>
      </w:r>
      <w:r>
        <w:rPr>
          <w:rFonts w:hint="eastAsia" w:ascii="Times New Roman" w:hAnsi="Times New Roman"/>
          <w:szCs w:val="24"/>
        </w:rPr>
        <w:t>较差，这是由于旗境内分布着两大沙地（库布齐沙漠和毛</w:t>
      </w:r>
      <w:r>
        <w:rPr>
          <w:rFonts w:ascii="Times New Roman" w:hAnsi="Times New Roman"/>
          <w:szCs w:val="24"/>
        </w:rPr>
        <w:t>乌素沙地），植被覆盖度较低，生物多样性较差。</w:t>
      </w:r>
    </w:p>
    <w:p>
      <w:pPr>
        <w:spacing w:line="440" w:lineRule="exact"/>
        <w:ind w:firstLine="480" w:firstLineChars="200"/>
        <w:rPr>
          <w:rFonts w:ascii="Times New Roman" w:hAnsi="Times New Roman"/>
          <w:szCs w:val="24"/>
        </w:rPr>
      </w:pPr>
      <w:r>
        <w:rPr>
          <w:rFonts w:ascii="Times New Roman" w:hAnsi="Times New Roman"/>
          <w:szCs w:val="24"/>
        </w:rPr>
        <w:t>2021年</w:t>
      </w:r>
      <w:r>
        <w:rPr>
          <w:rFonts w:hint="eastAsia" w:ascii="Times New Roman" w:hAnsi="Times New Roman"/>
          <w:szCs w:val="24"/>
        </w:rPr>
        <w:t>鄂尔多斯</w:t>
      </w:r>
      <w:r>
        <w:rPr>
          <w:rFonts w:ascii="Times New Roman" w:hAnsi="Times New Roman"/>
          <w:szCs w:val="24"/>
        </w:rPr>
        <w:t>市植被盖度指数为35.39，植被覆盖程度属于中低覆盖度</w:t>
      </w:r>
      <w:r>
        <w:rPr>
          <w:rFonts w:hint="eastAsia" w:ascii="Times New Roman" w:hAnsi="Times New Roman"/>
          <w:szCs w:val="24"/>
        </w:rPr>
        <w:t>。其中2</w:t>
      </w:r>
      <w:r>
        <w:rPr>
          <w:rFonts w:ascii="Times New Roman" w:hAnsi="Times New Roman"/>
          <w:szCs w:val="24"/>
        </w:rPr>
        <w:t>021</w:t>
      </w:r>
      <w:r>
        <w:rPr>
          <w:rFonts w:hint="eastAsia" w:ascii="Times New Roman" w:hAnsi="Times New Roman"/>
          <w:szCs w:val="24"/>
        </w:rPr>
        <w:t>年</w:t>
      </w:r>
      <w:r>
        <w:rPr>
          <w:rFonts w:ascii="Times New Roman" w:hAnsi="Times New Roman"/>
          <w:szCs w:val="24"/>
        </w:rPr>
        <w:t>伊金霍洛旗植被盖度指数为48.51</w:t>
      </w:r>
      <w:r>
        <w:rPr>
          <w:rFonts w:hint="eastAsia" w:ascii="Times New Roman" w:hAnsi="Times New Roman"/>
          <w:szCs w:val="24"/>
        </w:rPr>
        <w:t>，比2</w:t>
      </w:r>
      <w:r>
        <w:rPr>
          <w:rFonts w:ascii="Times New Roman" w:hAnsi="Times New Roman"/>
          <w:szCs w:val="24"/>
        </w:rPr>
        <w:t>020</w:t>
      </w:r>
      <w:r>
        <w:rPr>
          <w:rFonts w:hint="eastAsia" w:ascii="Times New Roman" w:hAnsi="Times New Roman"/>
          <w:szCs w:val="24"/>
        </w:rPr>
        <w:t>年增加了5</w:t>
      </w:r>
      <w:r>
        <w:rPr>
          <w:rFonts w:ascii="Times New Roman" w:hAnsi="Times New Roman"/>
          <w:szCs w:val="24"/>
        </w:rPr>
        <w:t>.25</w:t>
      </w:r>
      <w:r>
        <w:rPr>
          <w:rFonts w:hint="eastAsia" w:ascii="Times New Roman" w:hAnsi="Times New Roman"/>
          <w:szCs w:val="24"/>
        </w:rPr>
        <w:t>；而杭锦旗2</w:t>
      </w:r>
      <w:r>
        <w:rPr>
          <w:rFonts w:ascii="Times New Roman" w:hAnsi="Times New Roman"/>
          <w:szCs w:val="24"/>
        </w:rPr>
        <w:t>021</w:t>
      </w:r>
      <w:r>
        <w:rPr>
          <w:rFonts w:hint="eastAsia" w:ascii="Times New Roman" w:hAnsi="Times New Roman"/>
          <w:szCs w:val="24"/>
        </w:rPr>
        <w:t>年</w:t>
      </w:r>
      <w:r>
        <w:rPr>
          <w:rFonts w:ascii="Times New Roman" w:hAnsi="Times New Roman"/>
          <w:szCs w:val="24"/>
        </w:rPr>
        <w:t>植被盖度指数为26.31</w:t>
      </w:r>
      <w:r>
        <w:rPr>
          <w:rFonts w:hint="eastAsia" w:ascii="Times New Roman" w:hAnsi="Times New Roman"/>
          <w:szCs w:val="24"/>
        </w:rPr>
        <w:t>，比2</w:t>
      </w:r>
      <w:r>
        <w:rPr>
          <w:rFonts w:ascii="Times New Roman" w:hAnsi="Times New Roman"/>
          <w:szCs w:val="24"/>
        </w:rPr>
        <w:t>020</w:t>
      </w:r>
      <w:r>
        <w:rPr>
          <w:rFonts w:hint="eastAsia" w:ascii="Times New Roman" w:hAnsi="Times New Roman"/>
          <w:szCs w:val="24"/>
        </w:rPr>
        <w:t>年增加了</w:t>
      </w:r>
      <w:r>
        <w:rPr>
          <w:rFonts w:ascii="Times New Roman" w:hAnsi="Times New Roman"/>
          <w:szCs w:val="24"/>
        </w:rPr>
        <w:t>3.07</w:t>
      </w:r>
      <w:r>
        <w:rPr>
          <w:rFonts w:hint="eastAsia" w:ascii="Times New Roman" w:hAnsi="Times New Roman"/>
          <w:szCs w:val="24"/>
        </w:rPr>
        <w:t>。因此可以看出，矿区内植被覆盖度近年来是不断升高的。</w:t>
      </w:r>
    </w:p>
    <w:p>
      <w:pPr>
        <w:spacing w:line="440" w:lineRule="exact"/>
        <w:ind w:firstLine="480" w:firstLineChars="200"/>
        <w:rPr>
          <w:rFonts w:ascii="Times New Roman" w:hAnsi="Times New Roman"/>
          <w:szCs w:val="24"/>
        </w:rPr>
      </w:pPr>
      <w:r>
        <w:rPr>
          <w:rFonts w:hint="eastAsia" w:ascii="Times New Roman" w:hAnsi="Times New Roman"/>
          <w:szCs w:val="24"/>
        </w:rPr>
        <w:t>另外，</w:t>
      </w:r>
      <w:r>
        <w:rPr>
          <w:rFonts w:ascii="Times New Roman" w:hAnsi="Times New Roman"/>
          <w:szCs w:val="24"/>
        </w:rPr>
        <w:t>2020年</w:t>
      </w:r>
      <w:r>
        <w:rPr>
          <w:rFonts w:hint="eastAsia" w:ascii="Times New Roman" w:hAnsi="Times New Roman"/>
          <w:szCs w:val="24"/>
        </w:rPr>
        <w:t>~</w:t>
      </w:r>
      <w:r>
        <w:rPr>
          <w:rFonts w:ascii="Times New Roman" w:hAnsi="Times New Roman"/>
          <w:szCs w:val="24"/>
        </w:rPr>
        <w:t>2021年鄂尔多斯市土地利用结构保持比较稳定状态，各土地利用类型变化不明显。其中，未利用地面积减少了47.61</w:t>
      </w:r>
      <w:r>
        <w:rPr>
          <w:rFonts w:hint="eastAsia" w:ascii="Times New Roman" w:hAnsi="Times New Roman"/>
          <w:szCs w:val="24"/>
        </w:rPr>
        <w:t>km</w:t>
      </w:r>
      <w:r>
        <w:rPr>
          <w:rFonts w:ascii="Times New Roman" w:hAnsi="Times New Roman"/>
          <w:szCs w:val="24"/>
          <w:vertAlign w:val="superscript"/>
        </w:rPr>
        <w:t>2</w:t>
      </w:r>
      <w:r>
        <w:rPr>
          <w:rFonts w:ascii="Times New Roman" w:hAnsi="Times New Roman"/>
          <w:szCs w:val="24"/>
        </w:rPr>
        <w:t>，建设用地增加了28.21</w:t>
      </w:r>
      <w:r>
        <w:rPr>
          <w:rFonts w:hint="eastAsia" w:ascii="Times New Roman" w:hAnsi="Times New Roman"/>
          <w:szCs w:val="24"/>
        </w:rPr>
        <w:t>km</w:t>
      </w:r>
      <w:r>
        <w:rPr>
          <w:rFonts w:ascii="Times New Roman" w:hAnsi="Times New Roman"/>
          <w:szCs w:val="24"/>
          <w:vertAlign w:val="superscript"/>
        </w:rPr>
        <w:t>2</w:t>
      </w:r>
      <w:r>
        <w:rPr>
          <w:rFonts w:ascii="Times New Roman" w:hAnsi="Times New Roman"/>
          <w:szCs w:val="24"/>
        </w:rPr>
        <w:t>，林地面积增加了4.21</w:t>
      </w:r>
      <w:r>
        <w:rPr>
          <w:rFonts w:hint="eastAsia" w:ascii="Times New Roman" w:hAnsi="Times New Roman"/>
          <w:szCs w:val="24"/>
        </w:rPr>
        <w:t>km</w:t>
      </w:r>
      <w:r>
        <w:rPr>
          <w:rFonts w:ascii="Times New Roman" w:hAnsi="Times New Roman"/>
          <w:szCs w:val="24"/>
          <w:vertAlign w:val="superscript"/>
        </w:rPr>
        <w:t>2</w:t>
      </w:r>
      <w:r>
        <w:rPr>
          <w:rFonts w:ascii="Times New Roman" w:hAnsi="Times New Roman"/>
          <w:szCs w:val="24"/>
        </w:rPr>
        <w:t>，草地面积增加了8.26</w:t>
      </w:r>
      <w:r>
        <w:rPr>
          <w:rFonts w:hint="eastAsia" w:ascii="Times New Roman" w:hAnsi="Times New Roman"/>
          <w:szCs w:val="24"/>
        </w:rPr>
        <w:t>km</w:t>
      </w:r>
      <w:r>
        <w:rPr>
          <w:rFonts w:ascii="Times New Roman" w:hAnsi="Times New Roman"/>
          <w:szCs w:val="24"/>
          <w:vertAlign w:val="superscript"/>
        </w:rPr>
        <w:t>2</w:t>
      </w:r>
      <w:r>
        <w:rPr>
          <w:rFonts w:ascii="Times New Roman" w:hAnsi="Times New Roman"/>
          <w:szCs w:val="24"/>
        </w:rPr>
        <w:t>、耕地减少了0.97</w:t>
      </w:r>
      <w:r>
        <w:rPr>
          <w:rFonts w:hint="eastAsia" w:ascii="Times New Roman" w:hAnsi="Times New Roman"/>
          <w:szCs w:val="24"/>
        </w:rPr>
        <w:t>km</w:t>
      </w:r>
      <w:r>
        <w:rPr>
          <w:rFonts w:ascii="Times New Roman" w:hAnsi="Times New Roman"/>
          <w:szCs w:val="24"/>
          <w:vertAlign w:val="superscript"/>
        </w:rPr>
        <w:t>2</w:t>
      </w:r>
      <w:r>
        <w:rPr>
          <w:rFonts w:ascii="Times New Roman" w:hAnsi="Times New Roman"/>
          <w:szCs w:val="24"/>
        </w:rPr>
        <w:t>、水域滩地面积增加了7.29</w:t>
      </w:r>
      <w:r>
        <w:rPr>
          <w:rFonts w:hint="eastAsia" w:ascii="Times New Roman" w:hAnsi="Times New Roman"/>
          <w:szCs w:val="24"/>
        </w:rPr>
        <w:t>km</w:t>
      </w:r>
      <w:r>
        <w:rPr>
          <w:rFonts w:ascii="Times New Roman" w:hAnsi="Times New Roman"/>
          <w:szCs w:val="24"/>
          <w:vertAlign w:val="superscript"/>
        </w:rPr>
        <w:t>2</w:t>
      </w:r>
      <w:r>
        <w:rPr>
          <w:rFonts w:ascii="Times New Roman" w:hAnsi="Times New Roman"/>
          <w:szCs w:val="24"/>
        </w:rPr>
        <w:t>。</w:t>
      </w:r>
    </w:p>
    <w:p>
      <w:pPr>
        <w:spacing w:line="440" w:lineRule="exact"/>
        <w:ind w:firstLine="480" w:firstLineChars="200"/>
        <w:rPr>
          <w:rFonts w:ascii="Times New Roman" w:hAnsi="Times New Roman"/>
          <w:szCs w:val="24"/>
        </w:rPr>
      </w:pPr>
      <w:r>
        <w:rPr>
          <w:rFonts w:hint="eastAsia" w:ascii="Times New Roman" w:hAnsi="Times New Roman"/>
          <w:szCs w:val="24"/>
        </w:rPr>
        <w:t>总体而言，鄂尔多斯市生态环境状况各项评价指标水平均比较稳定，</w:t>
      </w:r>
      <w:r>
        <w:rPr>
          <w:rFonts w:ascii="Times New Roman" w:hAnsi="Times New Roman"/>
          <w:szCs w:val="24"/>
        </w:rPr>
        <w:t>无明显变化</w:t>
      </w:r>
      <w:r>
        <w:rPr>
          <w:rFonts w:hint="eastAsia" w:ascii="Times New Roman" w:hAnsi="Times New Roman"/>
          <w:szCs w:val="24"/>
        </w:rPr>
        <w:t>。</w:t>
      </w:r>
      <w:r>
        <w:rPr>
          <w:rFonts w:ascii="Times New Roman" w:hAnsi="Times New Roman"/>
          <w:szCs w:val="24"/>
        </w:rPr>
        <w:t>由于鄂尔多斯地处干旱、半干旱地区的季风气候区，同时在市域内分布着库布其沙漠</w:t>
      </w:r>
      <w:r>
        <w:rPr>
          <w:rFonts w:hint="eastAsia" w:ascii="Times New Roman" w:hAnsi="Times New Roman"/>
          <w:szCs w:val="24"/>
        </w:rPr>
        <w:t>和</w:t>
      </w:r>
      <w:r>
        <w:rPr>
          <w:rFonts w:ascii="Times New Roman" w:hAnsi="Times New Roman"/>
          <w:szCs w:val="24"/>
        </w:rPr>
        <w:t>毛乌素沙地，生态系统整体还比较脆弱，植被覆盖度仍处于一般水平，土地生产力水平不高，生物多样性不丰富，全市生态环境保护形势依然严峻。</w:t>
      </w:r>
      <w:r>
        <w:rPr>
          <w:rFonts w:hint="eastAsia" w:ascii="Times New Roman" w:hAnsi="Times New Roman"/>
          <w:szCs w:val="24"/>
        </w:rPr>
        <w:t>因此鄂尔多斯市要继续推进生态保护基地建设，持续推进防护林建设、草原保护、防风固沙，稳步推进沙地生态治理，建立沙漠生态系统以自然恢复为主的修复机制，携手开展“呼包鄂”重大生态系统修复，坚定不移走生态优先，绿色发展为导向的高质量发展新路子，把生态文明和绿色发展历年融入到经济社会发展全过程。</w:t>
      </w:r>
    </w:p>
    <w:p>
      <w:pPr>
        <w:pStyle w:val="2"/>
        <w:spacing w:line="440" w:lineRule="exact"/>
        <w:ind w:firstLine="480" w:firstLineChars="200"/>
        <w:rPr>
          <w:rFonts w:ascii="宋体" w:hAnsi="宋体" w:eastAsia="宋体" w:cs="宋体"/>
          <w:color w:val="auto"/>
          <w:szCs w:val="24"/>
        </w:rPr>
      </w:pPr>
      <w:r>
        <w:rPr>
          <w:rFonts w:hint="eastAsia" w:ascii="宋体" w:hAnsi="宋体" w:eastAsia="宋体" w:cs="宋体"/>
          <w:color w:val="auto"/>
          <w:szCs w:val="24"/>
        </w:rPr>
        <w:t>矿区开发时应按照绿色矿山建设要求，因矿制宜采用充填采矿技术，推动利用矿业固体废物产生建筑材料或治理采空区和塌陷区等。对于矿区永久和临时占地，也应采取必要的水土流失、土地复垦、生态保护措施，按“合理布局、因地制宜、宜农则农、宜林则林”的原则进行治理，建立起新的土地利用系统，提高土地的生产力。</w:t>
      </w:r>
    </w:p>
    <w:p>
      <w:pPr>
        <w:spacing w:line="440" w:lineRule="exact"/>
        <w:ind w:firstLine="480" w:firstLineChars="200"/>
        <w:rPr>
          <w:rFonts w:ascii="Times New Roman" w:hAnsi="Times New Roman"/>
          <w:bCs/>
          <w:kern w:val="0"/>
        </w:rPr>
      </w:pPr>
      <w:r>
        <w:rPr>
          <w:rFonts w:ascii="Times New Roman" w:hAnsi="Times New Roman"/>
          <w:bCs/>
          <w:kern w:val="0"/>
        </w:rPr>
        <w:t xml:space="preserve"> </w:t>
      </w:r>
    </w:p>
    <w:p>
      <w:pPr>
        <w:spacing w:line="440" w:lineRule="exact"/>
        <w:ind w:firstLine="480" w:firstLineChars="200"/>
        <w:rPr>
          <w:rFonts w:ascii="Times New Roman" w:hAnsi="Times New Roman"/>
          <w:bCs/>
          <w:kern w:val="0"/>
        </w:rPr>
        <w:sectPr>
          <w:pgSz w:w="11907" w:h="16840"/>
          <w:pgMar w:top="1701" w:right="1418" w:bottom="1134" w:left="1418" w:header="1134" w:footer="851" w:gutter="0"/>
          <w:cols w:space="720" w:num="1"/>
          <w:docGrid w:linePitch="312" w:charSpace="0"/>
        </w:sectPr>
      </w:pPr>
    </w:p>
    <w:p>
      <w:pPr>
        <w:pStyle w:val="3"/>
        <w:spacing w:before="360" w:after="360" w:line="440" w:lineRule="exact"/>
        <w:jc w:val="center"/>
        <w:rPr>
          <w:sz w:val="32"/>
          <w:szCs w:val="32"/>
        </w:rPr>
      </w:pPr>
      <w:bookmarkStart w:id="183" w:name="_Toc23519336"/>
      <w:bookmarkStart w:id="184" w:name="_Toc14345"/>
      <w:bookmarkStart w:id="185" w:name="_Toc437006608"/>
      <w:bookmarkStart w:id="186" w:name="_Toc13640"/>
      <w:bookmarkStart w:id="187" w:name="_Toc32093"/>
      <w:r>
        <w:rPr>
          <w:sz w:val="32"/>
          <w:szCs w:val="32"/>
        </w:rPr>
        <w:t>4 环境影响识别与评价指标体系</w:t>
      </w:r>
      <w:bookmarkEnd w:id="183"/>
      <w:bookmarkEnd w:id="184"/>
      <w:bookmarkEnd w:id="185"/>
      <w:bookmarkEnd w:id="186"/>
      <w:bookmarkEnd w:id="187"/>
    </w:p>
    <w:p>
      <w:pPr>
        <w:pStyle w:val="4"/>
        <w:snapToGrid w:val="0"/>
        <w:spacing w:line="440" w:lineRule="exact"/>
        <w:rPr>
          <w:rFonts w:ascii="Times New Roman" w:hAnsi="Times New Roman" w:eastAsia="宋体"/>
          <w:sz w:val="28"/>
        </w:rPr>
      </w:pPr>
      <w:bookmarkStart w:id="188" w:name="_Toc17862"/>
      <w:bookmarkStart w:id="189" w:name="_Toc16791"/>
      <w:bookmarkStart w:id="190" w:name="_Toc23519337"/>
      <w:bookmarkStart w:id="191" w:name="_Toc437006609"/>
      <w:bookmarkStart w:id="192" w:name="_Toc182400989"/>
      <w:bookmarkStart w:id="193" w:name="_Toc8291"/>
      <w:bookmarkStart w:id="194" w:name="_Toc163440994"/>
      <w:r>
        <w:rPr>
          <w:rFonts w:ascii="Times New Roman" w:hAnsi="Times New Roman" w:eastAsia="宋体"/>
          <w:sz w:val="28"/>
        </w:rPr>
        <w:t>4.1环境影响识别</w:t>
      </w:r>
      <w:bookmarkEnd w:id="188"/>
      <w:bookmarkEnd w:id="189"/>
      <w:bookmarkEnd w:id="190"/>
      <w:bookmarkEnd w:id="191"/>
      <w:bookmarkEnd w:id="192"/>
      <w:bookmarkEnd w:id="193"/>
    </w:p>
    <w:p>
      <w:pPr>
        <w:adjustRightInd w:val="0"/>
        <w:snapToGrid w:val="0"/>
        <w:spacing w:line="440" w:lineRule="exact"/>
        <w:ind w:firstLine="480" w:firstLineChars="200"/>
        <w:rPr>
          <w:rFonts w:ascii="Times New Roman" w:hAnsi="Times New Roman"/>
        </w:rPr>
      </w:pPr>
      <w:r>
        <w:rPr>
          <w:rFonts w:ascii="Times New Roman" w:hAnsi="Times New Roman"/>
        </w:rPr>
        <w:t>煤炭矿区规划环评属于生态类规划环评项目，具有生态影响和污染影响并存的双重特征，其中以生态类影响为主。矿区开采方式为井工开采，其对周边环境的影响，主要为采煤沉陷导致的地表变形、地表水系和地下水流场改变、水土流失、地表破坏等生态影响，以及煤炭开采产生的“三废”排放对周边环境的污染影响。另外，从广义的环境角度来看，还包括因矿区煤炭开采所带来的周边地区社会经济环境方面的影响。下面简要分析上述三大类环境影响。</w:t>
      </w:r>
    </w:p>
    <w:p>
      <w:pPr>
        <w:pStyle w:val="5"/>
        <w:spacing w:before="120" w:after="120" w:line="440" w:lineRule="exact"/>
        <w:rPr>
          <w:sz w:val="24"/>
        </w:rPr>
      </w:pPr>
      <w:r>
        <w:rPr>
          <w:sz w:val="24"/>
        </w:rPr>
        <w:t>4.1.1 矿区开发环境影响因子识别</w:t>
      </w:r>
    </w:p>
    <w:p>
      <w:pPr>
        <w:keepNext/>
        <w:keepLines/>
        <w:spacing w:line="440" w:lineRule="exact"/>
        <w:outlineLvl w:val="3"/>
        <w:rPr>
          <w:rFonts w:ascii="Times New Roman" w:hAnsi="Times New Roman"/>
          <w:b/>
        </w:rPr>
      </w:pPr>
      <w:r>
        <w:rPr>
          <w:rFonts w:ascii="Times New Roman" w:hAnsi="Times New Roman"/>
          <w:b/>
        </w:rPr>
        <w:t>4.1.1.1 污染类影响因子识别</w:t>
      </w:r>
    </w:p>
    <w:p>
      <w:pPr>
        <w:adjustRightInd w:val="0"/>
        <w:snapToGrid w:val="0"/>
        <w:spacing w:line="440" w:lineRule="exact"/>
        <w:ind w:firstLine="482" w:firstLineChars="200"/>
        <w:rPr>
          <w:rFonts w:ascii="Times New Roman" w:hAnsi="Times New Roman"/>
          <w:b/>
        </w:rPr>
      </w:pPr>
      <w:r>
        <w:rPr>
          <w:rFonts w:ascii="Times New Roman" w:hAnsi="Times New Roman"/>
          <w:b/>
        </w:rPr>
        <w:t>（1）矿区大气环境污染影响因子识别</w:t>
      </w:r>
    </w:p>
    <w:p>
      <w:pPr>
        <w:spacing w:line="440" w:lineRule="exact"/>
        <w:ind w:firstLine="480" w:firstLineChars="200"/>
        <w:rPr>
          <w:rFonts w:ascii="Times New Roman" w:hAnsi="Times New Roman"/>
        </w:rPr>
      </w:pPr>
      <w:r>
        <w:rPr>
          <w:rFonts w:ascii="Times New Roman" w:hAnsi="Times New Roman"/>
        </w:rPr>
        <w:t>矿区开发对大气环境的影响，主要来自：锅炉烟气、运煤道路扬尘，以及煤炭选煤加工过程无组织粉尘排放等，主要污染物为SO</w:t>
      </w:r>
      <w:r>
        <w:rPr>
          <w:rFonts w:ascii="Times New Roman" w:hAnsi="Times New Roman"/>
          <w:vertAlign w:val="subscript"/>
        </w:rPr>
        <w:t>2</w:t>
      </w:r>
      <w:r>
        <w:rPr>
          <w:rFonts w:ascii="Times New Roman" w:hAnsi="Times New Roman"/>
        </w:rPr>
        <w:t>、TSP、NO</w:t>
      </w:r>
      <w:r>
        <w:rPr>
          <w:rFonts w:ascii="Times New Roman" w:hAnsi="Times New Roman"/>
          <w:vertAlign w:val="subscript"/>
        </w:rPr>
        <w:t>2</w:t>
      </w:r>
      <w:r>
        <w:rPr>
          <w:rFonts w:ascii="Times New Roman" w:hAnsi="Times New Roman"/>
        </w:rPr>
        <w:t>。其中以锅炉烟气排放对大气环境影响最大。</w:t>
      </w:r>
    </w:p>
    <w:p>
      <w:pPr>
        <w:spacing w:line="440" w:lineRule="exact"/>
        <w:ind w:firstLine="482" w:firstLineChars="200"/>
        <w:rPr>
          <w:rFonts w:ascii="Times New Roman" w:hAnsi="Times New Roman"/>
          <w:b/>
        </w:rPr>
      </w:pPr>
      <w:r>
        <w:rPr>
          <w:rFonts w:ascii="Times New Roman" w:hAnsi="Times New Roman"/>
          <w:b/>
        </w:rPr>
        <w:t>（2）矿区水环境污染影响因子识别</w:t>
      </w:r>
    </w:p>
    <w:p>
      <w:pPr>
        <w:adjustRightInd w:val="0"/>
        <w:snapToGrid w:val="0"/>
        <w:spacing w:line="440" w:lineRule="exact"/>
        <w:ind w:firstLine="480" w:firstLineChars="200"/>
        <w:rPr>
          <w:rFonts w:ascii="Times New Roman" w:hAnsi="Times New Roman"/>
        </w:rPr>
      </w:pPr>
      <w:r>
        <w:rPr>
          <w:rFonts w:ascii="Times New Roman" w:hAnsi="Times New Roman"/>
        </w:rPr>
        <w:t>矿区的生活污水主要来自工业广场、浴室和食堂排水等，其水质基本与城市生活污水相似，主要污染物为COD、BOD、SS、氨氮以及石油类等。井下排水主要污染物为SS（属以煤尘、岩粉为主的单纯性生产废水），选煤厂煤泥水主要污染物为SS。</w:t>
      </w:r>
    </w:p>
    <w:p>
      <w:pPr>
        <w:spacing w:line="440" w:lineRule="exact"/>
        <w:ind w:firstLine="482" w:firstLineChars="200"/>
        <w:rPr>
          <w:rFonts w:ascii="Times New Roman" w:hAnsi="Times New Roman"/>
          <w:b/>
        </w:rPr>
      </w:pPr>
      <w:r>
        <w:rPr>
          <w:rFonts w:ascii="Times New Roman" w:hAnsi="Times New Roman"/>
          <w:b/>
        </w:rPr>
        <w:t>（3）矿区声环境污染影响因子识别</w:t>
      </w:r>
    </w:p>
    <w:p>
      <w:pPr>
        <w:spacing w:line="440" w:lineRule="exact"/>
        <w:ind w:firstLine="480" w:firstLineChars="200"/>
        <w:rPr>
          <w:rFonts w:ascii="Times New Roman" w:hAnsi="Times New Roman"/>
        </w:rPr>
      </w:pPr>
      <w:r>
        <w:rPr>
          <w:rFonts w:ascii="Times New Roman" w:hAnsi="Times New Roman"/>
        </w:rPr>
        <w:t>矿区开发对声环境的影响，主要来自：矿井工业场地内矿井通风机房、提升机房、坑木加工房、锅炉引风机房、选煤厂主厂房等，多为固定、连续噪声源，其噪声源强在88~103dB（A）；另外还有铁路专用线噪声，运煤道路噪声，主要为线性、间断性噪声源。</w:t>
      </w:r>
    </w:p>
    <w:p>
      <w:pPr>
        <w:spacing w:line="440" w:lineRule="exact"/>
        <w:ind w:firstLine="482" w:firstLineChars="200"/>
        <w:rPr>
          <w:rFonts w:ascii="Times New Roman" w:hAnsi="Times New Roman"/>
          <w:b/>
        </w:rPr>
      </w:pPr>
      <w:r>
        <w:rPr>
          <w:rFonts w:ascii="Times New Roman" w:hAnsi="Times New Roman"/>
          <w:b/>
        </w:rPr>
        <w:t>（4）矿区固体废物污染影响因子识别</w:t>
      </w:r>
    </w:p>
    <w:p>
      <w:pPr>
        <w:spacing w:line="440" w:lineRule="exact"/>
        <w:ind w:firstLine="480" w:firstLineChars="200"/>
        <w:rPr>
          <w:rFonts w:ascii="Times New Roman" w:hAnsi="Times New Roman"/>
        </w:rPr>
      </w:pPr>
      <w:r>
        <w:rPr>
          <w:rFonts w:ascii="Times New Roman" w:hAnsi="Times New Roman"/>
        </w:rPr>
        <w:t>矿区开发所排放的固体废物主要来自：选煤厂矸石、矿井掘进矸石、锅炉房灰渣、工业场地生活垃圾、矿井水处理站和生活污水处理装置产生的污泥及废油脂、废油桶等。</w:t>
      </w:r>
    </w:p>
    <w:p>
      <w:pPr>
        <w:keepNext/>
        <w:keepLines/>
        <w:spacing w:line="440" w:lineRule="exact"/>
        <w:outlineLvl w:val="3"/>
        <w:rPr>
          <w:rFonts w:ascii="Times New Roman" w:hAnsi="Times New Roman"/>
          <w:b/>
        </w:rPr>
      </w:pPr>
      <w:r>
        <w:rPr>
          <w:rFonts w:ascii="Times New Roman" w:hAnsi="Times New Roman"/>
          <w:b/>
        </w:rPr>
        <w:t>4.1.1.2 生态类影响因子识别</w:t>
      </w:r>
    </w:p>
    <w:p>
      <w:pPr>
        <w:spacing w:line="440" w:lineRule="exact"/>
        <w:ind w:firstLine="480" w:firstLineChars="200"/>
        <w:rPr>
          <w:rFonts w:ascii="Times New Roman" w:hAnsi="Times New Roman"/>
        </w:rPr>
      </w:pPr>
      <w:r>
        <w:rPr>
          <w:rFonts w:ascii="Times New Roman" w:hAnsi="Times New Roman"/>
        </w:rPr>
        <w:t>基于矿区所在位置及周边生态环境的特点，分析本矿区的开发对当地的生态环境影响主要表现在以下几个方面：</w:t>
      </w:r>
    </w:p>
    <w:p>
      <w:pPr>
        <w:tabs>
          <w:tab w:val="left" w:pos="1202"/>
        </w:tabs>
        <w:adjustRightInd w:val="0"/>
        <w:snapToGrid w:val="0"/>
        <w:spacing w:line="440" w:lineRule="exact"/>
        <w:ind w:firstLine="482" w:firstLineChars="200"/>
        <w:rPr>
          <w:rFonts w:ascii="Times New Roman" w:hAnsi="Times New Roman"/>
          <w:b/>
        </w:rPr>
      </w:pPr>
      <w:r>
        <w:rPr>
          <w:rFonts w:ascii="Times New Roman" w:hAnsi="Times New Roman"/>
          <w:b/>
        </w:rPr>
        <w:t>（1）对地形地貌的影响</w:t>
      </w:r>
    </w:p>
    <w:p>
      <w:pPr>
        <w:tabs>
          <w:tab w:val="left" w:pos="1202"/>
        </w:tabs>
        <w:adjustRightInd w:val="0"/>
        <w:snapToGrid w:val="0"/>
        <w:spacing w:line="440" w:lineRule="exact"/>
        <w:ind w:firstLine="480" w:firstLineChars="200"/>
        <w:rPr>
          <w:rFonts w:ascii="Times New Roman" w:hAnsi="Times New Roman"/>
        </w:rPr>
      </w:pPr>
      <w:r>
        <w:rPr>
          <w:rFonts w:ascii="Times New Roman" w:hAnsi="Times New Roman"/>
        </w:rPr>
        <w:t>由于本地区地形相对平缓，开采引起的地表下沉可能会对地形地貌产生一定的影响。</w:t>
      </w:r>
    </w:p>
    <w:p>
      <w:pPr>
        <w:tabs>
          <w:tab w:val="left" w:pos="1202"/>
        </w:tabs>
        <w:adjustRightInd w:val="0"/>
        <w:snapToGrid w:val="0"/>
        <w:spacing w:line="440" w:lineRule="exact"/>
        <w:ind w:firstLine="482" w:firstLineChars="200"/>
        <w:rPr>
          <w:rFonts w:ascii="Times New Roman" w:hAnsi="Times New Roman"/>
          <w:b/>
        </w:rPr>
      </w:pPr>
      <w:r>
        <w:rPr>
          <w:rFonts w:ascii="Times New Roman" w:hAnsi="Times New Roman"/>
          <w:b/>
        </w:rPr>
        <w:t>（2）对土地利用的影响</w:t>
      </w:r>
    </w:p>
    <w:p>
      <w:pPr>
        <w:spacing w:line="440" w:lineRule="exact"/>
        <w:ind w:firstLine="480" w:firstLineChars="200"/>
        <w:rPr>
          <w:rFonts w:ascii="Times New Roman" w:hAnsi="Times New Roman"/>
        </w:rPr>
      </w:pPr>
      <w:r>
        <w:rPr>
          <w:rFonts w:ascii="Times New Roman" w:hAnsi="Times New Roman"/>
        </w:rPr>
        <w:t>矿区开发对土地利用、地形地貌的影响主要由项目占地（工业场地等）和采煤沉陷引起。</w:t>
      </w:r>
      <w:bookmarkStart w:id="452" w:name="_GoBack"/>
      <w:bookmarkEnd w:id="452"/>
    </w:p>
    <w:p>
      <w:pPr>
        <w:spacing w:line="440" w:lineRule="exact"/>
        <w:ind w:firstLine="482" w:firstLineChars="200"/>
        <w:rPr>
          <w:rFonts w:ascii="Times New Roman" w:hAnsi="Times New Roman"/>
        </w:rPr>
      </w:pPr>
      <w:r>
        <w:rPr>
          <w:rFonts w:ascii="Times New Roman" w:hAnsi="Times New Roman"/>
          <w:b/>
        </w:rPr>
        <w:t>（3）对地下水流场、地下水资源的影响</w:t>
      </w:r>
    </w:p>
    <w:p>
      <w:pPr>
        <w:spacing w:line="440" w:lineRule="exact"/>
        <w:ind w:firstLine="480" w:firstLineChars="200"/>
        <w:rPr>
          <w:rFonts w:ascii="Times New Roman" w:hAnsi="Times New Roman"/>
        </w:rPr>
      </w:pPr>
      <w:r>
        <w:rPr>
          <w:rFonts w:ascii="Times New Roman" w:hAnsi="Times New Roman"/>
        </w:rPr>
        <w:t>矿区开发对地下水流场和资源的影响，主要表现在：一是井工开采所形成的导水裂缝带导通含水层的直接影响；二是采煤沉陷的间接影响。</w:t>
      </w:r>
    </w:p>
    <w:p>
      <w:pPr>
        <w:spacing w:line="440" w:lineRule="exact"/>
        <w:ind w:firstLine="480" w:firstLineChars="200"/>
        <w:rPr>
          <w:rFonts w:ascii="Times New Roman" w:hAnsi="Times New Roman"/>
        </w:rPr>
      </w:pPr>
      <w:r>
        <w:rPr>
          <w:rFonts w:ascii="Times New Roman" w:hAnsi="Times New Roman"/>
        </w:rPr>
        <w:t>井工煤矿采煤所形成的导水裂缝带，对部分含水层的导通作用，将使所导通的含水层被疏干，以矿井水的形式排出矿井，这是矿区开发影响地下水资源的最主要因素，若导水裂缝带导通浅部含水层，还将会对导通区域的浅部地下水流场产生一定程度的影响。</w:t>
      </w:r>
    </w:p>
    <w:p>
      <w:pPr>
        <w:spacing w:line="440" w:lineRule="exact"/>
        <w:ind w:firstLine="480" w:firstLineChars="200"/>
        <w:rPr>
          <w:rFonts w:ascii="Times New Roman" w:hAnsi="Times New Roman"/>
        </w:rPr>
      </w:pPr>
      <w:r>
        <w:rPr>
          <w:rFonts w:ascii="Times New Roman" w:hAnsi="Times New Roman"/>
        </w:rPr>
        <w:t>采煤沉陷的间接影响，主要是由于地表沉陷，相应导致矿区沉陷区域内的地下含水层（尤其是浅部含水层）水位发生变化，进而导致沉陷区内地下水流场发生改变，并将进一步扩展到矿区外一定距离（地下水水位下降影响距离），在有些地方甚至会出现浅部含水层缺失的情况。</w:t>
      </w:r>
    </w:p>
    <w:p>
      <w:pPr>
        <w:spacing w:line="440" w:lineRule="exact"/>
        <w:ind w:firstLine="482" w:firstLineChars="200"/>
        <w:rPr>
          <w:rFonts w:ascii="Times New Roman" w:hAnsi="Times New Roman"/>
          <w:b/>
        </w:rPr>
      </w:pPr>
      <w:r>
        <w:rPr>
          <w:rFonts w:ascii="Times New Roman" w:hAnsi="Times New Roman"/>
          <w:b/>
        </w:rPr>
        <w:t>（4）对地表植被的影响</w:t>
      </w:r>
    </w:p>
    <w:p>
      <w:pPr>
        <w:spacing w:line="440" w:lineRule="exact"/>
        <w:ind w:firstLine="480" w:firstLineChars="200"/>
        <w:rPr>
          <w:rFonts w:ascii="Times New Roman" w:hAnsi="Times New Roman"/>
        </w:rPr>
      </w:pPr>
      <w:r>
        <w:rPr>
          <w:rFonts w:ascii="Times New Roman" w:hAnsi="Times New Roman"/>
        </w:rPr>
        <w:t>一方面，矿区工程占地（包括工业场地占地、辅助企业区占地）将占用部分牧草地，这部分占地将改变局部地区的土地利用性质，使其转变为建设用地。另一方面，采煤沉陷所导致的地表变形，将可能对矿区内局部区域的浅部含水层流场产生影响，土壤蓄水条件也会相应发生变化，凹陷坡地植被生长将受到一定影响。</w:t>
      </w:r>
    </w:p>
    <w:p>
      <w:pPr>
        <w:spacing w:line="440" w:lineRule="exact"/>
        <w:ind w:firstLine="482" w:firstLineChars="200"/>
        <w:rPr>
          <w:rFonts w:ascii="Times New Roman" w:hAnsi="Times New Roman"/>
          <w:b/>
        </w:rPr>
      </w:pPr>
      <w:r>
        <w:rPr>
          <w:rFonts w:ascii="Times New Roman" w:hAnsi="Times New Roman"/>
          <w:b/>
        </w:rPr>
        <w:t>（5）对自然景观的影响分析</w:t>
      </w:r>
    </w:p>
    <w:p>
      <w:pPr>
        <w:spacing w:line="440" w:lineRule="exact"/>
        <w:ind w:firstLine="480" w:firstLineChars="200"/>
        <w:rPr>
          <w:rFonts w:ascii="Times New Roman" w:hAnsi="Times New Roman"/>
        </w:rPr>
      </w:pPr>
      <w:r>
        <w:rPr>
          <w:rFonts w:ascii="Times New Roman" w:hAnsi="Times New Roman"/>
        </w:rPr>
        <w:t>矿区开发将在一定程度上影响当地原有的景观格局，改变其景观结构，使局部地区由单纯的自然生态景观向着人工化、工业化、多样化的方向发展，使原来的自然景观类型变为容纳工业厂房、道路、供电通讯线路等人工景观，而且会对原来的景观进行分隔，造成空间上的非连续性和一些人为的劣质景观，使得与周围自然环境不相协。</w:t>
      </w:r>
    </w:p>
    <w:p>
      <w:pPr>
        <w:keepNext/>
        <w:keepLines/>
        <w:spacing w:line="440" w:lineRule="exact"/>
        <w:outlineLvl w:val="3"/>
        <w:rPr>
          <w:rFonts w:ascii="Times New Roman" w:hAnsi="Times New Roman"/>
          <w:b/>
        </w:rPr>
      </w:pPr>
      <w:r>
        <w:rPr>
          <w:rFonts w:ascii="Times New Roman" w:hAnsi="Times New Roman"/>
          <w:b/>
        </w:rPr>
        <w:t>4.1.1.3 社会经济影响识别</w:t>
      </w:r>
    </w:p>
    <w:p>
      <w:pPr>
        <w:spacing w:line="440" w:lineRule="exact"/>
        <w:ind w:firstLine="480" w:firstLineChars="200"/>
        <w:rPr>
          <w:rFonts w:ascii="Times New Roman" w:hAnsi="Times New Roman"/>
        </w:rPr>
      </w:pPr>
      <w:r>
        <w:rPr>
          <w:rFonts w:ascii="Times New Roman" w:hAnsi="Times New Roman"/>
        </w:rPr>
        <w:t>矿区开发对社会经济的影响，主要表现在：一是矿区煤炭开发将促进当地社会经济的发展，提高就业率和当地居民的生活水平；二是矿区煤炭开发将导致局部区域土地利用结构发生一定的变化，草地面积有所减少，受人为干扰的程度加重，从而使草原生产力受到一定影响。</w:t>
      </w:r>
      <w:bookmarkStart w:id="195" w:name="_Toc182400990"/>
    </w:p>
    <w:p>
      <w:pPr>
        <w:pStyle w:val="5"/>
        <w:spacing w:before="120" w:after="120" w:line="440" w:lineRule="exact"/>
        <w:rPr>
          <w:sz w:val="24"/>
        </w:rPr>
      </w:pPr>
      <w:r>
        <w:rPr>
          <w:sz w:val="24"/>
        </w:rPr>
        <w:t>4.1.2 矿区发展限制因子分析</w:t>
      </w:r>
    </w:p>
    <w:p>
      <w:pPr>
        <w:keepNext/>
        <w:keepLines/>
        <w:spacing w:line="440" w:lineRule="exact"/>
        <w:outlineLvl w:val="3"/>
        <w:rPr>
          <w:rFonts w:ascii="Times New Roman" w:hAnsi="Times New Roman"/>
          <w:b/>
        </w:rPr>
      </w:pPr>
      <w:r>
        <w:rPr>
          <w:rFonts w:ascii="Times New Roman" w:hAnsi="Times New Roman"/>
          <w:b/>
        </w:rPr>
        <w:t>4.1.2.1 矿区发展的资源要素限制因子分析</w:t>
      </w:r>
    </w:p>
    <w:p>
      <w:pPr>
        <w:adjustRightInd w:val="0"/>
        <w:snapToGrid w:val="0"/>
        <w:spacing w:line="440" w:lineRule="exact"/>
        <w:ind w:firstLine="480" w:firstLineChars="200"/>
        <w:rPr>
          <w:rFonts w:ascii="Times New Roman" w:hAnsi="Times New Roman"/>
        </w:rPr>
      </w:pPr>
      <w:r>
        <w:rPr>
          <w:rFonts w:ascii="Times New Roman" w:hAnsi="Times New Roman"/>
        </w:rPr>
        <w:t>根据本矿区环境资源特征分析，矿区发展的资源限制因子主要有三个，分别为：煤炭资源、水资源和土地资源。</w:t>
      </w:r>
    </w:p>
    <w:p>
      <w:pPr>
        <w:adjustRightInd w:val="0"/>
        <w:snapToGrid w:val="0"/>
        <w:spacing w:line="440" w:lineRule="exact"/>
        <w:ind w:firstLine="482" w:firstLineChars="200"/>
        <w:rPr>
          <w:rFonts w:ascii="Times New Roman" w:hAnsi="Times New Roman"/>
          <w:b/>
        </w:rPr>
      </w:pPr>
      <w:r>
        <w:rPr>
          <w:rFonts w:ascii="Times New Roman" w:hAnsi="Times New Roman"/>
          <w:b/>
        </w:rPr>
        <w:t>（1）煤炭资源</w:t>
      </w:r>
    </w:p>
    <w:p>
      <w:pPr>
        <w:adjustRightInd w:val="0"/>
        <w:snapToGrid w:val="0"/>
        <w:spacing w:line="440" w:lineRule="exact"/>
        <w:ind w:firstLine="480"/>
        <w:rPr>
          <w:rFonts w:ascii="Times New Roman" w:hAnsi="Times New Roman"/>
        </w:rPr>
      </w:pPr>
      <w:r>
        <w:rPr>
          <w:rFonts w:ascii="Times New Roman" w:hAnsi="Times New Roman"/>
        </w:rPr>
        <w:t>矿区资源条件，是决定矿区布局、发展规模与发展方向的根本所在，它是矿区规划与发展的基础。矿区可供开发和利用的煤炭资源量、分布特征以及产品特征，将对矿区规划实施构成主要制约因素。</w:t>
      </w:r>
    </w:p>
    <w:p>
      <w:pPr>
        <w:adjustRightInd w:val="0"/>
        <w:snapToGrid w:val="0"/>
        <w:spacing w:line="440" w:lineRule="exact"/>
        <w:ind w:firstLine="482" w:firstLineChars="200"/>
        <w:rPr>
          <w:rFonts w:ascii="Times New Roman" w:hAnsi="Times New Roman"/>
          <w:b/>
        </w:rPr>
      </w:pPr>
      <w:r>
        <w:rPr>
          <w:rFonts w:ascii="Times New Roman" w:hAnsi="Times New Roman"/>
          <w:b/>
        </w:rPr>
        <w:t>（2）水资源</w:t>
      </w:r>
    </w:p>
    <w:p>
      <w:pPr>
        <w:adjustRightInd w:val="0"/>
        <w:snapToGrid w:val="0"/>
        <w:spacing w:line="440" w:lineRule="exact"/>
        <w:ind w:firstLine="482"/>
        <w:rPr>
          <w:rFonts w:ascii="Times New Roman" w:hAnsi="Times New Roman"/>
        </w:rPr>
      </w:pPr>
      <w:r>
        <w:rPr>
          <w:rFonts w:ascii="Times New Roman" w:hAnsi="Times New Roman"/>
        </w:rPr>
        <w:t>矿区内规划建设项目需要耗用大量的水资源，区域水资源分布特征和供应能力的大小直接决定了规划建设项目的布局合理性、建设可行性和规模合理性。矿区所在区域水资源较缺乏，加强对区域水资源的保护和合理开发利用，充分利用疏干水、矿井水，对于矿区的发展有着十分重要的意义，因此水资源是矿区开发的重要制约因子。</w:t>
      </w:r>
    </w:p>
    <w:p>
      <w:pPr>
        <w:adjustRightInd w:val="0"/>
        <w:snapToGrid w:val="0"/>
        <w:spacing w:line="440" w:lineRule="exact"/>
        <w:ind w:firstLine="482" w:firstLineChars="200"/>
        <w:rPr>
          <w:rFonts w:ascii="Times New Roman" w:hAnsi="Times New Roman"/>
          <w:b/>
        </w:rPr>
      </w:pPr>
      <w:r>
        <w:rPr>
          <w:rFonts w:ascii="Times New Roman" w:hAnsi="Times New Roman"/>
          <w:b/>
        </w:rPr>
        <w:t>（3）土地资源</w:t>
      </w:r>
    </w:p>
    <w:p>
      <w:pPr>
        <w:adjustRightInd w:val="0"/>
        <w:snapToGrid w:val="0"/>
        <w:spacing w:line="440" w:lineRule="exact"/>
        <w:ind w:firstLine="480" w:firstLineChars="200"/>
        <w:rPr>
          <w:rFonts w:ascii="Times New Roman" w:hAnsi="Times New Roman"/>
        </w:rPr>
      </w:pPr>
      <w:r>
        <w:rPr>
          <w:rFonts w:ascii="Times New Roman" w:hAnsi="Times New Roman"/>
        </w:rPr>
        <w:t>从目前土地资源现状可知，矿区所处区域以草地为主，矿区要发展，就必然会占用和破坏草地，对区域的生态系统造成影响。因此，土地资源也是矿区发展的重要制约因子。</w:t>
      </w:r>
    </w:p>
    <w:p>
      <w:pPr>
        <w:keepNext/>
        <w:keepLines/>
        <w:spacing w:line="440" w:lineRule="exact"/>
        <w:outlineLvl w:val="3"/>
        <w:rPr>
          <w:rFonts w:ascii="Times New Roman" w:hAnsi="Times New Roman"/>
          <w:b/>
        </w:rPr>
      </w:pPr>
      <w:r>
        <w:rPr>
          <w:rFonts w:ascii="Times New Roman" w:hAnsi="Times New Roman"/>
          <w:b/>
        </w:rPr>
        <w:t>4.1.2.2 矿区发展的环境要素限制因子分析</w:t>
      </w:r>
    </w:p>
    <w:p>
      <w:pPr>
        <w:adjustRightInd w:val="0"/>
        <w:snapToGrid w:val="0"/>
        <w:spacing w:line="440" w:lineRule="exact"/>
        <w:ind w:firstLine="482" w:firstLineChars="200"/>
        <w:rPr>
          <w:rFonts w:ascii="Times New Roman" w:hAnsi="Times New Roman"/>
          <w:b/>
        </w:rPr>
      </w:pPr>
      <w:r>
        <w:rPr>
          <w:rFonts w:ascii="Times New Roman" w:hAnsi="Times New Roman"/>
          <w:b/>
        </w:rPr>
        <w:t>（1）生态环境</w:t>
      </w:r>
    </w:p>
    <w:p>
      <w:pPr>
        <w:spacing w:line="440" w:lineRule="exact"/>
        <w:ind w:firstLine="480" w:firstLineChars="200"/>
        <w:rPr>
          <w:rFonts w:ascii="Times New Roman" w:hAnsi="Times New Roman"/>
        </w:rPr>
      </w:pPr>
      <w:r>
        <w:rPr>
          <w:rFonts w:ascii="Times New Roman" w:hAnsi="Times New Roman"/>
          <w:szCs w:val="24"/>
        </w:rPr>
        <w:t>根据《全国生态功能区划》，矿区位于“</w:t>
      </w:r>
      <w:r>
        <w:rPr>
          <w:rFonts w:ascii="Times New Roman" w:hAnsi="Times New Roman"/>
        </w:rPr>
        <w:t>I-04-08</w:t>
      </w:r>
      <w:r>
        <w:rPr>
          <w:rFonts w:ascii="Times New Roman" w:hAnsi="Times New Roman"/>
          <w:szCs w:val="24"/>
        </w:rPr>
        <w:t>鄂尔多斯高原中部防风固沙功能区”。</w:t>
      </w:r>
    </w:p>
    <w:p>
      <w:pPr>
        <w:adjustRightInd w:val="0"/>
        <w:snapToGrid w:val="0"/>
        <w:spacing w:line="440" w:lineRule="atLeast"/>
        <w:ind w:firstLine="482"/>
        <w:rPr>
          <w:rFonts w:ascii="Times New Roman" w:hAnsi="Times New Roman"/>
          <w:kern w:val="0"/>
          <w:szCs w:val="24"/>
        </w:rPr>
      </w:pPr>
      <w:r>
        <w:rPr>
          <w:rFonts w:ascii="Times New Roman" w:hAnsi="Times New Roman"/>
          <w:kern w:val="0"/>
          <w:szCs w:val="24"/>
        </w:rPr>
        <w:t>该区域的主要生态问题为过度放牧、草原开垦、水资源严重短缺与水资源过度开发导致植被退化、土地沙化、沙城暴等。生态保护的主要方向为：（1）在沙漠化极敏感区和高度敏感区建立生态功能保护区，严格控制放牧和草原生物资源的利用，禁止开垦草原，加强植被恢复和保护；（2）调整传统的畜牧业生产方式，大力发展草业，加快规模化圈养牧业的发展，控制放养对草地生态系统的损害；（3）积极推进草畜平衡科学管理办法，限制养殖规模；（4）实施防风固沙工程，恢复草地植被，大力推进调整产业结构，退耕还林。退牧还草等措施。</w:t>
      </w:r>
      <w:r>
        <w:rPr>
          <w:rFonts w:ascii="Times New Roman" w:hAnsi="Times New Roman"/>
        </w:rPr>
        <w:t>因此，当地生态环境的承载能力将是限制矿区开发规划和开发强度的主要因素。</w:t>
      </w:r>
    </w:p>
    <w:p>
      <w:pPr>
        <w:adjustRightInd w:val="0"/>
        <w:snapToGrid w:val="0"/>
        <w:spacing w:line="440" w:lineRule="exact"/>
        <w:ind w:firstLine="482" w:firstLineChars="200"/>
        <w:rPr>
          <w:rFonts w:ascii="Times New Roman" w:hAnsi="Times New Roman"/>
          <w:b/>
        </w:rPr>
      </w:pPr>
      <w:r>
        <w:rPr>
          <w:rFonts w:ascii="Times New Roman" w:hAnsi="Times New Roman"/>
          <w:b/>
        </w:rPr>
        <w:t>（2）大气环境容量及总量指标</w:t>
      </w:r>
    </w:p>
    <w:p>
      <w:pPr>
        <w:adjustRightInd w:val="0"/>
        <w:snapToGrid w:val="0"/>
        <w:spacing w:line="440" w:lineRule="exact"/>
        <w:ind w:firstLine="480" w:firstLineChars="200"/>
        <w:rPr>
          <w:rFonts w:ascii="Times New Roman" w:hAnsi="Times New Roman"/>
        </w:rPr>
      </w:pPr>
      <w:r>
        <w:rPr>
          <w:rFonts w:ascii="Times New Roman" w:hAnsi="Times New Roman"/>
        </w:rPr>
        <w:t>矿区的开发新增污染物排放需申请总量指标，锅炉烟气会排放烟尘、SO</w:t>
      </w:r>
      <w:r>
        <w:rPr>
          <w:rFonts w:ascii="Times New Roman" w:hAnsi="Times New Roman"/>
          <w:vertAlign w:val="subscript"/>
        </w:rPr>
        <w:t>2、</w:t>
      </w:r>
      <w:r>
        <w:rPr>
          <w:rFonts w:ascii="Times New Roman" w:hAnsi="Times New Roman"/>
        </w:rPr>
        <w:t>NO</w:t>
      </w:r>
      <w:r>
        <w:rPr>
          <w:rFonts w:ascii="Times New Roman" w:hAnsi="Times New Roman"/>
          <w:vertAlign w:val="subscript"/>
        </w:rPr>
        <w:t>2</w:t>
      </w:r>
      <w:r>
        <w:rPr>
          <w:rFonts w:ascii="Times New Roman" w:hAnsi="Times New Roman"/>
        </w:rPr>
        <w:t>等空气污染物，这将给矿区大气环境造成一定的影响，因此，矿区大气环境容量、SO</w:t>
      </w:r>
      <w:r>
        <w:rPr>
          <w:rFonts w:ascii="Times New Roman" w:hAnsi="Times New Roman"/>
          <w:vertAlign w:val="subscript"/>
        </w:rPr>
        <w:t>2</w:t>
      </w:r>
      <w:r>
        <w:rPr>
          <w:rFonts w:ascii="Times New Roman" w:hAnsi="Times New Roman"/>
        </w:rPr>
        <w:t>总量指标</w:t>
      </w:r>
      <w:r>
        <w:rPr>
          <w:rFonts w:ascii="Times New Roman" w:hAnsi="Times New Roman"/>
          <w:vertAlign w:val="subscript"/>
        </w:rPr>
        <w:t>、</w:t>
      </w:r>
      <w:r>
        <w:rPr>
          <w:rFonts w:ascii="Times New Roman" w:hAnsi="Times New Roman"/>
        </w:rPr>
        <w:t>NO</w:t>
      </w:r>
      <w:r>
        <w:rPr>
          <w:rFonts w:ascii="Times New Roman" w:hAnsi="Times New Roman"/>
          <w:vertAlign w:val="subscript"/>
        </w:rPr>
        <w:t>2</w:t>
      </w:r>
      <w:r>
        <w:rPr>
          <w:rFonts w:ascii="Times New Roman" w:hAnsi="Times New Roman"/>
        </w:rPr>
        <w:t>总量指标是矿区发展制约因子。</w:t>
      </w:r>
    </w:p>
    <w:p>
      <w:pPr>
        <w:adjustRightInd w:val="0"/>
        <w:snapToGrid w:val="0"/>
        <w:spacing w:line="440" w:lineRule="exact"/>
        <w:ind w:firstLine="482" w:firstLineChars="200"/>
        <w:rPr>
          <w:rFonts w:ascii="Times New Roman" w:hAnsi="Times New Roman"/>
          <w:b/>
        </w:rPr>
      </w:pPr>
      <w:r>
        <w:rPr>
          <w:rFonts w:ascii="Times New Roman" w:hAnsi="Times New Roman"/>
          <w:b/>
        </w:rPr>
        <w:t>（3）水环境</w:t>
      </w:r>
    </w:p>
    <w:p>
      <w:pPr>
        <w:spacing w:line="440" w:lineRule="exact"/>
        <w:ind w:firstLine="480" w:firstLineChars="200"/>
        <w:rPr>
          <w:rFonts w:ascii="Times New Roman" w:hAnsi="Times New Roman"/>
        </w:rPr>
      </w:pPr>
      <w:r>
        <w:rPr>
          <w:rFonts w:ascii="Times New Roman" w:hAnsi="Times New Roman"/>
        </w:rPr>
        <w:t>矿区内分布有多处淖尔，总体规划本身提出矿区的矿井水、生产生活污水全部经处理后回用。这样要求一方面节约水资源，另一方面也不会对周边土壤环境、地下水环境造成污染影响。</w:t>
      </w:r>
    </w:p>
    <w:p>
      <w:pPr>
        <w:adjustRightInd w:val="0"/>
        <w:snapToGrid w:val="0"/>
        <w:spacing w:line="440" w:lineRule="exact"/>
        <w:ind w:firstLine="482" w:firstLineChars="200"/>
        <w:rPr>
          <w:rFonts w:ascii="Times New Roman" w:hAnsi="Times New Roman"/>
          <w:b/>
        </w:rPr>
      </w:pPr>
      <w:r>
        <w:rPr>
          <w:rFonts w:ascii="Times New Roman" w:hAnsi="Times New Roman"/>
          <w:b/>
        </w:rPr>
        <w:t>（4）固体废物综合处置</w:t>
      </w:r>
    </w:p>
    <w:p>
      <w:pPr>
        <w:adjustRightInd w:val="0"/>
        <w:snapToGrid w:val="0"/>
        <w:spacing w:line="440" w:lineRule="exact"/>
        <w:ind w:firstLine="480" w:firstLineChars="200"/>
        <w:rPr>
          <w:rFonts w:ascii="Times New Roman" w:hAnsi="Times New Roman"/>
        </w:rPr>
      </w:pPr>
      <w:r>
        <w:rPr>
          <w:rFonts w:ascii="Times New Roman" w:hAnsi="Times New Roman"/>
        </w:rPr>
        <w:t>矿区开发产生的固体废物，如洗选矸石、灰渣、生活垃圾，若不能综合利用和及时安全处置，必然会给周边环境带来一定的影响，如压占土地、污染地下水、产生扬尘以及影响景观等。因此，矿区固体废物综合利用和安全处置也是矿区发展的制约因子。</w:t>
      </w:r>
    </w:p>
    <w:p>
      <w:pPr>
        <w:adjustRightInd w:val="0"/>
        <w:snapToGrid w:val="0"/>
        <w:spacing w:line="440" w:lineRule="exact"/>
        <w:ind w:firstLine="482" w:firstLineChars="200"/>
        <w:rPr>
          <w:rFonts w:ascii="Times New Roman" w:hAnsi="Times New Roman"/>
          <w:b/>
        </w:rPr>
      </w:pPr>
      <w:r>
        <w:rPr>
          <w:rFonts w:ascii="Times New Roman" w:hAnsi="Times New Roman"/>
          <w:b/>
        </w:rPr>
        <w:t>（5）重要环境保护目标</w:t>
      </w:r>
    </w:p>
    <w:p>
      <w:pPr>
        <w:adjustRightInd w:val="0"/>
        <w:snapToGrid w:val="0"/>
        <w:spacing w:line="440" w:lineRule="exact"/>
        <w:ind w:firstLine="480" w:firstLineChars="200"/>
        <w:rPr>
          <w:rFonts w:ascii="Times New Roman" w:hAnsi="Times New Roman"/>
        </w:rPr>
      </w:pPr>
      <w:r>
        <w:rPr>
          <w:rFonts w:ascii="Times New Roman" w:hAnsi="Times New Roman"/>
        </w:rPr>
        <w:t>矿区开发建设主要环境保护目标为矿区北侧鄂尔多斯遗鸥国家级自然保护区、以及生态保护红线区、二级国家级公益林、永久基本农田等，</w:t>
      </w:r>
      <w:r>
        <w:rPr>
          <w:rFonts w:ascii="Times New Roman" w:hAnsi="Times New Roman"/>
          <w:szCs w:val="24"/>
        </w:rPr>
        <w:t>这些环境敏感保护目标的存在对矿区规划实施存在一定的制约作用。</w:t>
      </w:r>
    </w:p>
    <w:p>
      <w:pPr>
        <w:adjustRightInd w:val="0"/>
        <w:snapToGrid w:val="0"/>
        <w:spacing w:line="440" w:lineRule="exact"/>
        <w:ind w:firstLine="480"/>
        <w:rPr>
          <w:rFonts w:ascii="Times New Roman" w:hAnsi="Times New Roman"/>
        </w:rPr>
      </w:pPr>
      <w:r>
        <w:rPr>
          <w:rFonts w:ascii="Times New Roman" w:hAnsi="Times New Roman"/>
        </w:rPr>
        <w:t>综上所述，矿区规划的实施存在一定的制约条件，规划区所处区域环境要素对规划方案实施制约因素初步分析详见表4.1-1。</w:t>
      </w:r>
    </w:p>
    <w:p>
      <w:pPr>
        <w:pStyle w:val="345"/>
        <w:adjustRightInd w:val="0"/>
        <w:spacing w:line="440" w:lineRule="exact"/>
        <w:jc w:val="center"/>
        <w:rPr>
          <w:rFonts w:ascii="Times New Roman" w:hAnsi="Times New Roman" w:cs="Times New Roman"/>
        </w:rPr>
      </w:pPr>
      <w:r>
        <w:rPr>
          <w:rFonts w:ascii="Times New Roman" w:hAnsi="Times New Roman" w:cs="Times New Roman"/>
        </w:rPr>
        <w:t>规划方案实施环境制约因素分析初步分析表</w:t>
      </w:r>
    </w:p>
    <w:p>
      <w:pPr>
        <w:pStyle w:val="331"/>
        <w:spacing w:line="440" w:lineRule="exact"/>
        <w:rPr>
          <w:rFonts w:ascii="Times New Roman" w:hAnsi="Times New Roman" w:cs="Times New Roman"/>
        </w:rPr>
      </w:pPr>
      <w:r>
        <w:rPr>
          <w:rFonts w:ascii="Times New Roman" w:hAnsi="Times New Roman" w:cs="Times New Roman"/>
        </w:rPr>
        <w:t>表4.1-1</w:t>
      </w:r>
    </w:p>
    <w:tbl>
      <w:tblPr>
        <w:tblStyle w:val="59"/>
        <w:tblW w:w="9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57" w:type="dxa"/>
          <w:bottom w:w="0" w:type="dxa"/>
          <w:right w:w="57" w:type="dxa"/>
        </w:tblCellMar>
      </w:tblPr>
      <w:tblGrid>
        <w:gridCol w:w="592"/>
        <w:gridCol w:w="1228"/>
        <w:gridCol w:w="3982"/>
        <w:gridCol w:w="660"/>
        <w:gridCol w:w="870"/>
        <w:gridCol w:w="644"/>
        <w:gridCol w:w="12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tblHeader/>
          <w:jc w:val="center"/>
        </w:trPr>
        <w:tc>
          <w:tcPr>
            <w:tcW w:w="1820" w:type="dxa"/>
            <w:gridSpan w:val="2"/>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主要规划活动</w:t>
            </w:r>
          </w:p>
        </w:tc>
        <w:tc>
          <w:tcPr>
            <w:tcW w:w="3982"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主要的环境影响行为</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正/负</w:t>
            </w:r>
          </w:p>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效应</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影响</w:t>
            </w:r>
          </w:p>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程度</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影响</w:t>
            </w:r>
          </w:p>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时段</w:t>
            </w:r>
          </w:p>
        </w:tc>
        <w:tc>
          <w:tcPr>
            <w:tcW w:w="1209"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与规划决策的相关性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605" w:hRule="atLeast"/>
          <w:jc w:val="center"/>
        </w:trPr>
        <w:tc>
          <w:tcPr>
            <w:tcW w:w="592" w:type="dxa"/>
            <w:vMerge w:val="restart"/>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水资</w:t>
            </w:r>
          </w:p>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源</w:t>
            </w:r>
          </w:p>
        </w:tc>
        <w:tc>
          <w:tcPr>
            <w:tcW w:w="1228" w:type="dxa"/>
            <w:vMerge w:val="restart"/>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供水</w:t>
            </w:r>
          </w:p>
        </w:tc>
        <w:tc>
          <w:tcPr>
            <w:tcW w:w="3982"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工业用水需求过大将增加区域供水压力或影响农业、生态用水需求。</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模及供水规划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3982"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不建工业用水地下水取水设施。</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供水规划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废水处理/</w:t>
            </w:r>
          </w:p>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排放</w:t>
            </w:r>
          </w:p>
        </w:tc>
        <w:tc>
          <w:tcPr>
            <w:tcW w:w="3982"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配套建设污水处理装置，废水全部回用；减轻水资源压力，同时避免对地表水、地下水环境的污染。</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污水处理</w:t>
            </w:r>
          </w:p>
          <w:p>
            <w:pPr>
              <w:pStyle w:val="517"/>
              <w:spacing w:line="240" w:lineRule="auto"/>
              <w:rPr>
                <w:rFonts w:ascii="Times New Roman" w:hAnsi="Times New Roman" w:cs="Times New Roman"/>
                <w:sz w:val="21"/>
                <w:szCs w:val="21"/>
              </w:rPr>
            </w:pPr>
            <w:r>
              <w:rPr>
                <w:rFonts w:ascii="Times New Roman" w:hAnsi="Times New Roman" w:cs="Times New Roman"/>
                <w:sz w:val="21"/>
                <w:szCs w:val="21"/>
              </w:rPr>
              <w:t>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restart"/>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生态环境</w:t>
            </w:r>
          </w:p>
        </w:tc>
        <w:tc>
          <w:tcPr>
            <w:tcW w:w="1228" w:type="dxa"/>
            <w:vMerge w:val="restart"/>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占用土地</w:t>
            </w:r>
          </w:p>
        </w:tc>
        <w:tc>
          <w:tcPr>
            <w:tcW w:w="3982"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工业场地及辅助设施等占地等永久改变土地利用类型，草地转化为工业用地。</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采煤沉陷等引起区域地形地貌发生变化。</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规模、布局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548"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大幅度提高土地单位面积的产值。</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生态敏感区</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遗鸥国家级自然保护区、生态保护红线区</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布局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restart"/>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矿产资源</w:t>
            </w: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资源利用</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资源利用效率及方式。</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规模及产业结构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开发时序</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煤矿建设时序。</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lang w:val="en-GB"/>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S</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产业结构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restart"/>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地下</w:t>
            </w:r>
          </w:p>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水</w:t>
            </w: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地下水流场</w:t>
            </w:r>
          </w:p>
        </w:tc>
        <w:tc>
          <w:tcPr>
            <w:tcW w:w="3982" w:type="dxa"/>
            <w:shd w:val="clear" w:color="auto" w:fill="FFFFFF"/>
            <w:vAlign w:val="center"/>
          </w:tcPr>
          <w:p>
            <w:pPr>
              <w:rPr>
                <w:rFonts w:ascii="Times New Roman" w:hAnsi="Times New Roman"/>
                <w:sz w:val="21"/>
                <w:szCs w:val="21"/>
              </w:rPr>
            </w:pPr>
            <w:r>
              <w:rPr>
                <w:rFonts w:ascii="Times New Roman" w:hAnsi="Times New Roman"/>
                <w:sz w:val="21"/>
                <w:szCs w:val="21"/>
              </w:rPr>
              <w:t>一是井工开采所形成的导水裂缝带导通含水层的直接影响；二是采煤沉陷的间接影响。</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地下水资源</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井工煤矿采煤所形成的导水裂缝带，对上部含水层的导通作用，将使所导通的含水层被疏干，以矿井水的形式排出矿井。</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restart"/>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环境</w:t>
            </w:r>
          </w:p>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空气</w:t>
            </w: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环境容量</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规划区环境容量是否可承载矿区项目建设规模。</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总量控制</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煤矿工业场地锅炉烟尘、SO</w:t>
            </w:r>
            <w:r>
              <w:rPr>
                <w:rFonts w:ascii="Times New Roman" w:hAnsi="Times New Roman" w:cs="Times New Roman"/>
                <w:sz w:val="21"/>
                <w:szCs w:val="21"/>
                <w:vertAlign w:val="subscript"/>
              </w:rPr>
              <w:t>2</w:t>
            </w:r>
            <w:r>
              <w:rPr>
                <w:rFonts w:ascii="Times New Roman" w:hAnsi="Times New Roman" w:cs="Times New Roman"/>
                <w:sz w:val="21"/>
                <w:szCs w:val="21"/>
              </w:rPr>
              <w:t>、NO</w:t>
            </w:r>
            <w:r>
              <w:rPr>
                <w:rFonts w:ascii="Times New Roman" w:hAnsi="Times New Roman" w:cs="Times New Roman"/>
                <w:sz w:val="21"/>
                <w:szCs w:val="21"/>
                <w:vertAlign w:val="subscript"/>
              </w:rPr>
              <w:t>2</w:t>
            </w:r>
            <w:r>
              <w:rPr>
                <w:rFonts w:ascii="Times New Roman" w:hAnsi="Times New Roman" w:cs="Times New Roman"/>
                <w:sz w:val="21"/>
                <w:szCs w:val="21"/>
              </w:rPr>
              <w:t>的大量排放。</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废气排放</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锅炉烟气会排放烟尘、SO</w:t>
            </w:r>
            <w:r>
              <w:rPr>
                <w:rFonts w:ascii="Times New Roman" w:hAnsi="Times New Roman" w:cs="Times New Roman"/>
                <w:sz w:val="21"/>
                <w:szCs w:val="21"/>
                <w:vertAlign w:val="subscript"/>
              </w:rPr>
              <w:t>2</w:t>
            </w:r>
            <w:r>
              <w:rPr>
                <w:rFonts w:ascii="Times New Roman" w:hAnsi="Times New Roman" w:cs="Times New Roman"/>
                <w:sz w:val="21"/>
                <w:szCs w:val="21"/>
              </w:rPr>
              <w:t>、NO</w:t>
            </w:r>
            <w:r>
              <w:rPr>
                <w:rFonts w:ascii="Times New Roman" w:hAnsi="Times New Roman" w:cs="Times New Roman"/>
                <w:sz w:val="21"/>
                <w:szCs w:val="21"/>
                <w:vertAlign w:val="subscript"/>
              </w:rPr>
              <w:t>2</w:t>
            </w:r>
            <w:r>
              <w:rPr>
                <w:rFonts w:ascii="Times New Roman" w:hAnsi="Times New Roman" w:cs="Times New Roman"/>
                <w:sz w:val="21"/>
                <w:szCs w:val="21"/>
              </w:rPr>
              <w:t>等空气污染物，这将给矿区大气环境造成一定的影响。</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restart"/>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固体废物管理</w:t>
            </w: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生活垃圾</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矿区生活区位于伊金霍洛旗政府所在地阿勒腾席热镇，生活垃圾由当地环卫部门统一处置。</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工业废物</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矸石、粉煤灰、脱硫石膏等固体废物的综合利用途径，对占地规模、污染排放均将产生间接影响。</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产业结构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危险废物</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委托有资质的专业公司安全处置。</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restart"/>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社会经济与生活</w:t>
            </w: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移民安置</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矿区内分布有大量村庄及红庆河镇，矿区开发可能会对居民生活造成一定影响。</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lang w:val="en-GB"/>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选址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投资与就业</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增加各种投资、创业和就业机会。</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规划方案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57" w:type="dxa"/>
            <w:bottom w:w="0" w:type="dxa"/>
            <w:right w:w="57" w:type="dxa"/>
          </w:tblCellMar>
        </w:tblPrEx>
        <w:trPr>
          <w:trHeight w:val="284" w:hRule="atLeast"/>
          <w:jc w:val="center"/>
        </w:trPr>
        <w:tc>
          <w:tcPr>
            <w:tcW w:w="592" w:type="dxa"/>
            <w:vMerge w:val="continue"/>
            <w:shd w:val="clear" w:color="auto" w:fill="FFFFFF"/>
            <w:vAlign w:val="center"/>
          </w:tcPr>
          <w:p>
            <w:pPr>
              <w:pStyle w:val="517"/>
              <w:spacing w:line="240" w:lineRule="auto"/>
              <w:jc w:val="center"/>
              <w:rPr>
                <w:rFonts w:ascii="Times New Roman" w:hAnsi="Times New Roman" w:cs="Times New Roman"/>
                <w:sz w:val="21"/>
                <w:szCs w:val="21"/>
              </w:rPr>
            </w:pPr>
          </w:p>
        </w:tc>
        <w:tc>
          <w:tcPr>
            <w:tcW w:w="1228"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交通</w:t>
            </w:r>
          </w:p>
        </w:tc>
        <w:tc>
          <w:tcPr>
            <w:tcW w:w="3982" w:type="dxa"/>
            <w:shd w:val="clear" w:color="auto" w:fill="FFFFFF"/>
            <w:vAlign w:val="center"/>
          </w:tcPr>
          <w:p>
            <w:pPr>
              <w:pStyle w:val="517"/>
              <w:spacing w:line="240" w:lineRule="auto"/>
              <w:jc w:val="left"/>
              <w:rPr>
                <w:rFonts w:ascii="Times New Roman" w:hAnsi="Times New Roman" w:cs="Times New Roman"/>
                <w:sz w:val="21"/>
                <w:szCs w:val="21"/>
              </w:rPr>
            </w:pPr>
            <w:r>
              <w:rPr>
                <w:rFonts w:ascii="Times New Roman" w:hAnsi="Times New Roman" w:cs="Times New Roman"/>
                <w:sz w:val="21"/>
                <w:szCs w:val="21"/>
              </w:rPr>
              <w:t>铁路专用线、运煤公路。</w:t>
            </w:r>
          </w:p>
        </w:tc>
        <w:tc>
          <w:tcPr>
            <w:tcW w:w="660"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w:t>
            </w:r>
          </w:p>
        </w:tc>
        <w:tc>
          <w:tcPr>
            <w:tcW w:w="870" w:type="dxa"/>
            <w:shd w:val="clear" w:color="auto" w:fill="FFFFFF"/>
            <w:vAlign w:val="center"/>
          </w:tcPr>
          <w:p>
            <w:pPr>
              <w:pStyle w:val="517"/>
              <w:spacing w:line="240" w:lineRule="auto"/>
              <w:jc w:val="center"/>
              <w:rPr>
                <w:rFonts w:ascii="Times New Roman" w:hAnsi="Times New Roman" w:cs="Times New Roman"/>
                <w:sz w:val="21"/>
                <w:szCs w:val="21"/>
              </w:rPr>
            </w:pPr>
            <w:r>
              <w:rPr>
                <w:rFonts w:ascii="Segoe UI Symbol" w:hAnsi="Segoe UI Symbol" w:cs="Segoe UI Symbol"/>
                <w:sz w:val="21"/>
                <w:szCs w:val="21"/>
              </w:rPr>
              <w:t>★★</w:t>
            </w:r>
          </w:p>
        </w:tc>
        <w:tc>
          <w:tcPr>
            <w:tcW w:w="644" w:type="dxa"/>
            <w:shd w:val="clear" w:color="auto" w:fill="FFFFFF"/>
            <w:vAlign w:val="center"/>
          </w:tcPr>
          <w:p>
            <w:pPr>
              <w:pStyle w:val="517"/>
              <w:spacing w:line="240" w:lineRule="auto"/>
              <w:jc w:val="center"/>
              <w:rPr>
                <w:rFonts w:ascii="Times New Roman" w:hAnsi="Times New Roman" w:cs="Times New Roman"/>
                <w:sz w:val="21"/>
                <w:szCs w:val="21"/>
              </w:rPr>
            </w:pPr>
            <w:r>
              <w:rPr>
                <w:rFonts w:ascii="Times New Roman" w:hAnsi="Times New Roman" w:cs="Times New Roman"/>
                <w:sz w:val="21"/>
                <w:szCs w:val="21"/>
              </w:rPr>
              <w:t>L</w:t>
            </w:r>
          </w:p>
        </w:tc>
        <w:tc>
          <w:tcPr>
            <w:tcW w:w="1209" w:type="dxa"/>
            <w:shd w:val="clear" w:color="auto" w:fill="FFFFFF"/>
            <w:vAlign w:val="center"/>
          </w:tcPr>
          <w:p>
            <w:pPr>
              <w:pStyle w:val="517"/>
              <w:spacing w:line="240" w:lineRule="auto"/>
              <w:rPr>
                <w:rFonts w:ascii="Times New Roman" w:hAnsi="Times New Roman" w:cs="Times New Roman"/>
                <w:sz w:val="21"/>
                <w:szCs w:val="21"/>
              </w:rPr>
            </w:pPr>
            <w:r>
              <w:rPr>
                <w:rFonts w:ascii="Times New Roman" w:hAnsi="Times New Roman" w:cs="Times New Roman"/>
                <w:sz w:val="21"/>
                <w:szCs w:val="21"/>
              </w:rPr>
              <w:t>选址</w:t>
            </w:r>
          </w:p>
        </w:tc>
      </w:tr>
    </w:tbl>
    <w:p>
      <w:pPr>
        <w:pStyle w:val="331"/>
        <w:spacing w:line="440" w:lineRule="exact"/>
        <w:ind w:left="420" w:hanging="420" w:hangingChars="200"/>
        <w:outlineLvl w:val="9"/>
        <w:rPr>
          <w:rFonts w:ascii="Times New Roman" w:hAnsi="Times New Roman" w:cs="Times New Roman"/>
          <w:sz w:val="21"/>
          <w:szCs w:val="21"/>
        </w:rPr>
      </w:pPr>
      <w:r>
        <w:rPr>
          <w:rFonts w:ascii="Times New Roman" w:hAnsi="Times New Roman" w:cs="Times New Roman"/>
          <w:sz w:val="21"/>
          <w:szCs w:val="21"/>
        </w:rPr>
        <w:t>注：“+”—有利影响，“-”—不利影响； L—长期影响，S—短期影响；</w:t>
      </w:r>
      <w:r>
        <w:rPr>
          <w:rFonts w:ascii="Segoe UI Symbol" w:hAnsi="Segoe UI Symbol" w:cs="Segoe UI Symbol"/>
          <w:sz w:val="21"/>
          <w:szCs w:val="21"/>
        </w:rPr>
        <w:t>★</w:t>
      </w:r>
      <w:r>
        <w:rPr>
          <w:rFonts w:ascii="Times New Roman" w:hAnsi="Times New Roman" w:cs="Times New Roman"/>
          <w:sz w:val="21"/>
          <w:szCs w:val="21"/>
        </w:rPr>
        <w:t>—较小，</w:t>
      </w:r>
      <w:r>
        <w:rPr>
          <w:rFonts w:ascii="Segoe UI Symbol" w:hAnsi="Segoe UI Symbol" w:cs="Segoe UI Symbol"/>
          <w:sz w:val="21"/>
          <w:szCs w:val="21"/>
        </w:rPr>
        <w:t>★★</w:t>
      </w:r>
      <w:r>
        <w:rPr>
          <w:rFonts w:ascii="Times New Roman" w:hAnsi="Times New Roman" w:cs="Times New Roman"/>
          <w:sz w:val="21"/>
          <w:szCs w:val="21"/>
        </w:rPr>
        <w:t>—中等，</w:t>
      </w:r>
    </w:p>
    <w:p>
      <w:pPr>
        <w:pStyle w:val="331"/>
        <w:spacing w:line="440" w:lineRule="exact"/>
        <w:ind w:left="420" w:leftChars="175"/>
        <w:outlineLvl w:val="9"/>
        <w:rPr>
          <w:rFonts w:ascii="Times New Roman" w:hAnsi="Times New Roman" w:cs="Times New Roman"/>
        </w:rPr>
      </w:pPr>
      <w:r>
        <w:rPr>
          <w:rFonts w:ascii="Segoe UI Symbol" w:hAnsi="Segoe UI Symbol" w:cs="Segoe UI Symbol"/>
          <w:sz w:val="21"/>
          <w:szCs w:val="21"/>
        </w:rPr>
        <w:t>★★★</w:t>
      </w:r>
      <w:r>
        <w:rPr>
          <w:rFonts w:ascii="Times New Roman" w:hAnsi="Times New Roman" w:cs="Times New Roman"/>
          <w:sz w:val="21"/>
          <w:szCs w:val="21"/>
        </w:rPr>
        <w:t>—显著。</w:t>
      </w:r>
    </w:p>
    <w:p>
      <w:pPr>
        <w:pStyle w:val="5"/>
        <w:spacing w:before="120" w:after="120" w:line="440" w:lineRule="exact"/>
        <w:rPr>
          <w:sz w:val="24"/>
        </w:rPr>
      </w:pPr>
      <w:r>
        <w:rPr>
          <w:sz w:val="24"/>
        </w:rPr>
        <w:t>4.1.3矿区开发环境影响识别矩阵分析</w:t>
      </w:r>
    </w:p>
    <w:p>
      <w:pPr>
        <w:adjustRightInd w:val="0"/>
        <w:snapToGrid w:val="0"/>
        <w:spacing w:line="440" w:lineRule="exact"/>
        <w:ind w:firstLine="480"/>
        <w:rPr>
          <w:rFonts w:ascii="Times New Roman" w:hAnsi="Times New Roman"/>
          <w:kern w:val="0"/>
        </w:rPr>
      </w:pPr>
      <w:r>
        <w:rPr>
          <w:rFonts w:ascii="Times New Roman" w:hAnsi="Times New Roman"/>
        </w:rPr>
        <w:t>结合矿区总体规划、矿区污染源及生态影响分析和矿区发展环境限制因子分析，运用矩阵法对矿区总体规划主要行为活动对环境的影响识别结果见表4.1-2。</w:t>
      </w:r>
    </w:p>
    <w:p>
      <w:pPr>
        <w:pStyle w:val="345"/>
        <w:adjustRightInd w:val="0"/>
        <w:spacing w:line="440" w:lineRule="exact"/>
        <w:jc w:val="center"/>
        <w:rPr>
          <w:rFonts w:ascii="Times New Roman" w:hAnsi="Times New Roman" w:cs="Times New Roman"/>
          <w:kern w:val="0"/>
        </w:rPr>
      </w:pPr>
      <w:r>
        <w:rPr>
          <w:rFonts w:ascii="Times New Roman" w:hAnsi="Times New Roman" w:cs="Times New Roman"/>
          <w:kern w:val="0"/>
        </w:rPr>
        <w:t>矿区总体规划环境影响识别表</w:t>
      </w:r>
    </w:p>
    <w:p>
      <w:pPr>
        <w:pStyle w:val="331"/>
        <w:spacing w:line="440" w:lineRule="exact"/>
        <w:rPr>
          <w:rFonts w:ascii="Times New Roman" w:hAnsi="Times New Roman" w:cs="Times New Roman"/>
          <w:szCs w:val="24"/>
        </w:rPr>
      </w:pPr>
      <w:r>
        <w:rPr>
          <w:rFonts w:ascii="Times New Roman" w:hAnsi="Times New Roman" w:cs="Times New Roman"/>
          <w:szCs w:val="24"/>
        </w:rPr>
        <w:t>表4.1-2</w:t>
      </w:r>
    </w:p>
    <w:tbl>
      <w:tblPr>
        <w:tblStyle w:val="59"/>
        <w:tblW w:w="9354" w:type="dxa"/>
        <w:jc w:val="center"/>
        <w:tblLayout w:type="fixed"/>
        <w:tblCellMar>
          <w:top w:w="0" w:type="dxa"/>
          <w:left w:w="108" w:type="dxa"/>
          <w:bottom w:w="0" w:type="dxa"/>
          <w:right w:w="108" w:type="dxa"/>
        </w:tblCellMar>
      </w:tblPr>
      <w:tblGrid>
        <w:gridCol w:w="1099"/>
        <w:gridCol w:w="2037"/>
        <w:gridCol w:w="1553"/>
        <w:gridCol w:w="1558"/>
        <w:gridCol w:w="1553"/>
        <w:gridCol w:w="1554"/>
      </w:tblGrid>
      <w:tr>
        <w:tblPrEx>
          <w:tblCellMar>
            <w:top w:w="0" w:type="dxa"/>
            <w:left w:w="108" w:type="dxa"/>
            <w:bottom w:w="0" w:type="dxa"/>
            <w:right w:w="108" w:type="dxa"/>
          </w:tblCellMar>
        </w:tblPrEx>
        <w:trPr>
          <w:trHeight w:val="369" w:hRule="atLeast"/>
          <w:tblHeader/>
          <w:jc w:val="center"/>
        </w:trPr>
        <w:tc>
          <w:tcPr>
            <w:tcW w:w="3136" w:type="dxa"/>
            <w:gridSpan w:val="2"/>
            <w:tcBorders>
              <w:top w:val="single" w:color="auto" w:sz="4" w:space="0"/>
              <w:left w:val="single" w:color="auto" w:sz="4" w:space="0"/>
              <w:bottom w:val="single" w:color="auto" w:sz="4" w:space="0"/>
              <w:right w:val="single" w:color="auto" w:sz="4" w:space="0"/>
              <w:tl2br w:val="single" w:color="auto" w:sz="4" w:space="0"/>
            </w:tcBorders>
            <w:shd w:val="clear" w:color="auto" w:fill="auto"/>
            <w:vAlign w:val="center"/>
          </w:tcPr>
          <w:p>
            <w:pPr>
              <w:widowControl/>
              <w:jc w:val="right"/>
              <w:rPr>
                <w:rFonts w:ascii="Times New Roman" w:hAnsi="Times New Roman"/>
                <w:kern w:val="0"/>
                <w:sz w:val="21"/>
                <w:szCs w:val="21"/>
              </w:rPr>
            </w:pPr>
            <w:r>
              <w:rPr>
                <w:rFonts w:ascii="Times New Roman" w:hAnsi="Times New Roman"/>
                <w:kern w:val="0"/>
                <w:sz w:val="21"/>
                <w:szCs w:val="21"/>
              </w:rPr>
              <w:t>影响因子</w:t>
            </w:r>
          </w:p>
          <w:p>
            <w:pPr>
              <w:widowControl/>
              <w:rPr>
                <w:rFonts w:ascii="Times New Roman" w:hAnsi="Times New Roman"/>
                <w:kern w:val="0"/>
                <w:sz w:val="21"/>
                <w:szCs w:val="21"/>
              </w:rPr>
            </w:pPr>
            <w:r>
              <w:rPr>
                <w:rFonts w:ascii="Times New Roman" w:hAnsi="Times New Roman"/>
                <w:kern w:val="0"/>
                <w:sz w:val="21"/>
                <w:szCs w:val="21"/>
              </w:rPr>
              <w:t>环境要素</w:t>
            </w:r>
          </w:p>
        </w:tc>
        <w:tc>
          <w:tcPr>
            <w:tcW w:w="1553" w:type="dxa"/>
            <w:tcBorders>
              <w:top w:val="single" w:color="auto" w:sz="4" w:space="0"/>
              <w:left w:val="single" w:color="auto" w:sz="4" w:space="0"/>
              <w:right w:val="single" w:color="auto" w:sz="4" w:space="0"/>
            </w:tcBorders>
            <w:shd w:val="clear" w:color="auto" w:fill="auto"/>
            <w:vAlign w:val="center"/>
          </w:tcPr>
          <w:p>
            <w:pPr>
              <w:spacing w:line="240" w:lineRule="exact"/>
              <w:jc w:val="center"/>
              <w:rPr>
                <w:rFonts w:ascii="Times New Roman" w:hAnsi="Times New Roman"/>
                <w:kern w:val="0"/>
                <w:sz w:val="21"/>
                <w:szCs w:val="21"/>
              </w:rPr>
            </w:pPr>
            <w:r>
              <w:rPr>
                <w:rFonts w:ascii="Times New Roman" w:hAnsi="Times New Roman"/>
                <w:kern w:val="0"/>
                <w:sz w:val="21"/>
                <w:szCs w:val="21"/>
              </w:rPr>
              <w:t>煤矿采煤</w:t>
            </w:r>
          </w:p>
        </w:tc>
        <w:tc>
          <w:tcPr>
            <w:tcW w:w="1558" w:type="dxa"/>
            <w:tcBorders>
              <w:top w:val="single" w:color="auto" w:sz="4" w:space="0"/>
              <w:left w:val="single" w:color="auto" w:sz="4" w:space="0"/>
              <w:right w:val="single" w:color="auto" w:sz="4" w:space="0"/>
            </w:tcBorders>
            <w:shd w:val="clear" w:color="auto" w:fill="auto"/>
            <w:vAlign w:val="center"/>
          </w:tcPr>
          <w:p>
            <w:pPr>
              <w:spacing w:line="240" w:lineRule="exact"/>
              <w:jc w:val="center"/>
              <w:rPr>
                <w:rFonts w:ascii="Times New Roman" w:hAnsi="Times New Roman"/>
                <w:kern w:val="0"/>
                <w:sz w:val="21"/>
                <w:szCs w:val="21"/>
              </w:rPr>
            </w:pPr>
            <w:r>
              <w:rPr>
                <w:rFonts w:ascii="Times New Roman" w:hAnsi="Times New Roman"/>
                <w:kern w:val="0"/>
                <w:sz w:val="21"/>
                <w:szCs w:val="21"/>
              </w:rPr>
              <w:t>煤炭洗选</w:t>
            </w:r>
          </w:p>
        </w:tc>
        <w:tc>
          <w:tcPr>
            <w:tcW w:w="1553" w:type="dxa"/>
            <w:tcBorders>
              <w:top w:val="single" w:color="auto" w:sz="4" w:space="0"/>
              <w:left w:val="single" w:color="auto" w:sz="4" w:space="0"/>
              <w:right w:val="single" w:color="auto" w:sz="4" w:space="0"/>
            </w:tcBorders>
            <w:shd w:val="clear" w:color="auto" w:fill="auto"/>
            <w:vAlign w:val="center"/>
          </w:tcPr>
          <w:p>
            <w:pPr>
              <w:spacing w:line="240" w:lineRule="exact"/>
              <w:jc w:val="center"/>
              <w:rPr>
                <w:rFonts w:ascii="Times New Roman" w:hAnsi="Times New Roman"/>
                <w:kern w:val="0"/>
                <w:sz w:val="21"/>
                <w:szCs w:val="21"/>
              </w:rPr>
            </w:pPr>
            <w:r>
              <w:rPr>
                <w:rFonts w:ascii="Times New Roman" w:hAnsi="Times New Roman"/>
                <w:kern w:val="0"/>
                <w:sz w:val="21"/>
                <w:szCs w:val="21"/>
              </w:rPr>
              <w:t>交通运输</w:t>
            </w:r>
          </w:p>
        </w:tc>
        <w:tc>
          <w:tcPr>
            <w:tcW w:w="1554" w:type="dxa"/>
            <w:tcBorders>
              <w:top w:val="single" w:color="auto" w:sz="4" w:space="0"/>
              <w:left w:val="single" w:color="auto" w:sz="4" w:space="0"/>
              <w:right w:val="single" w:color="auto" w:sz="4" w:space="0"/>
            </w:tcBorders>
            <w:shd w:val="clear" w:color="auto" w:fill="auto"/>
            <w:vAlign w:val="center"/>
          </w:tcPr>
          <w:p>
            <w:pPr>
              <w:spacing w:line="240" w:lineRule="exact"/>
              <w:jc w:val="center"/>
              <w:rPr>
                <w:rFonts w:ascii="Times New Roman" w:hAnsi="Times New Roman"/>
                <w:kern w:val="0"/>
                <w:sz w:val="21"/>
                <w:szCs w:val="21"/>
              </w:rPr>
            </w:pPr>
            <w:r>
              <w:rPr>
                <w:rFonts w:ascii="Times New Roman" w:hAnsi="Times New Roman"/>
                <w:kern w:val="0"/>
                <w:sz w:val="21"/>
                <w:szCs w:val="21"/>
              </w:rPr>
              <w:t>固废处置</w:t>
            </w:r>
          </w:p>
        </w:tc>
      </w:tr>
      <w:tr>
        <w:tblPrEx>
          <w:tblCellMar>
            <w:top w:w="0" w:type="dxa"/>
            <w:left w:w="108" w:type="dxa"/>
            <w:bottom w:w="0" w:type="dxa"/>
            <w:right w:w="108" w:type="dxa"/>
          </w:tblCellMar>
        </w:tblPrEx>
        <w:trPr>
          <w:trHeight w:val="369" w:hRule="atLeast"/>
          <w:jc w:val="center"/>
        </w:trPr>
        <w:tc>
          <w:tcPr>
            <w:tcW w:w="1099" w:type="dxa"/>
            <w:vMerge w:val="restart"/>
            <w:tcBorders>
              <w:top w:val="single" w:color="auto" w:sz="4" w:space="0"/>
              <w:left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环境</w:t>
            </w:r>
          </w:p>
          <w:p>
            <w:pPr>
              <w:widowControl/>
              <w:jc w:val="center"/>
              <w:rPr>
                <w:rFonts w:ascii="Times New Roman" w:hAnsi="Times New Roman"/>
                <w:kern w:val="0"/>
                <w:sz w:val="21"/>
                <w:szCs w:val="21"/>
              </w:rPr>
            </w:pPr>
            <w:r>
              <w:rPr>
                <w:rFonts w:ascii="Times New Roman" w:hAnsi="Times New Roman"/>
                <w:kern w:val="0"/>
                <w:sz w:val="21"/>
                <w:szCs w:val="21"/>
              </w:rPr>
              <w:t>质量</w:t>
            </w: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大气环境</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-2L</w:t>
            </w:r>
          </w:p>
        </w:tc>
      </w:tr>
      <w:tr>
        <w:tblPrEx>
          <w:tblCellMar>
            <w:top w:w="0" w:type="dxa"/>
            <w:left w:w="108" w:type="dxa"/>
            <w:bottom w:w="0" w:type="dxa"/>
            <w:right w:w="108" w:type="dxa"/>
          </w:tblCellMar>
        </w:tblPrEx>
        <w:trPr>
          <w:trHeight w:val="369" w:hRule="atLeast"/>
          <w:jc w:val="center"/>
        </w:trPr>
        <w:tc>
          <w:tcPr>
            <w:tcW w:w="1099" w:type="dxa"/>
            <w:vMerge w:val="continue"/>
            <w:tcBorders>
              <w:left w:val="single" w:color="auto" w:sz="4" w:space="0"/>
              <w:right w:val="single" w:color="auto" w:sz="4" w:space="0"/>
            </w:tcBorders>
            <w:shd w:val="clear" w:color="auto" w:fill="auto"/>
            <w:vAlign w:val="center"/>
          </w:tcPr>
          <w:p>
            <w:pPr>
              <w:widowControl/>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地表水环境</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r>
      <w:tr>
        <w:tblPrEx>
          <w:tblCellMar>
            <w:top w:w="0" w:type="dxa"/>
            <w:left w:w="108" w:type="dxa"/>
            <w:bottom w:w="0" w:type="dxa"/>
            <w:right w:w="108" w:type="dxa"/>
          </w:tblCellMar>
        </w:tblPrEx>
        <w:trPr>
          <w:trHeight w:val="369" w:hRule="atLeast"/>
          <w:jc w:val="center"/>
        </w:trPr>
        <w:tc>
          <w:tcPr>
            <w:tcW w:w="1099" w:type="dxa"/>
            <w:vMerge w:val="continue"/>
            <w:tcBorders>
              <w:left w:val="single" w:color="auto" w:sz="4" w:space="0"/>
              <w:right w:val="single" w:color="auto" w:sz="4" w:space="0"/>
            </w:tcBorders>
            <w:shd w:val="clear" w:color="auto" w:fill="auto"/>
            <w:vAlign w:val="center"/>
          </w:tcPr>
          <w:p>
            <w:pPr>
              <w:widowControl/>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地下水环境</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r>
      <w:tr>
        <w:tblPrEx>
          <w:tblCellMar>
            <w:top w:w="0" w:type="dxa"/>
            <w:left w:w="108" w:type="dxa"/>
            <w:bottom w:w="0" w:type="dxa"/>
            <w:right w:w="108" w:type="dxa"/>
          </w:tblCellMar>
        </w:tblPrEx>
        <w:trPr>
          <w:trHeight w:val="369" w:hRule="atLeast"/>
          <w:jc w:val="center"/>
        </w:trPr>
        <w:tc>
          <w:tcPr>
            <w:tcW w:w="1099" w:type="dxa"/>
            <w:vMerge w:val="continue"/>
            <w:tcBorders>
              <w:left w:val="single" w:color="auto" w:sz="4" w:space="0"/>
              <w:right w:val="single" w:color="auto" w:sz="4" w:space="0"/>
            </w:tcBorders>
            <w:shd w:val="clear" w:color="auto" w:fill="auto"/>
            <w:vAlign w:val="center"/>
          </w:tcPr>
          <w:p>
            <w:pPr>
              <w:widowControl/>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声环境</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-1S</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-1S</w:t>
            </w:r>
          </w:p>
        </w:tc>
      </w:tr>
      <w:tr>
        <w:tblPrEx>
          <w:tblCellMar>
            <w:top w:w="0" w:type="dxa"/>
            <w:left w:w="108" w:type="dxa"/>
            <w:bottom w:w="0" w:type="dxa"/>
            <w:right w:w="108" w:type="dxa"/>
          </w:tblCellMar>
        </w:tblPrEx>
        <w:trPr>
          <w:trHeight w:val="369" w:hRule="atLeast"/>
          <w:jc w:val="center"/>
        </w:trPr>
        <w:tc>
          <w:tcPr>
            <w:tcW w:w="1099" w:type="dxa"/>
            <w:vMerge w:val="continue"/>
            <w:tcBorders>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土壤</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-2L</w:t>
            </w:r>
          </w:p>
        </w:tc>
      </w:tr>
      <w:tr>
        <w:tblPrEx>
          <w:tblCellMar>
            <w:top w:w="0" w:type="dxa"/>
            <w:left w:w="108" w:type="dxa"/>
            <w:bottom w:w="0" w:type="dxa"/>
            <w:right w:w="108" w:type="dxa"/>
          </w:tblCellMar>
        </w:tblPrEx>
        <w:trPr>
          <w:trHeight w:val="369" w:hRule="atLeast"/>
          <w:jc w:val="center"/>
        </w:trPr>
        <w:tc>
          <w:tcPr>
            <w:tcW w:w="1099" w:type="dxa"/>
            <w:vMerge w:val="restart"/>
            <w:tcBorders>
              <w:top w:val="single" w:color="auto" w:sz="4" w:space="0"/>
              <w:left w:val="single" w:color="auto" w:sz="4" w:space="0"/>
              <w:right w:val="single" w:color="auto" w:sz="4" w:space="0"/>
            </w:tcBorders>
            <w:vAlign w:val="center"/>
          </w:tcPr>
          <w:p>
            <w:pPr>
              <w:widowControl/>
              <w:jc w:val="center"/>
              <w:rPr>
                <w:rFonts w:ascii="Times New Roman" w:hAnsi="Times New Roman"/>
                <w:kern w:val="0"/>
                <w:sz w:val="21"/>
                <w:szCs w:val="21"/>
              </w:rPr>
            </w:pPr>
            <w:r>
              <w:rPr>
                <w:rFonts w:ascii="Times New Roman" w:hAnsi="Times New Roman"/>
                <w:kern w:val="0"/>
                <w:sz w:val="21"/>
                <w:szCs w:val="21"/>
              </w:rPr>
              <w:t>生态</w:t>
            </w:r>
          </w:p>
          <w:p>
            <w:pPr>
              <w:widowControl/>
              <w:jc w:val="center"/>
              <w:rPr>
                <w:rFonts w:ascii="Times New Roman" w:hAnsi="Times New Roman"/>
                <w:kern w:val="0"/>
                <w:sz w:val="21"/>
                <w:szCs w:val="21"/>
              </w:rPr>
            </w:pPr>
            <w:r>
              <w:rPr>
                <w:rFonts w:ascii="Times New Roman" w:hAnsi="Times New Roman"/>
                <w:kern w:val="0"/>
                <w:sz w:val="21"/>
                <w:szCs w:val="21"/>
              </w:rPr>
              <w:t>环境</w:t>
            </w: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地形地貌</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r>
      <w:tr>
        <w:tblPrEx>
          <w:tblCellMar>
            <w:top w:w="0" w:type="dxa"/>
            <w:left w:w="108" w:type="dxa"/>
            <w:bottom w:w="0" w:type="dxa"/>
            <w:right w:w="108" w:type="dxa"/>
          </w:tblCellMar>
        </w:tblPrEx>
        <w:trPr>
          <w:trHeight w:val="369" w:hRule="atLeast"/>
          <w:jc w:val="center"/>
        </w:trPr>
        <w:tc>
          <w:tcPr>
            <w:tcW w:w="1099" w:type="dxa"/>
            <w:vMerge w:val="continue"/>
            <w:tcBorders>
              <w:left w:val="single" w:color="auto" w:sz="4" w:space="0"/>
              <w:right w:val="single" w:color="auto" w:sz="4" w:space="0"/>
            </w:tcBorders>
            <w:vAlign w:val="center"/>
          </w:tcPr>
          <w:p>
            <w:pPr>
              <w:widowControl/>
              <w:jc w:val="center"/>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地表植被</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r>
      <w:tr>
        <w:tblPrEx>
          <w:tblCellMar>
            <w:top w:w="0" w:type="dxa"/>
            <w:left w:w="108" w:type="dxa"/>
            <w:bottom w:w="0" w:type="dxa"/>
            <w:right w:w="108" w:type="dxa"/>
          </w:tblCellMar>
        </w:tblPrEx>
        <w:trPr>
          <w:trHeight w:val="369" w:hRule="atLeast"/>
          <w:jc w:val="center"/>
        </w:trPr>
        <w:tc>
          <w:tcPr>
            <w:tcW w:w="1099" w:type="dxa"/>
            <w:vMerge w:val="continue"/>
            <w:tcBorders>
              <w:left w:val="single" w:color="auto" w:sz="4" w:space="0"/>
              <w:right w:val="single" w:color="auto" w:sz="4" w:space="0"/>
            </w:tcBorders>
            <w:vAlign w:val="center"/>
          </w:tcPr>
          <w:p>
            <w:pPr>
              <w:widowControl/>
              <w:jc w:val="center"/>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生态功能</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r>
      <w:tr>
        <w:tblPrEx>
          <w:tblCellMar>
            <w:top w:w="0" w:type="dxa"/>
            <w:left w:w="108" w:type="dxa"/>
            <w:bottom w:w="0" w:type="dxa"/>
            <w:right w:w="108" w:type="dxa"/>
          </w:tblCellMar>
        </w:tblPrEx>
        <w:trPr>
          <w:trHeight w:val="369" w:hRule="atLeast"/>
          <w:jc w:val="center"/>
        </w:trPr>
        <w:tc>
          <w:tcPr>
            <w:tcW w:w="1099" w:type="dxa"/>
            <w:vMerge w:val="continue"/>
            <w:tcBorders>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生态保护红线或重点生态功能区组成、结构、功能</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r>
      <w:tr>
        <w:tblPrEx>
          <w:tblCellMar>
            <w:top w:w="0" w:type="dxa"/>
            <w:left w:w="108" w:type="dxa"/>
            <w:bottom w:w="0" w:type="dxa"/>
            <w:right w:w="108" w:type="dxa"/>
          </w:tblCellMar>
        </w:tblPrEx>
        <w:trPr>
          <w:trHeight w:val="369" w:hRule="atLeast"/>
          <w:jc w:val="center"/>
        </w:trPr>
        <w:tc>
          <w:tcPr>
            <w:tcW w:w="1099" w:type="dxa"/>
            <w:vMerge w:val="restart"/>
            <w:tcBorders>
              <w:top w:val="single" w:color="auto" w:sz="4" w:space="0"/>
              <w:left w:val="single" w:color="auto" w:sz="4" w:space="0"/>
              <w:right w:val="single" w:color="auto" w:sz="4" w:space="0"/>
            </w:tcBorders>
            <w:vAlign w:val="center"/>
          </w:tcPr>
          <w:p>
            <w:pPr>
              <w:widowControl/>
              <w:jc w:val="center"/>
              <w:rPr>
                <w:rFonts w:ascii="Times New Roman" w:hAnsi="Times New Roman"/>
                <w:kern w:val="0"/>
                <w:sz w:val="21"/>
                <w:szCs w:val="21"/>
              </w:rPr>
            </w:pPr>
            <w:r>
              <w:rPr>
                <w:rFonts w:ascii="Times New Roman" w:hAnsi="Times New Roman"/>
                <w:kern w:val="0"/>
                <w:sz w:val="21"/>
                <w:szCs w:val="21"/>
              </w:rPr>
              <w:t>资源</w:t>
            </w:r>
          </w:p>
          <w:p>
            <w:pPr>
              <w:widowControl/>
              <w:jc w:val="center"/>
              <w:rPr>
                <w:rFonts w:ascii="Times New Roman" w:hAnsi="Times New Roman"/>
                <w:kern w:val="0"/>
                <w:sz w:val="21"/>
                <w:szCs w:val="21"/>
              </w:rPr>
            </w:pPr>
            <w:r>
              <w:rPr>
                <w:rFonts w:ascii="Times New Roman" w:hAnsi="Times New Roman"/>
                <w:kern w:val="0"/>
                <w:sz w:val="21"/>
                <w:szCs w:val="21"/>
              </w:rPr>
              <w:t>利用</w:t>
            </w:r>
          </w:p>
          <w:p>
            <w:pPr>
              <w:widowControl/>
              <w:jc w:val="center"/>
              <w:rPr>
                <w:rFonts w:ascii="Times New Roman" w:hAnsi="Times New Roman"/>
                <w:kern w:val="0"/>
                <w:sz w:val="21"/>
                <w:szCs w:val="21"/>
              </w:rPr>
            </w:pPr>
            <w:r>
              <w:rPr>
                <w:rFonts w:ascii="Times New Roman" w:hAnsi="Times New Roman"/>
                <w:kern w:val="0"/>
                <w:sz w:val="21"/>
                <w:szCs w:val="21"/>
              </w:rPr>
              <w:t>冲突</w:t>
            </w: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水资源</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r>
      <w:tr>
        <w:tblPrEx>
          <w:tblCellMar>
            <w:top w:w="0" w:type="dxa"/>
            <w:left w:w="108" w:type="dxa"/>
            <w:bottom w:w="0" w:type="dxa"/>
            <w:right w:w="108" w:type="dxa"/>
          </w:tblCellMar>
        </w:tblPrEx>
        <w:trPr>
          <w:trHeight w:val="369" w:hRule="atLeast"/>
          <w:jc w:val="center"/>
        </w:trPr>
        <w:tc>
          <w:tcPr>
            <w:tcW w:w="1099" w:type="dxa"/>
            <w:vMerge w:val="continue"/>
            <w:tcBorders>
              <w:left w:val="single" w:color="auto" w:sz="4" w:space="0"/>
              <w:right w:val="single" w:color="auto" w:sz="4" w:space="0"/>
            </w:tcBorders>
            <w:vAlign w:val="center"/>
          </w:tcPr>
          <w:p>
            <w:pPr>
              <w:widowControl/>
              <w:jc w:val="center"/>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土地资源</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r>
      <w:tr>
        <w:tblPrEx>
          <w:tblCellMar>
            <w:top w:w="0" w:type="dxa"/>
            <w:left w:w="108" w:type="dxa"/>
            <w:bottom w:w="0" w:type="dxa"/>
            <w:right w:w="108" w:type="dxa"/>
          </w:tblCellMar>
        </w:tblPrEx>
        <w:trPr>
          <w:trHeight w:val="369" w:hRule="atLeast"/>
          <w:jc w:val="center"/>
        </w:trPr>
        <w:tc>
          <w:tcPr>
            <w:tcW w:w="1099" w:type="dxa"/>
            <w:vMerge w:val="restart"/>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kern w:val="0"/>
                <w:sz w:val="21"/>
                <w:szCs w:val="21"/>
              </w:rPr>
            </w:pPr>
            <w:r>
              <w:rPr>
                <w:rFonts w:ascii="Times New Roman" w:hAnsi="Times New Roman"/>
                <w:kern w:val="0"/>
                <w:sz w:val="21"/>
                <w:szCs w:val="21"/>
              </w:rPr>
              <w:t>社会经济环境</w:t>
            </w: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工业发展</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+2L</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r>
      <w:tr>
        <w:tblPrEx>
          <w:tblCellMar>
            <w:top w:w="0" w:type="dxa"/>
            <w:left w:w="108" w:type="dxa"/>
            <w:bottom w:w="0" w:type="dxa"/>
            <w:right w:w="108" w:type="dxa"/>
          </w:tblCellMar>
        </w:tblPrEx>
        <w:trPr>
          <w:trHeight w:val="369" w:hRule="atLeast"/>
          <w:jc w:val="center"/>
        </w:trPr>
        <w:tc>
          <w:tcPr>
            <w:tcW w:w="1099"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农业发展</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r>
      <w:tr>
        <w:tblPrEx>
          <w:tblCellMar>
            <w:top w:w="0" w:type="dxa"/>
            <w:left w:w="108" w:type="dxa"/>
            <w:bottom w:w="0" w:type="dxa"/>
            <w:right w:w="108" w:type="dxa"/>
          </w:tblCellMar>
        </w:tblPrEx>
        <w:trPr>
          <w:trHeight w:val="369" w:hRule="atLeast"/>
          <w:jc w:val="center"/>
        </w:trPr>
        <w:tc>
          <w:tcPr>
            <w:tcW w:w="1099"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基础设施</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+2L</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r>
      <w:tr>
        <w:tblPrEx>
          <w:tblCellMar>
            <w:top w:w="0" w:type="dxa"/>
            <w:left w:w="108" w:type="dxa"/>
            <w:bottom w:w="0" w:type="dxa"/>
            <w:right w:w="108" w:type="dxa"/>
          </w:tblCellMar>
        </w:tblPrEx>
        <w:trPr>
          <w:trHeight w:val="369" w:hRule="atLeast"/>
          <w:jc w:val="center"/>
        </w:trPr>
        <w:tc>
          <w:tcPr>
            <w:tcW w:w="1099" w:type="dxa"/>
            <w:vMerge w:val="restart"/>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r>
              <w:rPr>
                <w:rFonts w:ascii="Times New Roman" w:hAnsi="Times New Roman"/>
                <w:kern w:val="0"/>
                <w:sz w:val="21"/>
                <w:szCs w:val="21"/>
              </w:rPr>
              <w:t>人居</w:t>
            </w:r>
          </w:p>
          <w:p>
            <w:pPr>
              <w:widowControl/>
              <w:jc w:val="center"/>
              <w:rPr>
                <w:rFonts w:ascii="Times New Roman" w:hAnsi="Times New Roman"/>
                <w:kern w:val="0"/>
                <w:sz w:val="21"/>
                <w:szCs w:val="21"/>
              </w:rPr>
            </w:pPr>
            <w:r>
              <w:rPr>
                <w:rFonts w:ascii="Times New Roman" w:hAnsi="Times New Roman"/>
                <w:kern w:val="0"/>
                <w:sz w:val="21"/>
                <w:szCs w:val="21"/>
              </w:rPr>
              <w:t>环境</w:t>
            </w: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易生物蓄积、长期接触对人体和生物产生危害作用的无机和有机污染物等在水、大气和土壤等介质中的污染水平</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r>
      <w:tr>
        <w:tblPrEx>
          <w:tblCellMar>
            <w:top w:w="0" w:type="dxa"/>
            <w:left w:w="108" w:type="dxa"/>
            <w:bottom w:w="0" w:type="dxa"/>
            <w:right w:w="108" w:type="dxa"/>
          </w:tblCellMar>
        </w:tblPrEx>
        <w:trPr>
          <w:trHeight w:val="369" w:hRule="atLeast"/>
          <w:jc w:val="center"/>
        </w:trPr>
        <w:tc>
          <w:tcPr>
            <w:tcW w:w="1099"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农牧渔产品污染风险</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r>
      <w:tr>
        <w:tblPrEx>
          <w:tblCellMar>
            <w:top w:w="0" w:type="dxa"/>
            <w:left w:w="108" w:type="dxa"/>
            <w:bottom w:w="0" w:type="dxa"/>
            <w:right w:w="108" w:type="dxa"/>
          </w:tblCellMar>
        </w:tblPrEx>
        <w:trPr>
          <w:trHeight w:val="369" w:hRule="atLeast"/>
          <w:jc w:val="center"/>
        </w:trPr>
        <w:tc>
          <w:tcPr>
            <w:tcW w:w="1099"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Times New Roman" w:hAnsi="Times New Roman"/>
                <w:kern w:val="0"/>
                <w:sz w:val="21"/>
                <w:szCs w:val="21"/>
              </w:rPr>
            </w:pPr>
            <w:r>
              <w:rPr>
                <w:rFonts w:ascii="Times New Roman" w:hAnsi="Times New Roman"/>
                <w:kern w:val="0"/>
                <w:sz w:val="21"/>
                <w:szCs w:val="21"/>
              </w:rPr>
              <w:t>人群健康风险</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-1L</w:t>
            </w:r>
          </w:p>
        </w:tc>
      </w:tr>
      <w:tr>
        <w:tblPrEx>
          <w:tblCellMar>
            <w:top w:w="0" w:type="dxa"/>
            <w:left w:w="108" w:type="dxa"/>
            <w:bottom w:w="0" w:type="dxa"/>
            <w:right w:w="108" w:type="dxa"/>
          </w:tblCellMar>
        </w:tblPrEx>
        <w:trPr>
          <w:trHeight w:val="369" w:hRule="atLeast"/>
          <w:jc w:val="center"/>
        </w:trPr>
        <w:tc>
          <w:tcPr>
            <w:tcW w:w="1099"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p>
        </w:tc>
        <w:tc>
          <w:tcPr>
            <w:tcW w:w="20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adjustRightInd w:val="0"/>
              <w:snapToGrid w:val="0"/>
              <w:spacing w:line="240" w:lineRule="atLeast"/>
              <w:rPr>
                <w:rFonts w:ascii="Times New Roman" w:hAnsi="Times New Roman"/>
                <w:kern w:val="0"/>
                <w:sz w:val="21"/>
                <w:szCs w:val="21"/>
              </w:rPr>
            </w:pPr>
            <w:r>
              <w:rPr>
                <w:rFonts w:ascii="Times New Roman" w:hAnsi="Times New Roman"/>
                <w:kern w:val="0"/>
                <w:sz w:val="21"/>
                <w:szCs w:val="21"/>
              </w:rPr>
              <w:t>居民收入</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+2L</w:t>
            </w:r>
          </w:p>
        </w:tc>
        <w:tc>
          <w:tcPr>
            <w:tcW w:w="155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+1L</w:t>
            </w:r>
          </w:p>
        </w:tc>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adjustRightInd w:val="0"/>
              <w:snapToGrid w:val="0"/>
              <w:spacing w:line="240" w:lineRule="atLeast"/>
              <w:jc w:val="center"/>
              <w:rPr>
                <w:rFonts w:ascii="Times New Roman" w:hAnsi="Times New Roman"/>
                <w:kern w:val="0"/>
                <w:sz w:val="21"/>
                <w:szCs w:val="21"/>
              </w:rPr>
            </w:pPr>
            <w:r>
              <w:rPr>
                <w:rFonts w:ascii="Times New Roman" w:hAnsi="Times New Roman"/>
                <w:kern w:val="0"/>
                <w:sz w:val="21"/>
                <w:szCs w:val="21"/>
              </w:rPr>
              <w:t>+1L</w:t>
            </w:r>
          </w:p>
        </w:tc>
        <w:tc>
          <w:tcPr>
            <w:tcW w:w="155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〇</w:t>
            </w:r>
          </w:p>
        </w:tc>
      </w:tr>
    </w:tbl>
    <w:p>
      <w:pPr>
        <w:widowControl/>
        <w:ind w:left="420" w:hanging="420" w:hangingChars="200"/>
        <w:rPr>
          <w:rFonts w:ascii="Times New Roman" w:hAnsi="Times New Roman"/>
          <w:kern w:val="0"/>
          <w:sz w:val="21"/>
          <w:szCs w:val="21"/>
        </w:rPr>
      </w:pPr>
      <w:r>
        <w:rPr>
          <w:rFonts w:ascii="Times New Roman" w:hAnsi="Times New Roman"/>
          <w:kern w:val="0"/>
          <w:sz w:val="21"/>
          <w:szCs w:val="21"/>
        </w:rPr>
        <w:t>注：+表示有利影响；-表示不利影响；S表示短期影响；L表示长期影响：1、2、3分别表示影响程度轻微、中等、较大</w:t>
      </w:r>
    </w:p>
    <w:bookmarkEnd w:id="195"/>
    <w:p>
      <w:pPr>
        <w:pStyle w:val="4"/>
        <w:snapToGrid w:val="0"/>
        <w:spacing w:line="440" w:lineRule="exact"/>
        <w:rPr>
          <w:rFonts w:ascii="Times New Roman" w:hAnsi="Times New Roman" w:eastAsia="宋体"/>
          <w:sz w:val="28"/>
        </w:rPr>
      </w:pPr>
      <w:bookmarkStart w:id="196" w:name="_Toc182400991"/>
      <w:bookmarkStart w:id="197" w:name="_Toc8349"/>
      <w:bookmarkStart w:id="198" w:name="_Toc22898"/>
      <w:bookmarkStart w:id="199" w:name="_Toc23519338"/>
      <w:bookmarkStart w:id="200" w:name="_Toc8663"/>
      <w:bookmarkStart w:id="201" w:name="_Toc437006610"/>
      <w:r>
        <w:rPr>
          <w:rFonts w:ascii="Times New Roman" w:hAnsi="Times New Roman" w:eastAsia="宋体"/>
          <w:sz w:val="28"/>
        </w:rPr>
        <w:t>4.2评价指标体系</w:t>
      </w:r>
      <w:bookmarkEnd w:id="196"/>
      <w:bookmarkEnd w:id="197"/>
      <w:bookmarkEnd w:id="198"/>
      <w:bookmarkEnd w:id="199"/>
      <w:bookmarkEnd w:id="200"/>
      <w:bookmarkEnd w:id="201"/>
    </w:p>
    <w:p>
      <w:pPr>
        <w:pStyle w:val="5"/>
        <w:spacing w:before="120" w:after="120" w:line="440" w:lineRule="exact"/>
      </w:pPr>
      <w:r>
        <w:rPr>
          <w:sz w:val="24"/>
        </w:rPr>
        <w:t>4.2.1矿区开发环境目标</w:t>
      </w:r>
    </w:p>
    <w:p>
      <w:pPr>
        <w:spacing w:line="440" w:lineRule="exact"/>
        <w:ind w:firstLine="480" w:firstLineChars="200"/>
        <w:rPr>
          <w:rFonts w:ascii="Times New Roman" w:hAnsi="Times New Roman"/>
        </w:rPr>
      </w:pPr>
      <w:r>
        <w:rPr>
          <w:rFonts w:ascii="Times New Roman" w:hAnsi="Times New Roman"/>
          <w:szCs w:val="24"/>
        </w:rPr>
        <w:t>根据《全国生态功能区划》，矿区位于“</w:t>
      </w:r>
      <w:r>
        <w:rPr>
          <w:rFonts w:ascii="Times New Roman" w:hAnsi="Times New Roman"/>
        </w:rPr>
        <w:t>I-04-08</w:t>
      </w:r>
      <w:r>
        <w:rPr>
          <w:rFonts w:ascii="Times New Roman" w:hAnsi="Times New Roman"/>
          <w:szCs w:val="24"/>
        </w:rPr>
        <w:t>鄂尔多斯高原中部防风固沙功能区”。</w:t>
      </w:r>
      <w:r>
        <w:rPr>
          <w:rFonts w:ascii="Times New Roman" w:hAnsi="Times New Roman"/>
          <w:kern w:val="0"/>
          <w:szCs w:val="24"/>
        </w:rPr>
        <w:t>该区域的主要生态问题为过度放牧、草原开垦、水资源严重短缺与水资源过度开发导致植被退化、土地沙化、沙尘暴等。生态保护的主要方向为：（1）在沙漠化极敏感区和高度敏感区建立生态功能保护区，严格控制放牧和草原生物资源的利用，禁止开垦草原，加强植被恢复和保护；（2）调整传统的畜牧业生产方式，大力发展草业，加快规模化圈养牧业的发展，控制放养对草地生态系统的损害；（3）积极推进草畜平衡科学管理办法，限制养殖规模；（4）实施防风固沙工程，恢复草地植被，大力推进调整产业结构，退耕还林。退牧还草等措施。</w:t>
      </w:r>
      <w:r>
        <w:rPr>
          <w:rFonts w:ascii="Times New Roman" w:hAnsi="Times New Roman"/>
        </w:rPr>
        <w:t>因此，当地生态环境的承载能力将是限制矿区开发规划和开发强度的主要因素。</w:t>
      </w:r>
    </w:p>
    <w:p>
      <w:pPr>
        <w:adjustRightInd w:val="0"/>
        <w:snapToGrid w:val="0"/>
        <w:spacing w:line="440" w:lineRule="exact"/>
        <w:ind w:firstLine="480" w:firstLineChars="200"/>
        <w:rPr>
          <w:rFonts w:ascii="Times New Roman" w:hAnsi="Times New Roman"/>
          <w:snapToGrid w:val="0"/>
          <w:szCs w:val="24"/>
        </w:rPr>
      </w:pPr>
      <w:r>
        <w:rPr>
          <w:rFonts w:ascii="Times New Roman" w:hAnsi="Times New Roman"/>
        </w:rPr>
        <w:t>根据《内蒙古生态环境功能区划》，矿区属于III-5-2鄂尔多斯高原典型草原沙漠化控制生态功能区，</w:t>
      </w:r>
      <w:r>
        <w:rPr>
          <w:rFonts w:ascii="Times New Roman" w:hAnsi="Times New Roman"/>
          <w:snapToGrid w:val="0"/>
          <w:szCs w:val="24"/>
        </w:rPr>
        <w:t xml:space="preserve">防风固沙类型生态功能区生态保护的主要方向是： </w:t>
      </w:r>
    </w:p>
    <w:p>
      <w:pPr>
        <w:adjustRightInd w:val="0"/>
        <w:snapToGrid w:val="0"/>
        <w:spacing w:line="440" w:lineRule="exact"/>
        <w:ind w:firstLine="480" w:firstLineChars="200"/>
        <w:rPr>
          <w:rFonts w:ascii="Times New Roman" w:hAnsi="Times New Roman"/>
          <w:snapToGrid w:val="0"/>
          <w:szCs w:val="24"/>
        </w:rPr>
      </w:pPr>
      <w:r>
        <w:rPr>
          <w:rFonts w:ascii="Times New Roman" w:hAnsi="Times New Roman"/>
          <w:snapToGrid w:val="0"/>
          <w:szCs w:val="24"/>
        </w:rPr>
        <w:t>调整传统的畜牧业生产方式，大力发展草业，加快规模化圈养牧业的发展，控制放养对草地生态系统的损害。调整产业结构、退耕还草、退牧还草，恢复草地植被。加强西部内陆河流域规划和综合管理，禁止在干旱和半干旱区发展高耗水产业；在出现江河断流的流域禁止新建引水和蓄水工程，合理利用水资源，保障生态用水，保护沙区湿地。</w:t>
      </w:r>
    </w:p>
    <w:p>
      <w:pPr>
        <w:adjustRightInd w:val="0"/>
        <w:snapToGrid w:val="0"/>
        <w:spacing w:line="440" w:lineRule="exact"/>
        <w:ind w:firstLine="480" w:firstLineChars="200"/>
        <w:rPr>
          <w:rFonts w:ascii="Times New Roman" w:hAnsi="Times New Roman"/>
          <w:snapToGrid w:val="0"/>
          <w:szCs w:val="24"/>
        </w:rPr>
      </w:pPr>
      <w:r>
        <w:rPr>
          <w:rFonts w:ascii="Times New Roman" w:hAnsi="Times New Roman"/>
          <w:snapToGrid w:val="0"/>
          <w:szCs w:val="24"/>
        </w:rPr>
        <w:t>根据《内蒙古自治区主体功能区规划》，矿区属于国家级重点开发区域，发展方向为建设鄂尔多斯能源和新型化工基地。依托煤炭、天然气资源优势，采用煤气化联合循环发电（IGCC），碳捕集等绿色煤电技术，实现煤炭资源清洁高效开发和利用。以资源环境承载能力为基础，适度发展现代化煤化工产业，推动焦化、聚氯乙烯企业技术进步和升级换代，建设国家新型化工基地。</w:t>
      </w:r>
    </w:p>
    <w:p>
      <w:pPr>
        <w:pStyle w:val="5"/>
        <w:spacing w:before="120" w:after="120" w:line="440" w:lineRule="exact"/>
      </w:pPr>
      <w:r>
        <w:rPr>
          <w:sz w:val="24"/>
        </w:rPr>
        <w:t>4.2.2矿区开发的环境指标</w:t>
      </w:r>
    </w:p>
    <w:p>
      <w:pPr>
        <w:adjustRightInd w:val="0"/>
        <w:snapToGrid w:val="0"/>
        <w:spacing w:line="440" w:lineRule="exact"/>
        <w:ind w:firstLine="482"/>
        <w:rPr>
          <w:rFonts w:ascii="Times New Roman" w:hAnsi="Times New Roman"/>
        </w:rPr>
      </w:pPr>
      <w:r>
        <w:rPr>
          <w:rFonts w:ascii="Times New Roman" w:hAnsi="Times New Roman"/>
        </w:rPr>
        <w:t>通过前述规划分析、区域环境现状和存在的问题、环境影响识别和主要资源环境限制因子的确定等过程，针对重点评价对象和评价因子，从自然环境、社会环境和经济环境三方面构建本次规划环评的指标体系。</w:t>
      </w:r>
    </w:p>
    <w:p>
      <w:pPr>
        <w:adjustRightInd w:val="0"/>
        <w:snapToGrid w:val="0"/>
        <w:spacing w:line="440" w:lineRule="exact"/>
        <w:ind w:firstLine="482"/>
        <w:rPr>
          <w:rFonts w:ascii="Times New Roman" w:hAnsi="Times New Roman"/>
        </w:rPr>
      </w:pPr>
      <w:r>
        <w:rPr>
          <w:rFonts w:ascii="Times New Roman" w:hAnsi="Times New Roman"/>
        </w:rPr>
        <w:t>资源能源利用指标主要依据《煤炭采选业清洁生产评价指标体系》，要求矿区规划新建煤矿项目均应采用现代化技术工艺，清洁生产水平达到Ⅰ级即国际清洁生产领先水平。环境要素相关的评价指标则主要依据《内蒙古自治区国民经济和社会发展第十四个五年规划和2035年远景目标纲要》《鄂尔多斯市“十四五”生态环境保护规划》等相关标准进行构建，要求单位产品的能耗、水耗、物耗以及污染物排放达到国际先进水平。具体见下表4.2-1。</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345"/>
        <w:adjustRightInd w:val="0"/>
        <w:spacing w:line="440" w:lineRule="exact"/>
        <w:jc w:val="center"/>
        <w:rPr>
          <w:rFonts w:ascii="Times New Roman" w:hAnsi="Times New Roman" w:cs="Times New Roman"/>
          <w:kern w:val="0"/>
        </w:rPr>
      </w:pPr>
      <w:r>
        <w:rPr>
          <w:rFonts w:ascii="Times New Roman" w:hAnsi="Times New Roman" w:cs="Times New Roman"/>
          <w:kern w:val="0"/>
        </w:rPr>
        <w:t>矿区总体规划环境影响评价指标表</w:t>
      </w:r>
    </w:p>
    <w:p>
      <w:pPr>
        <w:pStyle w:val="331"/>
        <w:spacing w:line="440" w:lineRule="exact"/>
        <w:rPr>
          <w:rFonts w:ascii="Times New Roman" w:hAnsi="Times New Roman" w:cs="Times New Roman"/>
        </w:rPr>
      </w:pPr>
      <w:r>
        <w:rPr>
          <w:rFonts w:ascii="Times New Roman" w:hAnsi="Times New Roman" w:cs="Times New Roman"/>
        </w:rPr>
        <w:t>表4.2-1</w:t>
      </w:r>
    </w:p>
    <w:bookmarkEnd w:id="194"/>
    <w:tbl>
      <w:tblPr>
        <w:tblStyle w:val="59"/>
        <w:tblW w:w="9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04"/>
        <w:gridCol w:w="1154"/>
        <w:gridCol w:w="1155"/>
        <w:gridCol w:w="2450"/>
        <w:gridCol w:w="1731"/>
        <w:gridCol w:w="15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4" w:hRule="atLeast"/>
          <w:tblHeader/>
          <w:jc w:val="center"/>
        </w:trPr>
        <w:tc>
          <w:tcPr>
            <w:tcW w:w="100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环境目标</w:t>
            </w:r>
          </w:p>
        </w:tc>
        <w:tc>
          <w:tcPr>
            <w:tcW w:w="4759" w:type="dxa"/>
            <w:gridSpan w:val="3"/>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评价指标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评价标准值</w:t>
            </w:r>
          </w:p>
        </w:tc>
        <w:tc>
          <w:tcPr>
            <w:tcW w:w="1587"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00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资源开发利用</w:t>
            </w:r>
          </w:p>
        </w:tc>
        <w:tc>
          <w:tcPr>
            <w:tcW w:w="1154" w:type="dxa"/>
            <w:vMerge w:val="restart"/>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生产工艺及装备指标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煤矿机械化采煤比例（％）</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≥95</w:t>
            </w:r>
          </w:p>
        </w:tc>
        <w:tc>
          <w:tcPr>
            <w:tcW w:w="1587"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《煤炭采选业清洁生产评价指标体系》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原煤入选率（％）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2"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restart"/>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资源能源消耗指标</w:t>
            </w:r>
          </w:p>
        </w:tc>
        <w:tc>
          <w:tcPr>
            <w:tcW w:w="1155"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采区回采率（％）</w:t>
            </w:r>
          </w:p>
        </w:tc>
        <w:tc>
          <w:tcPr>
            <w:tcW w:w="2450"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薄煤层资源回采率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rPr>
                <w:rFonts w:ascii="Times New Roman" w:hAnsi="Times New Roman"/>
                <w:sz w:val="21"/>
                <w:szCs w:val="21"/>
              </w:rPr>
            </w:pPr>
          </w:p>
        </w:tc>
        <w:tc>
          <w:tcPr>
            <w:tcW w:w="1155" w:type="dxa"/>
            <w:vMerge w:val="continue"/>
            <w:vAlign w:val="center"/>
          </w:tcPr>
          <w:p>
            <w:pPr>
              <w:adjustRightInd w:val="0"/>
              <w:snapToGrid w:val="0"/>
              <w:spacing w:line="240" w:lineRule="atLeast"/>
              <w:rPr>
                <w:rFonts w:ascii="Times New Roman" w:hAnsi="Times New Roman"/>
                <w:sz w:val="21"/>
                <w:szCs w:val="21"/>
              </w:rPr>
            </w:pPr>
          </w:p>
        </w:tc>
        <w:tc>
          <w:tcPr>
            <w:tcW w:w="2450"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中厚煤层资源回采率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≥80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rPr>
                <w:rFonts w:ascii="Times New Roman" w:hAnsi="Times New Roman"/>
                <w:sz w:val="21"/>
                <w:szCs w:val="21"/>
              </w:rPr>
            </w:pPr>
          </w:p>
        </w:tc>
        <w:tc>
          <w:tcPr>
            <w:tcW w:w="1155" w:type="dxa"/>
            <w:vMerge w:val="continue"/>
            <w:vAlign w:val="center"/>
          </w:tcPr>
          <w:p>
            <w:pPr>
              <w:adjustRightInd w:val="0"/>
              <w:snapToGrid w:val="0"/>
              <w:spacing w:line="240" w:lineRule="atLeast"/>
              <w:rPr>
                <w:rFonts w:ascii="Times New Roman" w:hAnsi="Times New Roman"/>
                <w:sz w:val="21"/>
                <w:szCs w:val="21"/>
              </w:rPr>
            </w:pPr>
          </w:p>
        </w:tc>
        <w:tc>
          <w:tcPr>
            <w:tcW w:w="2450"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厚煤层资源回采率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≥75</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rPr>
                <w:rFonts w:ascii="Times New Roman" w:hAnsi="Times New Roman"/>
                <w:sz w:val="21"/>
                <w:szCs w:val="21"/>
              </w:rPr>
            </w:pPr>
          </w:p>
        </w:tc>
        <w:tc>
          <w:tcPr>
            <w:tcW w:w="1155" w:type="dxa"/>
            <w:vMerge w:val="continue"/>
            <w:vAlign w:val="center"/>
          </w:tcPr>
          <w:p>
            <w:pPr>
              <w:adjustRightInd w:val="0"/>
              <w:snapToGrid w:val="0"/>
              <w:spacing w:line="240" w:lineRule="atLeast"/>
              <w:rPr>
                <w:rFonts w:ascii="Times New Roman" w:hAnsi="Times New Roman"/>
                <w:sz w:val="21"/>
                <w:szCs w:val="21"/>
              </w:rPr>
            </w:pPr>
          </w:p>
        </w:tc>
        <w:tc>
          <w:tcPr>
            <w:tcW w:w="2450"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矿区资源回采率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≥75</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原煤生产电耗（kWh/ t煤）</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≤18</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pStyle w:val="331"/>
              <w:jc w:val="center"/>
              <w:outlineLvl w:val="9"/>
              <w:rPr>
                <w:rFonts w:ascii="Times New Roman" w:hAnsi="Times New Roman" w:cs="Times New Roman"/>
                <w:sz w:val="21"/>
                <w:szCs w:val="21"/>
              </w:rPr>
            </w:pPr>
          </w:p>
        </w:tc>
        <w:tc>
          <w:tcPr>
            <w:tcW w:w="1154" w:type="dxa"/>
            <w:vMerge w:val="continue"/>
            <w:vAlign w:val="center"/>
          </w:tcPr>
          <w:p>
            <w:pPr>
              <w:pStyle w:val="331"/>
              <w:outlineLvl w:val="9"/>
              <w:rPr>
                <w:rFonts w:ascii="Times New Roman" w:hAnsi="Times New Roman" w:cs="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bookmarkStart w:id="202" w:name="_Toc369614080"/>
            <w:bookmarkStart w:id="203" w:name="_Toc353094455"/>
            <w:bookmarkStart w:id="204" w:name="_Toc367870919"/>
            <w:bookmarkStart w:id="205" w:name="_Toc369613735"/>
            <w:r>
              <w:rPr>
                <w:rFonts w:ascii="Times New Roman" w:hAnsi="Times New Roman"/>
                <w:bCs/>
                <w:sz w:val="21"/>
                <w:szCs w:val="21"/>
              </w:rPr>
              <w:t>原煤生产水耗（不含选煤厂）</w:t>
            </w:r>
            <w:bookmarkEnd w:id="202"/>
            <w:bookmarkEnd w:id="203"/>
            <w:bookmarkEnd w:id="204"/>
            <w:bookmarkEnd w:id="205"/>
          </w:p>
        </w:tc>
        <w:tc>
          <w:tcPr>
            <w:tcW w:w="1731" w:type="dxa"/>
            <w:vAlign w:val="center"/>
          </w:tcPr>
          <w:p>
            <w:pPr>
              <w:pStyle w:val="331"/>
              <w:jc w:val="center"/>
              <w:outlineLvl w:val="9"/>
              <w:rPr>
                <w:rFonts w:ascii="Times New Roman" w:hAnsi="Times New Roman" w:cs="Times New Roman"/>
                <w:sz w:val="21"/>
                <w:szCs w:val="21"/>
              </w:rPr>
            </w:pPr>
            <w:r>
              <w:rPr>
                <w:rFonts w:ascii="Times New Roman" w:hAnsi="Times New Roman" w:cs="Times New Roman"/>
                <w:sz w:val="21"/>
                <w:szCs w:val="21"/>
              </w:rPr>
              <w:t>≤0.1</w:t>
            </w:r>
          </w:p>
        </w:tc>
        <w:tc>
          <w:tcPr>
            <w:tcW w:w="1587" w:type="dxa"/>
            <w:vMerge w:val="continue"/>
            <w:vAlign w:val="center"/>
          </w:tcPr>
          <w:p>
            <w:pPr>
              <w:pStyle w:val="331"/>
              <w:jc w:val="center"/>
              <w:outlineLvl w:val="9"/>
              <w:rPr>
                <w:rFonts w:ascii="Times New Roman" w:hAnsi="Times New Roman"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单位入选原煤取水量（m</w:t>
            </w:r>
            <w:r>
              <w:rPr>
                <w:rFonts w:ascii="Times New Roman" w:hAnsi="Times New Roman"/>
                <w:sz w:val="21"/>
                <w:szCs w:val="21"/>
                <w:vertAlign w:val="superscript"/>
              </w:rPr>
              <w:t>3</w:t>
            </w:r>
            <w:r>
              <w:rPr>
                <w:rFonts w:ascii="Times New Roman" w:hAnsi="Times New Roman"/>
                <w:sz w:val="21"/>
                <w:szCs w:val="21"/>
              </w:rPr>
              <w:t>/t煤）</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≤0.125</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资源综合利用指标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当年产生煤矸石综合利用率（％）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c>
          <w:tcPr>
            <w:tcW w:w="1587"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《煤炭采选业清洁生产评价指标体系》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矿井水利用率（％）（水资源丰富矿区）</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≥70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矿区生活污水综合利用率（％）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48"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资源承载力指标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区域水资源承载力</w:t>
            </w:r>
          </w:p>
        </w:tc>
        <w:tc>
          <w:tcPr>
            <w:tcW w:w="1731"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可承载，不对区域“三生用水”产生大的影响</w:t>
            </w:r>
          </w:p>
        </w:tc>
        <w:tc>
          <w:tcPr>
            <w:tcW w:w="1587" w:type="dxa"/>
            <w:vMerge w:val="restart"/>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本次评价根据《煤炭采选业清洁生产评价指标体系》等相关要求提出的评价标准值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0"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区域生态承载力</w:t>
            </w:r>
          </w:p>
        </w:tc>
        <w:tc>
          <w:tcPr>
            <w:tcW w:w="1731"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使区域生态环境不受大的影响、维持区域生态系统功能</w:t>
            </w:r>
          </w:p>
        </w:tc>
        <w:tc>
          <w:tcPr>
            <w:tcW w:w="1587" w:type="dxa"/>
            <w:vMerge w:val="continue"/>
            <w:vAlign w:val="center"/>
          </w:tcPr>
          <w:p>
            <w:pPr>
              <w:adjustRightInd w:val="0"/>
              <w:snapToGrid w:val="0"/>
              <w:spacing w:line="240" w:lineRule="atLeas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4"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区域土地资源承载力</w:t>
            </w:r>
          </w:p>
        </w:tc>
        <w:tc>
          <w:tcPr>
            <w:tcW w:w="1731"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可承载，不对区域土地利用结构产生大的影响</w:t>
            </w:r>
          </w:p>
        </w:tc>
        <w:tc>
          <w:tcPr>
            <w:tcW w:w="1587" w:type="dxa"/>
            <w:vMerge w:val="continue"/>
            <w:vAlign w:val="center"/>
          </w:tcPr>
          <w:p>
            <w:pPr>
              <w:adjustRightInd w:val="0"/>
              <w:snapToGrid w:val="0"/>
              <w:spacing w:line="240" w:lineRule="atLeas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00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污染防治</w:t>
            </w:r>
          </w:p>
        </w:tc>
        <w:tc>
          <w:tcPr>
            <w:tcW w:w="115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大气污染控制指标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工业废气处理率（％）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大气污染物达标排放率（％）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水污染控制指标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工业废水及生活污水处理率（％）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水污染物达标排放率（％）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固体废物处置指标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煤矸石及煤泥处置率（％）</w:t>
            </w:r>
          </w:p>
        </w:tc>
        <w:tc>
          <w:tcPr>
            <w:tcW w:w="1731" w:type="dxa"/>
            <w:vAlign w:val="center"/>
          </w:tcPr>
          <w:p>
            <w:pPr>
              <w:pStyle w:val="331"/>
              <w:jc w:val="center"/>
              <w:outlineLvl w:val="9"/>
              <w:rPr>
                <w:rFonts w:ascii="Times New Roman" w:hAnsi="Times New Roman" w:cs="Times New Roman"/>
                <w:sz w:val="21"/>
                <w:szCs w:val="21"/>
              </w:rPr>
            </w:pPr>
            <w:r>
              <w:rPr>
                <w:rFonts w:ascii="Times New Roman" w:hAnsi="Times New Roman" w:cs="Times New Roman"/>
                <w:sz w:val="21"/>
                <w:szCs w:val="21"/>
              </w:rPr>
              <w:t>100</w:t>
            </w:r>
          </w:p>
        </w:tc>
        <w:tc>
          <w:tcPr>
            <w:tcW w:w="1587" w:type="dxa"/>
            <w:vMerge w:val="continue"/>
            <w:vAlign w:val="center"/>
          </w:tcPr>
          <w:p>
            <w:pPr>
              <w:pStyle w:val="331"/>
              <w:jc w:val="center"/>
              <w:outlineLvl w:val="9"/>
              <w:rPr>
                <w:rFonts w:ascii="Times New Roman" w:hAnsi="Times New Roman"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004" w:type="dxa"/>
            <w:vMerge w:val="continue"/>
            <w:vAlign w:val="center"/>
          </w:tcPr>
          <w:p>
            <w:pPr>
              <w:pStyle w:val="331"/>
              <w:jc w:val="center"/>
              <w:outlineLvl w:val="9"/>
              <w:rPr>
                <w:rFonts w:ascii="Times New Roman" w:hAnsi="Times New Roman" w:cs="Times New Roman"/>
                <w:sz w:val="21"/>
                <w:szCs w:val="21"/>
              </w:rPr>
            </w:pPr>
          </w:p>
        </w:tc>
        <w:tc>
          <w:tcPr>
            <w:tcW w:w="1154" w:type="dxa"/>
            <w:vMerge w:val="continue"/>
            <w:vAlign w:val="center"/>
          </w:tcPr>
          <w:p>
            <w:pPr>
              <w:pStyle w:val="331"/>
              <w:jc w:val="center"/>
              <w:outlineLvl w:val="9"/>
              <w:rPr>
                <w:rFonts w:ascii="Times New Roman" w:hAnsi="Times New Roman" w:cs="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生活垃圾无害化处理率（％）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污泥处置率（％）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噪声环境影响指标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声环境功能区达标率（％）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环境质量改善</w:t>
            </w:r>
          </w:p>
        </w:tc>
        <w:tc>
          <w:tcPr>
            <w:tcW w:w="115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环境空气</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环境空气质量2类区达标率（％）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地表水</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地表水III类水体达标率（％）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地下水</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地表水III类水达标率（％）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声环境</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声环境2类区达标率（％）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土壤环境</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农用地土壤污染风险管制值达标率（％）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生态功能保护</w:t>
            </w:r>
          </w:p>
        </w:tc>
        <w:tc>
          <w:tcPr>
            <w:tcW w:w="115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生态保护与恢复指标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扰动土地治理率（％）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90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水土流失总治理度（％）</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土壤流失控制比（％）</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70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危害性滑坡、裂缝等沉陷灾害的治理率（％）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工业场地林草覆盖率（％）</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≥30</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生态系统整体性和生态功能变化趋势</w:t>
            </w:r>
          </w:p>
        </w:tc>
        <w:tc>
          <w:tcPr>
            <w:tcW w:w="1731"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保持生态系统完整，保证评价区生物多样性不退化、植物净生产力不退化、生态系统不退化，生态系统功能不退化</w:t>
            </w:r>
          </w:p>
        </w:tc>
        <w:tc>
          <w:tcPr>
            <w:tcW w:w="1587" w:type="dxa"/>
            <w:vMerge w:val="continue"/>
            <w:vAlign w:val="center"/>
          </w:tcPr>
          <w:p>
            <w:pPr>
              <w:adjustRightInd w:val="0"/>
              <w:snapToGrid w:val="0"/>
              <w:spacing w:line="240" w:lineRule="atLeas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促进区域社会、经济可持续发展</w:t>
            </w:r>
          </w:p>
        </w:tc>
        <w:tc>
          <w:tcPr>
            <w:tcW w:w="115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社会发展</w:t>
            </w:r>
          </w:p>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万元工业增加值水耗（t/万元）</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降低</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continue"/>
            <w:vAlign w:val="center"/>
          </w:tcPr>
          <w:p>
            <w:pPr>
              <w:adjustRightInd w:val="0"/>
              <w:snapToGrid w:val="0"/>
              <w:spacing w:line="240" w:lineRule="atLeast"/>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万元工业增加值能耗（t/万元）</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降低</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continue"/>
            <w:vAlign w:val="center"/>
          </w:tcPr>
          <w:p>
            <w:pPr>
              <w:adjustRightInd w:val="0"/>
              <w:snapToGrid w:val="0"/>
              <w:spacing w:line="240" w:lineRule="atLeast"/>
              <w:rPr>
                <w:rFonts w:ascii="Times New Roman" w:hAnsi="Times New Roman"/>
                <w:sz w:val="21"/>
                <w:szCs w:val="21"/>
              </w:rPr>
            </w:pPr>
          </w:p>
        </w:tc>
        <w:tc>
          <w:tcPr>
            <w:tcW w:w="1154"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经济发展</w:t>
            </w:r>
          </w:p>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指标</w:t>
            </w:r>
          </w:p>
        </w:tc>
        <w:tc>
          <w:tcPr>
            <w:tcW w:w="3605"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工业总产值增加值（万元）</w:t>
            </w:r>
          </w:p>
        </w:tc>
        <w:tc>
          <w:tcPr>
            <w:tcW w:w="173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提高</w:t>
            </w:r>
          </w:p>
        </w:tc>
        <w:tc>
          <w:tcPr>
            <w:tcW w:w="1587"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04" w:type="dxa"/>
            <w:vMerge w:val="continue"/>
            <w:vAlign w:val="center"/>
          </w:tcPr>
          <w:p>
            <w:pPr>
              <w:adjustRightInd w:val="0"/>
              <w:snapToGrid w:val="0"/>
              <w:spacing w:line="240" w:lineRule="atLeast"/>
              <w:jc w:val="center"/>
              <w:rPr>
                <w:rFonts w:ascii="Times New Roman" w:hAnsi="Times New Roman"/>
                <w:sz w:val="21"/>
                <w:szCs w:val="21"/>
              </w:rPr>
            </w:pPr>
          </w:p>
        </w:tc>
        <w:tc>
          <w:tcPr>
            <w:tcW w:w="1154" w:type="dxa"/>
            <w:vMerge w:val="continue"/>
            <w:vAlign w:val="center"/>
          </w:tcPr>
          <w:p>
            <w:pPr>
              <w:adjustRightInd w:val="0"/>
              <w:snapToGrid w:val="0"/>
              <w:spacing w:line="240" w:lineRule="atLeast"/>
              <w:jc w:val="center"/>
              <w:rPr>
                <w:rFonts w:ascii="Times New Roman" w:hAnsi="Times New Roman"/>
                <w:sz w:val="21"/>
                <w:szCs w:val="21"/>
              </w:rPr>
            </w:pPr>
          </w:p>
        </w:tc>
        <w:tc>
          <w:tcPr>
            <w:tcW w:w="3605" w:type="dxa"/>
            <w:gridSpan w:val="2"/>
            <w:vAlign w:val="center"/>
          </w:tcPr>
          <w:p>
            <w:pPr>
              <w:pStyle w:val="331"/>
              <w:outlineLvl w:val="9"/>
              <w:rPr>
                <w:rFonts w:ascii="Times New Roman" w:hAnsi="Times New Roman" w:cs="Times New Roman"/>
                <w:sz w:val="21"/>
                <w:szCs w:val="21"/>
              </w:rPr>
            </w:pPr>
            <w:r>
              <w:rPr>
                <w:rFonts w:ascii="Times New Roman" w:hAnsi="Times New Roman" w:cs="Times New Roman"/>
                <w:sz w:val="21"/>
                <w:szCs w:val="21"/>
              </w:rPr>
              <w:t>税收（万元）</w:t>
            </w:r>
          </w:p>
        </w:tc>
        <w:tc>
          <w:tcPr>
            <w:tcW w:w="1731" w:type="dxa"/>
            <w:vAlign w:val="center"/>
          </w:tcPr>
          <w:p>
            <w:pPr>
              <w:pStyle w:val="331"/>
              <w:jc w:val="center"/>
              <w:outlineLvl w:val="9"/>
              <w:rPr>
                <w:rFonts w:ascii="Times New Roman" w:hAnsi="Times New Roman" w:cs="Times New Roman"/>
                <w:sz w:val="21"/>
                <w:szCs w:val="21"/>
              </w:rPr>
            </w:pPr>
            <w:r>
              <w:rPr>
                <w:rFonts w:ascii="Times New Roman" w:hAnsi="Times New Roman" w:cs="Times New Roman"/>
                <w:sz w:val="21"/>
                <w:szCs w:val="21"/>
              </w:rPr>
              <w:t>增加</w:t>
            </w:r>
          </w:p>
        </w:tc>
        <w:tc>
          <w:tcPr>
            <w:tcW w:w="1587" w:type="dxa"/>
            <w:vMerge w:val="continue"/>
            <w:vAlign w:val="center"/>
          </w:tcPr>
          <w:p>
            <w:pPr>
              <w:pStyle w:val="331"/>
              <w:jc w:val="center"/>
              <w:outlineLvl w:val="9"/>
              <w:rPr>
                <w:rFonts w:ascii="Times New Roman" w:hAnsi="Times New Roman" w:cs="Times New Roman"/>
                <w:sz w:val="21"/>
                <w:szCs w:val="21"/>
              </w:rPr>
            </w:pPr>
          </w:p>
        </w:tc>
      </w:tr>
    </w:tbl>
    <w:p>
      <w:pPr>
        <w:spacing w:line="440" w:lineRule="exact"/>
        <w:rPr>
          <w:rFonts w:ascii="Times New Roman" w:hAnsi="Times New Roman"/>
        </w:rPr>
        <w:sectPr>
          <w:headerReference r:id="rId20" w:type="first"/>
          <w:footerReference r:id="rId23" w:type="first"/>
          <w:headerReference r:id="rId18" w:type="default"/>
          <w:footerReference r:id="rId21" w:type="default"/>
          <w:headerReference r:id="rId19" w:type="even"/>
          <w:footerReference r:id="rId22" w:type="even"/>
          <w:pgSz w:w="11907" w:h="16840"/>
          <w:pgMar w:top="1701" w:right="1418" w:bottom="1417" w:left="1418" w:header="1134" w:footer="851" w:gutter="0"/>
          <w:cols w:space="425" w:num="1"/>
          <w:docGrid w:linePitch="326" w:charSpace="0"/>
        </w:sectPr>
      </w:pPr>
    </w:p>
    <w:p>
      <w:pPr>
        <w:pStyle w:val="3"/>
        <w:spacing w:before="360" w:after="360" w:line="440" w:lineRule="exact"/>
        <w:jc w:val="center"/>
        <w:rPr>
          <w:sz w:val="32"/>
          <w:szCs w:val="32"/>
        </w:rPr>
      </w:pPr>
      <w:bookmarkStart w:id="206" w:name="_Toc7701"/>
      <w:bookmarkStart w:id="207" w:name="_Toc18838450"/>
      <w:bookmarkStart w:id="208" w:name="_Toc163441024"/>
      <w:bookmarkStart w:id="209" w:name="_Toc18838463"/>
      <w:r>
        <w:rPr>
          <w:sz w:val="32"/>
          <w:szCs w:val="32"/>
        </w:rPr>
        <w:t>5 规划实施环境影响评价</w:t>
      </w:r>
      <w:bookmarkEnd w:id="206"/>
      <w:bookmarkEnd w:id="207"/>
    </w:p>
    <w:p>
      <w:pPr>
        <w:pStyle w:val="4"/>
        <w:adjustRightInd w:val="0"/>
        <w:snapToGrid w:val="0"/>
        <w:spacing w:before="140" w:line="440" w:lineRule="exact"/>
        <w:jc w:val="left"/>
        <w:rPr>
          <w:rFonts w:ascii="Times New Roman" w:hAnsi="Times New Roman" w:eastAsia="宋体"/>
          <w:sz w:val="28"/>
        </w:rPr>
      </w:pPr>
      <w:bookmarkStart w:id="210" w:name="_Toc15914"/>
      <w:bookmarkStart w:id="211" w:name="_Toc18838451"/>
      <w:r>
        <w:rPr>
          <w:rFonts w:ascii="Times New Roman" w:hAnsi="Times New Roman" w:eastAsia="宋体"/>
          <w:sz w:val="28"/>
        </w:rPr>
        <w:t>5.1 矿区地表沉陷影响分析与评价</w:t>
      </w:r>
      <w:bookmarkEnd w:id="210"/>
    </w:p>
    <w:p>
      <w:pPr>
        <w:pStyle w:val="5"/>
        <w:adjustRightInd w:val="0"/>
        <w:snapToGrid w:val="0"/>
        <w:spacing w:before="0" w:after="0" w:line="440" w:lineRule="exact"/>
        <w:rPr>
          <w:sz w:val="24"/>
        </w:rPr>
      </w:pPr>
      <w:r>
        <w:rPr>
          <w:sz w:val="24"/>
        </w:rPr>
        <w:t>5.1.1 典型矿井选取</w:t>
      </w:r>
    </w:p>
    <w:p>
      <w:pPr>
        <w:spacing w:before="100" w:beforeAutospacing="1" w:after="100" w:afterAutospacing="1" w:line="440" w:lineRule="exact"/>
        <w:ind w:firstLine="480" w:firstLineChars="200"/>
        <w:rPr>
          <w:rFonts w:ascii="Times New Roman" w:hAnsi="Times New Roman"/>
          <w:szCs w:val="24"/>
        </w:rPr>
      </w:pPr>
      <w:r>
        <w:rPr>
          <w:rFonts w:ascii="Times New Roman" w:hAnsi="Times New Roman"/>
        </w:rPr>
        <w:t>矿区含煤地层为侏罗系中下统延安组（J</w:t>
      </w:r>
      <w:r>
        <w:rPr>
          <w:rFonts w:ascii="Times New Roman" w:hAnsi="Times New Roman"/>
          <w:vertAlign w:val="subscript"/>
        </w:rPr>
        <w:t>1-2y</w:t>
      </w:r>
      <w:r>
        <w:rPr>
          <w:rFonts w:ascii="Times New Roman" w:hAnsi="Times New Roman"/>
        </w:rPr>
        <w:t>），地层总厚度为175.80～367.17m，平均248.67m。含2、3、4、5、6共五个煤组，共含煤层18层，共有16个可采煤层，其中全区可采煤层1层（4-1），大部可采煤层7层（2-2、3-1、3-2、4-2上、4-2、5-1、6-2）；局部可采煤层8层（2-1上、2-1、2-1下、2-2上、2-2下、4-1上、4-1下、5-2）。可采煤层平均总厚度16.61m，可采含煤系数平均6.68%。可采煤层特征见表2.1-3。</w:t>
      </w:r>
      <w:r>
        <w:rPr>
          <w:rFonts w:ascii="Times New Roman" w:hAnsi="Times New Roman"/>
          <w:szCs w:val="24"/>
        </w:rPr>
        <w:t>设计全矿区划分4个井田，本次评价地表沉陷预测与评价选择苏布尔嘎</w:t>
      </w:r>
      <w:r>
        <w:rPr>
          <w:rFonts w:hint="eastAsia" w:ascii="Times New Roman" w:hAnsi="Times New Roman"/>
          <w:szCs w:val="24"/>
        </w:rPr>
        <w:t>井田以及紧邻遗鸥自然保护区的奎腾沟井田</w:t>
      </w:r>
      <w:r>
        <w:rPr>
          <w:rFonts w:ascii="Times New Roman" w:hAnsi="Times New Roman"/>
          <w:szCs w:val="24"/>
        </w:rPr>
        <w:t>作为典型矿进行预测评价。</w:t>
      </w:r>
      <w:r>
        <w:rPr>
          <w:rFonts w:ascii="Times New Roman" w:hAnsi="Times New Roman"/>
        </w:rPr>
        <w:t>评价将对其进行沉陷预测分析，绘制地表沉陷等值线图，并对于其他矿井的地表沉陷情况及影响进行类比分析。</w:t>
      </w:r>
    </w:p>
    <w:p>
      <w:pPr>
        <w:pStyle w:val="5"/>
        <w:adjustRightInd w:val="0"/>
        <w:snapToGrid w:val="0"/>
        <w:spacing w:before="0" w:after="0" w:line="440" w:lineRule="exact"/>
        <w:rPr>
          <w:sz w:val="24"/>
        </w:rPr>
      </w:pPr>
      <w:r>
        <w:rPr>
          <w:sz w:val="24"/>
        </w:rPr>
        <w:t>5.1.2典型矿煤层特点及开拓开采方式</w:t>
      </w:r>
    </w:p>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5.1.2.1典型矿井特征</w:t>
      </w:r>
    </w:p>
    <w:p>
      <w:pPr>
        <w:adjustRightInd w:val="0"/>
        <w:snapToGrid w:val="0"/>
        <w:spacing w:line="440" w:lineRule="exact"/>
        <w:ind w:firstLine="482"/>
        <w:rPr>
          <w:rFonts w:ascii="Times New Roman" w:hAnsi="Times New Roman"/>
        </w:rPr>
      </w:pPr>
      <w:r>
        <w:rPr>
          <w:rFonts w:hint="eastAsia" w:ascii="Times New Roman" w:hAnsi="Times New Roman"/>
        </w:rPr>
        <w:t>苏布尔嘎井田东西长</w:t>
      </w:r>
      <w:r>
        <w:rPr>
          <w:rFonts w:ascii="Times New Roman" w:hAnsi="Times New Roman"/>
        </w:rPr>
        <w:t>8.1km</w:t>
      </w:r>
      <w:r>
        <w:rPr>
          <w:rFonts w:hint="eastAsia" w:ascii="Times New Roman" w:hAnsi="Times New Roman"/>
        </w:rPr>
        <w:t>，南北宽</w:t>
      </w:r>
      <w:r>
        <w:rPr>
          <w:rFonts w:ascii="Times New Roman" w:hAnsi="Times New Roman"/>
        </w:rPr>
        <w:t>9.5km</w:t>
      </w:r>
      <w:r>
        <w:rPr>
          <w:rFonts w:hint="eastAsia" w:ascii="Times New Roman" w:hAnsi="Times New Roman"/>
        </w:rPr>
        <w:t>，面积</w:t>
      </w:r>
      <w:r>
        <w:rPr>
          <w:rFonts w:ascii="Times New Roman" w:hAnsi="Times New Roman"/>
        </w:rPr>
        <w:t>79.3km</w:t>
      </w:r>
      <w:r>
        <w:rPr>
          <w:rFonts w:ascii="Times New Roman" w:hAnsi="Times New Roman"/>
          <w:vertAlign w:val="superscript"/>
        </w:rPr>
        <w:t>2</w:t>
      </w:r>
      <w:r>
        <w:rPr>
          <w:rFonts w:hint="eastAsia" w:ascii="Times New Roman" w:hAnsi="Times New Roman"/>
        </w:rPr>
        <w:t>。井田可采煤层</w:t>
      </w:r>
      <w:r>
        <w:rPr>
          <w:rFonts w:ascii="Times New Roman" w:hAnsi="Times New Roman"/>
        </w:rPr>
        <w:t>10</w:t>
      </w:r>
      <w:r>
        <w:rPr>
          <w:rFonts w:hint="eastAsia" w:ascii="Times New Roman" w:hAnsi="Times New Roman"/>
        </w:rPr>
        <w:t>层，主要开采</w:t>
      </w:r>
      <w:r>
        <w:rPr>
          <w:rFonts w:ascii="Times New Roman" w:hAnsi="Times New Roman"/>
        </w:rPr>
        <w:t>2-2</w:t>
      </w:r>
      <w:r>
        <w:rPr>
          <w:rFonts w:hint="eastAsia" w:ascii="Times New Roman" w:hAnsi="Times New Roman"/>
        </w:rPr>
        <w:t>、</w:t>
      </w:r>
      <w:r>
        <w:rPr>
          <w:rFonts w:ascii="Times New Roman" w:hAnsi="Times New Roman"/>
        </w:rPr>
        <w:t>2-2</w:t>
      </w:r>
      <w:r>
        <w:rPr>
          <w:rFonts w:hint="eastAsia" w:ascii="Times New Roman" w:hAnsi="Times New Roman"/>
        </w:rPr>
        <w:t>下、</w:t>
      </w:r>
      <w:r>
        <w:rPr>
          <w:rFonts w:ascii="Times New Roman" w:hAnsi="Times New Roman"/>
        </w:rPr>
        <w:t>3-1</w:t>
      </w:r>
      <w:r>
        <w:rPr>
          <w:rFonts w:hint="eastAsia" w:ascii="Times New Roman" w:hAnsi="Times New Roman"/>
        </w:rPr>
        <w:t>、</w:t>
      </w:r>
      <w:r>
        <w:rPr>
          <w:rFonts w:ascii="Times New Roman" w:hAnsi="Times New Roman"/>
        </w:rPr>
        <w:t>3-2</w:t>
      </w:r>
      <w:r>
        <w:rPr>
          <w:rFonts w:hint="eastAsia" w:ascii="Times New Roman" w:hAnsi="Times New Roman"/>
        </w:rPr>
        <w:t>、</w:t>
      </w:r>
      <w:r>
        <w:rPr>
          <w:rFonts w:ascii="Times New Roman" w:hAnsi="Times New Roman"/>
        </w:rPr>
        <w:t>4-1</w:t>
      </w:r>
      <w:r>
        <w:rPr>
          <w:rFonts w:hint="eastAsia" w:ascii="Times New Roman" w:hAnsi="Times New Roman"/>
        </w:rPr>
        <w:t>、</w:t>
      </w:r>
      <w:r>
        <w:rPr>
          <w:rFonts w:ascii="Times New Roman" w:hAnsi="Times New Roman"/>
        </w:rPr>
        <w:t>4-2</w:t>
      </w:r>
      <w:r>
        <w:rPr>
          <w:rFonts w:hint="eastAsia" w:ascii="Times New Roman" w:hAnsi="Times New Roman"/>
        </w:rPr>
        <w:t>上、</w:t>
      </w:r>
      <w:r>
        <w:rPr>
          <w:rFonts w:ascii="Times New Roman" w:hAnsi="Times New Roman"/>
        </w:rPr>
        <w:t>4-2</w:t>
      </w:r>
      <w:r>
        <w:rPr>
          <w:rFonts w:hint="eastAsia" w:ascii="Times New Roman" w:hAnsi="Times New Roman"/>
        </w:rPr>
        <w:t>、</w:t>
      </w:r>
      <w:r>
        <w:rPr>
          <w:rFonts w:ascii="Times New Roman" w:hAnsi="Times New Roman"/>
        </w:rPr>
        <w:t>5-1</w:t>
      </w:r>
      <w:r>
        <w:rPr>
          <w:rFonts w:hint="eastAsia" w:ascii="Times New Roman" w:hAnsi="Times New Roman"/>
        </w:rPr>
        <w:t>、</w:t>
      </w:r>
      <w:r>
        <w:rPr>
          <w:rFonts w:ascii="Times New Roman" w:hAnsi="Times New Roman"/>
        </w:rPr>
        <w:t>5-2</w:t>
      </w:r>
      <w:r>
        <w:rPr>
          <w:rFonts w:hint="eastAsia" w:ascii="Times New Roman" w:hAnsi="Times New Roman"/>
        </w:rPr>
        <w:t>、</w:t>
      </w:r>
      <w:r>
        <w:rPr>
          <w:rFonts w:ascii="Times New Roman" w:hAnsi="Times New Roman"/>
        </w:rPr>
        <w:t>6-2</w:t>
      </w:r>
      <w:r>
        <w:rPr>
          <w:rFonts w:hint="eastAsia" w:ascii="Times New Roman" w:hAnsi="Times New Roman"/>
        </w:rPr>
        <w:t>煤层。基本为中厚煤层，</w:t>
      </w:r>
      <w:r>
        <w:rPr>
          <w:rFonts w:hint="eastAsia" w:ascii="Times New Roman" w:hAnsi="Times New Roman"/>
          <w:color w:val="FF0000"/>
        </w:rPr>
        <w:t>估算井田资源</w:t>
      </w:r>
      <w:r>
        <w:rPr>
          <w:rFonts w:ascii="Times New Roman" w:hAnsi="Times New Roman"/>
          <w:color w:val="FF0000"/>
        </w:rPr>
        <w:t>/</w:t>
      </w:r>
      <w:r>
        <w:rPr>
          <w:rFonts w:hint="eastAsia" w:ascii="Times New Roman" w:hAnsi="Times New Roman"/>
          <w:color w:val="FF0000"/>
        </w:rPr>
        <w:t>储量</w:t>
      </w:r>
      <w:r>
        <w:rPr>
          <w:rFonts w:ascii="Times New Roman" w:hAnsi="Times New Roman"/>
          <w:color w:val="FF0000"/>
        </w:rPr>
        <w:t>1668.01Mt</w:t>
      </w:r>
      <w:r>
        <w:rPr>
          <w:rFonts w:hint="eastAsia" w:ascii="Times New Roman" w:hAnsi="Times New Roman"/>
          <w:color w:val="FF0000"/>
        </w:rPr>
        <w:t>，可采储量</w:t>
      </w:r>
      <w:r>
        <w:rPr>
          <w:rFonts w:ascii="Times New Roman" w:hAnsi="Times New Roman"/>
          <w:color w:val="FF0000"/>
        </w:rPr>
        <w:t>816.38Mt</w:t>
      </w:r>
      <w:r>
        <w:rPr>
          <w:rFonts w:hint="eastAsia" w:ascii="Times New Roman" w:hAnsi="Times New Roman"/>
          <w:color w:val="FF0000"/>
        </w:rPr>
        <w:t>，服务年限为</w:t>
      </w:r>
      <w:r>
        <w:rPr>
          <w:rFonts w:ascii="Times New Roman" w:hAnsi="Times New Roman"/>
          <w:color w:val="FF0000"/>
        </w:rPr>
        <w:t>70.4a</w:t>
      </w:r>
      <w:r>
        <w:rPr>
          <w:rFonts w:hint="eastAsia" w:ascii="Times New Roman" w:hAnsi="Times New Roman"/>
          <w:color w:val="FF0000"/>
        </w:rPr>
        <w:t>。其中</w:t>
      </w:r>
      <w:r>
        <w:rPr>
          <w:rFonts w:ascii="Times New Roman" w:hAnsi="Times New Roman"/>
          <w:color w:val="FF0000"/>
        </w:rPr>
        <w:t>1000m以浅可采储量600.04Mt，服务年限51.7a。</w:t>
      </w:r>
      <w:r>
        <w:rPr>
          <w:rFonts w:hint="eastAsia" w:ascii="Times New Roman" w:hAnsi="Times New Roman"/>
        </w:rPr>
        <w:t>矿井采用立井开拓方式。在矿井投产时，在</w:t>
      </w:r>
      <w:r>
        <w:rPr>
          <w:rFonts w:ascii="Times New Roman" w:hAnsi="Times New Roman"/>
        </w:rPr>
        <w:t>2-2</w:t>
      </w:r>
      <w:r>
        <w:rPr>
          <w:rFonts w:hint="eastAsia" w:ascii="Times New Roman" w:hAnsi="Times New Roman"/>
        </w:rPr>
        <w:t>煤层中布置</w:t>
      </w:r>
      <w:r>
        <w:rPr>
          <w:rFonts w:ascii="Times New Roman" w:hAnsi="Times New Roman"/>
        </w:rPr>
        <w:t>1</w:t>
      </w:r>
      <w:r>
        <w:rPr>
          <w:rFonts w:hint="eastAsia" w:ascii="Times New Roman" w:hAnsi="Times New Roman"/>
        </w:rPr>
        <w:t>个中厚煤层综采工作面，在无压茬关系的</w:t>
      </w:r>
      <w:r>
        <w:rPr>
          <w:rFonts w:ascii="Times New Roman" w:hAnsi="Times New Roman"/>
        </w:rPr>
        <w:t>3-1</w:t>
      </w:r>
      <w:r>
        <w:rPr>
          <w:rFonts w:hint="eastAsia" w:ascii="Times New Roman" w:hAnsi="Times New Roman"/>
        </w:rPr>
        <w:t>煤中布置一个大采高工作面。</w:t>
      </w:r>
    </w:p>
    <w:p>
      <w:pPr>
        <w:adjustRightInd w:val="0"/>
        <w:snapToGrid w:val="0"/>
        <w:spacing w:line="440" w:lineRule="exact"/>
        <w:ind w:firstLine="482"/>
        <w:rPr>
          <w:rFonts w:ascii="Times New Roman" w:hAnsi="Times New Roman"/>
        </w:rPr>
      </w:pPr>
      <w:r>
        <w:rPr>
          <w:rFonts w:hint="eastAsia" w:ascii="Times New Roman" w:hAnsi="Times New Roman"/>
        </w:rPr>
        <w:t>奎腾沟井田东西平均长</w:t>
      </w:r>
      <w:r>
        <w:rPr>
          <w:rFonts w:ascii="Times New Roman" w:hAnsi="Times New Roman"/>
        </w:rPr>
        <w:t>15.3km，南北平均宽8.1km，面积130.12km</w:t>
      </w:r>
      <w:r>
        <w:rPr>
          <w:rFonts w:ascii="Times New Roman" w:hAnsi="Times New Roman"/>
          <w:vertAlign w:val="superscript"/>
        </w:rPr>
        <w:t>2</w:t>
      </w:r>
      <w:r>
        <w:rPr>
          <w:rFonts w:ascii="Times New Roman" w:hAnsi="Times New Roman"/>
        </w:rPr>
        <w:t>。主要开采2-1、2-1下、2-2、3-2、4-1、4-2、5-1煤层。</w:t>
      </w:r>
      <w:r>
        <w:rPr>
          <w:rFonts w:ascii="Times New Roman" w:hAnsi="Times New Roman"/>
          <w:color w:val="FF0000"/>
        </w:rPr>
        <w:t>估算井田资源/储量2125.22Mt，可采储量988.41Mt，服务年限为85.2a</w:t>
      </w:r>
      <w:r>
        <w:rPr>
          <w:rFonts w:hint="eastAsia" w:ascii="Times New Roman" w:hAnsi="Times New Roman"/>
          <w:color w:val="FF0000"/>
        </w:rPr>
        <w:t>。其中</w:t>
      </w:r>
      <w:r>
        <w:rPr>
          <w:rFonts w:ascii="Times New Roman" w:hAnsi="Times New Roman"/>
          <w:color w:val="FF0000"/>
        </w:rPr>
        <w:t>1000m以浅可采储量415.13Mt，服务年限35.8a。</w:t>
      </w:r>
      <w:r>
        <w:rPr>
          <w:rFonts w:hint="eastAsia" w:ascii="Times New Roman" w:hAnsi="Times New Roman"/>
        </w:rPr>
        <w:t>矿井投产初期开采</w:t>
      </w:r>
      <w:r>
        <w:rPr>
          <w:rFonts w:ascii="Times New Roman" w:hAnsi="Times New Roman"/>
        </w:rPr>
        <w:t>2-1上和2-1煤层，在井田南部中间2-1上煤层赋存区布置1个2-1上煤层中厚煤层综采工作面，煤厚约为1.9m；在井田东北部沿2-1煤层可采边界线附近布置1个2-1煤厚煤层大采高综采工作面，煤厚约为4.3m。</w:t>
      </w:r>
    </w:p>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5.1.2.2开拓开采方法</w:t>
      </w:r>
    </w:p>
    <w:p>
      <w:pPr>
        <w:spacing w:line="440" w:lineRule="exact"/>
        <w:ind w:firstLine="480" w:firstLineChars="200"/>
        <w:rPr>
          <w:rFonts w:ascii="Times New Roman" w:hAnsi="Times New Roman"/>
        </w:rPr>
      </w:pPr>
      <w:r>
        <w:rPr>
          <w:rFonts w:ascii="Times New Roman" w:hAnsi="Times New Roman"/>
        </w:rPr>
        <w:t>矿区各矿开拓开采方法详见表2.1-5。</w:t>
      </w:r>
    </w:p>
    <w:p>
      <w:pPr>
        <w:pStyle w:val="5"/>
        <w:spacing w:before="120" w:after="120" w:line="440" w:lineRule="exact"/>
        <w:rPr>
          <w:sz w:val="24"/>
        </w:rPr>
      </w:pPr>
      <w:r>
        <w:rPr>
          <w:sz w:val="24"/>
        </w:rPr>
        <w:t>5.1.3 地表沉陷预测与分析</w:t>
      </w:r>
    </w:p>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5.1.3.1沉陷预测模型</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地表沉陷预测采用概率积分法模型。该模型描述如下：</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（1）稳定态预计模型</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在倾斜煤层中开采某单元i，按概率积分法的基本原理，单元开采引起地表任意点(x，y)的下沉(最终值)为：</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W</w:t>
      </w:r>
      <w:r>
        <w:rPr>
          <w:rFonts w:ascii="Times New Roman" w:hAnsi="Times New Roman"/>
          <w:szCs w:val="24"/>
          <w:vertAlign w:val="subscript"/>
        </w:rPr>
        <w:t>e0i</w:t>
      </w:r>
      <w:r>
        <w:rPr>
          <w:rFonts w:ascii="Times New Roman" w:hAnsi="Times New Roman"/>
          <w:szCs w:val="24"/>
        </w:rPr>
        <w:t>(x,y)=(1/r</w:t>
      </w:r>
      <w:r>
        <w:rPr>
          <w:rFonts w:ascii="Times New Roman" w:hAnsi="Times New Roman"/>
          <w:szCs w:val="24"/>
          <w:vertAlign w:val="superscript"/>
        </w:rPr>
        <w:t>2</w:t>
      </w:r>
      <w:r>
        <w:rPr>
          <w:rFonts w:ascii="Times New Roman" w:hAnsi="Times New Roman"/>
          <w:szCs w:val="24"/>
        </w:rPr>
        <w:t>)·exp(-π(x-x</w:t>
      </w:r>
      <w:r>
        <w:rPr>
          <w:rFonts w:ascii="Times New Roman" w:hAnsi="Times New Roman"/>
          <w:szCs w:val="24"/>
          <w:vertAlign w:val="subscript"/>
        </w:rPr>
        <w:t>i</w:t>
      </w:r>
      <w:r>
        <w:rPr>
          <w:rFonts w:ascii="Times New Roman" w:hAnsi="Times New Roman"/>
          <w:szCs w:val="24"/>
        </w:rPr>
        <w:t>)</w:t>
      </w:r>
      <w:r>
        <w:rPr>
          <w:rFonts w:ascii="Times New Roman" w:hAnsi="Times New Roman"/>
          <w:szCs w:val="24"/>
          <w:vertAlign w:val="superscript"/>
        </w:rPr>
        <w:t>2</w:t>
      </w:r>
      <w:r>
        <w:rPr>
          <w:rFonts w:ascii="Times New Roman" w:hAnsi="Times New Roman"/>
          <w:szCs w:val="24"/>
        </w:rPr>
        <w:t>/r</w:t>
      </w:r>
      <w:r>
        <w:rPr>
          <w:rFonts w:ascii="Times New Roman" w:hAnsi="Times New Roman"/>
          <w:szCs w:val="24"/>
          <w:vertAlign w:val="superscript"/>
        </w:rPr>
        <w:t>2</w:t>
      </w:r>
      <w:r>
        <w:rPr>
          <w:rFonts w:ascii="Times New Roman" w:hAnsi="Times New Roman"/>
          <w:szCs w:val="24"/>
        </w:rPr>
        <w:t>)·exp(-π(y-y</w:t>
      </w:r>
      <w:r>
        <w:rPr>
          <w:rFonts w:ascii="Times New Roman" w:hAnsi="Times New Roman"/>
          <w:szCs w:val="24"/>
          <w:vertAlign w:val="subscript"/>
        </w:rPr>
        <w:t>i</w:t>
      </w:r>
      <w:r>
        <w:rPr>
          <w:rFonts w:ascii="Times New Roman" w:hAnsi="Times New Roman"/>
          <w:szCs w:val="24"/>
        </w:rPr>
        <w:t>+l</w:t>
      </w:r>
      <w:r>
        <w:rPr>
          <w:rFonts w:ascii="Times New Roman" w:hAnsi="Times New Roman"/>
          <w:szCs w:val="24"/>
          <w:vertAlign w:val="subscript"/>
        </w:rPr>
        <w:t>i</w:t>
      </w:r>
      <w:r>
        <w:rPr>
          <w:rFonts w:ascii="Times New Roman" w:hAnsi="Times New Roman"/>
          <w:szCs w:val="24"/>
        </w:rPr>
        <w:t>)</w:t>
      </w:r>
      <w:r>
        <w:rPr>
          <w:rFonts w:ascii="Times New Roman" w:hAnsi="Times New Roman"/>
          <w:szCs w:val="24"/>
          <w:vertAlign w:val="superscript"/>
        </w:rPr>
        <w:t>2</w:t>
      </w:r>
      <w:r>
        <w:rPr>
          <w:rFonts w:ascii="Times New Roman" w:hAnsi="Times New Roman"/>
          <w:szCs w:val="24"/>
        </w:rPr>
        <w:t>/r</w:t>
      </w:r>
      <w:r>
        <w:rPr>
          <w:rFonts w:ascii="Times New Roman" w:hAnsi="Times New Roman"/>
          <w:szCs w:val="24"/>
          <w:vertAlign w:val="superscript"/>
        </w:rPr>
        <w:t>2</w:t>
      </w:r>
      <w:r>
        <w:rPr>
          <w:rFonts w:ascii="Times New Roman" w:hAnsi="Times New Roman"/>
          <w:szCs w:val="24"/>
        </w:rPr>
        <w:t>)</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式中：r为主要影响半径，r=H</w:t>
      </w:r>
      <w:r>
        <w:rPr>
          <w:rFonts w:ascii="Times New Roman" w:hAnsi="Times New Roman"/>
          <w:szCs w:val="24"/>
          <w:vertAlign w:val="subscript"/>
        </w:rPr>
        <w:t>0</w:t>
      </w:r>
      <w:r>
        <w:rPr>
          <w:rFonts w:ascii="Times New Roman" w:hAnsi="Times New Roman"/>
          <w:szCs w:val="24"/>
        </w:rPr>
        <w:t>/tanβ；</w:t>
      </w:r>
    </w:p>
    <w:p>
      <w:pPr>
        <w:adjustRightInd w:val="0"/>
        <w:snapToGrid w:val="0"/>
        <w:spacing w:line="440" w:lineRule="exact"/>
        <w:ind w:firstLine="1200" w:firstLineChars="500"/>
        <w:jc w:val="left"/>
        <w:rPr>
          <w:rFonts w:ascii="Times New Roman" w:hAnsi="Times New Roman"/>
          <w:szCs w:val="24"/>
        </w:rPr>
      </w:pPr>
      <w:r>
        <w:rPr>
          <w:rFonts w:ascii="Times New Roman" w:hAnsi="Times New Roman"/>
          <w:szCs w:val="24"/>
        </w:rPr>
        <w:t>H</w:t>
      </w:r>
      <w:r>
        <w:rPr>
          <w:rFonts w:ascii="Times New Roman" w:hAnsi="Times New Roman"/>
          <w:szCs w:val="24"/>
          <w:vertAlign w:val="subscript"/>
        </w:rPr>
        <w:t>0</w:t>
      </w:r>
      <w:r>
        <w:rPr>
          <w:rFonts w:ascii="Times New Roman" w:hAnsi="Times New Roman"/>
          <w:szCs w:val="24"/>
        </w:rPr>
        <w:t>为平均采深；tanβ，预计参数，为主要影响角β之正切；</w:t>
      </w:r>
    </w:p>
    <w:p>
      <w:pPr>
        <w:adjustRightInd w:val="0"/>
        <w:snapToGrid w:val="0"/>
        <w:spacing w:line="440" w:lineRule="exact"/>
        <w:ind w:firstLine="1200" w:firstLineChars="500"/>
        <w:jc w:val="left"/>
        <w:rPr>
          <w:rFonts w:ascii="Times New Roman" w:hAnsi="Times New Roman"/>
          <w:szCs w:val="24"/>
        </w:rPr>
      </w:pPr>
      <w:r>
        <w:rPr>
          <w:rFonts w:ascii="Times New Roman" w:hAnsi="Times New Roman"/>
          <w:szCs w:val="24"/>
        </w:rPr>
        <w:t>l</w:t>
      </w:r>
      <w:r>
        <w:rPr>
          <w:rFonts w:ascii="Times New Roman" w:hAnsi="Times New Roman"/>
          <w:szCs w:val="24"/>
          <w:vertAlign w:val="subscript"/>
        </w:rPr>
        <w:t>i</w:t>
      </w:r>
      <w:r>
        <w:rPr>
          <w:rFonts w:ascii="Times New Roman" w:hAnsi="Times New Roman"/>
          <w:szCs w:val="24"/>
        </w:rPr>
        <w:t>=H</w:t>
      </w:r>
      <w:r>
        <w:rPr>
          <w:rFonts w:ascii="Times New Roman" w:hAnsi="Times New Roman"/>
          <w:szCs w:val="24"/>
          <w:vertAlign w:val="subscript"/>
        </w:rPr>
        <w:t>i</w:t>
      </w:r>
      <w:r>
        <w:rPr>
          <w:rFonts w:ascii="Times New Roman" w:hAnsi="Times New Roman"/>
          <w:szCs w:val="24"/>
        </w:rPr>
        <w:t>·cotθ，θ，预计参数，为最大下沉角；</w:t>
      </w:r>
    </w:p>
    <w:p>
      <w:pPr>
        <w:adjustRightInd w:val="0"/>
        <w:snapToGrid w:val="0"/>
        <w:spacing w:line="440" w:lineRule="exact"/>
        <w:ind w:firstLine="1200" w:firstLineChars="500"/>
        <w:jc w:val="left"/>
        <w:rPr>
          <w:rFonts w:ascii="Times New Roman" w:hAnsi="Times New Roman"/>
          <w:szCs w:val="24"/>
        </w:rPr>
      </w:pPr>
      <w:r>
        <w:rPr>
          <w:rFonts w:ascii="Times New Roman" w:hAnsi="Times New Roman"/>
          <w:szCs w:val="24"/>
        </w:rPr>
        <w:t>(x</w:t>
      </w:r>
      <w:r>
        <w:rPr>
          <w:rFonts w:ascii="Times New Roman" w:hAnsi="Times New Roman"/>
          <w:szCs w:val="24"/>
          <w:vertAlign w:val="subscript"/>
        </w:rPr>
        <w:t>i</w:t>
      </w:r>
      <w:r>
        <w:rPr>
          <w:rFonts w:ascii="Times New Roman" w:hAnsi="Times New Roman"/>
          <w:szCs w:val="24"/>
        </w:rPr>
        <w:t>,y</w:t>
      </w:r>
      <w:r>
        <w:rPr>
          <w:rFonts w:ascii="Times New Roman" w:hAnsi="Times New Roman"/>
          <w:szCs w:val="24"/>
          <w:vertAlign w:val="subscript"/>
        </w:rPr>
        <w:t>i</w:t>
      </w:r>
      <w:r>
        <w:rPr>
          <w:rFonts w:ascii="Times New Roman" w:hAnsi="Times New Roman"/>
          <w:szCs w:val="24"/>
        </w:rPr>
        <w:t>)—— i单元中心点的平面坐标；</w:t>
      </w:r>
    </w:p>
    <w:p>
      <w:pPr>
        <w:adjustRightInd w:val="0"/>
        <w:snapToGrid w:val="0"/>
        <w:spacing w:line="440" w:lineRule="exact"/>
        <w:ind w:firstLine="1200" w:firstLineChars="500"/>
        <w:jc w:val="left"/>
        <w:rPr>
          <w:rFonts w:ascii="Times New Roman" w:hAnsi="Times New Roman"/>
          <w:szCs w:val="24"/>
        </w:rPr>
      </w:pPr>
      <w:r>
        <w:rPr>
          <w:rFonts w:ascii="Times New Roman" w:hAnsi="Times New Roman"/>
          <w:szCs w:val="24"/>
        </w:rPr>
        <w:t>(x,y)——地表任意一点的坐标。</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设工作面范围为：0～p，0～a组成的矩形。</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1 \* GB3 </w:instrText>
      </w:r>
      <w:r>
        <w:rPr>
          <w:rFonts w:ascii="Times New Roman" w:hAnsi="Times New Roman"/>
          <w:szCs w:val="24"/>
        </w:rPr>
        <w:fldChar w:fldCharType="separate"/>
      </w:r>
      <w:r>
        <w:rPr>
          <w:rFonts w:hint="eastAsia" w:cs="宋体"/>
          <w:szCs w:val="24"/>
        </w:rPr>
        <w:t>①</w:t>
      </w:r>
      <w:r>
        <w:rPr>
          <w:rFonts w:ascii="Times New Roman" w:hAnsi="Times New Roman"/>
          <w:szCs w:val="24"/>
        </w:rPr>
        <w:fldChar w:fldCharType="end"/>
      </w:r>
      <w:r>
        <w:rPr>
          <w:rFonts w:ascii="Times New Roman" w:hAnsi="Times New Roman"/>
          <w:szCs w:val="24"/>
        </w:rPr>
        <w:t>地表任一点的下沉为：</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W(X,Y)=W</w:t>
      </w:r>
      <w:r>
        <w:rPr>
          <w:rFonts w:ascii="Times New Roman" w:hAnsi="Times New Roman"/>
          <w:szCs w:val="24"/>
          <w:vertAlign w:val="subscript"/>
        </w:rPr>
        <w:t>0</w:t>
      </w:r>
      <w:r>
        <w:rPr>
          <w:rFonts w:ascii="Times New Roman" w:hAnsi="Times New Roman"/>
          <w:szCs w:val="24"/>
        </w:rPr>
        <w:t>∫ ∫ W</w:t>
      </w:r>
      <w:r>
        <w:rPr>
          <w:rFonts w:ascii="Times New Roman" w:hAnsi="Times New Roman"/>
          <w:szCs w:val="24"/>
          <w:vertAlign w:val="subscript"/>
        </w:rPr>
        <w:t>eoi</w:t>
      </w:r>
      <w:r>
        <w:rPr>
          <w:rFonts w:ascii="Times New Roman" w:hAnsi="Times New Roman"/>
          <w:szCs w:val="24"/>
        </w:rPr>
        <w:t>(X,Y)dxdy</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式中：W</w:t>
      </w:r>
      <w:r>
        <w:rPr>
          <w:rFonts w:ascii="Times New Roman" w:hAnsi="Times New Roman"/>
          <w:szCs w:val="24"/>
          <w:vertAlign w:val="subscript"/>
        </w:rPr>
        <w:t>0</w:t>
      </w:r>
      <w:r>
        <w:rPr>
          <w:rFonts w:ascii="Times New Roman" w:hAnsi="Times New Roman"/>
          <w:szCs w:val="24"/>
        </w:rPr>
        <w:t>为该地质采矿条件下的最大下沉值，mm，W</w:t>
      </w:r>
      <w:r>
        <w:rPr>
          <w:rFonts w:ascii="Times New Roman" w:hAnsi="Times New Roman"/>
          <w:szCs w:val="24"/>
          <w:vertAlign w:val="subscript"/>
        </w:rPr>
        <w:t>0</w:t>
      </w:r>
      <w:r>
        <w:rPr>
          <w:rFonts w:ascii="Times New Roman" w:hAnsi="Times New Roman"/>
          <w:szCs w:val="24"/>
        </w:rPr>
        <w:t>＝mqcosα，q，预计参数，下沉系数；</w:t>
      </w:r>
    </w:p>
    <w:p>
      <w:pPr>
        <w:adjustRightInd w:val="0"/>
        <w:snapToGrid w:val="0"/>
        <w:spacing w:line="440" w:lineRule="exact"/>
        <w:ind w:firstLine="1200" w:firstLineChars="500"/>
        <w:jc w:val="left"/>
        <w:rPr>
          <w:rFonts w:ascii="Times New Roman" w:hAnsi="Times New Roman"/>
          <w:szCs w:val="24"/>
        </w:rPr>
      </w:pPr>
      <w:r>
        <w:rPr>
          <w:rFonts w:ascii="Times New Roman" w:hAnsi="Times New Roman"/>
          <w:szCs w:val="24"/>
        </w:rPr>
        <w:t xml:space="preserve">p为工作面走向长，m； </w:t>
      </w:r>
    </w:p>
    <w:p>
      <w:pPr>
        <w:adjustRightInd w:val="0"/>
        <w:snapToGrid w:val="0"/>
        <w:spacing w:line="440" w:lineRule="exact"/>
        <w:ind w:firstLine="1200" w:firstLineChars="500"/>
        <w:jc w:val="left"/>
        <w:rPr>
          <w:rFonts w:ascii="Times New Roman" w:hAnsi="Times New Roman"/>
          <w:szCs w:val="24"/>
        </w:rPr>
      </w:pPr>
      <w:r>
        <w:rPr>
          <w:rFonts w:ascii="Times New Roman" w:hAnsi="Times New Roman"/>
          <w:szCs w:val="24"/>
        </w:rPr>
        <w:t>a为工作面沿倾斜方向的水平距离，m。</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也可以写为：</w:t>
      </w:r>
    </w:p>
    <w:p>
      <w:pPr>
        <w:adjustRightInd w:val="0"/>
        <w:snapToGrid w:val="0"/>
        <w:ind w:firstLine="482"/>
        <w:rPr>
          <w:rFonts w:ascii="Times New Roman" w:hAnsi="Times New Roman"/>
          <w:szCs w:val="24"/>
        </w:rPr>
      </w:pPr>
      <w:r>
        <w:rPr>
          <w:rFonts w:ascii="Times New Roman" w:hAnsi="Times New Roman"/>
          <w:szCs w:val="24"/>
        </w:rPr>
        <w:t>W(x，y)＝</w:t>
      </w:r>
      <w:r>
        <w:rPr>
          <w:rFonts w:ascii="Times New Roman" w:hAnsi="Times New Roman"/>
          <w:position w:val="-30"/>
          <w:szCs w:val="24"/>
        </w:rPr>
        <w:object>
          <v:shape id="_x0000_i1032" o:spt="75" type="#_x0000_t75" style="height:37.05pt;width:18.2pt;" o:ole="t" filled="f" o:preferrelative="t" stroked="f" coordsize="21600,21600">
            <v:path/>
            <v:fill on="f" focussize="0,0"/>
            <v:stroke on="f" joinstyle="miter"/>
            <v:imagedata r:id="rId114" o:title=""/>
            <o:lock v:ext="edit" aspectratio="t"/>
            <w10:wrap type="none"/>
            <w10:anchorlock/>
          </v:shape>
          <o:OLEObject Type="Embed" ProgID="Equation.2" ShapeID="_x0000_i1032" DrawAspect="Content" ObjectID="_1468075733" r:id="rId113">
            <o:LockedField>false</o:LockedField>
          </o:OLEObject>
        </w:object>
      </w:r>
      <w:r>
        <w:rPr>
          <w:rFonts w:ascii="Times New Roman" w:hAnsi="Times New Roman"/>
          <w:szCs w:val="24"/>
        </w:rPr>
        <w:t>×W</w:t>
      </w:r>
      <w:r>
        <w:rPr>
          <w:rFonts w:ascii="Times New Roman" w:hAnsi="Times New Roman"/>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式中W</w:t>
      </w:r>
      <w:r>
        <w:rPr>
          <w:rFonts w:ascii="Times New Roman" w:hAnsi="Times New Roman"/>
          <w:szCs w:val="24"/>
          <w:vertAlign w:val="subscript"/>
        </w:rPr>
        <w:t>0</w:t>
      </w:r>
      <w:r>
        <w:rPr>
          <w:rFonts w:ascii="Times New Roman" w:hAnsi="Times New Roman"/>
          <w:szCs w:val="24"/>
        </w:rPr>
        <w:t>仍为走向和倾向均达到充分采动时的地表最大下沉值，W</w:t>
      </w:r>
      <w:r>
        <w:rPr>
          <w:rFonts w:ascii="Times New Roman" w:hAnsi="Times New Roman"/>
          <w:szCs w:val="24"/>
        </w:rPr>
        <w:sym w:font="Symbol" w:char="F0B0"/>
      </w:r>
      <w:r>
        <w:rPr>
          <w:rFonts w:ascii="Times New Roman" w:hAnsi="Times New Roman"/>
          <w:szCs w:val="24"/>
        </w:rPr>
        <w:t>(x)为倾向方向达到充分采动时走向主断面上横坐标为x的点的下沉值，W</w:t>
      </w:r>
      <w:r>
        <w:rPr>
          <w:rFonts w:ascii="Times New Roman" w:hAnsi="Times New Roman"/>
          <w:szCs w:val="24"/>
        </w:rPr>
        <w:sym w:font="Symbol" w:char="F0B0"/>
      </w:r>
      <w:r>
        <w:rPr>
          <w:rFonts w:ascii="Times New Roman" w:hAnsi="Times New Roman"/>
          <w:szCs w:val="24"/>
        </w:rPr>
        <w:t>(y)为走向方向达到充分采动时倾向主断面上横坐标为y的点的下沉值。</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根据下沉表达式，可推导出地表（X，Y）的其它移动变形值。注意：除下沉外的其它移动变形都有方向性，同一点沿各个方向的变形值是不一样的，要对单元下沉盆地求方向导数，然后积分。</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2 \* GB3 </w:instrText>
      </w:r>
      <w:r>
        <w:rPr>
          <w:rFonts w:ascii="Times New Roman" w:hAnsi="Times New Roman"/>
          <w:szCs w:val="24"/>
        </w:rPr>
        <w:fldChar w:fldCharType="separate"/>
      </w:r>
      <w:r>
        <w:rPr>
          <w:rFonts w:hint="eastAsia" w:cs="宋体"/>
          <w:szCs w:val="24"/>
        </w:rPr>
        <w:t>②</w:t>
      </w:r>
      <w:r>
        <w:rPr>
          <w:rFonts w:ascii="Times New Roman" w:hAnsi="Times New Roman"/>
          <w:szCs w:val="24"/>
        </w:rPr>
        <w:fldChar w:fldCharType="end"/>
      </w:r>
      <w:r>
        <w:rPr>
          <w:rFonts w:ascii="Times New Roman" w:hAnsi="Times New Roman"/>
          <w:szCs w:val="24"/>
        </w:rPr>
        <w:t>沿</w:t>
      </w:r>
      <w:r>
        <w:rPr>
          <w:rFonts w:ascii="Times New Roman" w:hAnsi="Times New Roman"/>
          <w:position w:val="-10"/>
          <w:szCs w:val="24"/>
        </w:rPr>
        <w:object>
          <v:shape id="_x0000_i1033"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33" DrawAspect="Content" ObjectID="_1468075734" r:id="rId115">
            <o:LockedField>false</o:LockedField>
          </o:OLEObject>
        </w:object>
      </w:r>
      <w:r>
        <w:rPr>
          <w:rFonts w:ascii="Times New Roman" w:hAnsi="Times New Roman"/>
          <w:szCs w:val="24"/>
        </w:rPr>
        <w:t>方向的倾斜i(x，y，</w:t>
      </w:r>
      <w:r>
        <w:rPr>
          <w:rFonts w:ascii="Times New Roman" w:hAnsi="Times New Roman"/>
          <w:position w:val="-10"/>
          <w:szCs w:val="24"/>
        </w:rPr>
        <w:object>
          <v:shape id="_x0000_i1034"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34" DrawAspect="Content" ObjectID="_1468075735" r:id="rId117">
            <o:LockedField>false</o:LockedField>
          </o:OLEObject>
        </w:object>
      </w:r>
      <w:r>
        <w:rPr>
          <w:rFonts w:ascii="Times New Roman" w:hAnsi="Times New Roman"/>
          <w:szCs w:val="24"/>
        </w:rPr>
        <w:t>)</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设</w:t>
      </w:r>
      <w:r>
        <w:rPr>
          <w:rFonts w:ascii="Times New Roman" w:hAnsi="Times New Roman"/>
          <w:position w:val="-10"/>
          <w:szCs w:val="24"/>
        </w:rPr>
        <w:object>
          <v:shape id="_x0000_i1035"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35" DrawAspect="Content" ObjectID="_1468075736" r:id="rId118">
            <o:LockedField>false</o:LockedField>
          </o:OLEObject>
        </w:object>
      </w:r>
      <w:r>
        <w:rPr>
          <w:rFonts w:ascii="Times New Roman" w:hAnsi="Times New Roman"/>
          <w:szCs w:val="24"/>
        </w:rPr>
        <w:t>角为从x轴的正向沿逆时针方向与指定预计方向所夹的角度。</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坐标为(x，y)的点沿</w:t>
      </w:r>
      <w:r>
        <w:rPr>
          <w:rFonts w:ascii="Times New Roman" w:hAnsi="Times New Roman"/>
          <w:position w:val="-10"/>
          <w:szCs w:val="24"/>
        </w:rPr>
        <w:object>
          <v:shape id="_x0000_i1036"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36" DrawAspect="Content" ObjectID="_1468075737" r:id="rId119">
            <o:LockedField>false</o:LockedField>
          </o:OLEObject>
        </w:object>
      </w:r>
      <w:r>
        <w:rPr>
          <w:rFonts w:ascii="Times New Roman" w:hAnsi="Times New Roman"/>
          <w:szCs w:val="24"/>
        </w:rPr>
        <w:t>方向的倾斜为下沉W(x，y)在</w:t>
      </w:r>
      <w:r>
        <w:rPr>
          <w:rFonts w:ascii="Times New Roman" w:hAnsi="Times New Roman"/>
          <w:position w:val="-10"/>
          <w:szCs w:val="24"/>
        </w:rPr>
        <w:object>
          <v:shape id="_x0000_i1037"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37" DrawAspect="Content" ObjectID="_1468075738" r:id="rId120">
            <o:LockedField>false</o:LockedField>
          </o:OLEObject>
        </w:object>
      </w:r>
      <w:r>
        <w:rPr>
          <w:rFonts w:ascii="Times New Roman" w:hAnsi="Times New Roman"/>
          <w:szCs w:val="24"/>
        </w:rPr>
        <w:t>方向上单位距离的变化率，在数学上即为</w:t>
      </w:r>
      <w:r>
        <w:rPr>
          <w:rFonts w:ascii="Times New Roman" w:hAnsi="Times New Roman"/>
          <w:position w:val="-10"/>
          <w:szCs w:val="24"/>
        </w:rPr>
        <w:object>
          <v:shape id="_x0000_i1038"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38" DrawAspect="Content" ObjectID="_1468075739" r:id="rId121">
            <o:LockedField>false</o:LockedField>
          </o:OLEObject>
        </w:object>
      </w:r>
      <w:r>
        <w:rPr>
          <w:rFonts w:ascii="Times New Roman" w:hAnsi="Times New Roman"/>
          <w:szCs w:val="24"/>
        </w:rPr>
        <w:t>方向的方向导数，即为：</w:t>
      </w:r>
    </w:p>
    <w:p>
      <w:pPr>
        <w:adjustRightInd w:val="0"/>
        <w:snapToGrid w:val="0"/>
        <w:ind w:firstLine="482"/>
        <w:rPr>
          <w:rFonts w:ascii="Times New Roman" w:hAnsi="Times New Roman"/>
          <w:szCs w:val="24"/>
        </w:rPr>
      </w:pPr>
      <w:r>
        <w:rPr>
          <w:rFonts w:ascii="Times New Roman" w:hAnsi="Times New Roman"/>
          <w:szCs w:val="24"/>
        </w:rPr>
        <w:t>i(x，y，</w:t>
      </w:r>
      <w:r>
        <w:rPr>
          <w:rFonts w:ascii="Times New Roman" w:hAnsi="Times New Roman"/>
          <w:position w:val="-10"/>
          <w:szCs w:val="24"/>
        </w:rPr>
        <w:object>
          <v:shape id="_x0000_i1039"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39" DrawAspect="Content" ObjectID="_1468075740" r:id="rId122">
            <o:LockedField>false</o:LockedField>
          </o:OLEObject>
        </w:object>
      </w:r>
      <w:r>
        <w:rPr>
          <w:rFonts w:ascii="Times New Roman" w:hAnsi="Times New Roman"/>
          <w:szCs w:val="24"/>
        </w:rPr>
        <w:t>)＝</w:t>
      </w:r>
      <w:r>
        <w:rPr>
          <w:rFonts w:ascii="Times New Roman" w:hAnsi="Times New Roman"/>
          <w:position w:val="-28"/>
          <w:szCs w:val="24"/>
        </w:rPr>
        <w:drawing>
          <wp:inline distT="0" distB="0" distL="0" distR="0">
            <wp:extent cx="2720340" cy="41910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a:xfrm>
                      <a:off x="0" y="0"/>
                      <a:ext cx="2720340" cy="419100"/>
                    </a:xfrm>
                    <a:prstGeom prst="rect">
                      <a:avLst/>
                    </a:prstGeom>
                    <a:noFill/>
                    <a:ln>
                      <a:noFill/>
                    </a:ln>
                  </pic:spPr>
                </pic:pic>
              </a:graphicData>
            </a:graphic>
          </wp:inline>
        </w:drawing>
      </w:r>
    </w:p>
    <w:p>
      <w:pPr>
        <w:adjustRightInd w:val="0"/>
        <w:snapToGrid w:val="0"/>
        <w:ind w:firstLine="482"/>
        <w:jc w:val="left"/>
        <w:rPr>
          <w:rFonts w:ascii="Times New Roman" w:hAnsi="Times New Roman"/>
          <w:szCs w:val="24"/>
        </w:rPr>
      </w:pPr>
      <w:r>
        <w:rPr>
          <w:rFonts w:ascii="Times New Roman" w:hAnsi="Times New Roman"/>
          <w:szCs w:val="24"/>
        </w:rPr>
        <w:t>可将上式化简为：</w:t>
      </w:r>
    </w:p>
    <w:p>
      <w:pPr>
        <w:adjustRightInd w:val="0"/>
        <w:snapToGrid w:val="0"/>
        <w:ind w:firstLine="482"/>
        <w:rPr>
          <w:rFonts w:ascii="Times New Roman" w:hAnsi="Times New Roman"/>
          <w:szCs w:val="24"/>
        </w:rPr>
      </w:pPr>
      <w:r>
        <w:rPr>
          <w:rFonts w:ascii="Times New Roman" w:hAnsi="Times New Roman"/>
          <w:szCs w:val="24"/>
        </w:rPr>
        <w:t>i(x，y，</w:t>
      </w:r>
      <w:r>
        <w:rPr>
          <w:rFonts w:ascii="Times New Roman" w:hAnsi="Times New Roman"/>
          <w:position w:val="-10"/>
          <w:szCs w:val="24"/>
        </w:rPr>
        <w:object>
          <v:shape id="_x0000_i1040"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40" DrawAspect="Content" ObjectID="_1468075741" r:id="rId124">
            <o:LockedField>false</o:LockedField>
          </o:OLEObject>
        </w:object>
      </w:r>
      <w:r>
        <w:rPr>
          <w:rFonts w:ascii="Times New Roman" w:hAnsi="Times New Roman"/>
          <w:szCs w:val="24"/>
        </w:rPr>
        <w:t>)＝</w:t>
      </w:r>
      <w:r>
        <w:rPr>
          <w:rFonts w:ascii="Times New Roman" w:hAnsi="Times New Roman"/>
          <w:position w:val="-30"/>
          <w:szCs w:val="24"/>
        </w:rPr>
        <w:object>
          <v:shape id="_x0000_i1041" o:spt="75" type="#_x0000_t75" style="height:37.05pt;width:18.2pt;" o:ole="t" filled="f" o:preferrelative="t" stroked="f" coordsize="21600,21600">
            <v:path/>
            <v:fill on="f" focussize="0,0"/>
            <v:stroke on="f" joinstyle="miter"/>
            <v:imagedata r:id="rId114" o:title=""/>
            <o:lock v:ext="edit" aspectratio="t"/>
            <w10:wrap type="none"/>
            <w10:anchorlock/>
          </v:shape>
          <o:OLEObject Type="Embed" ProgID="Equation.2" ShapeID="_x0000_i1041" DrawAspect="Content" ObjectID="_1468075742" r:id="rId125">
            <o:LockedField>false</o:LockedField>
          </o:OLEObject>
        </w:object>
      </w:r>
      <w:r>
        <w:rPr>
          <w:rFonts w:ascii="Times New Roman" w:hAnsi="Times New Roman"/>
          <w:szCs w:val="24"/>
        </w:rPr>
        <w:t>×[i</w:t>
      </w:r>
      <w:r>
        <w:rPr>
          <w:rFonts w:ascii="Times New Roman" w:hAnsi="Times New Roman"/>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(y)×cos</w:t>
      </w:r>
      <w:r>
        <w:rPr>
          <w:rFonts w:ascii="Times New Roman" w:hAnsi="Times New Roman"/>
          <w:position w:val="-10"/>
          <w:szCs w:val="24"/>
        </w:rPr>
        <w:object>
          <v:shape id="_x0000_i1042"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42" DrawAspect="Content" ObjectID="_1468075743" r:id="rId126">
            <o:LockedField>false</o:LockedField>
          </o:OLEObject>
        </w:object>
      </w:r>
      <w:r>
        <w:rPr>
          <w:rFonts w:ascii="Times New Roman" w:hAnsi="Times New Roman"/>
          <w:szCs w:val="24"/>
        </w:rPr>
        <w:t>＋i</w:t>
      </w:r>
      <w:r>
        <w:rPr>
          <w:rFonts w:ascii="Times New Roman" w:hAnsi="Times New Roman"/>
          <w:szCs w:val="24"/>
        </w:rPr>
        <w:sym w:font="Symbol" w:char="F0B0"/>
      </w:r>
      <w:r>
        <w:rPr>
          <w:rFonts w:ascii="Times New Roman" w:hAnsi="Times New Roman"/>
          <w:szCs w:val="24"/>
        </w:rPr>
        <w:t>(y)×W</w:t>
      </w:r>
      <w:r>
        <w:rPr>
          <w:rFonts w:ascii="Times New Roman" w:hAnsi="Times New Roman"/>
          <w:szCs w:val="24"/>
        </w:rPr>
        <w:sym w:font="Symbol" w:char="F0B0"/>
      </w:r>
      <w:r>
        <w:rPr>
          <w:rFonts w:ascii="Times New Roman" w:hAnsi="Times New Roman"/>
          <w:szCs w:val="24"/>
        </w:rPr>
        <w:t>(x)×sin</w:t>
      </w:r>
      <w:r>
        <w:rPr>
          <w:rFonts w:ascii="Times New Roman" w:hAnsi="Times New Roman"/>
          <w:position w:val="-10"/>
          <w:szCs w:val="24"/>
        </w:rPr>
        <w:object>
          <v:shape id="_x0000_i1043"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43" DrawAspect="Content" ObjectID="_1468075744" r:id="rId127">
            <o:LockedField>false</o:LockedField>
          </o:OLEObject>
        </w:object>
      </w:r>
      <w:r>
        <w:rPr>
          <w:rFonts w:ascii="Times New Roman" w:hAnsi="Times New Roman"/>
          <w:szCs w:val="24"/>
        </w:rPr>
        <w:t>]</w:t>
      </w:r>
    </w:p>
    <w:p>
      <w:pPr>
        <w:adjustRightInd w:val="0"/>
        <w:snapToGrid w:val="0"/>
        <w:ind w:firstLine="482"/>
        <w:jc w:val="left"/>
        <w:rPr>
          <w:rFonts w:ascii="Times New Roman" w:hAnsi="Times New Roman"/>
          <w:szCs w:val="24"/>
        </w:rPr>
      </w:pPr>
      <w:r>
        <w:rPr>
          <w:rFonts w:hint="eastAsia" w:cs="宋体"/>
          <w:szCs w:val="24"/>
        </w:rPr>
        <w:t>③</w:t>
      </w:r>
      <w:r>
        <w:rPr>
          <w:rFonts w:ascii="Times New Roman" w:hAnsi="Times New Roman"/>
          <w:szCs w:val="24"/>
        </w:rPr>
        <w:t xml:space="preserve"> 沿</w:t>
      </w:r>
      <w:r>
        <w:rPr>
          <w:rFonts w:ascii="Times New Roman" w:hAnsi="Times New Roman"/>
          <w:position w:val="-10"/>
          <w:szCs w:val="24"/>
        </w:rPr>
        <w:object>
          <v:shape id="_x0000_i1044"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44" DrawAspect="Content" ObjectID="_1468075745" r:id="rId128">
            <o:LockedField>false</o:LockedField>
          </o:OLEObject>
        </w:object>
      </w:r>
      <w:r>
        <w:rPr>
          <w:rFonts w:ascii="Times New Roman" w:hAnsi="Times New Roman"/>
          <w:szCs w:val="24"/>
        </w:rPr>
        <w:t>方向的曲率</w:t>
      </w:r>
      <w:r>
        <w:rPr>
          <w:rFonts w:ascii="Times New Roman" w:hAnsi="Times New Roman"/>
          <w:i/>
          <w:szCs w:val="24"/>
        </w:rPr>
        <w:t>k</w:t>
      </w:r>
      <w:r>
        <w:rPr>
          <w:rFonts w:ascii="Times New Roman" w:hAnsi="Times New Roman"/>
          <w:szCs w:val="24"/>
        </w:rPr>
        <w:t>(x，y，</w:t>
      </w:r>
      <w:r>
        <w:rPr>
          <w:rFonts w:ascii="Times New Roman" w:hAnsi="Times New Roman"/>
          <w:position w:val="-10"/>
          <w:szCs w:val="24"/>
        </w:rPr>
        <w:object>
          <v:shape id="_x0000_i1045"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45" DrawAspect="Content" ObjectID="_1468075746" r:id="rId129">
            <o:LockedField>false</o:LockedField>
          </o:OLEObject>
        </w:object>
      </w:r>
      <w:r>
        <w:rPr>
          <w:rFonts w:ascii="Times New Roman" w:hAnsi="Times New Roman"/>
          <w:szCs w:val="24"/>
        </w:rPr>
        <w:t>)</w:t>
      </w:r>
    </w:p>
    <w:p>
      <w:pPr>
        <w:adjustRightInd w:val="0"/>
        <w:snapToGrid w:val="0"/>
        <w:ind w:firstLine="482"/>
        <w:jc w:val="left"/>
        <w:rPr>
          <w:rFonts w:ascii="Times New Roman" w:hAnsi="Times New Roman"/>
          <w:szCs w:val="24"/>
        </w:rPr>
      </w:pPr>
      <w:r>
        <w:rPr>
          <w:rFonts w:ascii="Times New Roman" w:hAnsi="Times New Roman"/>
          <w:szCs w:val="24"/>
        </w:rPr>
        <w:t>坐标为(x，y)的点</w:t>
      </w:r>
      <w:r>
        <w:rPr>
          <w:rFonts w:ascii="Times New Roman" w:hAnsi="Times New Roman"/>
          <w:position w:val="-10"/>
          <w:szCs w:val="24"/>
        </w:rPr>
        <w:object>
          <v:shape id="_x0000_i1046"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46" DrawAspect="Content" ObjectID="_1468075747" r:id="rId130">
            <o:LockedField>false</o:LockedField>
          </o:OLEObject>
        </w:object>
      </w:r>
      <w:r>
        <w:rPr>
          <w:rFonts w:ascii="Times New Roman" w:hAnsi="Times New Roman"/>
          <w:szCs w:val="24"/>
        </w:rPr>
        <w:t>方向的曲率为倾斜i(x，y，</w:t>
      </w:r>
      <w:r>
        <w:rPr>
          <w:rFonts w:ascii="Times New Roman" w:hAnsi="Times New Roman"/>
          <w:position w:val="-10"/>
          <w:szCs w:val="24"/>
        </w:rPr>
        <w:object>
          <v:shape id="_x0000_i1047"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47" DrawAspect="Content" ObjectID="_1468075748" r:id="rId131">
            <o:LockedField>false</o:LockedField>
          </o:OLEObject>
        </w:object>
      </w:r>
      <w:r>
        <w:rPr>
          <w:rFonts w:ascii="Times New Roman" w:hAnsi="Times New Roman"/>
          <w:szCs w:val="24"/>
        </w:rPr>
        <w:t>)在</w:t>
      </w:r>
      <w:r>
        <w:rPr>
          <w:rFonts w:ascii="Times New Roman" w:hAnsi="Times New Roman"/>
          <w:position w:val="-10"/>
          <w:szCs w:val="24"/>
        </w:rPr>
        <w:object>
          <v:shape id="_x0000_i1048"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48" DrawAspect="Content" ObjectID="_1468075749" r:id="rId132">
            <o:LockedField>false</o:LockedField>
          </o:OLEObject>
        </w:object>
      </w:r>
      <w:r>
        <w:rPr>
          <w:rFonts w:ascii="Times New Roman" w:hAnsi="Times New Roman"/>
          <w:szCs w:val="24"/>
        </w:rPr>
        <w:t>方向上单位距离的变化率，在数学上即为</w:t>
      </w:r>
      <w:r>
        <w:rPr>
          <w:rFonts w:ascii="Times New Roman" w:hAnsi="Times New Roman"/>
          <w:position w:val="-10"/>
          <w:szCs w:val="24"/>
        </w:rPr>
        <w:object>
          <v:shape id="_x0000_i1049"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49" DrawAspect="Content" ObjectID="_1468075750" r:id="rId133">
            <o:LockedField>false</o:LockedField>
          </o:OLEObject>
        </w:object>
      </w:r>
      <w:r>
        <w:rPr>
          <w:rFonts w:ascii="Times New Roman" w:hAnsi="Times New Roman"/>
          <w:szCs w:val="24"/>
        </w:rPr>
        <w:t>方向的方向导数，即为：</w:t>
      </w:r>
    </w:p>
    <w:p>
      <w:pPr>
        <w:adjustRightInd w:val="0"/>
        <w:snapToGrid w:val="0"/>
        <w:ind w:firstLine="482"/>
        <w:rPr>
          <w:rFonts w:ascii="Times New Roman" w:hAnsi="Times New Roman"/>
          <w:szCs w:val="24"/>
        </w:rPr>
      </w:pPr>
      <w:r>
        <w:rPr>
          <w:rFonts w:ascii="Times New Roman" w:hAnsi="Times New Roman"/>
          <w:i/>
          <w:szCs w:val="24"/>
        </w:rPr>
        <w:t>k</w:t>
      </w:r>
      <w:r>
        <w:rPr>
          <w:rFonts w:ascii="Times New Roman" w:hAnsi="Times New Roman"/>
          <w:szCs w:val="24"/>
        </w:rPr>
        <w:t>(x，y，</w:t>
      </w:r>
      <w:r>
        <w:rPr>
          <w:rFonts w:ascii="Times New Roman" w:hAnsi="Times New Roman"/>
          <w:position w:val="-10"/>
          <w:szCs w:val="24"/>
        </w:rPr>
        <w:object>
          <v:shape id="_x0000_i1050"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50" DrawAspect="Content" ObjectID="_1468075751" r:id="rId134">
            <o:LockedField>false</o:LockedField>
          </o:OLEObject>
        </w:object>
      </w:r>
      <w:r>
        <w:rPr>
          <w:rFonts w:ascii="Times New Roman" w:hAnsi="Times New Roman"/>
          <w:szCs w:val="24"/>
        </w:rPr>
        <w:t>)＝</w:t>
      </w:r>
      <w:r>
        <w:rPr>
          <w:rFonts w:ascii="Times New Roman" w:hAnsi="Times New Roman"/>
          <w:position w:val="-28"/>
          <w:szCs w:val="24"/>
        </w:rPr>
        <w:drawing>
          <wp:inline distT="0" distB="0" distL="0" distR="0">
            <wp:extent cx="2872740" cy="419100"/>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a:xfrm>
                      <a:off x="0" y="0"/>
                      <a:ext cx="2872740" cy="419100"/>
                    </a:xfrm>
                    <a:prstGeom prst="rect">
                      <a:avLst/>
                    </a:prstGeom>
                    <a:noFill/>
                    <a:ln>
                      <a:noFill/>
                    </a:ln>
                  </pic:spPr>
                </pic:pic>
              </a:graphicData>
            </a:graphic>
          </wp:inline>
        </w:drawing>
      </w:r>
    </w:p>
    <w:p>
      <w:pPr>
        <w:adjustRightInd w:val="0"/>
        <w:snapToGrid w:val="0"/>
        <w:ind w:firstLine="482"/>
        <w:jc w:val="left"/>
        <w:rPr>
          <w:rFonts w:ascii="Times New Roman" w:hAnsi="Times New Roman"/>
          <w:szCs w:val="24"/>
        </w:rPr>
      </w:pPr>
      <w:r>
        <w:rPr>
          <w:rFonts w:ascii="Times New Roman" w:hAnsi="Times New Roman"/>
          <w:szCs w:val="24"/>
        </w:rPr>
        <w:t>可将上式化简为：</w:t>
      </w:r>
    </w:p>
    <w:p>
      <w:pPr>
        <w:adjustRightInd w:val="0"/>
        <w:snapToGrid w:val="0"/>
        <w:ind w:firstLine="482"/>
        <w:rPr>
          <w:rFonts w:ascii="Times New Roman" w:hAnsi="Times New Roman"/>
          <w:szCs w:val="24"/>
        </w:rPr>
      </w:pPr>
      <w:r>
        <w:rPr>
          <w:rFonts w:ascii="Times New Roman" w:hAnsi="Times New Roman"/>
          <w:i/>
          <w:szCs w:val="24"/>
        </w:rPr>
        <w:t>k</w:t>
      </w:r>
      <w:r>
        <w:rPr>
          <w:rFonts w:ascii="Times New Roman" w:hAnsi="Times New Roman"/>
          <w:szCs w:val="24"/>
        </w:rPr>
        <w:t>(x，y，</w:t>
      </w:r>
      <w:r>
        <w:rPr>
          <w:rFonts w:ascii="Times New Roman" w:hAnsi="Times New Roman"/>
          <w:position w:val="-10"/>
          <w:szCs w:val="24"/>
        </w:rPr>
        <w:object>
          <v:shape id="_x0000_i1051"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51" DrawAspect="Content" ObjectID="_1468075752" r:id="rId136">
            <o:LockedField>false</o:LockedField>
          </o:OLEObject>
        </w:object>
      </w:r>
      <w:r>
        <w:rPr>
          <w:rFonts w:ascii="Times New Roman" w:hAnsi="Times New Roman"/>
          <w:szCs w:val="24"/>
        </w:rPr>
        <w:t>)＝</w:t>
      </w:r>
      <w:r>
        <w:rPr>
          <w:rFonts w:ascii="Times New Roman" w:hAnsi="Times New Roman"/>
          <w:position w:val="-30"/>
          <w:szCs w:val="24"/>
        </w:rPr>
        <w:drawing>
          <wp:inline distT="0" distB="0" distL="0" distR="0">
            <wp:extent cx="251460" cy="434340"/>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251460" cy="434340"/>
                    </a:xfrm>
                    <a:prstGeom prst="rect">
                      <a:avLst/>
                    </a:prstGeom>
                    <a:noFill/>
                    <a:ln>
                      <a:noFill/>
                    </a:ln>
                  </pic:spPr>
                </pic:pic>
              </a:graphicData>
            </a:graphic>
          </wp:inline>
        </w:drawing>
      </w:r>
      <w:r>
        <w:rPr>
          <w:rFonts w:ascii="Times New Roman" w:hAnsi="Times New Roman"/>
          <w:szCs w:val="24"/>
        </w:rPr>
        <w:t>[</w:t>
      </w:r>
      <w:r>
        <w:rPr>
          <w:rFonts w:ascii="Times New Roman" w:hAnsi="Times New Roman"/>
          <w:i/>
          <w:szCs w:val="24"/>
        </w:rPr>
        <w:t>k</w:t>
      </w:r>
      <w:r>
        <w:rPr>
          <w:rFonts w:ascii="Times New Roman" w:hAnsi="Times New Roman"/>
          <w:i/>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w:t>
      </w:r>
      <w:r>
        <w:rPr>
          <w:rFonts w:ascii="Times New Roman" w:hAnsi="Times New Roman"/>
          <w:i/>
          <w:szCs w:val="24"/>
        </w:rPr>
        <w:t>k</w:t>
      </w:r>
      <w:r>
        <w:rPr>
          <w:rFonts w:ascii="Times New Roman" w:hAnsi="Times New Roman"/>
          <w:i/>
          <w:szCs w:val="24"/>
        </w:rPr>
        <w:sym w:font="Symbol" w:char="F0B0"/>
      </w:r>
      <w:r>
        <w:rPr>
          <w:rFonts w:ascii="Times New Roman" w:hAnsi="Times New Roman"/>
          <w:szCs w:val="24"/>
        </w:rPr>
        <w:t>(y)W</w:t>
      </w:r>
      <w:r>
        <w:rPr>
          <w:rFonts w:ascii="Times New Roman" w:hAnsi="Times New Roman"/>
          <w:szCs w:val="24"/>
        </w:rPr>
        <w:sym w:font="Symbol" w:char="F0B0"/>
      </w:r>
      <w:r>
        <w:rPr>
          <w:rFonts w:ascii="Times New Roman" w:hAnsi="Times New Roman"/>
          <w:szCs w:val="24"/>
        </w:rPr>
        <w:t>(x)]sin</w:t>
      </w:r>
      <w:r>
        <w:rPr>
          <w:rFonts w:ascii="Times New Roman" w:hAnsi="Times New Roman"/>
          <w:szCs w:val="24"/>
          <w:vertAlign w:val="superscript"/>
        </w:rPr>
        <w:t>2</w:t>
      </w:r>
      <w:r>
        <w:rPr>
          <w:rFonts w:ascii="Times New Roman" w:hAnsi="Times New Roman"/>
          <w:position w:val="-10"/>
          <w:szCs w:val="24"/>
        </w:rPr>
        <w:object>
          <v:shape id="_x0000_i1052"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52" DrawAspect="Content" ObjectID="_1468075753" r:id="rId138">
            <o:LockedField>false</o:LockedField>
          </o:OLEObject>
        </w:object>
      </w:r>
      <w:r>
        <w:rPr>
          <w:rFonts w:ascii="Times New Roman" w:hAnsi="Times New Roman"/>
          <w:szCs w:val="24"/>
        </w:rPr>
        <w:t>＋i</w:t>
      </w:r>
      <w:r>
        <w:rPr>
          <w:rFonts w:ascii="Times New Roman" w:hAnsi="Times New Roman"/>
          <w:szCs w:val="24"/>
        </w:rPr>
        <w:sym w:font="Symbol" w:char="F0B0"/>
      </w:r>
      <w:r>
        <w:rPr>
          <w:rFonts w:ascii="Times New Roman" w:hAnsi="Times New Roman"/>
          <w:szCs w:val="24"/>
        </w:rPr>
        <w:t>(x)i</w:t>
      </w:r>
      <w:r>
        <w:rPr>
          <w:rFonts w:ascii="Times New Roman" w:hAnsi="Times New Roman"/>
          <w:szCs w:val="24"/>
        </w:rPr>
        <w:sym w:font="Symbol" w:char="F0B0"/>
      </w:r>
      <w:r>
        <w:rPr>
          <w:rFonts w:ascii="Times New Roman" w:hAnsi="Times New Roman"/>
          <w:szCs w:val="24"/>
        </w:rPr>
        <w:t>(y)sin2</w:t>
      </w:r>
      <w:r>
        <w:rPr>
          <w:rFonts w:ascii="Times New Roman" w:hAnsi="Times New Roman"/>
          <w:position w:val="-10"/>
          <w:szCs w:val="24"/>
        </w:rPr>
        <w:object>
          <v:shape id="_x0000_i1053"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53" DrawAspect="Content" ObjectID="_1468075754" r:id="rId139">
            <o:LockedField>false</o:LockedField>
          </o:OLEObject>
        </w:object>
      </w:r>
      <w:r>
        <w:rPr>
          <w:rFonts w:ascii="Times New Roman" w:hAnsi="Times New Roman"/>
          <w:szCs w:val="24"/>
        </w:rPr>
        <w:t>]</w:t>
      </w:r>
    </w:p>
    <w:p>
      <w:pPr>
        <w:adjustRightInd w:val="0"/>
        <w:snapToGrid w:val="0"/>
        <w:ind w:firstLine="482"/>
        <w:jc w:val="left"/>
        <w:rPr>
          <w:rFonts w:ascii="Times New Roman" w:hAnsi="Times New Roman"/>
          <w:szCs w:val="24"/>
        </w:rPr>
      </w:pPr>
      <w:r>
        <w:rPr>
          <w:rFonts w:hint="eastAsia" w:cs="宋体"/>
          <w:szCs w:val="24"/>
        </w:rPr>
        <w:t>④</w:t>
      </w:r>
      <w:r>
        <w:rPr>
          <w:rFonts w:ascii="Times New Roman" w:hAnsi="Times New Roman"/>
          <w:szCs w:val="24"/>
        </w:rPr>
        <w:t xml:space="preserve"> 沿</w:t>
      </w:r>
      <w:r>
        <w:rPr>
          <w:rFonts w:ascii="Times New Roman" w:hAnsi="Times New Roman"/>
          <w:position w:val="-10"/>
          <w:szCs w:val="24"/>
        </w:rPr>
        <w:object>
          <v:shape id="_x0000_i1054"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54" DrawAspect="Content" ObjectID="_1468075755" r:id="rId140">
            <o:LockedField>false</o:LockedField>
          </o:OLEObject>
        </w:object>
      </w:r>
      <w:r>
        <w:rPr>
          <w:rFonts w:ascii="Times New Roman" w:hAnsi="Times New Roman"/>
          <w:szCs w:val="24"/>
        </w:rPr>
        <w:t>方向的水平移动U(x，y，</w:t>
      </w:r>
      <w:r>
        <w:rPr>
          <w:rFonts w:ascii="Times New Roman" w:hAnsi="Times New Roman"/>
          <w:position w:val="-10"/>
          <w:szCs w:val="24"/>
        </w:rPr>
        <w:object>
          <v:shape id="_x0000_i1055"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55" DrawAspect="Content" ObjectID="_1468075756" r:id="rId141">
            <o:LockedField>false</o:LockedField>
          </o:OLEObject>
        </w:object>
      </w:r>
      <w:r>
        <w:rPr>
          <w:rFonts w:ascii="Times New Roman" w:hAnsi="Times New Roman"/>
          <w:szCs w:val="24"/>
        </w:rPr>
        <w:t>)</w:t>
      </w:r>
    </w:p>
    <w:p>
      <w:pPr>
        <w:adjustRightInd w:val="0"/>
        <w:snapToGrid w:val="0"/>
        <w:ind w:firstLine="482"/>
        <w:rPr>
          <w:rFonts w:ascii="Times New Roman" w:hAnsi="Times New Roman"/>
          <w:szCs w:val="24"/>
        </w:rPr>
      </w:pPr>
      <w:r>
        <w:rPr>
          <w:rFonts w:ascii="Times New Roman" w:hAnsi="Times New Roman"/>
          <w:szCs w:val="24"/>
        </w:rPr>
        <w:t>U(x，y，</w:t>
      </w:r>
      <w:r>
        <w:rPr>
          <w:rFonts w:ascii="Times New Roman" w:hAnsi="Times New Roman"/>
          <w:position w:val="-10"/>
          <w:szCs w:val="24"/>
        </w:rPr>
        <w:object>
          <v:shape id="_x0000_i1056"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56" DrawAspect="Content" ObjectID="_1468075757" r:id="rId142">
            <o:LockedField>false</o:LockedField>
          </o:OLEObject>
        </w:object>
      </w:r>
      <w:r>
        <w:rPr>
          <w:rFonts w:ascii="Times New Roman" w:hAnsi="Times New Roman"/>
          <w:szCs w:val="24"/>
        </w:rPr>
        <w:t>)=</w:t>
      </w:r>
      <w:r>
        <w:rPr>
          <w:rFonts w:ascii="Times New Roman" w:hAnsi="Times New Roman"/>
          <w:position w:val="-30"/>
          <w:szCs w:val="24"/>
        </w:rPr>
        <w:object>
          <v:shape id="_x0000_i1057" o:spt="75" type="#_x0000_t75" style="height:37.05pt;width:18.2pt;" o:ole="t" filled="f" o:preferrelative="t" stroked="f" coordsize="21600,21600">
            <v:path/>
            <v:fill on="f" focussize="0,0"/>
            <v:stroke on="f" joinstyle="miter"/>
            <v:imagedata r:id="rId114" o:title=""/>
            <o:lock v:ext="edit" aspectratio="t"/>
            <w10:wrap type="none"/>
            <w10:anchorlock/>
          </v:shape>
          <o:OLEObject Type="Embed" ProgID="Equation.2" ShapeID="_x0000_i1057" DrawAspect="Content" ObjectID="_1468075758" r:id="rId143">
            <o:LockedField>false</o:LockedField>
          </o:OLEObject>
        </w:object>
      </w:r>
      <w:r>
        <w:rPr>
          <w:rFonts w:ascii="Times New Roman" w:hAnsi="Times New Roman"/>
          <w:szCs w:val="24"/>
        </w:rPr>
        <w:t>×[U</w:t>
      </w:r>
      <w:r>
        <w:rPr>
          <w:rFonts w:ascii="Times New Roman" w:hAnsi="Times New Roman"/>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(y)×cos</w:t>
      </w:r>
      <w:r>
        <w:rPr>
          <w:rFonts w:ascii="Times New Roman" w:hAnsi="Times New Roman"/>
          <w:position w:val="-10"/>
          <w:szCs w:val="24"/>
        </w:rPr>
        <w:object>
          <v:shape id="_x0000_i1058"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58" DrawAspect="Content" ObjectID="_1468075759" r:id="rId144">
            <o:LockedField>false</o:LockedField>
          </o:OLEObject>
        </w:object>
      </w:r>
      <w:r>
        <w:rPr>
          <w:rFonts w:ascii="Times New Roman" w:hAnsi="Times New Roman"/>
          <w:szCs w:val="24"/>
        </w:rPr>
        <w:t>＋U</w:t>
      </w:r>
      <w:r>
        <w:rPr>
          <w:rFonts w:ascii="Times New Roman" w:hAnsi="Times New Roman"/>
          <w:szCs w:val="24"/>
        </w:rPr>
        <w:sym w:font="Symbol" w:char="F0B0"/>
      </w:r>
      <w:r>
        <w:rPr>
          <w:rFonts w:ascii="Times New Roman" w:hAnsi="Times New Roman"/>
          <w:szCs w:val="24"/>
        </w:rPr>
        <w:t>(y)×W</w:t>
      </w:r>
      <w:r>
        <w:rPr>
          <w:rFonts w:ascii="Times New Roman" w:hAnsi="Times New Roman"/>
          <w:szCs w:val="24"/>
        </w:rPr>
        <w:sym w:font="Symbol" w:char="F0B0"/>
      </w:r>
      <w:r>
        <w:rPr>
          <w:rFonts w:ascii="Times New Roman" w:hAnsi="Times New Roman"/>
          <w:szCs w:val="24"/>
        </w:rPr>
        <w:t>(x)×sin</w:t>
      </w:r>
      <w:r>
        <w:rPr>
          <w:rFonts w:ascii="Times New Roman" w:hAnsi="Times New Roman"/>
          <w:position w:val="-10"/>
          <w:szCs w:val="24"/>
        </w:rPr>
        <w:object>
          <v:shape id="_x0000_i1059"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59" DrawAspect="Content" ObjectID="_1468075760" r:id="rId145">
            <o:LockedField>false</o:LockedField>
          </o:OLEObject>
        </w:object>
      </w:r>
      <w:r>
        <w:rPr>
          <w:rFonts w:ascii="Times New Roman" w:hAnsi="Times New Roman"/>
          <w:szCs w:val="24"/>
        </w:rPr>
        <w:t>]</w:t>
      </w:r>
    </w:p>
    <w:p>
      <w:pPr>
        <w:adjustRightInd w:val="0"/>
        <w:snapToGrid w:val="0"/>
        <w:ind w:firstLine="482"/>
        <w:jc w:val="left"/>
        <w:rPr>
          <w:rFonts w:ascii="Times New Roman" w:hAnsi="Times New Roman"/>
          <w:szCs w:val="24"/>
        </w:rPr>
      </w:pPr>
      <w:r>
        <w:rPr>
          <w:rFonts w:hint="eastAsia" w:cs="宋体"/>
          <w:szCs w:val="24"/>
        </w:rPr>
        <w:t>⑤</w:t>
      </w:r>
      <w:r>
        <w:rPr>
          <w:rFonts w:ascii="Times New Roman" w:hAnsi="Times New Roman"/>
          <w:szCs w:val="24"/>
        </w:rPr>
        <w:t xml:space="preserve"> 沿φ方向的水平变形ε(x，y，</w:t>
      </w:r>
      <w:r>
        <w:rPr>
          <w:rFonts w:ascii="Times New Roman" w:hAnsi="Times New Roman"/>
          <w:position w:val="-10"/>
          <w:szCs w:val="24"/>
        </w:rPr>
        <w:object>
          <v:shape id="_x0000_i1060"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60" DrawAspect="Content" ObjectID="_1468075761" r:id="rId146">
            <o:LockedField>false</o:LockedField>
          </o:OLEObject>
        </w:object>
      </w:r>
      <w:r>
        <w:rPr>
          <w:rFonts w:ascii="Times New Roman" w:hAnsi="Times New Roman"/>
          <w:szCs w:val="24"/>
        </w:rPr>
        <w:t>)</w:t>
      </w:r>
    </w:p>
    <w:p>
      <w:pPr>
        <w:adjustRightInd w:val="0"/>
        <w:snapToGrid w:val="0"/>
        <w:ind w:firstLine="480" w:firstLineChars="200"/>
        <w:rPr>
          <w:rFonts w:ascii="Times New Roman" w:hAnsi="Times New Roman"/>
          <w:szCs w:val="24"/>
        </w:rPr>
      </w:pPr>
      <w:r>
        <w:rPr>
          <w:rFonts w:ascii="Times New Roman" w:hAnsi="Times New Roman"/>
          <w:szCs w:val="24"/>
        </w:rPr>
        <w:t>ε(x，y，</w:t>
      </w:r>
      <w:r>
        <w:rPr>
          <w:rFonts w:ascii="Times New Roman" w:hAnsi="Times New Roman"/>
          <w:position w:val="-10"/>
          <w:szCs w:val="24"/>
        </w:rPr>
        <w:object>
          <v:shape id="_x0000_i1061"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61" DrawAspect="Content" ObjectID="_1468075762" r:id="rId147">
            <o:LockedField>false</o:LockedField>
          </o:OLEObject>
        </w:object>
      </w:r>
      <w:r>
        <w:rPr>
          <w:rFonts w:ascii="Times New Roman" w:hAnsi="Times New Roman"/>
          <w:szCs w:val="24"/>
        </w:rPr>
        <w:t>)＝</w:t>
      </w:r>
      <w:r>
        <w:rPr>
          <w:rFonts w:ascii="Times New Roman" w:hAnsi="Times New Roman"/>
          <w:position w:val="-30"/>
          <w:szCs w:val="24"/>
        </w:rPr>
        <w:object>
          <v:shape id="_x0000_i1062" o:spt="75" type="#_x0000_t75" style="height:37.05pt;width:18.2pt;" o:ole="t" filled="f" o:preferrelative="t" stroked="f" coordsize="21600,21600">
            <v:path/>
            <v:fill on="f" focussize="0,0"/>
            <v:stroke on="f" joinstyle="miter"/>
            <v:imagedata r:id="rId114" o:title=""/>
            <o:lock v:ext="edit" aspectratio="t"/>
            <w10:wrap type="none"/>
            <w10:anchorlock/>
          </v:shape>
          <o:OLEObject Type="Embed" ProgID="Equation.2" ShapeID="_x0000_i1062" DrawAspect="Content" ObjectID="_1468075763" r:id="rId148">
            <o:LockedField>false</o:LockedField>
          </o:OLEObject>
        </w:object>
      </w:r>
      <w:r>
        <w:rPr>
          <w:rFonts w:ascii="Times New Roman" w:hAnsi="Times New Roman"/>
          <w:szCs w:val="24"/>
        </w:rPr>
        <w:t>{</w:t>
      </w:r>
      <w:r>
        <w:rPr>
          <w:rFonts w:ascii="Times New Roman" w:hAnsi="Times New Roman"/>
          <w:szCs w:val="24"/>
        </w:rPr>
        <w:sym w:font="Symbol" w:char="F065"/>
      </w:r>
      <w:r>
        <w:rPr>
          <w:rFonts w:ascii="Times New Roman" w:hAnsi="Times New Roman"/>
          <w:szCs w:val="24"/>
        </w:rPr>
        <w:sym w:font="Symbol" w:char="F0B0"/>
      </w:r>
      <w:r>
        <w:rPr>
          <w:rFonts w:ascii="Times New Roman" w:hAnsi="Times New Roman"/>
          <w:szCs w:val="24"/>
        </w:rPr>
        <w:t>(x)×W</w:t>
      </w:r>
      <w:r>
        <w:rPr>
          <w:rFonts w:ascii="Times New Roman" w:hAnsi="Times New Roman"/>
          <w:szCs w:val="24"/>
        </w:rPr>
        <w:sym w:font="Symbol" w:char="F0B0"/>
      </w:r>
      <w:r>
        <w:rPr>
          <w:rFonts w:ascii="Times New Roman" w:hAnsi="Times New Roman"/>
          <w:szCs w:val="24"/>
        </w:rPr>
        <w:t>(y)×cos</w:t>
      </w:r>
      <w:r>
        <w:rPr>
          <w:rFonts w:ascii="Times New Roman" w:hAnsi="Times New Roman"/>
          <w:szCs w:val="24"/>
          <w:vertAlign w:val="superscript"/>
        </w:rPr>
        <w:t>2</w:t>
      </w:r>
      <w:r>
        <w:rPr>
          <w:rFonts w:ascii="Times New Roman" w:hAnsi="Times New Roman"/>
          <w:position w:val="-10"/>
          <w:szCs w:val="24"/>
        </w:rPr>
        <w:object>
          <v:shape id="_x0000_i1063"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63" DrawAspect="Content" ObjectID="_1468075764" r:id="rId149">
            <o:LockedField>false</o:LockedField>
          </o:OLEObject>
        </w:object>
      </w:r>
      <w:r>
        <w:rPr>
          <w:rFonts w:ascii="Times New Roman" w:hAnsi="Times New Roman"/>
          <w:szCs w:val="24"/>
        </w:rPr>
        <w:t>＋ε</w:t>
      </w:r>
      <w:r>
        <w:rPr>
          <w:rFonts w:ascii="Times New Roman" w:hAnsi="Times New Roman"/>
          <w:szCs w:val="24"/>
        </w:rPr>
        <w:sym w:font="Symbol" w:char="F0B0"/>
      </w:r>
      <w:r>
        <w:rPr>
          <w:rFonts w:ascii="Times New Roman" w:hAnsi="Times New Roman"/>
          <w:szCs w:val="24"/>
        </w:rPr>
        <w:t>(y)×W</w:t>
      </w:r>
      <w:r>
        <w:rPr>
          <w:rFonts w:ascii="Times New Roman" w:hAnsi="Times New Roman"/>
          <w:szCs w:val="24"/>
        </w:rPr>
        <w:sym w:font="Symbol" w:char="F0B0"/>
      </w:r>
      <w:r>
        <w:rPr>
          <w:rFonts w:ascii="Times New Roman" w:hAnsi="Times New Roman"/>
          <w:szCs w:val="24"/>
        </w:rPr>
        <w:t>(x)×sin</w:t>
      </w:r>
      <w:r>
        <w:rPr>
          <w:rFonts w:ascii="Times New Roman" w:hAnsi="Times New Roman"/>
          <w:szCs w:val="24"/>
          <w:vertAlign w:val="superscript"/>
        </w:rPr>
        <w:t>2</w:t>
      </w:r>
      <w:r>
        <w:rPr>
          <w:rFonts w:ascii="Times New Roman" w:hAnsi="Times New Roman"/>
          <w:position w:val="-10"/>
          <w:szCs w:val="24"/>
        </w:rPr>
        <w:object>
          <v:shape id="_x0000_i1064"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64" DrawAspect="Content" ObjectID="_1468075765" r:id="rId150">
            <o:LockedField>false</o:LockedField>
          </o:OLEObject>
        </w:object>
      </w:r>
      <w:r>
        <w:rPr>
          <w:rFonts w:ascii="Times New Roman" w:hAnsi="Times New Roman"/>
          <w:szCs w:val="24"/>
        </w:rPr>
        <w:t>＋[U</w:t>
      </w:r>
      <w:r>
        <w:rPr>
          <w:rFonts w:ascii="Times New Roman" w:hAnsi="Times New Roman"/>
          <w:szCs w:val="24"/>
        </w:rPr>
        <w:sym w:font="Symbol" w:char="F0B0"/>
      </w:r>
      <w:r>
        <w:rPr>
          <w:rFonts w:ascii="Times New Roman" w:hAnsi="Times New Roman"/>
          <w:szCs w:val="24"/>
        </w:rPr>
        <w:t>(x)×i</w:t>
      </w:r>
      <w:r>
        <w:rPr>
          <w:rFonts w:ascii="Times New Roman" w:hAnsi="Times New Roman"/>
          <w:szCs w:val="24"/>
        </w:rPr>
        <w:sym w:font="Symbol" w:char="F0B0"/>
      </w:r>
      <w:r>
        <w:rPr>
          <w:rFonts w:ascii="Times New Roman" w:hAnsi="Times New Roman"/>
          <w:szCs w:val="24"/>
        </w:rPr>
        <w:t>(y)＋i</w:t>
      </w:r>
      <w:r>
        <w:rPr>
          <w:rFonts w:ascii="Times New Roman" w:hAnsi="Times New Roman"/>
          <w:szCs w:val="24"/>
        </w:rPr>
        <w:sym w:font="Symbol" w:char="F0B0"/>
      </w:r>
      <w:r>
        <w:rPr>
          <w:rFonts w:ascii="Times New Roman" w:hAnsi="Times New Roman"/>
          <w:szCs w:val="24"/>
        </w:rPr>
        <w:t>(x)×U</w:t>
      </w:r>
      <w:r>
        <w:rPr>
          <w:rFonts w:ascii="Times New Roman" w:hAnsi="Times New Roman"/>
          <w:szCs w:val="24"/>
        </w:rPr>
        <w:sym w:font="Symbol" w:char="F0B0"/>
      </w:r>
      <w:r>
        <w:rPr>
          <w:rFonts w:ascii="Times New Roman" w:hAnsi="Times New Roman"/>
          <w:szCs w:val="24"/>
        </w:rPr>
        <w:t>(y)]×sin</w:t>
      </w:r>
      <w:r>
        <w:rPr>
          <w:rFonts w:ascii="Times New Roman" w:hAnsi="Times New Roman"/>
          <w:position w:val="-10"/>
          <w:szCs w:val="24"/>
        </w:rPr>
        <w:object>
          <v:shape id="_x0000_i1065"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65" DrawAspect="Content" ObjectID="_1468075766" r:id="rId151">
            <o:LockedField>false</o:LockedField>
          </o:OLEObject>
        </w:object>
      </w:r>
      <w:r>
        <w:rPr>
          <w:rFonts w:ascii="Times New Roman" w:hAnsi="Times New Roman"/>
          <w:szCs w:val="24"/>
        </w:rPr>
        <w:t>cos</w:t>
      </w:r>
      <w:r>
        <w:rPr>
          <w:rFonts w:ascii="Times New Roman" w:hAnsi="Times New Roman"/>
          <w:position w:val="-10"/>
          <w:szCs w:val="24"/>
        </w:rPr>
        <w:object>
          <v:shape id="_x0000_i1066" o:spt="75" type="#_x0000_t75" style="height:11.4pt;width:11.4pt;" o:ole="t" filled="f" o:preferrelative="t" stroked="f" coordsize="21600,21600">
            <v:path/>
            <v:fill on="f" focussize="0,0"/>
            <v:stroke on="f" joinstyle="miter"/>
            <v:imagedata r:id="rId116" o:title=""/>
            <o:lock v:ext="edit" aspectratio="t"/>
            <w10:wrap type="none"/>
            <w10:anchorlock/>
          </v:shape>
          <o:OLEObject Type="Embed" ProgID="Equation.3" ShapeID="_x0000_i1066" DrawAspect="Content" ObjectID="_1468075767" r:id="rId152">
            <o:LockedField>false</o:LockedField>
          </o:OLEObject>
        </w:object>
      </w:r>
      <w:r>
        <w:rPr>
          <w:rFonts w:ascii="Times New Roman" w:hAnsi="Times New Roman"/>
          <w:szCs w:val="24"/>
        </w:rPr>
        <w:t>}</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（2）最大值预计</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在充分采动时：</w:t>
      </w:r>
    </w:p>
    <w:p>
      <w:pPr>
        <w:autoSpaceDE w:val="0"/>
        <w:autoSpaceDN w:val="0"/>
        <w:adjustRightInd w:val="0"/>
        <w:snapToGrid w:val="0"/>
        <w:spacing w:line="440" w:lineRule="exact"/>
        <w:ind w:firstLine="480" w:firstLineChars="200"/>
        <w:jc w:val="left"/>
        <w:textAlignment w:val="baseline"/>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1 \* GB3 </w:instrText>
      </w:r>
      <w:r>
        <w:rPr>
          <w:rFonts w:ascii="Times New Roman" w:hAnsi="Times New Roman"/>
          <w:szCs w:val="24"/>
        </w:rPr>
        <w:fldChar w:fldCharType="separate"/>
      </w:r>
      <w:r>
        <w:rPr>
          <w:rFonts w:hint="eastAsia" w:cs="宋体"/>
          <w:szCs w:val="24"/>
        </w:rPr>
        <w:t>①</w:t>
      </w:r>
      <w:r>
        <w:rPr>
          <w:rFonts w:ascii="Times New Roman" w:hAnsi="Times New Roman"/>
          <w:szCs w:val="24"/>
        </w:rPr>
        <w:fldChar w:fldCharType="end"/>
      </w:r>
      <w:r>
        <w:rPr>
          <w:rFonts w:ascii="Times New Roman" w:hAnsi="Times New Roman"/>
          <w:szCs w:val="24"/>
        </w:rPr>
        <w:t xml:space="preserve"> 地表最大下沉值，W。＝mqcosα</w:t>
      </w:r>
    </w:p>
    <w:p>
      <w:pPr>
        <w:autoSpaceDE w:val="0"/>
        <w:autoSpaceDN w:val="0"/>
        <w:adjustRightInd w:val="0"/>
        <w:snapToGrid w:val="0"/>
        <w:spacing w:line="440" w:lineRule="exact"/>
        <w:ind w:firstLine="480" w:firstLineChars="200"/>
        <w:jc w:val="left"/>
        <w:textAlignment w:val="baseline"/>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2 \* GB3 </w:instrText>
      </w:r>
      <w:r>
        <w:rPr>
          <w:rFonts w:ascii="Times New Roman" w:hAnsi="Times New Roman"/>
          <w:szCs w:val="24"/>
        </w:rPr>
        <w:fldChar w:fldCharType="separate"/>
      </w:r>
      <w:r>
        <w:rPr>
          <w:rFonts w:hint="eastAsia" w:cs="宋体"/>
          <w:szCs w:val="24"/>
        </w:rPr>
        <w:t>②</w:t>
      </w:r>
      <w:r>
        <w:rPr>
          <w:rFonts w:ascii="Times New Roman" w:hAnsi="Times New Roman"/>
          <w:szCs w:val="24"/>
        </w:rPr>
        <w:fldChar w:fldCharType="end"/>
      </w:r>
      <w:r>
        <w:rPr>
          <w:rFonts w:ascii="Times New Roman" w:hAnsi="Times New Roman"/>
          <w:szCs w:val="24"/>
        </w:rPr>
        <w:t xml:space="preserve"> 最大倾斜值，i。＝W。/r </w:t>
      </w:r>
    </w:p>
    <w:p>
      <w:pPr>
        <w:autoSpaceDE w:val="0"/>
        <w:autoSpaceDN w:val="0"/>
        <w:adjustRightInd w:val="0"/>
        <w:snapToGrid w:val="0"/>
        <w:spacing w:line="440" w:lineRule="exact"/>
        <w:ind w:firstLine="480"/>
        <w:textAlignment w:val="baseline"/>
        <w:rPr>
          <w:rFonts w:ascii="Times New Roman" w:hAnsi="Times New Roman"/>
          <w:szCs w:val="24"/>
        </w:rPr>
      </w:pPr>
      <w:r>
        <w:rPr>
          <w:rFonts w:hint="eastAsia" w:cs="宋体"/>
          <w:szCs w:val="24"/>
        </w:rPr>
        <w:t>③</w:t>
      </w:r>
      <w:r>
        <w:rPr>
          <w:rFonts w:ascii="Times New Roman" w:hAnsi="Times New Roman"/>
          <w:szCs w:val="24"/>
        </w:rPr>
        <w:t xml:space="preserve"> 最大曲率值</w:t>
      </w:r>
      <w:r>
        <w:rPr>
          <w:rFonts w:ascii="Times New Roman" w:hAnsi="Times New Roman"/>
          <w:position w:val="-24"/>
          <w:szCs w:val="24"/>
        </w:rPr>
        <w:drawing>
          <wp:inline distT="0" distB="0" distL="0" distR="0">
            <wp:extent cx="929640" cy="403860"/>
            <wp:effectExtent l="0" t="0" r="0" b="158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a:xfrm>
                      <a:off x="0" y="0"/>
                      <a:ext cx="929640" cy="403860"/>
                    </a:xfrm>
                    <a:prstGeom prst="rect">
                      <a:avLst/>
                    </a:prstGeom>
                    <a:noFill/>
                    <a:ln>
                      <a:noFill/>
                    </a:ln>
                  </pic:spPr>
                </pic:pic>
              </a:graphicData>
            </a:graphic>
          </wp:inline>
        </w:drawing>
      </w:r>
    </w:p>
    <w:p>
      <w:pPr>
        <w:autoSpaceDE w:val="0"/>
        <w:autoSpaceDN w:val="0"/>
        <w:adjustRightInd w:val="0"/>
        <w:snapToGrid w:val="0"/>
        <w:spacing w:line="440" w:lineRule="exact"/>
        <w:ind w:firstLine="480"/>
        <w:textAlignment w:val="baseline"/>
        <w:rPr>
          <w:rFonts w:ascii="Times New Roman" w:hAnsi="Times New Roman"/>
          <w:szCs w:val="24"/>
        </w:rPr>
      </w:pPr>
      <w:r>
        <w:rPr>
          <w:rFonts w:hint="eastAsia" w:cs="宋体"/>
          <w:szCs w:val="24"/>
        </w:rPr>
        <w:t>④</w:t>
      </w:r>
      <w:r>
        <w:rPr>
          <w:rFonts w:ascii="Times New Roman" w:hAnsi="Times New Roman"/>
          <w:szCs w:val="24"/>
        </w:rPr>
        <w:t xml:space="preserve"> 最大水平移动   U。＝bW</w:t>
      </w:r>
    </w:p>
    <w:p>
      <w:pPr>
        <w:adjustRightInd w:val="0"/>
        <w:snapToGrid w:val="0"/>
        <w:spacing w:line="440" w:lineRule="exact"/>
        <w:ind w:firstLine="480" w:firstLineChars="200"/>
        <w:rPr>
          <w:rFonts w:ascii="Times New Roman" w:hAnsi="Times New Roman"/>
          <w:szCs w:val="24"/>
        </w:rPr>
      </w:pPr>
      <w:r>
        <w:rPr>
          <w:rFonts w:hint="eastAsia" w:cs="宋体"/>
          <w:szCs w:val="24"/>
        </w:rPr>
        <w:t>⑤</w:t>
      </w:r>
      <w:r>
        <w:rPr>
          <w:rFonts w:ascii="Times New Roman" w:hAnsi="Times New Roman"/>
          <w:szCs w:val="24"/>
        </w:rPr>
        <w:t xml:space="preserve"> 最大水平变形值</w:t>
      </w:r>
      <w:r>
        <w:rPr>
          <w:rFonts w:ascii="Times New Roman" w:hAnsi="Times New Roman"/>
          <w:position w:val="-12"/>
          <w:szCs w:val="24"/>
        </w:rPr>
        <w:drawing>
          <wp:inline distT="0" distB="0" distL="0" distR="0">
            <wp:extent cx="1127760" cy="228600"/>
            <wp:effectExtent l="0" t="0" r="0" b="0"/>
            <wp:docPr id="521"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图片 52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a:xfrm>
                      <a:off x="0" y="0"/>
                      <a:ext cx="1127760" cy="228600"/>
                    </a:xfrm>
                    <a:prstGeom prst="rect">
                      <a:avLst/>
                    </a:prstGeom>
                    <a:noFill/>
                    <a:ln>
                      <a:noFill/>
                    </a:ln>
                  </pic:spPr>
                </pic:pic>
              </a:graphicData>
            </a:graphic>
          </wp:inline>
        </w:drawing>
      </w:r>
    </w:p>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5.1.3.2参数选取</w:t>
      </w:r>
    </w:p>
    <w:p>
      <w:pPr>
        <w:adjustRightInd w:val="0"/>
        <w:snapToGrid w:val="0"/>
        <w:spacing w:line="440" w:lineRule="exact"/>
        <w:ind w:firstLine="480" w:firstLineChars="200"/>
        <w:jc w:val="left"/>
        <w:rPr>
          <w:rFonts w:ascii="Times New Roman" w:hAnsi="Times New Roman"/>
          <w:szCs w:val="24"/>
        </w:rPr>
      </w:pPr>
      <w:r>
        <w:rPr>
          <w:rFonts w:ascii="Times New Roman" w:hAnsi="Times New Roman"/>
          <w:szCs w:val="24"/>
        </w:rPr>
        <w:t>地表移动变形计算的主要输入参数有下沉系数q、主要影响角正切tanβ、水平移动系数b、拐点移动距S及影响传播角θ。这些参数的取值主要与煤层开采方法、顶板管理方法、上覆岩层性质、重复采动次数以及采深采厚比等因素有关。纳林希里矿区内无生产矿井，未开展过地表岩移观测，因此本次地表沉陷预测根据《建筑物、水体、铁路及主要井巷煤柱留设与压煤开采规范》及本矿区所在区域地质情况（矿区内煤层顶板岩性大多为以粉砂岩、砂岩、泥岩），最终确定的沉陷预测参数。见表5.1-2。</w:t>
      </w:r>
    </w:p>
    <w:p>
      <w:pPr>
        <w:tabs>
          <w:tab w:val="left" w:pos="6840"/>
        </w:tabs>
        <w:topLinePunct/>
        <w:adjustRightInd w:val="0"/>
        <w:snapToGrid w:val="0"/>
        <w:spacing w:line="440" w:lineRule="exact"/>
        <w:jc w:val="center"/>
        <w:rPr>
          <w:rFonts w:ascii="Times New Roman" w:hAnsi="Times New Roman"/>
          <w:b/>
          <w:kern w:val="0"/>
          <w:szCs w:val="24"/>
        </w:rPr>
      </w:pPr>
    </w:p>
    <w:p>
      <w:pPr>
        <w:tabs>
          <w:tab w:val="left" w:pos="6840"/>
        </w:tabs>
        <w:topLinePunct/>
        <w:adjustRightInd w:val="0"/>
        <w:snapToGrid w:val="0"/>
        <w:spacing w:line="440" w:lineRule="exact"/>
        <w:jc w:val="center"/>
        <w:rPr>
          <w:rFonts w:ascii="Times New Roman" w:hAnsi="Times New Roman"/>
          <w:b/>
          <w:kern w:val="0"/>
          <w:szCs w:val="24"/>
        </w:rPr>
      </w:pPr>
      <w:r>
        <w:rPr>
          <w:rFonts w:ascii="Times New Roman" w:hAnsi="Times New Roman"/>
          <w:b/>
          <w:kern w:val="0"/>
          <w:szCs w:val="24"/>
        </w:rPr>
        <w:t>地表移动变形预计参数</w:t>
      </w:r>
    </w:p>
    <w:p>
      <w:pPr>
        <w:widowControl/>
        <w:adjustRightInd w:val="0"/>
        <w:snapToGrid w:val="0"/>
        <w:spacing w:line="440" w:lineRule="exact"/>
        <w:outlineLvl w:val="4"/>
        <w:rPr>
          <w:rFonts w:ascii="Times New Roman" w:hAnsi="Times New Roman"/>
          <w:kern w:val="0"/>
          <w:szCs w:val="24"/>
        </w:rPr>
      </w:pPr>
      <w:r>
        <w:rPr>
          <w:rFonts w:ascii="Times New Roman" w:hAnsi="Times New Roman"/>
          <w:kern w:val="0"/>
          <w:szCs w:val="24"/>
        </w:rPr>
        <w:t>表5.1-2</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7"/>
        <w:gridCol w:w="1789"/>
        <w:gridCol w:w="1090"/>
        <w:gridCol w:w="1126"/>
        <w:gridCol w:w="1772"/>
        <w:gridCol w:w="2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67"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序号</w:t>
            </w:r>
          </w:p>
        </w:tc>
        <w:tc>
          <w:tcPr>
            <w:tcW w:w="1789"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参数</w:t>
            </w:r>
          </w:p>
        </w:tc>
        <w:tc>
          <w:tcPr>
            <w:tcW w:w="1090"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符号</w:t>
            </w:r>
          </w:p>
        </w:tc>
        <w:tc>
          <w:tcPr>
            <w:tcW w:w="1126"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单位</w:t>
            </w:r>
          </w:p>
        </w:tc>
        <w:tc>
          <w:tcPr>
            <w:tcW w:w="1772"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参数值</w:t>
            </w:r>
          </w:p>
        </w:tc>
        <w:tc>
          <w:tcPr>
            <w:tcW w:w="2643"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67"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1</w:t>
            </w:r>
          </w:p>
        </w:tc>
        <w:tc>
          <w:tcPr>
            <w:tcW w:w="1789"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下沉系数</w:t>
            </w:r>
          </w:p>
        </w:tc>
        <w:tc>
          <w:tcPr>
            <w:tcW w:w="1090"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q</w:t>
            </w:r>
          </w:p>
        </w:tc>
        <w:tc>
          <w:tcPr>
            <w:tcW w:w="1126"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w:t>
            </w:r>
          </w:p>
        </w:tc>
        <w:tc>
          <w:tcPr>
            <w:tcW w:w="1772"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0.72</w:t>
            </w:r>
          </w:p>
        </w:tc>
        <w:tc>
          <w:tcPr>
            <w:tcW w:w="2643"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sz w:val="21"/>
                <w:szCs w:val="21"/>
              </w:rPr>
              <w:t>重复采动为0.8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67"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2</w:t>
            </w:r>
          </w:p>
        </w:tc>
        <w:tc>
          <w:tcPr>
            <w:tcW w:w="1789"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主要影响正切</w:t>
            </w:r>
          </w:p>
        </w:tc>
        <w:tc>
          <w:tcPr>
            <w:tcW w:w="1090"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i/>
                <w:iCs/>
                <w:kern w:val="0"/>
                <w:sz w:val="21"/>
                <w:szCs w:val="21"/>
              </w:rPr>
            </w:pPr>
            <w:r>
              <w:rPr>
                <w:rFonts w:ascii="Times New Roman" w:hAnsi="Times New Roman"/>
                <w:i/>
                <w:iCs/>
                <w:kern w:val="0"/>
                <w:sz w:val="21"/>
                <w:szCs w:val="21"/>
              </w:rPr>
              <w:t>tanβ</w:t>
            </w:r>
          </w:p>
        </w:tc>
        <w:tc>
          <w:tcPr>
            <w:tcW w:w="1126"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w:t>
            </w:r>
          </w:p>
        </w:tc>
        <w:tc>
          <w:tcPr>
            <w:tcW w:w="1772"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2.33</w:t>
            </w:r>
          </w:p>
        </w:tc>
        <w:tc>
          <w:tcPr>
            <w:tcW w:w="2643"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重复采动为2.41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67"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3</w:t>
            </w:r>
          </w:p>
        </w:tc>
        <w:tc>
          <w:tcPr>
            <w:tcW w:w="1789"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水平移动系数</w:t>
            </w:r>
          </w:p>
        </w:tc>
        <w:tc>
          <w:tcPr>
            <w:tcW w:w="1090"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i/>
                <w:iCs/>
                <w:kern w:val="0"/>
                <w:sz w:val="21"/>
                <w:szCs w:val="21"/>
              </w:rPr>
            </w:pPr>
            <w:r>
              <w:rPr>
                <w:rFonts w:ascii="Times New Roman" w:hAnsi="Times New Roman"/>
                <w:i/>
                <w:iCs/>
                <w:kern w:val="0"/>
                <w:sz w:val="21"/>
                <w:szCs w:val="21"/>
              </w:rPr>
              <w:t>b</w:t>
            </w:r>
          </w:p>
        </w:tc>
        <w:tc>
          <w:tcPr>
            <w:tcW w:w="1126"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w:t>
            </w:r>
          </w:p>
        </w:tc>
        <w:tc>
          <w:tcPr>
            <w:tcW w:w="1772"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0.3</w:t>
            </w:r>
          </w:p>
        </w:tc>
        <w:tc>
          <w:tcPr>
            <w:tcW w:w="2643"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67"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4</w:t>
            </w:r>
          </w:p>
        </w:tc>
        <w:tc>
          <w:tcPr>
            <w:tcW w:w="1789"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拐点偏移距</w:t>
            </w:r>
          </w:p>
        </w:tc>
        <w:tc>
          <w:tcPr>
            <w:tcW w:w="1090"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i/>
                <w:iCs/>
                <w:kern w:val="0"/>
                <w:sz w:val="21"/>
                <w:szCs w:val="21"/>
              </w:rPr>
            </w:pPr>
            <w:r>
              <w:rPr>
                <w:rFonts w:ascii="Times New Roman" w:hAnsi="Times New Roman"/>
                <w:i/>
                <w:iCs/>
                <w:kern w:val="0"/>
                <w:sz w:val="21"/>
                <w:szCs w:val="21"/>
              </w:rPr>
              <w:t>S</w:t>
            </w:r>
          </w:p>
        </w:tc>
        <w:tc>
          <w:tcPr>
            <w:tcW w:w="1126"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m</w:t>
            </w:r>
          </w:p>
        </w:tc>
        <w:tc>
          <w:tcPr>
            <w:tcW w:w="1772" w:type="dxa"/>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0.15H</w:t>
            </w:r>
          </w:p>
        </w:tc>
        <w:tc>
          <w:tcPr>
            <w:tcW w:w="2643"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67"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5</w:t>
            </w:r>
          </w:p>
        </w:tc>
        <w:tc>
          <w:tcPr>
            <w:tcW w:w="1789"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影响传播角</w:t>
            </w:r>
          </w:p>
        </w:tc>
        <w:tc>
          <w:tcPr>
            <w:tcW w:w="1090"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i/>
                <w:iCs/>
                <w:kern w:val="0"/>
                <w:sz w:val="21"/>
                <w:szCs w:val="21"/>
              </w:rPr>
            </w:pPr>
            <w:r>
              <w:rPr>
                <w:rFonts w:ascii="Times New Roman" w:hAnsi="Times New Roman"/>
                <w:i/>
                <w:iCs/>
                <w:kern w:val="0"/>
                <w:sz w:val="21"/>
                <w:szCs w:val="21"/>
              </w:rPr>
              <w:t>θ</w:t>
            </w:r>
          </w:p>
        </w:tc>
        <w:tc>
          <w:tcPr>
            <w:tcW w:w="1126"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deg</w:t>
            </w:r>
          </w:p>
        </w:tc>
        <w:tc>
          <w:tcPr>
            <w:tcW w:w="1772"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90－0.68a</w:t>
            </w:r>
          </w:p>
        </w:tc>
        <w:tc>
          <w:tcPr>
            <w:tcW w:w="2643" w:type="dxa"/>
            <w:tcBorders>
              <w:top w:val="single" w:color="auto" w:sz="4" w:space="0"/>
              <w:left w:val="single" w:color="auto" w:sz="4" w:space="0"/>
              <w:right w:val="single" w:color="auto" w:sz="4" w:space="0"/>
            </w:tcBorders>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a为煤层倾角</w:t>
            </w:r>
          </w:p>
        </w:tc>
      </w:tr>
    </w:tbl>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5.1.3.3 地表变形预测结果</w:t>
      </w:r>
    </w:p>
    <w:p>
      <w:pPr>
        <w:spacing w:line="440" w:lineRule="exact"/>
        <w:ind w:firstLine="480" w:firstLineChars="200"/>
        <w:jc w:val="left"/>
        <w:rPr>
          <w:rFonts w:ascii="Times New Roman" w:hAnsi="Times New Roman"/>
        </w:rPr>
      </w:pPr>
      <w:r>
        <w:rPr>
          <w:rFonts w:ascii="Times New Roman" w:hAnsi="Times New Roman"/>
        </w:rPr>
        <w:t>（1）典型矿地表变形预测结果</w:t>
      </w:r>
    </w:p>
    <w:p>
      <w:pPr>
        <w:spacing w:line="440" w:lineRule="exact"/>
        <w:ind w:firstLine="480" w:firstLineChars="200"/>
        <w:jc w:val="left"/>
        <w:rPr>
          <w:rFonts w:ascii="Times New Roman" w:hAnsi="Times New Roman"/>
        </w:rPr>
      </w:pPr>
      <w:r>
        <w:rPr>
          <w:rFonts w:ascii="Times New Roman" w:hAnsi="Times New Roman"/>
        </w:rPr>
        <w:t>根据上述参数，结合井田煤层赋存情况及开拓布置，选取的典型矿地表移动变形预测结果见表5.1-3。</w:t>
      </w:r>
    </w:p>
    <w:p>
      <w:pPr>
        <w:adjustRightInd w:val="0"/>
        <w:snapToGrid w:val="0"/>
        <w:spacing w:line="440" w:lineRule="exact"/>
        <w:jc w:val="center"/>
        <w:rPr>
          <w:rFonts w:ascii="Times New Roman" w:hAnsi="Times New Roman"/>
          <w:b/>
        </w:rPr>
      </w:pPr>
      <w:r>
        <w:rPr>
          <w:rFonts w:ascii="Times New Roman" w:hAnsi="Times New Roman"/>
          <w:b/>
        </w:rPr>
        <w:t>典型矿地表下沉最大值表</w:t>
      </w:r>
    </w:p>
    <w:p>
      <w:pPr>
        <w:widowControl/>
        <w:adjustRightInd w:val="0"/>
        <w:snapToGrid w:val="0"/>
        <w:spacing w:line="440" w:lineRule="exact"/>
        <w:outlineLvl w:val="4"/>
        <w:rPr>
          <w:rFonts w:ascii="Times New Roman" w:hAnsi="Times New Roman" w:eastAsiaTheme="minorEastAsia"/>
          <w:kern w:val="0"/>
        </w:rPr>
      </w:pPr>
      <w:r>
        <w:rPr>
          <w:rFonts w:ascii="Times New Roman" w:hAnsi="Times New Roman" w:eastAsiaTheme="minorEastAsia"/>
          <w:kern w:val="0"/>
        </w:rPr>
        <w:t>表5.1-3</w:t>
      </w:r>
    </w:p>
    <w:tbl>
      <w:tblPr>
        <w:tblStyle w:val="59"/>
        <w:tblW w:w="9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516"/>
        <w:gridCol w:w="946"/>
        <w:gridCol w:w="966"/>
        <w:gridCol w:w="1168"/>
        <w:gridCol w:w="874"/>
        <w:gridCol w:w="827"/>
        <w:gridCol w:w="1038"/>
        <w:gridCol w:w="928"/>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1516"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矿井名称</w:t>
            </w:r>
          </w:p>
        </w:tc>
        <w:tc>
          <w:tcPr>
            <w:tcW w:w="946"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可采煤层数</w:t>
            </w:r>
          </w:p>
        </w:tc>
        <w:tc>
          <w:tcPr>
            <w:tcW w:w="966"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最大沉陷影响半径（m）</w:t>
            </w:r>
          </w:p>
        </w:tc>
        <w:tc>
          <w:tcPr>
            <w:tcW w:w="116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下沉最大值（m）</w:t>
            </w:r>
          </w:p>
        </w:tc>
        <w:tc>
          <w:tcPr>
            <w:tcW w:w="874"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倾 斜</w:t>
            </w:r>
          </w:p>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(mm/m)</w:t>
            </w:r>
          </w:p>
        </w:tc>
        <w:tc>
          <w:tcPr>
            <w:tcW w:w="827"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曲 率</w:t>
            </w:r>
          </w:p>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(10</w:t>
            </w:r>
            <w:r>
              <w:rPr>
                <w:rFonts w:ascii="Times New Roman" w:hAnsi="Times New Roman"/>
                <w:kern w:val="0"/>
                <w:sz w:val="21"/>
                <w:szCs w:val="21"/>
                <w:vertAlign w:val="superscript"/>
              </w:rPr>
              <w:t>-3</w:t>
            </w:r>
            <w:r>
              <w:rPr>
                <w:rFonts w:ascii="Times New Roman" w:hAnsi="Times New Roman"/>
                <w:kern w:val="0"/>
                <w:sz w:val="21"/>
                <w:szCs w:val="21"/>
              </w:rPr>
              <w:t>/m)</w:t>
            </w:r>
          </w:p>
        </w:tc>
        <w:tc>
          <w:tcPr>
            <w:tcW w:w="103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水平移动</w:t>
            </w:r>
          </w:p>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（mm）</w:t>
            </w:r>
          </w:p>
        </w:tc>
        <w:tc>
          <w:tcPr>
            <w:tcW w:w="92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水平</w:t>
            </w:r>
          </w:p>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变形</w:t>
            </w:r>
          </w:p>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(mm/m)</w:t>
            </w:r>
          </w:p>
        </w:tc>
        <w:tc>
          <w:tcPr>
            <w:tcW w:w="922"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沉陷面积(km</w:t>
            </w:r>
            <w:r>
              <w:rPr>
                <w:rFonts w:ascii="Times New Roman" w:hAnsi="Times New Roman"/>
                <w:kern w:val="0"/>
                <w:sz w:val="21"/>
                <w:szCs w:val="21"/>
                <w:vertAlign w:val="superscript"/>
              </w:rPr>
              <w:t>2</w:t>
            </w: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1516"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苏布尔嘎井田</w:t>
            </w:r>
          </w:p>
        </w:tc>
        <w:tc>
          <w:tcPr>
            <w:tcW w:w="946"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10</w:t>
            </w:r>
          </w:p>
        </w:tc>
        <w:tc>
          <w:tcPr>
            <w:tcW w:w="966"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415</w:t>
            </w:r>
          </w:p>
        </w:tc>
        <w:tc>
          <w:tcPr>
            <w:tcW w:w="116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sz w:val="21"/>
                <w:szCs w:val="21"/>
              </w:rPr>
              <w:t>15</w:t>
            </w:r>
            <w:r>
              <w:rPr>
                <w:rFonts w:hint="eastAsia" w:ascii="Times New Roman" w:hAnsi="Times New Roman"/>
                <w:sz w:val="21"/>
                <w:szCs w:val="21"/>
              </w:rPr>
              <w:t>.</w:t>
            </w:r>
            <w:r>
              <w:rPr>
                <w:rFonts w:ascii="Times New Roman" w:hAnsi="Times New Roman"/>
                <w:sz w:val="21"/>
                <w:szCs w:val="21"/>
              </w:rPr>
              <w:t>19</w:t>
            </w:r>
          </w:p>
        </w:tc>
        <w:tc>
          <w:tcPr>
            <w:tcW w:w="874"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sz w:val="21"/>
                <w:szCs w:val="21"/>
              </w:rPr>
              <w:t>43.58</w:t>
            </w:r>
          </w:p>
        </w:tc>
        <w:tc>
          <w:tcPr>
            <w:tcW w:w="827"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sz w:val="21"/>
                <w:szCs w:val="21"/>
              </w:rPr>
              <w:t>0.19</w:t>
            </w:r>
          </w:p>
        </w:tc>
        <w:tc>
          <w:tcPr>
            <w:tcW w:w="103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sz w:val="21"/>
                <w:szCs w:val="21"/>
              </w:rPr>
              <w:t>4557.22</w:t>
            </w:r>
          </w:p>
        </w:tc>
        <w:tc>
          <w:tcPr>
            <w:tcW w:w="92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sz w:val="21"/>
                <w:szCs w:val="21"/>
              </w:rPr>
              <w:t>19.87</w:t>
            </w:r>
          </w:p>
        </w:tc>
        <w:tc>
          <w:tcPr>
            <w:tcW w:w="922"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75.68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1516"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奎腾沟井田</w:t>
            </w:r>
          </w:p>
        </w:tc>
        <w:tc>
          <w:tcPr>
            <w:tcW w:w="946"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1</w:t>
            </w:r>
            <w:r>
              <w:rPr>
                <w:rFonts w:ascii="Times New Roman" w:hAnsi="Times New Roman"/>
                <w:kern w:val="0"/>
                <w:sz w:val="21"/>
                <w:szCs w:val="21"/>
              </w:rPr>
              <w:t>4</w:t>
            </w:r>
          </w:p>
        </w:tc>
        <w:tc>
          <w:tcPr>
            <w:tcW w:w="966"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415</w:t>
            </w:r>
          </w:p>
        </w:tc>
        <w:tc>
          <w:tcPr>
            <w:tcW w:w="1168" w:type="dxa"/>
            <w:vAlign w:val="center"/>
          </w:tcPr>
          <w:p>
            <w:pPr>
              <w:widowControl/>
              <w:jc w:val="center"/>
              <w:rPr>
                <w:rFonts w:ascii="Times New Roman" w:hAnsi="Times New Roman"/>
                <w:sz w:val="21"/>
                <w:szCs w:val="21"/>
              </w:rPr>
            </w:pPr>
            <w:r>
              <w:rPr>
                <w:rFonts w:hint="eastAsia" w:ascii="Times New Roman" w:hAnsi="Times New Roman"/>
                <w:sz w:val="21"/>
                <w:szCs w:val="21"/>
              </w:rPr>
              <w:t>23</w:t>
            </w:r>
            <w:r>
              <w:rPr>
                <w:rFonts w:ascii="Times New Roman" w:hAnsi="Times New Roman"/>
                <w:sz w:val="21"/>
                <w:szCs w:val="21"/>
              </w:rPr>
              <w:t>.</w:t>
            </w:r>
            <w:r>
              <w:rPr>
                <w:rFonts w:hint="eastAsia" w:ascii="Times New Roman" w:hAnsi="Times New Roman"/>
                <w:sz w:val="21"/>
                <w:szCs w:val="21"/>
              </w:rPr>
              <w:t xml:space="preserve">04 </w:t>
            </w:r>
          </w:p>
        </w:tc>
        <w:tc>
          <w:tcPr>
            <w:tcW w:w="874"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53.42</w:t>
            </w:r>
          </w:p>
        </w:tc>
        <w:tc>
          <w:tcPr>
            <w:tcW w:w="827"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0.19</w:t>
            </w:r>
          </w:p>
        </w:tc>
        <w:tc>
          <w:tcPr>
            <w:tcW w:w="1038"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6715.91</w:t>
            </w:r>
          </w:p>
        </w:tc>
        <w:tc>
          <w:tcPr>
            <w:tcW w:w="928"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24.36</w:t>
            </w:r>
          </w:p>
        </w:tc>
        <w:tc>
          <w:tcPr>
            <w:tcW w:w="922"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1</w:t>
            </w:r>
            <w:r>
              <w:rPr>
                <w:rFonts w:ascii="Times New Roman" w:hAnsi="Times New Roman"/>
                <w:kern w:val="0"/>
                <w:sz w:val="21"/>
                <w:szCs w:val="21"/>
              </w:rPr>
              <w:t>55.68</w:t>
            </w:r>
          </w:p>
        </w:tc>
      </w:tr>
    </w:tbl>
    <w:p>
      <w:pPr>
        <w:spacing w:line="440" w:lineRule="exact"/>
        <w:ind w:firstLine="480" w:firstLineChars="200"/>
        <w:jc w:val="left"/>
        <w:rPr>
          <w:rFonts w:ascii="Times New Roman" w:hAnsi="Times New Roman"/>
        </w:rPr>
      </w:pPr>
      <w:r>
        <w:rPr>
          <w:rFonts w:ascii="Times New Roman" w:hAnsi="Times New Roman"/>
        </w:rPr>
        <w:t>苏布尔嘎</w:t>
      </w:r>
      <w:r>
        <w:rPr>
          <w:rFonts w:hint="eastAsia" w:ascii="Times New Roman" w:hAnsi="Times New Roman"/>
        </w:rPr>
        <w:t>、奎腾沟</w:t>
      </w:r>
      <w:r>
        <w:rPr>
          <w:rFonts w:ascii="Times New Roman" w:hAnsi="Times New Roman"/>
        </w:rPr>
        <w:t>井田地表沉陷等值线图见图5.1-1。</w:t>
      </w:r>
    </w:p>
    <w:p>
      <w:pPr>
        <w:spacing w:line="440" w:lineRule="exact"/>
        <w:ind w:firstLine="480" w:firstLineChars="200"/>
        <w:jc w:val="left"/>
        <w:rPr>
          <w:rFonts w:ascii="Times New Roman" w:hAnsi="Times New Roman"/>
        </w:rPr>
      </w:pPr>
      <w:r>
        <w:rPr>
          <w:rFonts w:ascii="Times New Roman" w:hAnsi="Times New Roman"/>
        </w:rPr>
        <w:t>（2）矿区其他矿井地表变形预测结果</w:t>
      </w:r>
    </w:p>
    <w:p>
      <w:pPr>
        <w:adjustRightInd w:val="0"/>
        <w:snapToGrid w:val="0"/>
        <w:spacing w:line="440" w:lineRule="exact"/>
        <w:ind w:firstLine="480" w:firstLineChars="200"/>
        <w:rPr>
          <w:rFonts w:ascii="Times New Roman" w:hAnsi="Times New Roman"/>
          <w:szCs w:val="24"/>
        </w:rPr>
      </w:pPr>
      <w:r>
        <w:rPr>
          <w:rFonts w:ascii="Times New Roman" w:hAnsi="Times New Roman"/>
        </w:rPr>
        <w:t>根据预测，</w:t>
      </w:r>
      <w:r>
        <w:rPr>
          <w:rFonts w:ascii="Times New Roman" w:hAnsi="Times New Roman"/>
          <w:szCs w:val="24"/>
        </w:rPr>
        <w:t>全矿区开发后地表沉陷面积约</w:t>
      </w:r>
      <w:r>
        <w:rPr>
          <w:rFonts w:ascii="Times New Roman" w:hAnsi="Times New Roman"/>
        </w:rPr>
        <w:t>424.671km</w:t>
      </w:r>
      <w:r>
        <w:rPr>
          <w:rFonts w:ascii="Times New Roman" w:hAnsi="Times New Roman"/>
          <w:vertAlign w:val="superscript"/>
        </w:rPr>
        <w:t>2</w:t>
      </w:r>
      <w:r>
        <w:rPr>
          <w:rFonts w:ascii="Times New Roman" w:hAnsi="Times New Roman"/>
          <w:szCs w:val="24"/>
        </w:rPr>
        <w:t>，沉陷最大下沉值为23.05m，位于纳林希里井田范围内。</w:t>
      </w:r>
    </w:p>
    <w:p>
      <w:pPr>
        <w:adjustRightInd w:val="0"/>
        <w:snapToGrid w:val="0"/>
        <w:spacing w:line="440" w:lineRule="exact"/>
        <w:ind w:firstLine="480" w:firstLineChars="200"/>
        <w:rPr>
          <w:rFonts w:ascii="Times New Roman" w:hAnsi="Times New Roman"/>
        </w:rPr>
      </w:pPr>
      <w:r>
        <w:rPr>
          <w:rFonts w:ascii="Times New Roman" w:hAnsi="Times New Roman"/>
        </w:rPr>
        <w:t>各井田地表最大变形情况如下：</w:t>
      </w:r>
    </w:p>
    <w:p>
      <w:pPr>
        <w:adjustRightInd w:val="0"/>
        <w:snapToGrid w:val="0"/>
        <w:spacing w:line="440" w:lineRule="exact"/>
        <w:jc w:val="center"/>
        <w:rPr>
          <w:rFonts w:ascii="Times New Roman" w:hAnsi="Times New Roman"/>
          <w:b/>
        </w:rPr>
      </w:pPr>
      <w:r>
        <w:rPr>
          <w:rFonts w:ascii="Times New Roman" w:hAnsi="Times New Roman"/>
          <w:b/>
        </w:rPr>
        <w:t>规划井田地表下沉最大值表</w:t>
      </w:r>
    </w:p>
    <w:p>
      <w:pPr>
        <w:adjustRightInd w:val="0"/>
        <w:snapToGrid w:val="0"/>
        <w:rPr>
          <w:rFonts w:ascii="Times New Roman" w:hAnsi="Times New Roman"/>
          <w:bCs/>
        </w:rPr>
      </w:pPr>
      <w:r>
        <w:rPr>
          <w:rFonts w:ascii="Times New Roman" w:hAnsi="Times New Roman"/>
          <w:bCs/>
        </w:rPr>
        <w:t>表5.1-4</w:t>
      </w:r>
    </w:p>
    <w:tbl>
      <w:tblPr>
        <w:tblStyle w:val="59"/>
        <w:tblpPr w:leftFromText="180" w:rightFromText="180" w:vertAnchor="text" w:horzAnchor="margin" w:tblpXSpec="center" w:tblpY="275"/>
        <w:tblOverlap w:val="never"/>
        <w:tblW w:w="9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658"/>
        <w:gridCol w:w="2039"/>
        <w:gridCol w:w="1453"/>
        <w:gridCol w:w="1154"/>
        <w:gridCol w:w="1133"/>
        <w:gridCol w:w="1499"/>
        <w:gridCol w:w="1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65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序号</w:t>
            </w:r>
          </w:p>
        </w:tc>
        <w:tc>
          <w:tcPr>
            <w:tcW w:w="2039"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规划井田</w:t>
            </w:r>
          </w:p>
        </w:tc>
        <w:tc>
          <w:tcPr>
            <w:tcW w:w="1453"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下沉最大值（</w:t>
            </w:r>
            <w:r>
              <w:rPr>
                <w:rFonts w:ascii="Times New Roman" w:hAnsi="Times New Roman"/>
                <w:kern w:val="0"/>
                <w:sz w:val="21"/>
                <w:szCs w:val="21"/>
              </w:rPr>
              <w:t>m</w:t>
            </w:r>
            <w:r>
              <w:rPr>
                <w:rFonts w:hint="eastAsia" w:ascii="Times New Roman" w:hAnsi="Times New Roman"/>
                <w:kern w:val="0"/>
                <w:sz w:val="21"/>
                <w:szCs w:val="21"/>
              </w:rPr>
              <w:t>）</w:t>
            </w:r>
          </w:p>
        </w:tc>
        <w:tc>
          <w:tcPr>
            <w:tcW w:w="1154"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倾</w:t>
            </w:r>
            <w:r>
              <w:rPr>
                <w:rFonts w:ascii="Times New Roman" w:hAnsi="Times New Roman"/>
                <w:kern w:val="0"/>
                <w:sz w:val="21"/>
                <w:szCs w:val="21"/>
              </w:rPr>
              <w:t xml:space="preserve">  </w:t>
            </w:r>
            <w:r>
              <w:rPr>
                <w:rFonts w:hint="eastAsia" w:ascii="Times New Roman" w:hAnsi="Times New Roman"/>
                <w:kern w:val="0"/>
                <w:sz w:val="21"/>
                <w:szCs w:val="21"/>
              </w:rPr>
              <w:t>斜</w:t>
            </w:r>
          </w:p>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(mm/m)</w:t>
            </w:r>
          </w:p>
        </w:tc>
        <w:tc>
          <w:tcPr>
            <w:tcW w:w="1133"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曲</w:t>
            </w:r>
            <w:r>
              <w:rPr>
                <w:rFonts w:ascii="Times New Roman" w:hAnsi="Times New Roman"/>
                <w:kern w:val="0"/>
                <w:sz w:val="21"/>
                <w:szCs w:val="21"/>
              </w:rPr>
              <w:t xml:space="preserve">  </w:t>
            </w:r>
            <w:r>
              <w:rPr>
                <w:rFonts w:hint="eastAsia" w:ascii="Times New Roman" w:hAnsi="Times New Roman"/>
                <w:kern w:val="0"/>
                <w:sz w:val="21"/>
                <w:szCs w:val="21"/>
              </w:rPr>
              <w:t>率</w:t>
            </w:r>
          </w:p>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(10</w:t>
            </w:r>
            <w:r>
              <w:rPr>
                <w:rFonts w:ascii="Times New Roman" w:hAnsi="Times New Roman"/>
                <w:kern w:val="0"/>
                <w:sz w:val="21"/>
                <w:szCs w:val="21"/>
                <w:vertAlign w:val="superscript"/>
              </w:rPr>
              <w:t>-3</w:t>
            </w:r>
            <w:r>
              <w:rPr>
                <w:rFonts w:ascii="Times New Roman" w:hAnsi="Times New Roman"/>
                <w:kern w:val="0"/>
                <w:sz w:val="21"/>
                <w:szCs w:val="21"/>
              </w:rPr>
              <w:t>/m)</w:t>
            </w:r>
          </w:p>
        </w:tc>
        <w:tc>
          <w:tcPr>
            <w:tcW w:w="1499"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水平移动</w:t>
            </w:r>
          </w:p>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w:t>
            </w:r>
            <w:r>
              <w:rPr>
                <w:rFonts w:ascii="Times New Roman" w:hAnsi="Times New Roman"/>
                <w:kern w:val="0"/>
                <w:sz w:val="21"/>
                <w:szCs w:val="21"/>
              </w:rPr>
              <w:t>mm</w:t>
            </w:r>
            <w:r>
              <w:rPr>
                <w:rFonts w:hint="eastAsia" w:ascii="Times New Roman" w:hAnsi="Times New Roman"/>
                <w:kern w:val="0"/>
                <w:sz w:val="21"/>
                <w:szCs w:val="21"/>
              </w:rPr>
              <w:t>）</w:t>
            </w:r>
          </w:p>
        </w:tc>
        <w:tc>
          <w:tcPr>
            <w:tcW w:w="1249"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水平变形</w:t>
            </w:r>
          </w:p>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(mm/m)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65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1</w:t>
            </w:r>
          </w:p>
        </w:tc>
        <w:tc>
          <w:tcPr>
            <w:tcW w:w="2039" w:type="dxa"/>
            <w:vAlign w:val="center"/>
          </w:tcPr>
          <w:p>
            <w:pPr>
              <w:widowControl/>
              <w:adjustRightInd w:val="0"/>
              <w:snapToGrid w:val="0"/>
              <w:spacing w:line="240" w:lineRule="atLeast"/>
              <w:jc w:val="center"/>
              <w:outlineLvl w:val="4"/>
              <w:rPr>
                <w:rFonts w:ascii="Times New Roman" w:hAnsi="Times New Roman"/>
                <w:sz w:val="21"/>
                <w:szCs w:val="21"/>
              </w:rPr>
            </w:pPr>
            <w:r>
              <w:rPr>
                <w:rFonts w:hint="eastAsia" w:ascii="Times New Roman" w:hAnsi="Times New Roman"/>
                <w:kern w:val="0"/>
                <w:sz w:val="21"/>
                <w:szCs w:val="21"/>
              </w:rPr>
              <w:t>奎腾沟井田</w:t>
            </w:r>
          </w:p>
        </w:tc>
        <w:tc>
          <w:tcPr>
            <w:tcW w:w="1453" w:type="dxa"/>
            <w:vAlign w:val="center"/>
          </w:tcPr>
          <w:p>
            <w:pPr>
              <w:widowControl/>
              <w:adjustRightInd w:val="0"/>
              <w:snapToGrid w:val="0"/>
              <w:spacing w:line="240" w:lineRule="atLeast"/>
              <w:jc w:val="center"/>
              <w:outlineLvl w:val="4"/>
              <w:rPr>
                <w:rFonts w:ascii="Times New Roman" w:hAnsi="Times New Roman"/>
                <w:sz w:val="21"/>
                <w:szCs w:val="21"/>
              </w:rPr>
            </w:pPr>
            <w:r>
              <w:rPr>
                <w:rFonts w:hint="eastAsia" w:ascii="Times New Roman" w:hAnsi="Times New Roman"/>
                <w:sz w:val="21"/>
                <w:szCs w:val="21"/>
              </w:rPr>
              <w:t>23</w:t>
            </w:r>
            <w:r>
              <w:rPr>
                <w:rFonts w:ascii="Times New Roman" w:hAnsi="Times New Roman"/>
                <w:sz w:val="21"/>
                <w:szCs w:val="21"/>
              </w:rPr>
              <w:t>.</w:t>
            </w:r>
            <w:r>
              <w:rPr>
                <w:rFonts w:hint="eastAsia" w:ascii="Times New Roman" w:hAnsi="Times New Roman"/>
                <w:sz w:val="21"/>
                <w:szCs w:val="21"/>
              </w:rPr>
              <w:t>04</w:t>
            </w:r>
          </w:p>
        </w:tc>
        <w:tc>
          <w:tcPr>
            <w:tcW w:w="1154"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53.42</w:t>
            </w:r>
          </w:p>
        </w:tc>
        <w:tc>
          <w:tcPr>
            <w:tcW w:w="1133"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0.19</w:t>
            </w:r>
          </w:p>
        </w:tc>
        <w:tc>
          <w:tcPr>
            <w:tcW w:w="1499"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6715.91</w:t>
            </w:r>
          </w:p>
        </w:tc>
        <w:tc>
          <w:tcPr>
            <w:tcW w:w="1249"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24.36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65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2</w:t>
            </w:r>
          </w:p>
        </w:tc>
        <w:tc>
          <w:tcPr>
            <w:tcW w:w="2039" w:type="dxa"/>
            <w:vAlign w:val="center"/>
          </w:tcPr>
          <w:p>
            <w:pPr>
              <w:widowControl/>
              <w:adjustRightInd w:val="0"/>
              <w:snapToGrid w:val="0"/>
              <w:spacing w:line="240" w:lineRule="atLeast"/>
              <w:jc w:val="center"/>
              <w:outlineLvl w:val="4"/>
              <w:rPr>
                <w:rFonts w:ascii="Times New Roman" w:hAnsi="Times New Roman"/>
                <w:sz w:val="21"/>
                <w:szCs w:val="21"/>
              </w:rPr>
            </w:pPr>
            <w:r>
              <w:rPr>
                <w:rFonts w:hint="eastAsia" w:ascii="Times New Roman" w:hAnsi="Times New Roman"/>
                <w:sz w:val="21"/>
                <w:szCs w:val="21"/>
              </w:rPr>
              <w:t>苏布尔嘎</w:t>
            </w:r>
          </w:p>
        </w:tc>
        <w:tc>
          <w:tcPr>
            <w:tcW w:w="1453"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15.19</w:t>
            </w:r>
          </w:p>
        </w:tc>
        <w:tc>
          <w:tcPr>
            <w:tcW w:w="1154"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43.58</w:t>
            </w:r>
          </w:p>
        </w:tc>
        <w:tc>
          <w:tcPr>
            <w:tcW w:w="1133"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0.19</w:t>
            </w:r>
          </w:p>
        </w:tc>
        <w:tc>
          <w:tcPr>
            <w:tcW w:w="1499"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4557.22</w:t>
            </w:r>
          </w:p>
        </w:tc>
        <w:tc>
          <w:tcPr>
            <w:tcW w:w="1249"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19.87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65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ascii="Times New Roman" w:hAnsi="Times New Roman"/>
                <w:kern w:val="0"/>
                <w:sz w:val="21"/>
                <w:szCs w:val="21"/>
              </w:rPr>
              <w:t>3</w:t>
            </w:r>
          </w:p>
        </w:tc>
        <w:tc>
          <w:tcPr>
            <w:tcW w:w="2039" w:type="dxa"/>
            <w:vAlign w:val="center"/>
          </w:tcPr>
          <w:p>
            <w:pPr>
              <w:widowControl/>
              <w:adjustRightInd w:val="0"/>
              <w:snapToGrid w:val="0"/>
              <w:spacing w:line="240" w:lineRule="atLeast"/>
              <w:jc w:val="center"/>
              <w:outlineLvl w:val="4"/>
              <w:rPr>
                <w:rFonts w:ascii="Times New Roman" w:hAnsi="Times New Roman"/>
                <w:sz w:val="21"/>
                <w:szCs w:val="21"/>
              </w:rPr>
            </w:pPr>
            <w:r>
              <w:rPr>
                <w:rFonts w:hint="eastAsia" w:ascii="Times New Roman" w:hAnsi="Times New Roman"/>
                <w:sz w:val="21"/>
                <w:szCs w:val="21"/>
              </w:rPr>
              <w:t>壕赖苏</w:t>
            </w:r>
          </w:p>
        </w:tc>
        <w:tc>
          <w:tcPr>
            <w:tcW w:w="1453"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21.99</w:t>
            </w:r>
          </w:p>
        </w:tc>
        <w:tc>
          <w:tcPr>
            <w:tcW w:w="1154"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67.07</w:t>
            </w:r>
          </w:p>
        </w:tc>
        <w:tc>
          <w:tcPr>
            <w:tcW w:w="1133"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0.31</w:t>
            </w:r>
          </w:p>
        </w:tc>
        <w:tc>
          <w:tcPr>
            <w:tcW w:w="1499"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6595.98</w:t>
            </w:r>
          </w:p>
        </w:tc>
        <w:tc>
          <w:tcPr>
            <w:tcW w:w="1249"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30.59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658" w:type="dxa"/>
            <w:vAlign w:val="center"/>
          </w:tcPr>
          <w:p>
            <w:pPr>
              <w:widowControl/>
              <w:adjustRightInd w:val="0"/>
              <w:snapToGrid w:val="0"/>
              <w:spacing w:line="240" w:lineRule="atLeast"/>
              <w:jc w:val="center"/>
              <w:outlineLvl w:val="4"/>
              <w:rPr>
                <w:rFonts w:ascii="Times New Roman" w:hAnsi="Times New Roman"/>
                <w:kern w:val="0"/>
                <w:sz w:val="21"/>
                <w:szCs w:val="21"/>
              </w:rPr>
            </w:pPr>
            <w:r>
              <w:rPr>
                <w:rFonts w:hint="eastAsia" w:ascii="Times New Roman" w:hAnsi="Times New Roman"/>
                <w:kern w:val="0"/>
                <w:sz w:val="21"/>
                <w:szCs w:val="21"/>
              </w:rPr>
              <w:t>4</w:t>
            </w:r>
          </w:p>
        </w:tc>
        <w:tc>
          <w:tcPr>
            <w:tcW w:w="2039" w:type="dxa"/>
            <w:vAlign w:val="center"/>
          </w:tcPr>
          <w:p>
            <w:pPr>
              <w:widowControl/>
              <w:adjustRightInd w:val="0"/>
              <w:snapToGrid w:val="0"/>
              <w:spacing w:line="240" w:lineRule="atLeast"/>
              <w:jc w:val="center"/>
              <w:outlineLvl w:val="4"/>
              <w:rPr>
                <w:rFonts w:ascii="Times New Roman" w:hAnsi="Times New Roman"/>
                <w:sz w:val="21"/>
                <w:szCs w:val="21"/>
              </w:rPr>
            </w:pPr>
            <w:r>
              <w:rPr>
                <w:rFonts w:hint="eastAsia" w:ascii="Times New Roman" w:hAnsi="Times New Roman"/>
                <w:sz w:val="21"/>
                <w:szCs w:val="21"/>
              </w:rPr>
              <w:t>纳林希里</w:t>
            </w:r>
          </w:p>
        </w:tc>
        <w:tc>
          <w:tcPr>
            <w:tcW w:w="1453"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23.05</w:t>
            </w:r>
          </w:p>
        </w:tc>
        <w:tc>
          <w:tcPr>
            <w:tcW w:w="1154"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70.32</w:t>
            </w:r>
          </w:p>
        </w:tc>
        <w:tc>
          <w:tcPr>
            <w:tcW w:w="1133"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0.33</w:t>
            </w:r>
          </w:p>
        </w:tc>
        <w:tc>
          <w:tcPr>
            <w:tcW w:w="1499"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6914.99</w:t>
            </w:r>
          </w:p>
        </w:tc>
        <w:tc>
          <w:tcPr>
            <w:tcW w:w="1249" w:type="dxa"/>
            <w:vAlign w:val="center"/>
          </w:tcPr>
          <w:p>
            <w:pPr>
              <w:widowControl/>
              <w:adjustRightInd w:val="0"/>
              <w:snapToGrid w:val="0"/>
              <w:spacing w:line="240" w:lineRule="atLeast"/>
              <w:jc w:val="center"/>
              <w:outlineLvl w:val="4"/>
              <w:rPr>
                <w:rFonts w:ascii="Times New Roman" w:hAnsi="Times New Roman"/>
                <w:sz w:val="21"/>
                <w:szCs w:val="21"/>
              </w:rPr>
            </w:pPr>
            <w:r>
              <w:rPr>
                <w:rFonts w:ascii="Times New Roman" w:hAnsi="Times New Roman"/>
                <w:sz w:val="21"/>
                <w:szCs w:val="21"/>
              </w:rPr>
              <w:t>32.06</w:t>
            </w:r>
          </w:p>
        </w:tc>
      </w:tr>
    </w:tbl>
    <w:p>
      <w:pPr>
        <w:adjustRightInd w:val="0"/>
        <w:snapToGrid w:val="0"/>
        <w:spacing w:line="440" w:lineRule="exact"/>
        <w:ind w:firstLine="480" w:firstLineChars="200"/>
        <w:jc w:val="left"/>
        <w:rPr>
          <w:rFonts w:ascii="Times New Roman" w:hAnsi="Times New Roman"/>
        </w:rPr>
      </w:pPr>
      <w:r>
        <w:rPr>
          <w:rFonts w:ascii="Times New Roman" w:hAnsi="Times New Roman"/>
        </w:rPr>
        <w:t>规划开发矿井的地表下沉最大值及各煤层开采后产生的地表移动变形最大值见表5.1-5。规划实施后开采沉陷等值线图见图5.1-2。</w:t>
      </w:r>
    </w:p>
    <w:p>
      <w:pPr>
        <w:spacing w:line="440" w:lineRule="exact"/>
        <w:ind w:firstLine="482" w:firstLineChars="200"/>
        <w:jc w:val="center"/>
        <w:rPr>
          <w:rFonts w:ascii="Times New Roman" w:hAnsi="Times New Roman"/>
          <w:b/>
          <w:bCs/>
        </w:rPr>
      </w:pPr>
    </w:p>
    <w:p>
      <w:pPr>
        <w:spacing w:line="440" w:lineRule="exact"/>
        <w:ind w:firstLine="482" w:firstLineChars="200"/>
        <w:jc w:val="center"/>
        <w:rPr>
          <w:rFonts w:ascii="Times New Roman" w:hAnsi="Times New Roman"/>
          <w:b/>
          <w:bCs/>
        </w:rPr>
      </w:pPr>
      <w:r>
        <w:rPr>
          <w:rFonts w:ascii="Times New Roman" w:hAnsi="Times New Roman"/>
          <w:b/>
          <w:bCs/>
        </w:rPr>
        <w:t>全矿区煤层开采后地表移动变形最大值表</w:t>
      </w:r>
    </w:p>
    <w:p>
      <w:pPr>
        <w:adjustRightInd w:val="0"/>
        <w:snapToGrid w:val="0"/>
        <w:spacing w:line="440" w:lineRule="exact"/>
        <w:jc w:val="left"/>
        <w:rPr>
          <w:rFonts w:ascii="Times New Roman" w:hAnsi="Times New Roman"/>
        </w:rPr>
      </w:pPr>
      <w:r>
        <w:rPr>
          <w:rFonts w:ascii="Times New Roman" w:hAnsi="Times New Roman"/>
        </w:rPr>
        <w:t>表5.1-5</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3"/>
        <w:gridCol w:w="1505"/>
        <w:gridCol w:w="1490"/>
        <w:gridCol w:w="1630"/>
        <w:gridCol w:w="1592"/>
        <w:gridCol w:w="1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开采煤层</w:t>
            </w:r>
          </w:p>
        </w:tc>
        <w:tc>
          <w:tcPr>
            <w:tcW w:w="1505" w:type="dxa"/>
            <w:vAlign w:val="center"/>
          </w:tcPr>
          <w:p>
            <w:pPr>
              <w:widowControl/>
              <w:spacing w:line="280" w:lineRule="exact"/>
              <w:jc w:val="center"/>
              <w:rPr>
                <w:rFonts w:ascii="Times New Roman" w:hAnsi="Times New Roman"/>
                <w:kern w:val="0"/>
                <w:sz w:val="21"/>
                <w:szCs w:val="21"/>
              </w:rPr>
            </w:pPr>
            <w:r>
              <w:rPr>
                <w:rFonts w:ascii="Times New Roman" w:hAnsi="Times New Roman"/>
                <w:kern w:val="0"/>
                <w:sz w:val="21"/>
                <w:szCs w:val="21"/>
              </w:rPr>
              <w:t>下  沉</w:t>
            </w:r>
          </w:p>
          <w:p>
            <w:pPr>
              <w:widowControl/>
              <w:spacing w:line="280" w:lineRule="exact"/>
              <w:jc w:val="center"/>
              <w:rPr>
                <w:rFonts w:ascii="Times New Roman" w:hAnsi="Times New Roman"/>
                <w:kern w:val="0"/>
                <w:sz w:val="21"/>
                <w:szCs w:val="21"/>
              </w:rPr>
            </w:pPr>
            <w:r>
              <w:rPr>
                <w:rFonts w:ascii="Times New Roman" w:hAnsi="Times New Roman"/>
                <w:kern w:val="0"/>
                <w:sz w:val="21"/>
                <w:szCs w:val="21"/>
              </w:rPr>
              <w:t>（mm）</w:t>
            </w:r>
          </w:p>
        </w:tc>
        <w:tc>
          <w:tcPr>
            <w:tcW w:w="1490" w:type="dxa"/>
            <w:vAlign w:val="center"/>
          </w:tcPr>
          <w:p>
            <w:pPr>
              <w:widowControl/>
              <w:spacing w:line="280" w:lineRule="exact"/>
              <w:jc w:val="center"/>
              <w:rPr>
                <w:rFonts w:ascii="Times New Roman" w:hAnsi="Times New Roman"/>
                <w:kern w:val="0"/>
                <w:sz w:val="21"/>
                <w:szCs w:val="21"/>
              </w:rPr>
            </w:pPr>
            <w:r>
              <w:rPr>
                <w:rFonts w:ascii="Times New Roman" w:hAnsi="Times New Roman"/>
                <w:kern w:val="0"/>
                <w:sz w:val="21"/>
                <w:szCs w:val="21"/>
              </w:rPr>
              <w:t>倾  斜</w:t>
            </w:r>
          </w:p>
          <w:p>
            <w:pPr>
              <w:widowControl/>
              <w:spacing w:line="280" w:lineRule="exact"/>
              <w:jc w:val="center"/>
              <w:rPr>
                <w:rFonts w:ascii="Times New Roman" w:hAnsi="Times New Roman"/>
                <w:kern w:val="0"/>
                <w:sz w:val="21"/>
                <w:szCs w:val="21"/>
              </w:rPr>
            </w:pPr>
            <w:r>
              <w:rPr>
                <w:rFonts w:ascii="Times New Roman" w:hAnsi="Times New Roman"/>
                <w:kern w:val="0"/>
                <w:sz w:val="21"/>
                <w:szCs w:val="21"/>
              </w:rPr>
              <w:t>(mm/m)</w:t>
            </w:r>
          </w:p>
        </w:tc>
        <w:tc>
          <w:tcPr>
            <w:tcW w:w="1630" w:type="dxa"/>
            <w:vAlign w:val="center"/>
          </w:tcPr>
          <w:p>
            <w:pPr>
              <w:widowControl/>
              <w:spacing w:line="280" w:lineRule="exact"/>
              <w:jc w:val="center"/>
              <w:rPr>
                <w:rFonts w:ascii="Times New Roman" w:hAnsi="Times New Roman"/>
                <w:kern w:val="0"/>
                <w:sz w:val="21"/>
                <w:szCs w:val="21"/>
              </w:rPr>
            </w:pPr>
            <w:r>
              <w:rPr>
                <w:rFonts w:ascii="Times New Roman" w:hAnsi="Times New Roman"/>
                <w:kern w:val="0"/>
                <w:sz w:val="21"/>
                <w:szCs w:val="21"/>
              </w:rPr>
              <w:t>曲  率</w:t>
            </w:r>
          </w:p>
          <w:p>
            <w:pPr>
              <w:widowControl/>
              <w:spacing w:line="280" w:lineRule="exact"/>
              <w:jc w:val="center"/>
              <w:rPr>
                <w:rFonts w:ascii="Times New Roman" w:hAnsi="Times New Roman"/>
                <w:kern w:val="0"/>
                <w:sz w:val="21"/>
                <w:szCs w:val="21"/>
              </w:rPr>
            </w:pPr>
            <w:r>
              <w:rPr>
                <w:rFonts w:ascii="Times New Roman" w:hAnsi="Times New Roman"/>
                <w:kern w:val="0"/>
                <w:sz w:val="21"/>
                <w:szCs w:val="21"/>
              </w:rPr>
              <w:t>(10-3/m)</w:t>
            </w:r>
          </w:p>
        </w:tc>
        <w:tc>
          <w:tcPr>
            <w:tcW w:w="1592" w:type="dxa"/>
            <w:vAlign w:val="center"/>
          </w:tcPr>
          <w:p>
            <w:pPr>
              <w:widowControl/>
              <w:spacing w:line="280" w:lineRule="exact"/>
              <w:jc w:val="center"/>
              <w:rPr>
                <w:rFonts w:ascii="Times New Roman" w:hAnsi="Times New Roman"/>
                <w:kern w:val="0"/>
                <w:sz w:val="21"/>
                <w:szCs w:val="21"/>
              </w:rPr>
            </w:pPr>
            <w:r>
              <w:rPr>
                <w:rFonts w:ascii="Times New Roman" w:hAnsi="Times New Roman"/>
                <w:kern w:val="0"/>
                <w:sz w:val="21"/>
                <w:szCs w:val="21"/>
              </w:rPr>
              <w:t>水平移动</w:t>
            </w:r>
          </w:p>
          <w:p>
            <w:pPr>
              <w:widowControl/>
              <w:spacing w:line="280" w:lineRule="exact"/>
              <w:jc w:val="center"/>
              <w:rPr>
                <w:rFonts w:ascii="Times New Roman" w:hAnsi="Times New Roman"/>
                <w:kern w:val="0"/>
                <w:sz w:val="21"/>
                <w:szCs w:val="21"/>
              </w:rPr>
            </w:pPr>
            <w:r>
              <w:rPr>
                <w:rFonts w:ascii="Times New Roman" w:hAnsi="Times New Roman"/>
                <w:kern w:val="0"/>
                <w:sz w:val="21"/>
                <w:szCs w:val="21"/>
              </w:rPr>
              <w:t>（mm）</w:t>
            </w:r>
          </w:p>
        </w:tc>
        <w:tc>
          <w:tcPr>
            <w:tcW w:w="1747" w:type="dxa"/>
            <w:vAlign w:val="center"/>
          </w:tcPr>
          <w:p>
            <w:pPr>
              <w:widowControl/>
              <w:spacing w:line="280" w:lineRule="exact"/>
              <w:jc w:val="center"/>
              <w:rPr>
                <w:rFonts w:ascii="Times New Roman" w:hAnsi="Times New Roman"/>
                <w:kern w:val="0"/>
                <w:sz w:val="21"/>
                <w:szCs w:val="21"/>
              </w:rPr>
            </w:pPr>
            <w:r>
              <w:rPr>
                <w:rFonts w:ascii="Times New Roman" w:hAnsi="Times New Roman"/>
                <w:kern w:val="0"/>
                <w:sz w:val="21"/>
                <w:szCs w:val="21"/>
              </w:rPr>
              <w:t>水平变形</w:t>
            </w:r>
          </w:p>
          <w:p>
            <w:pPr>
              <w:widowControl/>
              <w:spacing w:line="280" w:lineRule="exact"/>
              <w:jc w:val="center"/>
              <w:rPr>
                <w:rFonts w:ascii="Times New Roman" w:hAnsi="Times New Roman"/>
                <w:kern w:val="0"/>
                <w:sz w:val="21"/>
                <w:szCs w:val="21"/>
              </w:rPr>
            </w:pPr>
            <w:r>
              <w:rPr>
                <w:rFonts w:ascii="Times New Roman" w:hAnsi="Times New Roman"/>
                <w:kern w:val="0"/>
                <w:sz w:val="21"/>
                <w:szCs w:val="21"/>
              </w:rPr>
              <w:t>(mm/m)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2-1上</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2675.87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7.89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0.04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802.76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3.60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2-1</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3695.25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10.90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0.05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1108.57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4.97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2-1下</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3110.60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9.17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0.04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933.18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4.18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2-2上</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2061.24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6.08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0.03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618.37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2.77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2-2</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4309.87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12.71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0.06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1292.96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5.80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2-2下</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4429.80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13.07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0.06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1328.94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5.96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3-1</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7233.09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21.33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0.10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2169.93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9.73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3-2</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2173.68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6.41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0.03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652.10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2.92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4-1上</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3485.38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10.28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0.05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1045.61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4.69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4-1</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4444.79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13.11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0.06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1333.44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5.98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4-1下</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839.49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2.48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0.01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251.85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1.13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4-2上</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2960.70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8.73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0.04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888.21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3.98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4-2</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2773.31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8.18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0.04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831.99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3.73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5-1</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5284.28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15.59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0.07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1585.28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7.11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5-2</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2623.40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7.74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0.03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787.02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3.53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23" w:type="dxa"/>
            <w:vAlign w:val="center"/>
          </w:tcPr>
          <w:p>
            <w:pPr>
              <w:widowControl/>
              <w:jc w:val="center"/>
              <w:rPr>
                <w:rFonts w:ascii="Times New Roman" w:hAnsi="Times New Roman"/>
                <w:kern w:val="0"/>
                <w:sz w:val="21"/>
                <w:szCs w:val="21"/>
              </w:rPr>
            </w:pPr>
            <w:r>
              <w:rPr>
                <w:rFonts w:ascii="Times New Roman" w:hAnsi="Times New Roman"/>
                <w:kern w:val="0"/>
                <w:sz w:val="21"/>
                <w:szCs w:val="21"/>
              </w:rPr>
              <w:t>6-2</w:t>
            </w:r>
          </w:p>
        </w:tc>
        <w:tc>
          <w:tcPr>
            <w:tcW w:w="1505"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3972.58 </w:t>
            </w:r>
          </w:p>
        </w:tc>
        <w:tc>
          <w:tcPr>
            <w:tcW w:w="149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11.72 </w:t>
            </w:r>
          </w:p>
        </w:tc>
        <w:tc>
          <w:tcPr>
            <w:tcW w:w="1630"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0.05 </w:t>
            </w:r>
          </w:p>
        </w:tc>
        <w:tc>
          <w:tcPr>
            <w:tcW w:w="1592"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1191.77 </w:t>
            </w:r>
          </w:p>
        </w:tc>
        <w:tc>
          <w:tcPr>
            <w:tcW w:w="1747" w:type="dxa"/>
            <w:vAlign w:val="center"/>
          </w:tcPr>
          <w:p>
            <w:pPr>
              <w:widowControl/>
              <w:jc w:val="center"/>
              <w:rPr>
                <w:rFonts w:ascii="Times New Roman" w:hAnsi="Times New Roman"/>
                <w:kern w:val="0"/>
                <w:sz w:val="21"/>
                <w:szCs w:val="21"/>
              </w:rPr>
            </w:pPr>
            <w:r>
              <w:rPr>
                <w:rFonts w:ascii="Times New Roman" w:hAnsi="Times New Roman"/>
                <w:kern w:val="0"/>
                <w:sz w:val="21"/>
                <w:szCs w:val="21"/>
              </w:rPr>
              <w:t xml:space="preserve">5.34 </w:t>
            </w:r>
          </w:p>
        </w:tc>
      </w:tr>
    </w:tbl>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5.1.3.4 沉陷特点</w:t>
      </w:r>
    </w:p>
    <w:p>
      <w:pPr>
        <w:adjustRightInd w:val="0"/>
        <w:snapToGrid w:val="0"/>
        <w:spacing w:line="440" w:lineRule="exact"/>
        <w:ind w:firstLine="480" w:firstLineChars="200"/>
        <w:rPr>
          <w:rFonts w:ascii="Times New Roman" w:hAnsi="Times New Roman"/>
        </w:rPr>
      </w:pPr>
      <w:r>
        <w:rPr>
          <w:rFonts w:ascii="Times New Roman" w:hAnsi="Times New Roman"/>
        </w:rPr>
        <w:t>矿区位于鄂尔多斯高原之东北部。区内呈西北高、东南低的斜坡状地形，海拔标高最高1545m(特格鲁，矿区西北10km处)，最低1277m（巴嘎淖尔湖畔），最大高差274m，区内地形复杂，沟谷纵横，但起伏不大，海拔标高一般在1300～1500m之间。受毛乌素沙漠的影响，地面多被风积砂覆盖，形成典型的堆积型地貌。煤层埋深较大，通常在790-1160m之间。根据以上分析，矿区地表沉陷特点如下：</w:t>
      </w:r>
    </w:p>
    <w:p>
      <w:pPr>
        <w:adjustRightInd w:val="0"/>
        <w:snapToGrid w:val="0"/>
        <w:spacing w:line="440" w:lineRule="exact"/>
        <w:ind w:firstLine="480" w:firstLineChars="200"/>
        <w:jc w:val="left"/>
        <w:rPr>
          <w:rFonts w:ascii="Times New Roman" w:hAnsi="Times New Roman"/>
        </w:rPr>
      </w:pPr>
      <w:r>
        <w:rPr>
          <w:rFonts w:ascii="Times New Roman" w:hAnsi="Times New Roman"/>
        </w:rPr>
        <w:t>（1）矿区地形较平缓，开采下沉值较大（约23m），但由于矿区煤层埋深大（多为700-1000左右），因此开采后下沉盆地不会非常明显。由于本矿区为多煤层开采，井田内同一区域在不同时期将受到重复采动的影响，沉陷深度逐渐加深，沉陷范围逐渐扩大，这种情况以后将一直贯穿整个均衡生产期。全矿区煤炭资源开采完毕后5年左右，规划区所有沉陷区域达到稳定，开采对地表的直接损害影响因素消失。</w:t>
      </w:r>
    </w:p>
    <w:p>
      <w:pPr>
        <w:adjustRightInd w:val="0"/>
        <w:snapToGrid w:val="0"/>
        <w:spacing w:line="440" w:lineRule="exact"/>
        <w:ind w:firstLine="480" w:firstLineChars="200"/>
        <w:rPr>
          <w:rFonts w:ascii="Times New Roman" w:hAnsi="Times New Roman"/>
          <w:lang w:bidi="en-US"/>
        </w:rPr>
      </w:pPr>
      <w:r>
        <w:rPr>
          <w:rFonts w:ascii="Times New Roman" w:hAnsi="Times New Roman"/>
        </w:rPr>
        <w:t>（2）由于矿区内第四系潜水主要分布在沟谷区</w:t>
      </w:r>
      <w:r>
        <w:rPr>
          <w:rFonts w:ascii="Times New Roman" w:hAnsi="Times New Roman"/>
          <w:lang w:bidi="en-US"/>
        </w:rPr>
        <w:t>，受开采沉陷影响，矿区内最大沉陷深度约23m，</w:t>
      </w:r>
      <w:r>
        <w:rPr>
          <w:rFonts w:ascii="Times New Roman" w:hAnsi="Times New Roman"/>
        </w:rPr>
        <w:t>开采沉陷将导致局部第四系系含水层中的地下水渗出地表，</w:t>
      </w:r>
      <w:r>
        <w:rPr>
          <w:rFonts w:ascii="Times New Roman" w:hAnsi="Times New Roman"/>
          <w:lang w:bidi="en-US"/>
        </w:rPr>
        <w:t>可能会在部分区域形成部分临时积水区。</w:t>
      </w:r>
      <w:r>
        <w:rPr>
          <w:rFonts w:ascii="Times New Roman" w:hAnsi="Times New Roman"/>
        </w:rPr>
        <w:t>然而，由于井田采煤沉陷是一长期稳定下沉的过程，由于本区蒸发强度大，基本不会形成永久积水区。</w:t>
      </w:r>
    </w:p>
    <w:p>
      <w:pPr>
        <w:adjustRightInd w:val="0"/>
        <w:snapToGrid w:val="0"/>
        <w:spacing w:line="440" w:lineRule="exact"/>
        <w:ind w:firstLine="480" w:firstLineChars="200"/>
        <w:rPr>
          <w:rFonts w:ascii="Times New Roman" w:hAnsi="Times New Roman"/>
        </w:rPr>
      </w:pPr>
      <w:r>
        <w:rPr>
          <w:rFonts w:ascii="Times New Roman" w:hAnsi="Times New Roman"/>
          <w:lang w:bidi="en-US"/>
        </w:rPr>
        <w:t>（3）</w:t>
      </w:r>
      <w:r>
        <w:rPr>
          <w:rFonts w:ascii="Times New Roman" w:hAnsi="Times New Roman"/>
        </w:rPr>
        <w:t>地表沉陷对该区域地表形态和自然景观的影响仅局限在采空区边界上方的局部范围内。</w:t>
      </w:r>
    </w:p>
    <w:p>
      <w:pPr>
        <w:pStyle w:val="5"/>
        <w:spacing w:before="120" w:after="120" w:line="440" w:lineRule="exact"/>
        <w:rPr>
          <w:sz w:val="24"/>
        </w:rPr>
      </w:pPr>
      <w:r>
        <w:rPr>
          <w:sz w:val="24"/>
        </w:rPr>
        <w:t>5.1.4 开采沉陷对村庄的影响</w:t>
      </w:r>
    </w:p>
    <w:p>
      <w:pPr>
        <w:adjustRightInd w:val="0"/>
        <w:snapToGrid w:val="0"/>
        <w:spacing w:line="440" w:lineRule="exact"/>
        <w:ind w:firstLine="480" w:firstLineChars="200"/>
        <w:rPr>
          <w:rFonts w:ascii="Times New Roman" w:hAnsi="Times New Roman"/>
          <w:kern w:val="24"/>
        </w:rPr>
      </w:pPr>
      <w:r>
        <w:rPr>
          <w:rFonts w:ascii="Times New Roman" w:hAnsi="Times New Roman"/>
        </w:rPr>
        <w:t>矿区及其1km范围内涉及1个乡镇、33个行政村（包含87个自然村），居民房屋多为砖混结构。</w:t>
      </w:r>
    </w:p>
    <w:p>
      <w:pPr>
        <w:spacing w:line="440" w:lineRule="exact"/>
        <w:ind w:firstLine="480"/>
        <w:rPr>
          <w:rFonts w:ascii="Times New Roman" w:hAnsi="Times New Roman"/>
          <w:kern w:val="24"/>
        </w:rPr>
      </w:pPr>
      <w:r>
        <w:rPr>
          <w:rFonts w:ascii="Times New Roman" w:hAnsi="Times New Roman"/>
          <w:kern w:val="24"/>
        </w:rPr>
        <w:t>我国《建筑物、水体、铁路及主要井巷煤柱留设与压煤开采规范》制定了砖混（石）结构的建筑物破坏（保护）等级标准，见表5.1-6。</w:t>
      </w:r>
    </w:p>
    <w:p>
      <w:pPr>
        <w:tabs>
          <w:tab w:val="left" w:pos="6840"/>
        </w:tabs>
        <w:spacing w:line="440" w:lineRule="exact"/>
        <w:jc w:val="center"/>
        <w:rPr>
          <w:rFonts w:ascii="Times New Roman" w:hAnsi="Times New Roman"/>
          <w:b/>
        </w:rPr>
      </w:pPr>
      <w:r>
        <w:rPr>
          <w:rFonts w:ascii="Times New Roman" w:hAnsi="Times New Roman"/>
          <w:b/>
        </w:rPr>
        <w:t>砖混（石）结构建筑物损坏等级</w:t>
      </w:r>
    </w:p>
    <w:p>
      <w:pPr>
        <w:widowControl/>
        <w:adjustRightInd w:val="0"/>
        <w:snapToGrid w:val="0"/>
        <w:spacing w:line="240" w:lineRule="atLeast"/>
        <w:outlineLvl w:val="4"/>
        <w:rPr>
          <w:rFonts w:ascii="Times New Roman" w:hAnsi="Times New Roman"/>
          <w:kern w:val="0"/>
        </w:rPr>
      </w:pPr>
      <w:r>
        <w:rPr>
          <w:rFonts w:ascii="Times New Roman" w:hAnsi="Times New Roman"/>
          <w:kern w:val="0"/>
        </w:rPr>
        <w:t>表5.1-6</w:t>
      </w:r>
    </w:p>
    <w:tbl>
      <w:tblPr>
        <w:tblStyle w:val="59"/>
        <w:tblW w:w="90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97"/>
        <w:gridCol w:w="3341"/>
        <w:gridCol w:w="954"/>
        <w:gridCol w:w="1346"/>
        <w:gridCol w:w="917"/>
        <w:gridCol w:w="769"/>
        <w:gridCol w:w="1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697" w:type="dxa"/>
            <w:vMerge w:val="restart"/>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损坏等级</w:t>
            </w:r>
          </w:p>
        </w:tc>
        <w:tc>
          <w:tcPr>
            <w:tcW w:w="3341" w:type="dxa"/>
            <w:vMerge w:val="restart"/>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建筑物损坏程度</w:t>
            </w:r>
          </w:p>
        </w:tc>
        <w:tc>
          <w:tcPr>
            <w:tcW w:w="3217" w:type="dxa"/>
            <w:gridSpan w:val="3"/>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地表变形值</w:t>
            </w:r>
          </w:p>
        </w:tc>
        <w:tc>
          <w:tcPr>
            <w:tcW w:w="769" w:type="dxa"/>
            <w:vMerge w:val="restart"/>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损坏分类</w:t>
            </w:r>
          </w:p>
        </w:tc>
        <w:tc>
          <w:tcPr>
            <w:tcW w:w="1071" w:type="dxa"/>
            <w:vMerge w:val="restart"/>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结构处理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697" w:type="dxa"/>
            <w:vMerge w:val="continue"/>
            <w:vAlign w:val="center"/>
          </w:tcPr>
          <w:p>
            <w:pPr>
              <w:jc w:val="center"/>
              <w:rPr>
                <w:rFonts w:ascii="Times New Roman" w:hAnsi="Times New Roman"/>
                <w:kern w:val="0"/>
                <w:sz w:val="21"/>
                <w:szCs w:val="21"/>
              </w:rPr>
            </w:pPr>
          </w:p>
        </w:tc>
        <w:tc>
          <w:tcPr>
            <w:tcW w:w="3341" w:type="dxa"/>
            <w:vMerge w:val="continue"/>
            <w:vAlign w:val="center"/>
          </w:tcPr>
          <w:p>
            <w:pPr>
              <w:rPr>
                <w:rFonts w:ascii="Times New Roman" w:hAnsi="Times New Roman"/>
                <w:kern w:val="0"/>
                <w:sz w:val="21"/>
                <w:szCs w:val="21"/>
              </w:rPr>
            </w:pPr>
          </w:p>
        </w:tc>
        <w:tc>
          <w:tcPr>
            <w:tcW w:w="954"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水平变形ε</w:t>
            </w:r>
          </w:p>
        </w:tc>
        <w:tc>
          <w:tcPr>
            <w:tcW w:w="1346"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曲率K</w:t>
            </w:r>
          </w:p>
        </w:tc>
        <w:tc>
          <w:tcPr>
            <w:tcW w:w="917"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倾斜i</w:t>
            </w:r>
          </w:p>
        </w:tc>
        <w:tc>
          <w:tcPr>
            <w:tcW w:w="769" w:type="dxa"/>
            <w:vMerge w:val="continue"/>
            <w:vAlign w:val="center"/>
          </w:tcPr>
          <w:p>
            <w:pPr>
              <w:jc w:val="center"/>
              <w:rPr>
                <w:rFonts w:ascii="Times New Roman" w:hAnsi="Times New Roman"/>
                <w:kern w:val="0"/>
                <w:sz w:val="21"/>
                <w:szCs w:val="21"/>
              </w:rPr>
            </w:pPr>
          </w:p>
        </w:tc>
        <w:tc>
          <w:tcPr>
            <w:tcW w:w="1071" w:type="dxa"/>
            <w:vMerge w:val="continue"/>
            <w:vAlign w:val="center"/>
          </w:tcPr>
          <w:p>
            <w:pPr>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697" w:type="dxa"/>
            <w:vMerge w:val="continue"/>
            <w:vAlign w:val="center"/>
          </w:tcPr>
          <w:p>
            <w:pPr>
              <w:jc w:val="center"/>
              <w:rPr>
                <w:rFonts w:ascii="Times New Roman" w:hAnsi="Times New Roman"/>
                <w:kern w:val="0"/>
                <w:sz w:val="21"/>
                <w:szCs w:val="21"/>
              </w:rPr>
            </w:pPr>
          </w:p>
        </w:tc>
        <w:tc>
          <w:tcPr>
            <w:tcW w:w="3341" w:type="dxa"/>
            <w:vMerge w:val="continue"/>
            <w:vAlign w:val="center"/>
          </w:tcPr>
          <w:p>
            <w:pPr>
              <w:rPr>
                <w:rFonts w:ascii="Times New Roman" w:hAnsi="Times New Roman"/>
                <w:kern w:val="0"/>
                <w:sz w:val="21"/>
                <w:szCs w:val="21"/>
              </w:rPr>
            </w:pPr>
          </w:p>
        </w:tc>
        <w:tc>
          <w:tcPr>
            <w:tcW w:w="954"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(mm/m)</w:t>
            </w:r>
          </w:p>
        </w:tc>
        <w:tc>
          <w:tcPr>
            <w:tcW w:w="1346"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(10</w:t>
            </w:r>
            <w:r>
              <w:rPr>
                <w:rFonts w:ascii="Times New Roman" w:hAnsi="Times New Roman"/>
                <w:kern w:val="0"/>
                <w:sz w:val="21"/>
                <w:szCs w:val="21"/>
                <w:vertAlign w:val="superscript"/>
              </w:rPr>
              <w:t>-3</w:t>
            </w:r>
            <w:r>
              <w:rPr>
                <w:rFonts w:ascii="Times New Roman" w:hAnsi="Times New Roman"/>
                <w:kern w:val="0"/>
                <w:sz w:val="21"/>
                <w:szCs w:val="21"/>
              </w:rPr>
              <w:t>/m)</w:t>
            </w:r>
          </w:p>
        </w:tc>
        <w:tc>
          <w:tcPr>
            <w:tcW w:w="917"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(mm/m)</w:t>
            </w:r>
          </w:p>
        </w:tc>
        <w:tc>
          <w:tcPr>
            <w:tcW w:w="769" w:type="dxa"/>
            <w:vMerge w:val="continue"/>
            <w:vAlign w:val="center"/>
          </w:tcPr>
          <w:p>
            <w:pPr>
              <w:ind w:right="240" w:rightChars="100"/>
              <w:jc w:val="center"/>
              <w:rPr>
                <w:rFonts w:ascii="Times New Roman" w:hAnsi="Times New Roman"/>
                <w:kern w:val="0"/>
                <w:sz w:val="21"/>
                <w:szCs w:val="21"/>
              </w:rPr>
            </w:pPr>
          </w:p>
        </w:tc>
        <w:tc>
          <w:tcPr>
            <w:tcW w:w="1071" w:type="dxa"/>
            <w:vMerge w:val="continue"/>
            <w:vAlign w:val="center"/>
          </w:tcPr>
          <w:p>
            <w:pPr>
              <w:ind w:right="240" w:rightChars="100"/>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697" w:type="dxa"/>
            <w:vMerge w:val="restart"/>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I</w:t>
            </w:r>
          </w:p>
        </w:tc>
        <w:tc>
          <w:tcPr>
            <w:tcW w:w="3341" w:type="dxa"/>
            <w:tcMar>
              <w:top w:w="12" w:type="dxa"/>
              <w:left w:w="12" w:type="dxa"/>
              <w:bottom w:w="0" w:type="dxa"/>
              <w:right w:w="12" w:type="dxa"/>
            </w:tcMar>
            <w:vAlign w:val="center"/>
          </w:tcPr>
          <w:p>
            <w:pPr>
              <w:rPr>
                <w:rFonts w:ascii="Times New Roman" w:hAnsi="Times New Roman"/>
                <w:kern w:val="0"/>
                <w:sz w:val="21"/>
                <w:szCs w:val="21"/>
              </w:rPr>
            </w:pPr>
            <w:r>
              <w:rPr>
                <w:rFonts w:ascii="Times New Roman" w:hAnsi="Times New Roman"/>
                <w:kern w:val="0"/>
                <w:sz w:val="21"/>
                <w:szCs w:val="21"/>
              </w:rPr>
              <w:t>自然间砖墙上出现宽度1～2mm的裂缝</w:t>
            </w:r>
          </w:p>
        </w:tc>
        <w:tc>
          <w:tcPr>
            <w:tcW w:w="954" w:type="dxa"/>
            <w:vMerge w:val="restart"/>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≤2.0</w:t>
            </w:r>
          </w:p>
        </w:tc>
        <w:tc>
          <w:tcPr>
            <w:tcW w:w="1346" w:type="dxa"/>
            <w:vMerge w:val="restart"/>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≤0.2</w:t>
            </w:r>
          </w:p>
        </w:tc>
        <w:tc>
          <w:tcPr>
            <w:tcW w:w="917" w:type="dxa"/>
            <w:vMerge w:val="restart"/>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≤3.0</w:t>
            </w:r>
          </w:p>
        </w:tc>
        <w:tc>
          <w:tcPr>
            <w:tcW w:w="769"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极轻微损坏</w:t>
            </w:r>
          </w:p>
        </w:tc>
        <w:tc>
          <w:tcPr>
            <w:tcW w:w="1071"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不修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697" w:type="dxa"/>
            <w:vMerge w:val="continue"/>
            <w:vAlign w:val="center"/>
          </w:tcPr>
          <w:p>
            <w:pPr>
              <w:jc w:val="center"/>
              <w:rPr>
                <w:rFonts w:ascii="Times New Roman" w:hAnsi="Times New Roman"/>
                <w:kern w:val="0"/>
                <w:sz w:val="21"/>
                <w:szCs w:val="21"/>
              </w:rPr>
            </w:pPr>
          </w:p>
        </w:tc>
        <w:tc>
          <w:tcPr>
            <w:tcW w:w="3341" w:type="dxa"/>
            <w:tcMar>
              <w:top w:w="12" w:type="dxa"/>
              <w:left w:w="12" w:type="dxa"/>
              <w:bottom w:w="0" w:type="dxa"/>
              <w:right w:w="12" w:type="dxa"/>
            </w:tcMar>
            <w:vAlign w:val="center"/>
          </w:tcPr>
          <w:p>
            <w:pPr>
              <w:rPr>
                <w:rFonts w:ascii="Times New Roman" w:hAnsi="Times New Roman"/>
                <w:kern w:val="0"/>
                <w:sz w:val="21"/>
                <w:szCs w:val="21"/>
              </w:rPr>
            </w:pPr>
            <w:r>
              <w:rPr>
                <w:rFonts w:ascii="Times New Roman" w:hAnsi="Times New Roman"/>
                <w:kern w:val="0"/>
                <w:sz w:val="21"/>
                <w:szCs w:val="21"/>
              </w:rPr>
              <w:t>自然间砖墙上出现宽度小于4mm的裂缝；多条裂缝总宽度小于10mm</w:t>
            </w:r>
          </w:p>
        </w:tc>
        <w:tc>
          <w:tcPr>
            <w:tcW w:w="954" w:type="dxa"/>
            <w:vMerge w:val="continue"/>
            <w:tcMar>
              <w:top w:w="12" w:type="dxa"/>
              <w:left w:w="12" w:type="dxa"/>
              <w:bottom w:w="0" w:type="dxa"/>
              <w:right w:w="12" w:type="dxa"/>
            </w:tcMar>
            <w:vAlign w:val="center"/>
          </w:tcPr>
          <w:p>
            <w:pPr>
              <w:jc w:val="center"/>
              <w:rPr>
                <w:rFonts w:ascii="Times New Roman" w:hAnsi="Times New Roman"/>
                <w:kern w:val="0"/>
                <w:sz w:val="21"/>
                <w:szCs w:val="21"/>
              </w:rPr>
            </w:pPr>
          </w:p>
        </w:tc>
        <w:tc>
          <w:tcPr>
            <w:tcW w:w="1346" w:type="dxa"/>
            <w:vMerge w:val="continue"/>
            <w:tcMar>
              <w:top w:w="12" w:type="dxa"/>
              <w:left w:w="12" w:type="dxa"/>
              <w:bottom w:w="0" w:type="dxa"/>
              <w:right w:w="12" w:type="dxa"/>
            </w:tcMar>
            <w:vAlign w:val="center"/>
          </w:tcPr>
          <w:p>
            <w:pPr>
              <w:jc w:val="center"/>
              <w:rPr>
                <w:rFonts w:ascii="Times New Roman" w:hAnsi="Times New Roman"/>
                <w:kern w:val="0"/>
                <w:sz w:val="21"/>
                <w:szCs w:val="21"/>
              </w:rPr>
            </w:pPr>
          </w:p>
        </w:tc>
        <w:tc>
          <w:tcPr>
            <w:tcW w:w="917" w:type="dxa"/>
            <w:vMerge w:val="continue"/>
            <w:tcMar>
              <w:top w:w="12" w:type="dxa"/>
              <w:left w:w="12" w:type="dxa"/>
              <w:bottom w:w="0" w:type="dxa"/>
              <w:right w:w="12" w:type="dxa"/>
            </w:tcMar>
            <w:vAlign w:val="center"/>
          </w:tcPr>
          <w:p>
            <w:pPr>
              <w:jc w:val="center"/>
              <w:rPr>
                <w:rFonts w:ascii="Times New Roman" w:hAnsi="Times New Roman"/>
                <w:kern w:val="0"/>
                <w:sz w:val="21"/>
                <w:szCs w:val="21"/>
              </w:rPr>
            </w:pPr>
          </w:p>
        </w:tc>
        <w:tc>
          <w:tcPr>
            <w:tcW w:w="769"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轻微</w:t>
            </w:r>
            <w:r>
              <w:rPr>
                <w:rFonts w:ascii="Times New Roman" w:hAnsi="Times New Roman"/>
                <w:kern w:val="0"/>
                <w:sz w:val="21"/>
                <w:szCs w:val="21"/>
              </w:rPr>
              <w:br w:type="textWrapping"/>
            </w:r>
            <w:r>
              <w:rPr>
                <w:rFonts w:ascii="Times New Roman" w:hAnsi="Times New Roman"/>
                <w:kern w:val="0"/>
                <w:sz w:val="21"/>
                <w:szCs w:val="21"/>
              </w:rPr>
              <w:t>损坏</w:t>
            </w:r>
          </w:p>
        </w:tc>
        <w:tc>
          <w:tcPr>
            <w:tcW w:w="1071"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简单维修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697"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II</w:t>
            </w:r>
          </w:p>
        </w:tc>
        <w:tc>
          <w:tcPr>
            <w:tcW w:w="3341" w:type="dxa"/>
            <w:tcMar>
              <w:top w:w="12" w:type="dxa"/>
              <w:left w:w="12" w:type="dxa"/>
              <w:bottom w:w="0" w:type="dxa"/>
              <w:right w:w="12" w:type="dxa"/>
            </w:tcMar>
            <w:vAlign w:val="center"/>
          </w:tcPr>
          <w:p>
            <w:pPr>
              <w:rPr>
                <w:rFonts w:ascii="Times New Roman" w:hAnsi="Times New Roman"/>
                <w:kern w:val="0"/>
                <w:sz w:val="21"/>
                <w:szCs w:val="21"/>
              </w:rPr>
            </w:pPr>
            <w:r>
              <w:rPr>
                <w:rFonts w:ascii="Times New Roman" w:hAnsi="Times New Roman"/>
                <w:kern w:val="0"/>
                <w:sz w:val="21"/>
                <w:szCs w:val="21"/>
              </w:rPr>
              <w:t>自然间砖墙上出现宽度小于15mm的裂缝，多条裂缝总宽度小于30mm；钢筋混凝土梁、柱上裂缝长度小于1/3截面高度；梁端抽出小于20mm；砖柱上出现水平裂缝，缝长小于1/2截面边长；门窗略有歪斜</w:t>
            </w:r>
          </w:p>
        </w:tc>
        <w:tc>
          <w:tcPr>
            <w:tcW w:w="954"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≤4.0</w:t>
            </w:r>
          </w:p>
        </w:tc>
        <w:tc>
          <w:tcPr>
            <w:tcW w:w="1346"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≤0.4</w:t>
            </w:r>
          </w:p>
        </w:tc>
        <w:tc>
          <w:tcPr>
            <w:tcW w:w="917"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≤6.0</w:t>
            </w:r>
          </w:p>
        </w:tc>
        <w:tc>
          <w:tcPr>
            <w:tcW w:w="769"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轻度</w:t>
            </w:r>
          </w:p>
          <w:p>
            <w:pPr>
              <w:jc w:val="center"/>
              <w:rPr>
                <w:rFonts w:ascii="Times New Roman" w:hAnsi="Times New Roman"/>
                <w:kern w:val="0"/>
                <w:sz w:val="21"/>
                <w:szCs w:val="21"/>
              </w:rPr>
            </w:pPr>
            <w:r>
              <w:rPr>
                <w:rFonts w:ascii="Times New Roman" w:hAnsi="Times New Roman"/>
                <w:kern w:val="0"/>
                <w:sz w:val="21"/>
                <w:szCs w:val="21"/>
              </w:rPr>
              <w:t>损坏</w:t>
            </w:r>
          </w:p>
        </w:tc>
        <w:tc>
          <w:tcPr>
            <w:tcW w:w="1071"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小修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697"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III</w:t>
            </w:r>
          </w:p>
        </w:tc>
        <w:tc>
          <w:tcPr>
            <w:tcW w:w="3341" w:type="dxa"/>
            <w:tcMar>
              <w:top w:w="12" w:type="dxa"/>
              <w:left w:w="12" w:type="dxa"/>
              <w:bottom w:w="0" w:type="dxa"/>
              <w:right w:w="12" w:type="dxa"/>
            </w:tcMar>
            <w:vAlign w:val="center"/>
          </w:tcPr>
          <w:p>
            <w:pPr>
              <w:rPr>
                <w:rFonts w:ascii="Times New Roman" w:hAnsi="Times New Roman"/>
                <w:kern w:val="0"/>
                <w:sz w:val="21"/>
                <w:szCs w:val="21"/>
              </w:rPr>
            </w:pPr>
            <w:r>
              <w:rPr>
                <w:rFonts w:ascii="Times New Roman" w:hAnsi="Times New Roman"/>
                <w:kern w:val="0"/>
                <w:sz w:val="21"/>
                <w:szCs w:val="21"/>
              </w:rPr>
              <w:t>自然间砖墙上出现宽度小于30mm的裂缝，多条裂缝总宽度小于50mm；钢筋混凝土梁、柱上裂缝长度小于1/2截面高度；梁端抽出小于50mm；砖柱上出现小于5mm的水平错动；门窗严重变形</w:t>
            </w:r>
          </w:p>
        </w:tc>
        <w:tc>
          <w:tcPr>
            <w:tcW w:w="954"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≤6.0</w:t>
            </w:r>
          </w:p>
        </w:tc>
        <w:tc>
          <w:tcPr>
            <w:tcW w:w="1346"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≤0.6</w:t>
            </w:r>
          </w:p>
        </w:tc>
        <w:tc>
          <w:tcPr>
            <w:tcW w:w="917" w:type="dxa"/>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≤10.0</w:t>
            </w:r>
          </w:p>
        </w:tc>
        <w:tc>
          <w:tcPr>
            <w:tcW w:w="769"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中度</w:t>
            </w:r>
            <w:r>
              <w:rPr>
                <w:rFonts w:ascii="Times New Roman" w:hAnsi="Times New Roman"/>
                <w:kern w:val="0"/>
                <w:sz w:val="21"/>
                <w:szCs w:val="21"/>
              </w:rPr>
              <w:br w:type="textWrapping"/>
            </w:r>
            <w:r>
              <w:rPr>
                <w:rFonts w:ascii="Times New Roman" w:hAnsi="Times New Roman"/>
                <w:kern w:val="0"/>
                <w:sz w:val="21"/>
                <w:szCs w:val="21"/>
              </w:rPr>
              <w:t>损坏</w:t>
            </w:r>
          </w:p>
        </w:tc>
        <w:tc>
          <w:tcPr>
            <w:tcW w:w="1071"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中修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697" w:type="dxa"/>
            <w:vMerge w:val="restart"/>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IV</w:t>
            </w:r>
          </w:p>
        </w:tc>
        <w:tc>
          <w:tcPr>
            <w:tcW w:w="3341" w:type="dxa"/>
            <w:tcMar>
              <w:top w:w="12" w:type="dxa"/>
              <w:left w:w="12" w:type="dxa"/>
              <w:bottom w:w="0" w:type="dxa"/>
              <w:right w:w="12" w:type="dxa"/>
            </w:tcMar>
            <w:vAlign w:val="center"/>
          </w:tcPr>
          <w:p>
            <w:pPr>
              <w:rPr>
                <w:rFonts w:ascii="Times New Roman" w:hAnsi="Times New Roman"/>
                <w:kern w:val="0"/>
                <w:sz w:val="21"/>
                <w:szCs w:val="21"/>
              </w:rPr>
            </w:pPr>
            <w:r>
              <w:rPr>
                <w:rFonts w:ascii="Times New Roman" w:hAnsi="Times New Roman"/>
                <w:kern w:val="0"/>
                <w:sz w:val="21"/>
                <w:szCs w:val="21"/>
              </w:rPr>
              <w:t>自然间砖墙上出现宽度大于30mm的裂缝，多条裂缝总宽度大于50mm；梁端抽出小于60mm；砖柱出现小于25mm的水平错动</w:t>
            </w:r>
          </w:p>
        </w:tc>
        <w:tc>
          <w:tcPr>
            <w:tcW w:w="954" w:type="dxa"/>
            <w:vMerge w:val="restart"/>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＞6.0</w:t>
            </w:r>
          </w:p>
        </w:tc>
        <w:tc>
          <w:tcPr>
            <w:tcW w:w="1346" w:type="dxa"/>
            <w:vMerge w:val="restart"/>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＞0.6</w:t>
            </w:r>
          </w:p>
        </w:tc>
        <w:tc>
          <w:tcPr>
            <w:tcW w:w="917" w:type="dxa"/>
            <w:vMerge w:val="restart"/>
            <w:noWrap/>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＞10.0</w:t>
            </w:r>
          </w:p>
        </w:tc>
        <w:tc>
          <w:tcPr>
            <w:tcW w:w="769"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严重</w:t>
            </w:r>
            <w:r>
              <w:rPr>
                <w:rFonts w:ascii="Times New Roman" w:hAnsi="Times New Roman"/>
                <w:kern w:val="0"/>
                <w:sz w:val="21"/>
                <w:szCs w:val="21"/>
              </w:rPr>
              <w:br w:type="textWrapping"/>
            </w:r>
            <w:r>
              <w:rPr>
                <w:rFonts w:ascii="Times New Roman" w:hAnsi="Times New Roman"/>
                <w:kern w:val="0"/>
                <w:sz w:val="21"/>
                <w:szCs w:val="21"/>
              </w:rPr>
              <w:t>损坏</w:t>
            </w:r>
          </w:p>
        </w:tc>
        <w:tc>
          <w:tcPr>
            <w:tcW w:w="1071"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大修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697" w:type="dxa"/>
            <w:vMerge w:val="continue"/>
            <w:noWrap/>
            <w:tcMar>
              <w:top w:w="12" w:type="dxa"/>
              <w:left w:w="12" w:type="dxa"/>
              <w:bottom w:w="0" w:type="dxa"/>
              <w:right w:w="12" w:type="dxa"/>
            </w:tcMar>
            <w:vAlign w:val="center"/>
          </w:tcPr>
          <w:p>
            <w:pPr>
              <w:jc w:val="center"/>
              <w:rPr>
                <w:rFonts w:ascii="Times New Roman" w:hAnsi="Times New Roman"/>
                <w:kern w:val="0"/>
                <w:sz w:val="21"/>
                <w:szCs w:val="21"/>
              </w:rPr>
            </w:pPr>
          </w:p>
        </w:tc>
        <w:tc>
          <w:tcPr>
            <w:tcW w:w="3341" w:type="dxa"/>
            <w:tcMar>
              <w:top w:w="12" w:type="dxa"/>
              <w:left w:w="12" w:type="dxa"/>
              <w:bottom w:w="0" w:type="dxa"/>
              <w:right w:w="12" w:type="dxa"/>
            </w:tcMar>
            <w:vAlign w:val="center"/>
          </w:tcPr>
          <w:p>
            <w:pPr>
              <w:rPr>
                <w:rFonts w:ascii="Times New Roman" w:hAnsi="Times New Roman"/>
                <w:kern w:val="0"/>
                <w:sz w:val="21"/>
                <w:szCs w:val="21"/>
              </w:rPr>
            </w:pPr>
            <w:r>
              <w:rPr>
                <w:rFonts w:ascii="Times New Roman" w:hAnsi="Times New Roman"/>
                <w:kern w:val="0"/>
                <w:sz w:val="21"/>
                <w:szCs w:val="21"/>
              </w:rPr>
              <w:t>自然间砖墙上出现严重交叉裂缝、上下贯通裂缝，以及墙体严重外鼓、歪斜；钢筋混凝土梁、柱裂缝沿截面贯通；梁端抽出大于60mm；砖柱出现大于25mm的水平错动；有倒塌危险</w:t>
            </w:r>
          </w:p>
        </w:tc>
        <w:tc>
          <w:tcPr>
            <w:tcW w:w="954" w:type="dxa"/>
            <w:vMerge w:val="continue"/>
            <w:noWrap/>
            <w:tcMar>
              <w:top w:w="12" w:type="dxa"/>
              <w:left w:w="12" w:type="dxa"/>
              <w:bottom w:w="0" w:type="dxa"/>
              <w:right w:w="12" w:type="dxa"/>
            </w:tcMar>
            <w:vAlign w:val="center"/>
          </w:tcPr>
          <w:p>
            <w:pPr>
              <w:rPr>
                <w:rFonts w:ascii="Times New Roman" w:hAnsi="Times New Roman"/>
                <w:kern w:val="0"/>
                <w:sz w:val="21"/>
                <w:szCs w:val="21"/>
              </w:rPr>
            </w:pPr>
          </w:p>
        </w:tc>
        <w:tc>
          <w:tcPr>
            <w:tcW w:w="1346" w:type="dxa"/>
            <w:vMerge w:val="continue"/>
            <w:noWrap/>
            <w:tcMar>
              <w:top w:w="12" w:type="dxa"/>
              <w:left w:w="12" w:type="dxa"/>
              <w:bottom w:w="0" w:type="dxa"/>
              <w:right w:w="12" w:type="dxa"/>
            </w:tcMar>
            <w:vAlign w:val="center"/>
          </w:tcPr>
          <w:p>
            <w:pPr>
              <w:rPr>
                <w:rFonts w:ascii="Times New Roman" w:hAnsi="Times New Roman"/>
                <w:kern w:val="0"/>
                <w:sz w:val="21"/>
                <w:szCs w:val="21"/>
              </w:rPr>
            </w:pPr>
          </w:p>
        </w:tc>
        <w:tc>
          <w:tcPr>
            <w:tcW w:w="917" w:type="dxa"/>
            <w:vMerge w:val="continue"/>
            <w:noWrap/>
            <w:tcMar>
              <w:top w:w="12" w:type="dxa"/>
              <w:left w:w="12" w:type="dxa"/>
              <w:bottom w:w="0" w:type="dxa"/>
              <w:right w:w="12" w:type="dxa"/>
            </w:tcMar>
            <w:vAlign w:val="center"/>
          </w:tcPr>
          <w:p>
            <w:pPr>
              <w:rPr>
                <w:rFonts w:ascii="Times New Roman" w:hAnsi="Times New Roman"/>
                <w:kern w:val="0"/>
                <w:sz w:val="21"/>
                <w:szCs w:val="21"/>
              </w:rPr>
            </w:pPr>
          </w:p>
        </w:tc>
        <w:tc>
          <w:tcPr>
            <w:tcW w:w="769"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极度严重损坏</w:t>
            </w:r>
          </w:p>
        </w:tc>
        <w:tc>
          <w:tcPr>
            <w:tcW w:w="1071" w:type="dxa"/>
            <w:tcMar>
              <w:top w:w="12" w:type="dxa"/>
              <w:left w:w="12" w:type="dxa"/>
              <w:bottom w:w="0" w:type="dxa"/>
              <w:right w:w="12" w:type="dxa"/>
            </w:tcMar>
            <w:vAlign w:val="center"/>
          </w:tcPr>
          <w:p>
            <w:pPr>
              <w:jc w:val="center"/>
              <w:rPr>
                <w:rFonts w:ascii="Times New Roman" w:hAnsi="Times New Roman"/>
                <w:kern w:val="0"/>
                <w:sz w:val="21"/>
                <w:szCs w:val="21"/>
              </w:rPr>
            </w:pPr>
            <w:r>
              <w:rPr>
                <w:rFonts w:ascii="Times New Roman" w:hAnsi="Times New Roman"/>
                <w:kern w:val="0"/>
                <w:sz w:val="21"/>
                <w:szCs w:val="21"/>
              </w:rPr>
              <w:t>拆建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9095" w:type="dxa"/>
            <w:gridSpan w:val="7"/>
            <w:tcMar>
              <w:top w:w="12" w:type="dxa"/>
              <w:left w:w="12" w:type="dxa"/>
              <w:bottom w:w="0" w:type="dxa"/>
              <w:right w:w="12" w:type="dxa"/>
            </w:tcMar>
            <w:vAlign w:val="center"/>
          </w:tcPr>
          <w:p>
            <w:pPr>
              <w:ind w:right="240" w:rightChars="100"/>
              <w:jc w:val="center"/>
              <w:rPr>
                <w:rFonts w:ascii="Times New Roman" w:hAnsi="Times New Roman"/>
                <w:kern w:val="0"/>
                <w:sz w:val="21"/>
                <w:szCs w:val="21"/>
              </w:rPr>
            </w:pPr>
            <w:r>
              <w:rPr>
                <w:rFonts w:ascii="Times New Roman" w:hAnsi="Times New Roman"/>
                <w:kern w:val="0"/>
                <w:sz w:val="21"/>
                <w:szCs w:val="21"/>
              </w:rPr>
              <w:t>注：建筑物的损坏等级按自然间为评判对象，根据各自然间的损坏情况按上表分别进行。</w:t>
            </w:r>
          </w:p>
        </w:tc>
      </w:tr>
    </w:tbl>
    <w:p>
      <w:pPr>
        <w:pStyle w:val="185"/>
        <w:spacing w:before="120" w:beforeLines="50" w:line="440" w:lineRule="exact"/>
        <w:ind w:firstLine="480"/>
        <w:rPr>
          <w:rFonts w:ascii="Times New Roman" w:hAnsi="Times New Roman" w:cs="Times New Roman"/>
        </w:rPr>
      </w:pPr>
      <w:r>
        <w:rPr>
          <w:rFonts w:ascii="Times New Roman" w:hAnsi="Times New Roman" w:cs="Times New Roman"/>
        </w:rPr>
        <w:t>根据地表沉陷预测，87个自然村在矿区开采后：27个村庄</w:t>
      </w:r>
      <w:bookmarkStart w:id="212" w:name="_Hlk67646145"/>
      <w:r>
        <w:rPr>
          <w:rFonts w:ascii="Times New Roman" w:hAnsi="Times New Roman" w:cs="Times New Roman"/>
        </w:rPr>
        <w:t>位于勘查区、一个村庄位于矿区外、5个村庄位于保护煤柱范围内不受沉陷影响</w:t>
      </w:r>
      <w:bookmarkEnd w:id="212"/>
      <w:r>
        <w:rPr>
          <w:rFonts w:ascii="Times New Roman" w:hAnsi="Times New Roman" w:cs="Times New Roman"/>
        </w:rPr>
        <w:t>；11个村庄受到开采沉陷的影响，破坏程度Ⅱ~Ⅲ级，需要小修~中修；43个村庄受Ⅳ级破坏，需搬迁。本次评价仅对可能受沉陷影响的村庄提出简要分析及保护措施，建议在下一阶段项目环境影响评价中根据下一阶段设计开拓开采、采区接替顺序对井田内村庄进行详细预测影响分析，按照《建筑、水体、铁路及煤柱留设与压煤开采规范》的要求对矿区内的村庄采取留设保护煤柱、搬迁或维修的方式，保证村民正常生产生活不受开采沉陷影响，生活质量不降低；加强对可能受沉陷影响村庄的观测，一旦发现居民受到影响则立即实施维修加固或实施搬迁。</w:t>
      </w:r>
    </w:p>
    <w:p>
      <w:pPr>
        <w:pStyle w:val="5"/>
        <w:spacing w:before="120" w:after="120" w:line="440" w:lineRule="exact"/>
        <w:rPr>
          <w:sz w:val="24"/>
        </w:rPr>
      </w:pPr>
      <w:r>
        <w:rPr>
          <w:sz w:val="24"/>
        </w:rPr>
        <w:t>5.1.5开采沉陷对东乌铁路的影响分析</w:t>
      </w:r>
    </w:p>
    <w:p>
      <w:pPr>
        <w:pStyle w:val="417"/>
        <w:spacing w:line="440" w:lineRule="exact"/>
        <w:ind w:firstLine="480"/>
        <w:rPr>
          <w:rFonts w:ascii="Times New Roman" w:hAnsi="Times New Roman" w:eastAsia="宋体" w:cs="Times New Roman"/>
          <w:sz w:val="24"/>
        </w:rPr>
      </w:pPr>
      <w:r>
        <w:rPr>
          <w:rFonts w:ascii="Times New Roman" w:hAnsi="Times New Roman" w:eastAsia="宋体" w:cs="Times New Roman"/>
          <w:sz w:val="24"/>
        </w:rPr>
        <w:t>东乌铁路从矿区南部勘查区及纳林希里井田东西穿过，其中纳林希里井田内长约10.54km。东乌铁路距纳林希里开采工作面最近距离约350m。根据矿区本次规划井田划分及沉陷预测结果，矿区南部开采最大沉陷影响半径约327m，东乌铁路在沉陷影响范围外，不受矿区煤炭开采影响。</w:t>
      </w:r>
    </w:p>
    <w:p>
      <w:pPr>
        <w:pStyle w:val="5"/>
        <w:spacing w:before="120" w:after="120" w:line="440" w:lineRule="exact"/>
        <w:rPr>
          <w:sz w:val="24"/>
        </w:rPr>
      </w:pPr>
      <w:r>
        <w:rPr>
          <w:sz w:val="24"/>
        </w:rPr>
        <w:t>5.1.6开采沉陷对公路的影响分析</w:t>
      </w:r>
    </w:p>
    <w:p>
      <w:pPr>
        <w:adjustRightInd w:val="0"/>
        <w:snapToGrid w:val="0"/>
        <w:spacing w:line="440" w:lineRule="exact"/>
        <w:ind w:firstLine="480" w:firstLineChars="200"/>
        <w:rPr>
          <w:rFonts w:ascii="Times New Roman" w:hAnsi="Times New Roman"/>
        </w:rPr>
      </w:pPr>
      <w:r>
        <w:rPr>
          <w:rFonts w:ascii="Times New Roman" w:hAnsi="Times New Roman"/>
        </w:rPr>
        <w:t>（1）荣乌高速公路</w:t>
      </w:r>
    </w:p>
    <w:p>
      <w:pPr>
        <w:adjustRightInd w:val="0"/>
        <w:snapToGrid w:val="0"/>
        <w:spacing w:line="440" w:lineRule="exact"/>
        <w:ind w:firstLine="480" w:firstLineChars="200"/>
        <w:rPr>
          <w:rFonts w:ascii="Times New Roman" w:hAnsi="Times New Roman"/>
        </w:rPr>
      </w:pPr>
      <w:r>
        <w:rPr>
          <w:rFonts w:ascii="Times New Roman" w:hAnsi="Times New Roman"/>
        </w:rPr>
        <w:t>荣乌高速公路东西穿越矿区奎腾沟井田，矿区内长度约15.06km，总体规划已提出对其留设400m宽的保护煤柱。根据本次沉陷预测，奎腾沟井田最大沉陷影响半径约380m，荣乌高速公路在沉陷影响范围外，不受矿区煤炭开采影响。</w:t>
      </w:r>
    </w:p>
    <w:p>
      <w:pPr>
        <w:adjustRightInd w:val="0"/>
        <w:snapToGrid w:val="0"/>
        <w:spacing w:line="440" w:lineRule="exact"/>
        <w:ind w:firstLine="480" w:firstLineChars="200"/>
        <w:rPr>
          <w:rFonts w:ascii="Times New Roman" w:hAnsi="Times New Roman"/>
        </w:rPr>
      </w:pPr>
      <w:r>
        <w:rPr>
          <w:rFonts w:ascii="Times New Roman" w:hAnsi="Times New Roman"/>
        </w:rPr>
        <w:t>（2）其他道路</w:t>
      </w:r>
    </w:p>
    <w:p>
      <w:pPr>
        <w:adjustRightInd w:val="0"/>
        <w:snapToGrid w:val="0"/>
        <w:spacing w:line="440" w:lineRule="exact"/>
        <w:ind w:firstLine="480" w:firstLineChars="200"/>
        <w:rPr>
          <w:rFonts w:ascii="Times New Roman" w:hAnsi="Times New Roman"/>
        </w:rPr>
      </w:pPr>
      <w:r>
        <w:rPr>
          <w:rFonts w:ascii="Times New Roman" w:hAnsi="Times New Roman"/>
        </w:rPr>
        <w:t>阿四线、阿苏线、安纳线、公纳线、乌阿线为县级道路，穿越苏布尔嘎井田、壕赖苏井田、纳林希里井田。根据本次沉陷预测，这些道路将受到开采沉陷不同程度的影响。评价提出对这些县级公路采取随沉随填、填后夯实、采后修复等措施加以治理，在公路两侧树立警示牌并加强监测，发现问题及时修复，保障过往车辆、行人安全通行。</w:t>
      </w:r>
    </w:p>
    <w:p>
      <w:pPr>
        <w:pStyle w:val="5"/>
        <w:spacing w:before="120" w:after="120" w:line="440" w:lineRule="exact"/>
        <w:rPr>
          <w:sz w:val="24"/>
        </w:rPr>
      </w:pPr>
      <w:r>
        <w:rPr>
          <w:sz w:val="24"/>
        </w:rPr>
        <w:t>5.1.7开采沉陷对高压输电线路的影响分析</w:t>
      </w:r>
    </w:p>
    <w:p>
      <w:pPr>
        <w:adjustRightInd w:val="0"/>
        <w:snapToGrid w:val="0"/>
        <w:spacing w:line="440" w:lineRule="exact"/>
        <w:ind w:firstLine="480" w:firstLineChars="200"/>
        <w:rPr>
          <w:rFonts w:ascii="Times New Roman" w:hAnsi="Times New Roman"/>
        </w:rPr>
      </w:pPr>
      <w:r>
        <w:rPr>
          <w:rFonts w:ascii="Times New Roman" w:hAnsi="Times New Roman"/>
        </w:rPr>
        <w:t>布乌Ⅱ回500kv输电线路东西穿越矿区勘查区及苏布尔嘎井田、壕赖苏井田交界处，矿区内长度约18.5km，总体规划已提出对其留设400m宽的保护煤柱。</w:t>
      </w:r>
    </w:p>
    <w:p>
      <w:pPr>
        <w:adjustRightInd w:val="0"/>
        <w:snapToGrid w:val="0"/>
        <w:spacing w:line="440" w:lineRule="exact"/>
        <w:ind w:firstLine="480" w:firstLineChars="200"/>
        <w:rPr>
          <w:rFonts w:ascii="Times New Roman" w:hAnsi="Times New Roman"/>
        </w:rPr>
      </w:pPr>
      <w:r>
        <w:rPr>
          <w:rFonts w:ascii="Times New Roman" w:hAnsi="Times New Roman"/>
        </w:rPr>
        <w:t>根据本次沉陷预测，苏布尔嘎井田、壕赖苏井田交界处最大沉陷影响半径约365m，小于煤柱留设宽度，因此布乌Ⅱ回500kv高压输电线路不受矿区煤炭开采影响。</w:t>
      </w:r>
    </w:p>
    <w:p>
      <w:pPr>
        <w:spacing w:line="440" w:lineRule="exact"/>
        <w:ind w:firstLine="480" w:firstLineChars="200"/>
        <w:rPr>
          <w:rFonts w:ascii="Times New Roman" w:hAnsi="Times New Roman"/>
        </w:rPr>
      </w:pPr>
      <w:r>
        <w:rPr>
          <w:rFonts w:ascii="Times New Roman" w:hAnsi="Times New Roman"/>
          <w:szCs w:val="24"/>
          <w:lang w:bidi="ar"/>
        </w:rPr>
        <w:t>110kv柒活线为铁路牵引线，位于东乌铁路南侧开采范围外，不受地表沉陷影响。</w:t>
      </w:r>
    </w:p>
    <w:p>
      <w:pPr>
        <w:pStyle w:val="5"/>
        <w:spacing w:before="120" w:after="120" w:line="440" w:lineRule="exact"/>
        <w:rPr>
          <w:sz w:val="24"/>
        </w:rPr>
      </w:pPr>
      <w:r>
        <w:rPr>
          <w:sz w:val="24"/>
        </w:rPr>
        <w:t>5.1.8 开采沉陷对水源地构筑物的影响</w:t>
      </w:r>
    </w:p>
    <w:p>
      <w:pPr>
        <w:adjustRightInd w:val="0"/>
        <w:snapToGrid w:val="0"/>
        <w:spacing w:line="440" w:lineRule="exact"/>
        <w:ind w:firstLine="480" w:firstLineChars="200"/>
        <w:rPr>
          <w:rFonts w:ascii="Times New Roman" w:hAnsi="Times New Roman"/>
        </w:rPr>
      </w:pPr>
      <w:bookmarkStart w:id="213" w:name="_Toc419720427"/>
      <w:r>
        <w:rPr>
          <w:rFonts w:ascii="Times New Roman" w:hAnsi="Times New Roman"/>
        </w:rPr>
        <w:t>红庆河镇乌兰淖水源地，属碎屑岩类裂隙孔隙承压水型水源地，已建成水源井13眼。其中12眼位于勘查区，1眼位于纳林希里井田范围内。</w:t>
      </w:r>
    </w:p>
    <w:p>
      <w:pPr>
        <w:adjustRightInd w:val="0"/>
        <w:snapToGrid w:val="0"/>
        <w:spacing w:line="440" w:lineRule="exact"/>
        <w:ind w:firstLine="480" w:firstLineChars="200"/>
        <w:rPr>
          <w:rFonts w:ascii="Times New Roman" w:hAnsi="Times New Roman"/>
        </w:rPr>
      </w:pPr>
      <w:r>
        <w:rPr>
          <w:rFonts w:ascii="Times New Roman" w:hAnsi="Times New Roman"/>
        </w:rPr>
        <w:t>红庆河镇哈达图淖尔水源地供水含水层属白垩系下统志丹群碎屑岩类第二、三、四岩段碎屑岩裂隙孔隙承压水，水源井2眼，位于纳林希里井田范围内。</w:t>
      </w:r>
    </w:p>
    <w:p>
      <w:pPr>
        <w:adjustRightInd w:val="0"/>
        <w:snapToGrid w:val="0"/>
        <w:spacing w:line="440" w:lineRule="exact"/>
        <w:ind w:firstLine="480" w:firstLineChars="200"/>
        <w:rPr>
          <w:rFonts w:ascii="Times New Roman" w:hAnsi="Times New Roman"/>
        </w:rPr>
      </w:pPr>
      <w:r>
        <w:rPr>
          <w:rFonts w:ascii="Times New Roman" w:hAnsi="Times New Roman"/>
        </w:rPr>
        <w:t>根据本次沉陷预测，位于勘查区乌兰淖水源地的12眼水源井不受开采沉陷影响；纳林希里井田内的水源井所在区域最大沉陷影响半径约380m，因此本次评价提出对位于纳林希里井田内的哈达图淖尔水源地、乌兰淖水源地，以水源地一级保护区（按Ⅱ级建（构）筑物留设护围带15m）外扩380m作为保护煤柱，保证水源地不受开采沉陷影响。</w:t>
      </w:r>
    </w:p>
    <w:p>
      <w:pPr>
        <w:pStyle w:val="5"/>
        <w:spacing w:before="120" w:after="120" w:line="440" w:lineRule="exact"/>
        <w:rPr>
          <w:sz w:val="24"/>
        </w:rPr>
      </w:pPr>
      <w:r>
        <w:rPr>
          <w:sz w:val="24"/>
        </w:rPr>
        <w:t>5.1.9 开采沉陷对红庆河镇城镇规划区的影响</w:t>
      </w:r>
    </w:p>
    <w:p>
      <w:pPr>
        <w:adjustRightInd w:val="0"/>
        <w:snapToGrid w:val="0"/>
        <w:spacing w:line="440" w:lineRule="exact"/>
        <w:ind w:firstLine="480" w:firstLineChars="200"/>
        <w:rPr>
          <w:rFonts w:ascii="Times New Roman" w:hAnsi="Times New Roman"/>
        </w:rPr>
      </w:pPr>
      <w:r>
        <w:rPr>
          <w:rFonts w:ascii="Times New Roman" w:hAnsi="Times New Roman"/>
        </w:rPr>
        <w:t>红庆河镇城镇规划区位于纳林希里井田范围内，总体规划对其设置了禁采区。</w:t>
      </w:r>
    </w:p>
    <w:p>
      <w:pPr>
        <w:adjustRightInd w:val="0"/>
        <w:snapToGrid w:val="0"/>
        <w:spacing w:line="440" w:lineRule="exact"/>
        <w:ind w:firstLine="480" w:firstLineChars="200"/>
        <w:rPr>
          <w:rFonts w:ascii="Times New Roman" w:hAnsi="Times New Roman"/>
        </w:rPr>
      </w:pPr>
      <w:r>
        <w:rPr>
          <w:rFonts w:ascii="Times New Roman" w:hAnsi="Times New Roman"/>
        </w:rPr>
        <w:t>根据本次沉陷预测，红庆河城镇规划区最大沉陷深度约10m左右，周边最大沉陷影响半径约380m，因此本次评价提出对红庆河镇城镇规划区按Ⅱ级建（构）筑物留设护围带15m，在禁采区外扩380m作为保护煤柱，保证红庆河镇城镇规划区不受开采沉陷影响。</w:t>
      </w:r>
    </w:p>
    <w:p>
      <w:pPr>
        <w:pStyle w:val="5"/>
        <w:spacing w:before="120" w:after="120" w:line="440" w:lineRule="exact"/>
        <w:rPr>
          <w:sz w:val="24"/>
        </w:rPr>
      </w:pPr>
      <w:r>
        <w:rPr>
          <w:sz w:val="24"/>
        </w:rPr>
        <w:t>5.1.10 开采沉陷对遗鸥国家级自然保护区的影响</w:t>
      </w:r>
    </w:p>
    <w:p>
      <w:pPr>
        <w:adjustRightInd w:val="0"/>
        <w:snapToGrid w:val="0"/>
        <w:spacing w:line="440" w:lineRule="exact"/>
        <w:ind w:firstLine="480" w:firstLineChars="200"/>
        <w:rPr>
          <w:rFonts w:ascii="Times New Roman" w:hAnsi="Times New Roman"/>
        </w:rPr>
      </w:pPr>
      <w:r>
        <w:rPr>
          <w:rFonts w:ascii="Times New Roman" w:hAnsi="Times New Roman"/>
        </w:rPr>
        <w:t>遗鸥国家级自然保护区面积147.7km</w:t>
      </w:r>
      <w:r>
        <w:rPr>
          <w:rFonts w:ascii="Times New Roman" w:hAnsi="Times New Roman"/>
          <w:vertAlign w:val="superscript"/>
        </w:rPr>
        <w:t>2</w:t>
      </w:r>
      <w:r>
        <w:rPr>
          <w:rFonts w:ascii="Times New Roman" w:hAnsi="Times New Roman"/>
        </w:rPr>
        <w:t>，位于矿区北边界外，其实验区南边界紧邻矿区东北边界（奎腾沟井田东北边界）。根据本次沉陷预测，遗鸥国家级自然保护区实验区受开采沉陷影响面积约2.60km</w:t>
      </w:r>
      <w:r>
        <w:rPr>
          <w:rFonts w:ascii="Times New Roman" w:hAnsi="Times New Roman"/>
          <w:vertAlign w:val="superscript"/>
        </w:rPr>
        <w:t>2</w:t>
      </w:r>
      <w:r>
        <w:rPr>
          <w:rFonts w:ascii="Times New Roman" w:hAnsi="Times New Roman"/>
        </w:rPr>
        <w:t>，沉陷深度在0.01-7m之间。</w:t>
      </w:r>
    </w:p>
    <w:p>
      <w:pPr>
        <w:adjustRightInd w:val="0"/>
        <w:snapToGrid w:val="0"/>
        <w:spacing w:line="440" w:lineRule="exact"/>
        <w:ind w:firstLine="480" w:firstLineChars="200"/>
        <w:rPr>
          <w:rFonts w:ascii="Times New Roman" w:hAnsi="Times New Roman"/>
        </w:rPr>
      </w:pPr>
      <w:r>
        <w:rPr>
          <w:rFonts w:ascii="Times New Roman" w:hAnsi="Times New Roman"/>
        </w:rPr>
        <w:t>根据地表沉陷预测结果，奎腾沟井田最大沉陷影响半径约380m。对自然保护区维护带宽度按20m考虑，本次评价提出对矿区（奎腾沟井田）北边界内侧暂留设400m宽的保护煤柱，在项目实施阶段，留设保护煤柱根据开采情况及地表岩移观测结果实时修正，保证遗鸥国家级自然保护区不受开采沉陷影响。</w:t>
      </w:r>
    </w:p>
    <w:p>
      <w:pPr>
        <w:pStyle w:val="5"/>
        <w:spacing w:before="120" w:after="120" w:line="440" w:lineRule="exact"/>
        <w:rPr>
          <w:sz w:val="24"/>
        </w:rPr>
      </w:pPr>
      <w:r>
        <w:rPr>
          <w:sz w:val="24"/>
        </w:rPr>
        <w:t>5.1.11 开采沉陷对生态保护红线区的影响</w:t>
      </w:r>
    </w:p>
    <w:p>
      <w:pPr>
        <w:adjustRightInd w:val="0"/>
        <w:snapToGrid w:val="0"/>
        <w:spacing w:line="440" w:lineRule="exact"/>
        <w:ind w:firstLine="480" w:firstLineChars="200"/>
        <w:rPr>
          <w:rFonts w:ascii="Times New Roman" w:hAnsi="Times New Roman"/>
        </w:rPr>
      </w:pPr>
      <w:r>
        <w:rPr>
          <w:rFonts w:ascii="Times New Roman" w:hAnsi="Times New Roman"/>
        </w:rPr>
        <w:t>本矿区生态保护红线区包括具有生物多样性维护、水土保持、防风固沙等功能的生态功能重要区域，以及水土流失、土地沙化等生态环境敏感脆弱区域。</w:t>
      </w:r>
    </w:p>
    <w:p>
      <w:pPr>
        <w:adjustRightInd w:val="0"/>
        <w:snapToGrid w:val="0"/>
        <w:spacing w:line="440" w:lineRule="exact"/>
        <w:ind w:firstLine="480" w:firstLineChars="200"/>
        <w:rPr>
          <w:rFonts w:ascii="Times New Roman" w:hAnsi="Times New Roman"/>
          <w:color w:val="FF0000"/>
        </w:rPr>
      </w:pPr>
      <w:bookmarkStart w:id="214" w:name="_Hlk119072477"/>
      <w:r>
        <w:rPr>
          <w:rFonts w:ascii="Times New Roman" w:hAnsi="Times New Roman"/>
          <w:color w:val="FF0000"/>
        </w:rPr>
        <w:t>矿区涉及的生态保护红线区分</w:t>
      </w:r>
      <w:r>
        <w:rPr>
          <w:rFonts w:hint="eastAsia" w:ascii="Times New Roman" w:hAnsi="Times New Roman"/>
          <w:color w:val="FF0000"/>
        </w:rPr>
        <w:t>三</w:t>
      </w:r>
      <w:r>
        <w:rPr>
          <w:rFonts w:ascii="Times New Roman" w:hAnsi="Times New Roman"/>
          <w:color w:val="FF0000"/>
        </w:rPr>
        <w:t>部分：一部分位于矿区勘查区处，面积约28.47km</w:t>
      </w:r>
      <w:r>
        <w:rPr>
          <w:rFonts w:ascii="Times New Roman" w:hAnsi="Times New Roman"/>
          <w:color w:val="FF0000"/>
          <w:vertAlign w:val="superscript"/>
        </w:rPr>
        <w:t>2</w:t>
      </w:r>
      <w:r>
        <w:rPr>
          <w:rFonts w:ascii="Times New Roman" w:hAnsi="Times New Roman"/>
          <w:color w:val="FF0000"/>
        </w:rPr>
        <w:t>，本次规划已将该区域剔除矿区范围；一部分位于矿区北边界外，其实验区南边界紧邻矿区东北边界（奎腾沟井田东北边界）</w:t>
      </w:r>
      <w:r>
        <w:rPr>
          <w:rFonts w:hint="eastAsia" w:ascii="Times New Roman" w:hAnsi="Times New Roman"/>
          <w:color w:val="FF0000"/>
        </w:rPr>
        <w:t>；另一部分位于矿区东侧，奎腾沟井田、苏布尔嘎井田东部边界外，面积约</w:t>
      </w:r>
      <w:r>
        <w:rPr>
          <w:rFonts w:ascii="Times New Roman" w:hAnsi="Times New Roman"/>
          <w:color w:val="FF0000"/>
        </w:rPr>
        <w:t>49.94 km</w:t>
      </w:r>
      <w:r>
        <w:rPr>
          <w:rFonts w:ascii="Times New Roman" w:hAnsi="Times New Roman"/>
          <w:color w:val="FF0000"/>
          <w:vertAlign w:val="superscript"/>
        </w:rPr>
        <w:t>2</w:t>
      </w:r>
      <w:r>
        <w:rPr>
          <w:rFonts w:ascii="Times New Roman" w:hAnsi="Times New Roman"/>
          <w:color w:val="FF0000"/>
        </w:rPr>
        <w:t>。根据本次沉陷预测，生态保护红线区受开采沉陷影响面积约5.3km</w:t>
      </w:r>
      <w:r>
        <w:rPr>
          <w:rFonts w:ascii="Times New Roman" w:hAnsi="Times New Roman"/>
          <w:color w:val="FF0000"/>
          <w:vertAlign w:val="superscript"/>
        </w:rPr>
        <w:t>2</w:t>
      </w:r>
      <w:r>
        <w:rPr>
          <w:rFonts w:ascii="Times New Roman" w:hAnsi="Times New Roman"/>
          <w:color w:val="FF0000"/>
        </w:rPr>
        <w:t>，沉陷深度在0.01-7m之间。</w:t>
      </w:r>
    </w:p>
    <w:p>
      <w:pPr>
        <w:adjustRightInd w:val="0"/>
        <w:snapToGrid w:val="0"/>
        <w:spacing w:line="440" w:lineRule="exact"/>
        <w:ind w:firstLine="480" w:firstLineChars="200"/>
        <w:rPr>
          <w:rFonts w:ascii="Times New Roman" w:hAnsi="Times New Roman"/>
          <w:color w:val="FF0000"/>
        </w:rPr>
      </w:pPr>
      <w:r>
        <w:rPr>
          <w:rFonts w:ascii="Times New Roman" w:hAnsi="Times New Roman"/>
          <w:color w:val="FF0000"/>
        </w:rPr>
        <w:t>根据地表沉陷预测结果，位于矿区勘查区的生态保护红线区不受开采沉陷的影响；奎腾沟井田东北边界处最大沉陷影响半径约380m。对生态保护红线区维护带宽度按20m考虑，本次评价提出对矿区（奎腾沟井田）北边界矿区北边界内侧</w:t>
      </w:r>
      <w:r>
        <w:rPr>
          <w:rFonts w:hint="eastAsia" w:ascii="Times New Roman" w:hAnsi="Times New Roman"/>
          <w:color w:val="FF0000"/>
        </w:rPr>
        <w:t>及奎腾沟井田、苏布尔嘎井田东侧临近生态红线区一侧</w:t>
      </w:r>
      <w:r>
        <w:rPr>
          <w:rFonts w:ascii="Times New Roman" w:hAnsi="Times New Roman"/>
          <w:color w:val="FF0000"/>
        </w:rPr>
        <w:t>暂留设400m宽的保护煤柱，保证生态保护红线区不受开采沉陷影响。</w:t>
      </w:r>
    </w:p>
    <w:p>
      <w:pPr>
        <w:adjustRightInd w:val="0"/>
        <w:snapToGrid w:val="0"/>
        <w:spacing w:line="440" w:lineRule="exact"/>
        <w:ind w:firstLine="480" w:firstLineChars="200"/>
        <w:rPr>
          <w:rFonts w:ascii="Times New Roman" w:hAnsi="Times New Roman"/>
          <w:color w:val="FF0000"/>
        </w:rPr>
      </w:pPr>
      <w:r>
        <w:rPr>
          <w:rFonts w:ascii="Times New Roman" w:hAnsi="Times New Roman"/>
          <w:color w:val="FF0000"/>
        </w:rPr>
        <w:t>为坚守生态红线底线，本次评价要求在项目实施阶段，留设保护煤柱根据开采情况及地表岩移观测结果实时修正，确保生态保护红线区不受开采沉陷影响。</w:t>
      </w:r>
    </w:p>
    <w:bookmarkEnd w:id="214"/>
    <w:p>
      <w:pPr>
        <w:pStyle w:val="5"/>
        <w:spacing w:before="120" w:after="120" w:line="440" w:lineRule="exact"/>
        <w:rPr>
          <w:sz w:val="24"/>
        </w:rPr>
      </w:pPr>
      <w:r>
        <w:rPr>
          <w:sz w:val="24"/>
        </w:rPr>
        <w:t>5.1.12 开采沉陷对文物的影响</w:t>
      </w:r>
    </w:p>
    <w:bookmarkEnd w:id="213"/>
    <w:p>
      <w:pPr>
        <w:adjustRightInd w:val="0"/>
        <w:snapToGrid w:val="0"/>
        <w:spacing w:line="440" w:lineRule="exact"/>
        <w:ind w:firstLine="480" w:firstLineChars="200"/>
        <w:rPr>
          <w:rFonts w:ascii="Times New Roman" w:hAnsi="Times New Roman"/>
        </w:rPr>
      </w:pPr>
      <w:r>
        <w:rPr>
          <w:rFonts w:ascii="Times New Roman" w:hAnsi="Times New Roman"/>
        </w:rPr>
        <w:t>根据《鄂尔多斯市文化和旅游局关于纳林希里矿区选址范围内有关文物保护的函》，本矿区规划范围内涉及26处文物遗迹。其中乌兰敖包城址为市级重点文物保护单位，其余均为未定等级的文物。文物分布情况见表5.1-7。</w:t>
      </w:r>
    </w:p>
    <w:p>
      <w:pPr>
        <w:spacing w:line="440" w:lineRule="exact"/>
        <w:jc w:val="center"/>
        <w:rPr>
          <w:rFonts w:ascii="Times New Roman" w:hAnsi="Times New Roman"/>
          <w:b/>
          <w:kern w:val="0"/>
        </w:rPr>
      </w:pPr>
      <w:r>
        <w:rPr>
          <w:rFonts w:ascii="Times New Roman" w:hAnsi="Times New Roman"/>
          <w:b/>
          <w:kern w:val="0"/>
        </w:rPr>
        <w:t>矿区涉及文物一</w:t>
      </w:r>
      <w:r>
        <w:rPr>
          <w:rFonts w:hint="eastAsia" w:ascii="Times New Roman" w:hAnsi="Times New Roman"/>
          <w:b/>
          <w:kern w:val="0"/>
        </w:rPr>
        <w:t>览</w:t>
      </w:r>
      <w:r>
        <w:rPr>
          <w:rFonts w:ascii="Times New Roman" w:hAnsi="Times New Roman"/>
          <w:b/>
          <w:kern w:val="0"/>
        </w:rPr>
        <w:t>表</w:t>
      </w:r>
    </w:p>
    <w:p>
      <w:pPr>
        <w:spacing w:line="440" w:lineRule="exact"/>
        <w:rPr>
          <w:rFonts w:ascii="Times New Roman" w:hAnsi="Times New Roman"/>
          <w:bCs/>
          <w:kern w:val="0"/>
        </w:rPr>
      </w:pPr>
      <w:r>
        <w:rPr>
          <w:rFonts w:ascii="Times New Roman" w:hAnsi="Times New Roman"/>
          <w:bCs/>
          <w:kern w:val="0"/>
        </w:rPr>
        <w:t>表5.1-7</w:t>
      </w:r>
    </w:p>
    <w:tbl>
      <w:tblPr>
        <w:tblStyle w:val="60"/>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986"/>
        <w:gridCol w:w="1551"/>
        <w:gridCol w:w="1551"/>
        <w:gridCol w:w="1551"/>
        <w:gridCol w:w="1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序号</w:t>
            </w:r>
          </w:p>
        </w:tc>
        <w:tc>
          <w:tcPr>
            <w:tcW w:w="1986" w:type="dxa"/>
            <w:vAlign w:val="center"/>
          </w:tcPr>
          <w:p>
            <w:pPr>
              <w:jc w:val="center"/>
              <w:rPr>
                <w:rFonts w:ascii="Times New Roman" w:hAnsi="Times New Roman"/>
                <w:bCs/>
                <w:kern w:val="0"/>
                <w:sz w:val="21"/>
                <w:szCs w:val="21"/>
              </w:rPr>
            </w:pPr>
            <w:r>
              <w:rPr>
                <w:rFonts w:ascii="Times New Roman" w:hAnsi="Times New Roman"/>
                <w:bCs/>
                <w:kern w:val="0"/>
                <w:sz w:val="21"/>
                <w:szCs w:val="21"/>
              </w:rPr>
              <w:t>名称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等级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所属井田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下沉值（m）</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保护措施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其日嘎墓群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5</w:t>
            </w:r>
          </w:p>
        </w:tc>
        <w:tc>
          <w:tcPr>
            <w:tcW w:w="1547" w:type="dxa"/>
            <w:vMerge w:val="restart"/>
            <w:vAlign w:val="center"/>
          </w:tcPr>
          <w:p>
            <w:pPr>
              <w:jc w:val="center"/>
              <w:rPr>
                <w:rFonts w:ascii="Times New Roman" w:hAnsi="Times New Roman"/>
                <w:sz w:val="21"/>
                <w:szCs w:val="21"/>
              </w:rPr>
            </w:pPr>
          </w:p>
          <w:p>
            <w:pPr>
              <w:jc w:val="center"/>
              <w:rPr>
                <w:rFonts w:ascii="Times New Roman" w:hAnsi="Times New Roman"/>
                <w:sz w:val="21"/>
                <w:szCs w:val="21"/>
              </w:rPr>
            </w:pPr>
          </w:p>
          <w:p>
            <w:pPr>
              <w:jc w:val="center"/>
              <w:rPr>
                <w:rFonts w:ascii="Times New Roman" w:hAnsi="Times New Roman"/>
                <w:sz w:val="21"/>
                <w:szCs w:val="21"/>
              </w:rPr>
            </w:pPr>
          </w:p>
          <w:p>
            <w:pPr>
              <w:jc w:val="center"/>
              <w:rPr>
                <w:rFonts w:ascii="Times New Roman" w:hAnsi="Times New Roman"/>
                <w:sz w:val="21"/>
                <w:szCs w:val="21"/>
              </w:rPr>
            </w:pPr>
          </w:p>
          <w:p>
            <w:pPr>
              <w:jc w:val="center"/>
              <w:rPr>
                <w:rFonts w:ascii="Times New Roman" w:hAnsi="Times New Roman"/>
                <w:sz w:val="21"/>
                <w:szCs w:val="21"/>
              </w:rPr>
            </w:pPr>
          </w:p>
          <w:p>
            <w:pPr>
              <w:jc w:val="center"/>
              <w:rPr>
                <w:rFonts w:ascii="Times New Roman" w:hAnsi="Times New Roman"/>
                <w:bCs/>
                <w:kern w:val="0"/>
                <w:sz w:val="21"/>
                <w:szCs w:val="21"/>
              </w:rPr>
            </w:pPr>
            <w:r>
              <w:rPr>
                <w:rFonts w:ascii="Times New Roman" w:hAnsi="Times New Roman"/>
                <w:sz w:val="21"/>
                <w:szCs w:val="21"/>
              </w:rPr>
              <w:t>原址保护（留设煤柱）、考古发掘、异地迁移保护等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2</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敏盖四社墓群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壕赖苏井田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10</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3</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诺干布拉格遗址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壕赖苏井田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5</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4</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公苏壕墓群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15</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5</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西沙梁墓群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20</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6</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色拉圪台北墓群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奎腾沟井田、苏布尔噶井田交界处</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15</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7</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色拉圪台南墓群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奎腾沟井田、苏布尔噶井田交界处</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10</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8</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苏勒德敖包</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苏布尔噶井田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15</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9</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苏泊汗大队旧址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苏布尔噶井田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15</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10</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查干苏卜日格庙</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苏布尔噶井田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15</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11</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敏盖敖包墓群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壕赖苏井田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5</w:t>
            </w:r>
          </w:p>
        </w:tc>
        <w:tc>
          <w:tcPr>
            <w:tcW w:w="1547" w:type="dxa"/>
            <w:vMerge w:val="continue"/>
            <w:vAlign w:val="center"/>
          </w:tcPr>
          <w:p>
            <w:pPr>
              <w:jc w:val="center"/>
              <w:rPr>
                <w:rFonts w:ascii="Times New Roman" w:hAnsi="Times New Roman"/>
                <w:bCs/>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12</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小乌兰敖包遗址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13</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乌素家坝墓群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矿区东边界外</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14</w:t>
            </w:r>
          </w:p>
        </w:tc>
        <w:tc>
          <w:tcPr>
            <w:tcW w:w="1986" w:type="dxa"/>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尖山墓群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矿区东边界外</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15</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红石头梁墓群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矿区东边界外</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16</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乌兰敖包</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17</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乌兰敖包二社圪旦遗址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18</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乌兰敖包三社遗址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19</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乌兰敖包城址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市重点</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20</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袁家坡墓群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21</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谢家坡墓群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22</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社房圪台墓群</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23</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塌土崖遗址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24</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沙圪旦遗址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25</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杨滩遗址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勘查区</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pPr>
              <w:jc w:val="center"/>
              <w:rPr>
                <w:rFonts w:ascii="Times New Roman" w:hAnsi="Times New Roman"/>
                <w:bCs/>
                <w:kern w:val="0"/>
                <w:sz w:val="21"/>
                <w:szCs w:val="21"/>
              </w:rPr>
            </w:pPr>
            <w:r>
              <w:rPr>
                <w:rFonts w:ascii="Times New Roman" w:hAnsi="Times New Roman"/>
                <w:bCs/>
                <w:kern w:val="0"/>
                <w:sz w:val="21"/>
                <w:szCs w:val="21"/>
              </w:rPr>
              <w:t>26</w:t>
            </w:r>
          </w:p>
        </w:tc>
        <w:tc>
          <w:tcPr>
            <w:tcW w:w="1986" w:type="dxa"/>
            <w:vAlign w:val="center"/>
          </w:tcPr>
          <w:p>
            <w:pPr>
              <w:widowControl/>
              <w:jc w:val="center"/>
              <w:textAlignment w:val="center"/>
              <w:rPr>
                <w:rFonts w:ascii="Times New Roman" w:hAnsi="Times New Roman"/>
                <w:bCs/>
                <w:kern w:val="0"/>
                <w:sz w:val="21"/>
                <w:szCs w:val="21"/>
              </w:rPr>
            </w:pPr>
            <w:r>
              <w:rPr>
                <w:rFonts w:ascii="Times New Roman" w:hAnsi="Times New Roman"/>
                <w:kern w:val="0"/>
                <w:sz w:val="21"/>
                <w:szCs w:val="21"/>
                <w:lang w:bidi="ar"/>
              </w:rPr>
              <w:t>乌兰淖遗址</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未定级</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纳林希里井田</w:t>
            </w:r>
          </w:p>
        </w:tc>
        <w:tc>
          <w:tcPr>
            <w:tcW w:w="1551" w:type="dxa"/>
            <w:vAlign w:val="center"/>
          </w:tcPr>
          <w:p>
            <w:pPr>
              <w:jc w:val="center"/>
              <w:rPr>
                <w:rFonts w:ascii="Times New Roman" w:hAnsi="Times New Roman"/>
                <w:bCs/>
                <w:kern w:val="0"/>
                <w:sz w:val="21"/>
                <w:szCs w:val="21"/>
              </w:rPr>
            </w:pPr>
            <w:r>
              <w:rPr>
                <w:rFonts w:ascii="Times New Roman" w:hAnsi="Times New Roman"/>
                <w:bCs/>
                <w:kern w:val="0"/>
                <w:sz w:val="21"/>
                <w:szCs w:val="21"/>
              </w:rPr>
              <w:t>/</w:t>
            </w:r>
          </w:p>
        </w:tc>
        <w:tc>
          <w:tcPr>
            <w:tcW w:w="1547" w:type="dxa"/>
            <w:vAlign w:val="center"/>
          </w:tcPr>
          <w:p>
            <w:pPr>
              <w:jc w:val="center"/>
              <w:rPr>
                <w:rFonts w:ascii="Times New Roman" w:hAnsi="Times New Roman"/>
                <w:bCs/>
                <w:kern w:val="0"/>
                <w:sz w:val="21"/>
                <w:szCs w:val="21"/>
              </w:rPr>
            </w:pPr>
            <w:r>
              <w:rPr>
                <w:rFonts w:ascii="Times New Roman" w:hAnsi="Times New Roman"/>
                <w:bCs/>
                <w:kern w:val="0"/>
                <w:sz w:val="21"/>
                <w:szCs w:val="21"/>
              </w:rPr>
              <w:t>城镇规划区保护煤柱内，不受沉陷影响</w:t>
            </w:r>
          </w:p>
        </w:tc>
      </w:tr>
    </w:tbl>
    <w:p>
      <w:pPr>
        <w:adjustRightInd w:val="0"/>
        <w:snapToGrid w:val="0"/>
        <w:spacing w:line="440" w:lineRule="exact"/>
        <w:ind w:firstLine="480" w:firstLineChars="200"/>
        <w:rPr>
          <w:rFonts w:ascii="Times New Roman" w:hAnsi="Times New Roman"/>
        </w:rPr>
      </w:pPr>
      <w:r>
        <w:rPr>
          <w:rFonts w:ascii="Times New Roman" w:hAnsi="Times New Roman"/>
        </w:rPr>
        <w:t>根据本次沉陷预测，评价范围内有小乌兰敖包、乌素家坝墓群等15个文物位于开采范围外，不受沉陷影响；另有其日嘎墓群、敏盖四社墓群等11个文物下沉深度在5-15m不等。受影响的文物主要以墓葬、遗址为主。针对墓葬、遗址类文物可在文物保护部门的指导下进行考古发掘或异地搬迁的保护措施；对无法搬迁或容易在搬迁过程中受损坏的文物，进行原址保护（留设保护煤柱），具体留设宽度还须在项目环评阶段详细分析。</w:t>
      </w:r>
    </w:p>
    <w:p>
      <w:pPr>
        <w:pStyle w:val="5"/>
        <w:spacing w:before="120" w:after="120" w:line="440" w:lineRule="exact"/>
        <w:rPr>
          <w:sz w:val="24"/>
        </w:rPr>
      </w:pPr>
      <w:r>
        <w:rPr>
          <w:sz w:val="24"/>
        </w:rPr>
        <w:t>5.1.12 开采沉陷对天然气输气管道的影响</w:t>
      </w:r>
    </w:p>
    <w:p>
      <w:pPr>
        <w:adjustRightInd w:val="0"/>
        <w:snapToGrid w:val="0"/>
        <w:spacing w:line="440" w:lineRule="exact"/>
        <w:ind w:firstLine="480" w:firstLineChars="200"/>
        <w:rPr>
          <w:rFonts w:ascii="Times New Roman" w:hAnsi="Times New Roman"/>
        </w:rPr>
      </w:pPr>
      <w:r>
        <w:rPr>
          <w:rFonts w:ascii="Times New Roman" w:hAnsi="Times New Roman"/>
        </w:rPr>
        <w:t>长呼天然气管道东西向穿越纳林希里井田，矿区内长约17.24km。</w:t>
      </w:r>
    </w:p>
    <w:p>
      <w:pPr>
        <w:adjustRightInd w:val="0"/>
        <w:snapToGrid w:val="0"/>
        <w:spacing w:line="440" w:lineRule="exact"/>
        <w:ind w:firstLine="480" w:firstLineChars="200"/>
        <w:rPr>
          <w:rFonts w:ascii="Times New Roman" w:hAnsi="Times New Roman"/>
        </w:rPr>
      </w:pPr>
      <w:r>
        <w:rPr>
          <w:rFonts w:ascii="Times New Roman" w:hAnsi="Times New Roman"/>
        </w:rPr>
        <w:t>根据地表沉陷预测结果，纳林希里井田最大沉陷影响半径约380m。根据《建筑物、水体、铁路及主要井巷煤柱留设与压煤开采规范》，对长呼天然气管道维护带宽度按20m考虑，本次评价提出对长呼天然气管道暂留设400m宽的保护煤柱，在项目实施阶段，留设保护煤柱根据开采情况及地表岩移观测结果实时修正，确保长呼天然气管道不受开采沉陷影响。</w:t>
      </w:r>
    </w:p>
    <w:p>
      <w:pPr>
        <w:pStyle w:val="5"/>
        <w:spacing w:before="120" w:after="120" w:line="440" w:lineRule="exact"/>
        <w:rPr>
          <w:color w:val="FF0000"/>
          <w:sz w:val="24"/>
        </w:rPr>
      </w:pPr>
      <w:r>
        <w:rPr>
          <w:color w:val="FF0000"/>
          <w:sz w:val="24"/>
          <w:highlight w:val="yellow"/>
        </w:rPr>
        <w:t>5.1.13 开采沉陷对天然气</w:t>
      </w:r>
      <w:r>
        <w:rPr>
          <w:rFonts w:hint="eastAsia"/>
          <w:color w:val="FF0000"/>
          <w:sz w:val="24"/>
          <w:highlight w:val="yellow"/>
        </w:rPr>
        <w:t>井</w:t>
      </w:r>
      <w:r>
        <w:rPr>
          <w:color w:val="FF0000"/>
          <w:sz w:val="24"/>
          <w:highlight w:val="yellow"/>
        </w:rPr>
        <w:t>的影响</w:t>
      </w:r>
    </w:p>
    <w:p>
      <w:pPr>
        <w:spacing w:line="440" w:lineRule="exact"/>
        <w:ind w:firstLine="480" w:firstLineChars="200"/>
        <w:rPr>
          <w:rFonts w:ascii="Times New Roman" w:hAnsi="Times New Roman"/>
          <w:color w:val="FF0000"/>
          <w:highlight w:val="yellow"/>
        </w:rPr>
      </w:pPr>
      <w:r>
        <w:rPr>
          <w:rFonts w:ascii="Times New Roman" w:hAnsi="Times New Roman"/>
          <w:color w:val="FF0000"/>
          <w:highlight w:val="yellow"/>
        </w:rPr>
        <w:t>纳林希里矿区范围涉及两块气田，分别为东胜气田及苏格里气田。其中苏布尔</w:t>
      </w:r>
      <w:r>
        <w:rPr>
          <w:rFonts w:hint="eastAsia" w:ascii="Times New Roman" w:hAnsi="Times New Roman"/>
          <w:color w:val="FF0000"/>
          <w:highlight w:val="yellow"/>
        </w:rPr>
        <w:t>嘎</w:t>
      </w:r>
      <w:r>
        <w:rPr>
          <w:rFonts w:ascii="Times New Roman" w:hAnsi="Times New Roman"/>
          <w:color w:val="FF0000"/>
          <w:highlight w:val="yellow"/>
        </w:rPr>
        <w:t>井田范围与东胜气田2处</w:t>
      </w:r>
      <w:r>
        <w:rPr>
          <w:rFonts w:hint="eastAsia" w:ascii="Times New Roman" w:hAnsi="Times New Roman"/>
          <w:color w:val="FF0000"/>
          <w:highlight w:val="yellow"/>
        </w:rPr>
        <w:t>预留</w:t>
      </w:r>
      <w:r>
        <w:rPr>
          <w:rFonts w:ascii="Times New Roman" w:hAnsi="Times New Roman"/>
          <w:color w:val="FF0000"/>
          <w:highlight w:val="yellow"/>
        </w:rPr>
        <w:t>天然气勘查区域范围部分重叠，北侧重叠区域面积为6.16km</w:t>
      </w:r>
      <w:r>
        <w:rPr>
          <w:rFonts w:ascii="Times New Roman" w:hAnsi="Times New Roman"/>
          <w:color w:val="FF0000"/>
          <w:highlight w:val="yellow"/>
          <w:vertAlign w:val="superscript"/>
        </w:rPr>
        <w:t>2</w:t>
      </w:r>
      <w:r>
        <w:rPr>
          <w:rFonts w:ascii="Times New Roman" w:hAnsi="Times New Roman"/>
          <w:color w:val="FF0000"/>
          <w:highlight w:val="yellow"/>
        </w:rPr>
        <w:t>，南侧重叠区域面积6.93km</w:t>
      </w:r>
      <w:r>
        <w:rPr>
          <w:rFonts w:ascii="Times New Roman" w:hAnsi="Times New Roman"/>
          <w:color w:val="FF0000"/>
          <w:highlight w:val="yellow"/>
          <w:vertAlign w:val="superscript"/>
        </w:rPr>
        <w:t>2</w:t>
      </w:r>
      <w:r>
        <w:rPr>
          <w:rFonts w:hint="eastAsia" w:ascii="Times New Roman" w:hAnsi="Times New Roman"/>
          <w:color w:val="FF0000"/>
          <w:highlight w:val="yellow"/>
        </w:rPr>
        <w:t>，涉及3眼勘探井，目前尚未进行开采工作。</w:t>
      </w:r>
      <w:r>
        <w:rPr>
          <w:rFonts w:ascii="Times New Roman" w:hAnsi="Times New Roman"/>
          <w:color w:val="FF0000"/>
          <w:highlight w:val="yellow"/>
        </w:rPr>
        <w:t>东胜气田所属建设单位为中国石油化工股份有限公司华北油气分公司，现双方已签订《关于东胜气田采矿权与鄂尔多斯市东胜煤田纳林希里矿区苏布尔噶井田探矿权范围重叠的安全生产和权益保护协议》。</w:t>
      </w:r>
    </w:p>
    <w:p>
      <w:pPr>
        <w:spacing w:line="440" w:lineRule="exact"/>
        <w:ind w:firstLine="480" w:firstLineChars="200"/>
        <w:rPr>
          <w:rFonts w:ascii="Times New Roman" w:hAnsi="Times New Roman"/>
          <w:color w:val="FF0000"/>
        </w:rPr>
      </w:pPr>
      <w:r>
        <w:rPr>
          <w:rFonts w:ascii="Times New Roman" w:hAnsi="Times New Roman"/>
          <w:color w:val="FF0000"/>
          <w:highlight w:val="yellow"/>
        </w:rPr>
        <w:t>纳林希里井田范围在苏格里气田范围内，涉及10处天然气井井口，</w:t>
      </w:r>
      <w:r>
        <w:rPr>
          <w:rFonts w:hint="eastAsia" w:ascii="Times New Roman" w:hAnsi="Times New Roman"/>
          <w:color w:val="FF0000"/>
          <w:highlight w:val="yellow"/>
        </w:rPr>
        <w:t>正在开发，</w:t>
      </w:r>
      <w:r>
        <w:rPr>
          <w:rFonts w:ascii="Times New Roman" w:hAnsi="Times New Roman"/>
          <w:color w:val="FF0000"/>
          <w:highlight w:val="yellow"/>
        </w:rPr>
        <w:t>苏里格气田所属开发建设单位为中国石油长庆油田分公司，目前双方已签订《矿权重叠区域资源勘查互不影响和权益保护协议》。</w:t>
      </w:r>
    </w:p>
    <w:p>
      <w:pPr>
        <w:adjustRightInd w:val="0"/>
        <w:snapToGrid w:val="0"/>
        <w:spacing w:line="440" w:lineRule="exact"/>
        <w:ind w:firstLine="480" w:firstLineChars="200"/>
        <w:rPr>
          <w:rFonts w:ascii="Times New Roman" w:hAnsi="Times New Roman"/>
        </w:rPr>
      </w:pPr>
    </w:p>
    <w:p>
      <w:pPr>
        <w:adjustRightInd w:val="0"/>
        <w:snapToGrid w:val="0"/>
        <w:spacing w:line="440" w:lineRule="exact"/>
        <w:ind w:firstLine="480" w:firstLineChars="200"/>
        <w:rPr>
          <w:rFonts w:ascii="Times New Roman" w:hAnsi="Times New Roman"/>
          <w:color w:val="FF0000"/>
        </w:rPr>
      </w:pPr>
      <w:r>
        <w:rPr>
          <w:rFonts w:ascii="Times New Roman" w:hAnsi="Times New Roman"/>
          <w:color w:val="FF0000"/>
          <w:highlight w:val="yellow"/>
        </w:rPr>
        <w:t>本次评价提出在项目实施阶段，</w:t>
      </w:r>
      <w:r>
        <w:rPr>
          <w:rFonts w:hint="eastAsia" w:ascii="Times New Roman" w:hAnsi="Times New Roman"/>
          <w:color w:val="FF0000"/>
          <w:highlight w:val="yellow"/>
        </w:rPr>
        <w:t>矿方应与天然气井所属单位协商开采具体事项，确保天然气井不受开采沉陷影响。</w:t>
      </w:r>
    </w:p>
    <w:bookmarkEnd w:id="211"/>
    <w:p>
      <w:pPr>
        <w:pStyle w:val="4"/>
        <w:adjustRightInd w:val="0"/>
        <w:snapToGrid w:val="0"/>
        <w:spacing w:line="440" w:lineRule="exact"/>
        <w:jc w:val="left"/>
        <w:rPr>
          <w:rFonts w:ascii="Times New Roman" w:hAnsi="Times New Roman" w:eastAsia="宋体"/>
          <w:sz w:val="28"/>
        </w:rPr>
      </w:pPr>
      <w:bookmarkStart w:id="215" w:name="_Toc170391792"/>
      <w:bookmarkStart w:id="216" w:name="_Toc173988830"/>
      <w:bookmarkStart w:id="217" w:name="_Toc173641318"/>
      <w:bookmarkStart w:id="218" w:name="_Toc7073"/>
      <w:bookmarkStart w:id="219" w:name="_Toc18838452"/>
      <w:bookmarkStart w:id="220" w:name="_Toc171214236"/>
      <w:r>
        <w:rPr>
          <w:rFonts w:ascii="Times New Roman" w:hAnsi="Times New Roman" w:eastAsia="宋体"/>
          <w:sz w:val="28"/>
        </w:rPr>
        <w:t>5.2 生态环境影响评价</w:t>
      </w:r>
      <w:bookmarkEnd w:id="215"/>
      <w:bookmarkEnd w:id="216"/>
      <w:bookmarkEnd w:id="217"/>
      <w:bookmarkEnd w:id="218"/>
      <w:bookmarkEnd w:id="219"/>
      <w:bookmarkEnd w:id="220"/>
    </w:p>
    <w:p>
      <w:pPr>
        <w:keepNext/>
        <w:keepLines/>
        <w:adjustRightInd w:val="0"/>
        <w:snapToGrid w:val="0"/>
        <w:spacing w:line="440" w:lineRule="exact"/>
        <w:outlineLvl w:val="2"/>
        <w:rPr>
          <w:rFonts w:ascii="Times New Roman" w:hAnsi="Times New Roman"/>
          <w:b/>
        </w:rPr>
      </w:pPr>
      <w:r>
        <w:rPr>
          <w:rFonts w:ascii="Times New Roman" w:hAnsi="Times New Roman"/>
          <w:b/>
        </w:rPr>
        <w:t>5.2.1 矿区开发对地形地貌的影响分析</w:t>
      </w:r>
    </w:p>
    <w:p>
      <w:pPr>
        <w:adjustRightInd w:val="0"/>
        <w:snapToGrid w:val="0"/>
        <w:spacing w:line="440" w:lineRule="exact"/>
        <w:ind w:firstLine="480" w:firstLineChars="200"/>
        <w:rPr>
          <w:rFonts w:ascii="Times New Roman" w:hAnsi="Times New Roman"/>
        </w:rPr>
      </w:pPr>
      <w:r>
        <w:rPr>
          <w:rFonts w:ascii="Times New Roman" w:hAnsi="Times New Roman"/>
        </w:rPr>
        <w:t>纳林希里矿区位于鄂尔多斯高原东北部，区内地表起伏不大，海拔标高一般在1300～1500m之间。受毛乌素沙漠的影响，地面多被风积沙覆盖，形成平缓洼地及梁地相间的风积丘陵地貌。</w:t>
      </w:r>
    </w:p>
    <w:p>
      <w:pPr>
        <w:adjustRightInd w:val="0"/>
        <w:snapToGrid w:val="0"/>
        <w:spacing w:line="440" w:lineRule="exact"/>
        <w:ind w:firstLine="480" w:firstLineChars="200"/>
        <w:rPr>
          <w:rFonts w:ascii="Times New Roman" w:hAnsi="Times New Roman" w:cs="宋体"/>
          <w:szCs w:val="24"/>
        </w:rPr>
      </w:pPr>
      <w:r>
        <w:rPr>
          <w:rFonts w:ascii="Times New Roman" w:hAnsi="Times New Roman"/>
        </w:rPr>
        <w:t>矿区规划井田全部为井工矿，井工开采对地形地貌的影响主要是开采沉陷的影响。根据地表沉陷预测，矿区开发后地表最大下沉深度约23m。由于矿区煤层埋深大，地表不会出现明显的裂缝和破碎变形，而是整体缓慢下沉，</w:t>
      </w:r>
      <w:r>
        <w:rPr>
          <w:rFonts w:hint="eastAsia" w:cs="宋体"/>
          <w:szCs w:val="24"/>
        </w:rPr>
        <w:t>也</w:t>
      </w:r>
      <w:r>
        <w:rPr>
          <w:szCs w:val="24"/>
        </w:rPr>
        <w:t>不会形成较为明显的下沉盆地</w:t>
      </w:r>
      <w:r>
        <w:rPr>
          <w:rFonts w:hint="eastAsia" w:cs="宋体"/>
          <w:szCs w:val="24"/>
        </w:rPr>
        <w:t>，因此矿区开发对地形地貌的影响较小。</w:t>
      </w:r>
    </w:p>
    <w:p>
      <w:pPr>
        <w:keepNext/>
        <w:keepLines/>
        <w:adjustRightInd w:val="0"/>
        <w:snapToGrid w:val="0"/>
        <w:spacing w:line="440" w:lineRule="exact"/>
        <w:outlineLvl w:val="2"/>
        <w:rPr>
          <w:rFonts w:ascii="Times New Roman" w:hAnsi="Times New Roman"/>
          <w:b/>
        </w:rPr>
      </w:pPr>
      <w:r>
        <w:rPr>
          <w:rFonts w:ascii="Times New Roman" w:hAnsi="Times New Roman"/>
          <w:b/>
        </w:rPr>
        <w:t>5.2.2 矿区开发对土地利用的影响分析</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矿区开发对土地利用的影响主要包括2个方面：项目占地对土地利用的影响和井工矿开采后地表沉陷对土地利用的影响。</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（1）项目占地对土地利用的影响</w:t>
      </w:r>
    </w:p>
    <w:p>
      <w:pPr>
        <w:adjustRightInd w:val="0"/>
        <w:snapToGrid w:val="0"/>
        <w:spacing w:line="440" w:lineRule="exact"/>
        <w:ind w:firstLine="480" w:firstLineChars="200"/>
        <w:rPr>
          <w:rFonts w:ascii="Times New Roman"/>
        </w:rPr>
      </w:pPr>
      <w:r>
        <w:rPr>
          <w:rFonts w:ascii="Times New Roman" w:hAnsi="Times New Roman"/>
          <w:szCs w:val="24"/>
        </w:rPr>
        <w:t>矿区项目占地主要包括矿井及选煤厂（含矿井工业场地、风井场地及矸石周转场）占地，矿区辅助企业中心区、矿区爆破材料库、矿区公路、矿区铁路等，占地类型主要为林地和草地，总占地面积为638.65hm</w:t>
      </w:r>
      <w:r>
        <w:rPr>
          <w:rFonts w:ascii="Times New Roman" w:hAnsi="Times New Roman"/>
          <w:szCs w:val="24"/>
          <w:vertAlign w:val="superscript"/>
        </w:rPr>
        <w:t>2</w:t>
      </w:r>
      <w:r>
        <w:rPr>
          <w:rFonts w:ascii="Times New Roman" w:hAnsi="Times New Roman"/>
          <w:szCs w:val="24"/>
        </w:rPr>
        <w:t>，项目占地会将原来的耕地、林地、草地等土地利用类型变为工矿仓储用地及交通运输用地。项目占地土地利用类型及面积统计表见表5.2-1。</w:t>
      </w:r>
    </w:p>
    <w:p>
      <w:pPr>
        <w:adjustRightInd w:val="0"/>
        <w:snapToGrid w:val="0"/>
        <w:spacing w:line="440" w:lineRule="exact"/>
        <w:jc w:val="center"/>
        <w:rPr>
          <w:rFonts w:ascii="Times New Roman" w:hAnsi="Times New Roman"/>
          <w:szCs w:val="24"/>
        </w:rPr>
      </w:pPr>
      <w:r>
        <w:rPr>
          <w:rFonts w:ascii="Times New Roman" w:hAnsi="Times New Roman"/>
          <w:b/>
          <w:szCs w:val="24"/>
        </w:rPr>
        <w:t>项目占地土地利用类型及面积统计表</w:t>
      </w:r>
    </w:p>
    <w:p>
      <w:pPr>
        <w:adjustRightInd w:val="0"/>
        <w:snapToGrid w:val="0"/>
        <w:spacing w:line="440" w:lineRule="exact"/>
        <w:outlineLvl w:val="4"/>
        <w:rPr>
          <w:rFonts w:ascii="Times New Roman" w:hAnsi="Times New Roman"/>
          <w:szCs w:val="24"/>
        </w:rPr>
      </w:pPr>
      <w:r>
        <w:rPr>
          <w:rFonts w:ascii="Times New Roman" w:hAnsi="Times New Roman"/>
          <w:szCs w:val="24"/>
        </w:rPr>
        <w:t>表5.2-1</w:t>
      </w:r>
    </w:p>
    <w:tbl>
      <w:tblPr>
        <w:tblStyle w:val="59"/>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1"/>
        <w:gridCol w:w="651"/>
        <w:gridCol w:w="612"/>
        <w:gridCol w:w="696"/>
        <w:gridCol w:w="725"/>
        <w:gridCol w:w="737"/>
        <w:gridCol w:w="765"/>
        <w:gridCol w:w="775"/>
        <w:gridCol w:w="654"/>
        <w:gridCol w:w="637"/>
        <w:gridCol w:w="667"/>
        <w:gridCol w:w="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1" w:type="dxa"/>
            <w:shd w:val="clear" w:color="auto" w:fill="auto"/>
            <w:noWrap/>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项目名称</w:t>
            </w:r>
          </w:p>
        </w:tc>
        <w:tc>
          <w:tcPr>
            <w:tcW w:w="65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水浇地</w:t>
            </w:r>
          </w:p>
        </w:tc>
        <w:tc>
          <w:tcPr>
            <w:tcW w:w="612"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旱地</w:t>
            </w:r>
          </w:p>
        </w:tc>
        <w:tc>
          <w:tcPr>
            <w:tcW w:w="69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乔木林地</w:t>
            </w:r>
          </w:p>
        </w:tc>
        <w:tc>
          <w:tcPr>
            <w:tcW w:w="725"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灌木林地</w:t>
            </w:r>
          </w:p>
        </w:tc>
        <w:tc>
          <w:tcPr>
            <w:tcW w:w="73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其他林地</w:t>
            </w:r>
          </w:p>
        </w:tc>
        <w:tc>
          <w:tcPr>
            <w:tcW w:w="765"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天然牧草地</w:t>
            </w:r>
          </w:p>
        </w:tc>
        <w:tc>
          <w:tcPr>
            <w:tcW w:w="775"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人工牧草地</w:t>
            </w:r>
          </w:p>
        </w:tc>
        <w:tc>
          <w:tcPr>
            <w:tcW w:w="654"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其他草地</w:t>
            </w:r>
          </w:p>
        </w:tc>
        <w:tc>
          <w:tcPr>
            <w:tcW w:w="63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农村道路</w:t>
            </w:r>
          </w:p>
        </w:tc>
        <w:tc>
          <w:tcPr>
            <w:tcW w:w="66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沙地</w:t>
            </w:r>
          </w:p>
        </w:tc>
        <w:tc>
          <w:tcPr>
            <w:tcW w:w="74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1" w:type="dxa"/>
            <w:shd w:val="clear" w:color="auto" w:fill="auto"/>
            <w:noWrap/>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矿井及选煤厂（含矿井工业场地、风井场地及矸石周转场）</w:t>
            </w:r>
          </w:p>
        </w:tc>
        <w:tc>
          <w:tcPr>
            <w:tcW w:w="651"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27.38</w:t>
            </w:r>
          </w:p>
        </w:tc>
        <w:tc>
          <w:tcPr>
            <w:tcW w:w="612"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1.36</w:t>
            </w:r>
          </w:p>
        </w:tc>
        <w:tc>
          <w:tcPr>
            <w:tcW w:w="696"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1.36</w:t>
            </w:r>
          </w:p>
        </w:tc>
        <w:tc>
          <w:tcPr>
            <w:tcW w:w="72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52.39</w:t>
            </w:r>
          </w:p>
        </w:tc>
        <w:tc>
          <w:tcPr>
            <w:tcW w:w="7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1.40</w:t>
            </w:r>
          </w:p>
        </w:tc>
        <w:tc>
          <w:tcPr>
            <w:tcW w:w="76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99.45</w:t>
            </w:r>
          </w:p>
        </w:tc>
        <w:tc>
          <w:tcPr>
            <w:tcW w:w="77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8.70</w:t>
            </w:r>
          </w:p>
        </w:tc>
        <w:tc>
          <w:tcPr>
            <w:tcW w:w="654"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2.39</w:t>
            </w:r>
          </w:p>
        </w:tc>
        <w:tc>
          <w:tcPr>
            <w:tcW w:w="6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6.07</w:t>
            </w:r>
          </w:p>
        </w:tc>
        <w:tc>
          <w:tcPr>
            <w:tcW w:w="66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74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200.50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1" w:type="dxa"/>
            <w:shd w:val="clear" w:color="auto" w:fill="auto"/>
            <w:noWrap/>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矿区辅助企业中心区</w:t>
            </w:r>
          </w:p>
        </w:tc>
        <w:tc>
          <w:tcPr>
            <w:tcW w:w="651"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3.06</w:t>
            </w:r>
          </w:p>
        </w:tc>
        <w:tc>
          <w:tcPr>
            <w:tcW w:w="612"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96"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72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17.79</w:t>
            </w:r>
          </w:p>
        </w:tc>
        <w:tc>
          <w:tcPr>
            <w:tcW w:w="7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76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15.64</w:t>
            </w:r>
          </w:p>
        </w:tc>
        <w:tc>
          <w:tcPr>
            <w:tcW w:w="77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7.15</w:t>
            </w:r>
          </w:p>
        </w:tc>
        <w:tc>
          <w:tcPr>
            <w:tcW w:w="654"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0.41</w:t>
            </w:r>
          </w:p>
        </w:tc>
        <w:tc>
          <w:tcPr>
            <w:tcW w:w="6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0.36</w:t>
            </w:r>
          </w:p>
        </w:tc>
        <w:tc>
          <w:tcPr>
            <w:tcW w:w="66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1.43</w:t>
            </w:r>
          </w:p>
        </w:tc>
        <w:tc>
          <w:tcPr>
            <w:tcW w:w="74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45.85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1" w:type="dxa"/>
            <w:shd w:val="clear" w:color="auto" w:fill="auto"/>
            <w:noWrap/>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矿区爆炸材料库</w:t>
            </w:r>
          </w:p>
        </w:tc>
        <w:tc>
          <w:tcPr>
            <w:tcW w:w="651"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12"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96"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72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2.13</w:t>
            </w:r>
          </w:p>
        </w:tc>
        <w:tc>
          <w:tcPr>
            <w:tcW w:w="7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76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1.84</w:t>
            </w:r>
          </w:p>
        </w:tc>
        <w:tc>
          <w:tcPr>
            <w:tcW w:w="77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54"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1.03</w:t>
            </w:r>
          </w:p>
        </w:tc>
        <w:tc>
          <w:tcPr>
            <w:tcW w:w="6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6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74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1" w:type="dxa"/>
            <w:shd w:val="clear" w:color="auto" w:fill="auto"/>
            <w:noWrap/>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矿区公路</w:t>
            </w:r>
          </w:p>
        </w:tc>
        <w:tc>
          <w:tcPr>
            <w:tcW w:w="651"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6.88</w:t>
            </w:r>
          </w:p>
        </w:tc>
        <w:tc>
          <w:tcPr>
            <w:tcW w:w="612"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2.58</w:t>
            </w:r>
          </w:p>
        </w:tc>
        <w:tc>
          <w:tcPr>
            <w:tcW w:w="696"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0.43</w:t>
            </w:r>
          </w:p>
        </w:tc>
        <w:tc>
          <w:tcPr>
            <w:tcW w:w="72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22.36</w:t>
            </w:r>
          </w:p>
        </w:tc>
        <w:tc>
          <w:tcPr>
            <w:tcW w:w="7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0.08</w:t>
            </w:r>
          </w:p>
        </w:tc>
        <w:tc>
          <w:tcPr>
            <w:tcW w:w="76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49.18</w:t>
            </w:r>
          </w:p>
        </w:tc>
        <w:tc>
          <w:tcPr>
            <w:tcW w:w="77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54"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0.19</w:t>
            </w:r>
          </w:p>
        </w:tc>
        <w:tc>
          <w:tcPr>
            <w:tcW w:w="6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6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4.30</w:t>
            </w:r>
          </w:p>
        </w:tc>
        <w:tc>
          <w:tcPr>
            <w:tcW w:w="74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86.00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1" w:type="dxa"/>
            <w:shd w:val="clear" w:color="auto" w:fill="auto"/>
            <w:noWrap/>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矿区铁路</w:t>
            </w:r>
          </w:p>
        </w:tc>
        <w:tc>
          <w:tcPr>
            <w:tcW w:w="651"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33.14</w:t>
            </w:r>
          </w:p>
        </w:tc>
        <w:tc>
          <w:tcPr>
            <w:tcW w:w="612"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96"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72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54.23</w:t>
            </w:r>
          </w:p>
        </w:tc>
        <w:tc>
          <w:tcPr>
            <w:tcW w:w="7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0.87</w:t>
            </w:r>
          </w:p>
        </w:tc>
        <w:tc>
          <w:tcPr>
            <w:tcW w:w="76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195.85</w:t>
            </w:r>
          </w:p>
        </w:tc>
        <w:tc>
          <w:tcPr>
            <w:tcW w:w="77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54"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0.90</w:t>
            </w:r>
          </w:p>
        </w:tc>
        <w:tc>
          <w:tcPr>
            <w:tcW w:w="6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0.00</w:t>
            </w:r>
          </w:p>
        </w:tc>
        <w:tc>
          <w:tcPr>
            <w:tcW w:w="66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16.30</w:t>
            </w:r>
          </w:p>
        </w:tc>
        <w:tc>
          <w:tcPr>
            <w:tcW w:w="74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301.30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21" w:type="dxa"/>
            <w:shd w:val="clear" w:color="auto" w:fill="auto"/>
            <w:noWrap/>
            <w:vAlign w:val="center"/>
          </w:tcPr>
          <w:p>
            <w:pPr>
              <w:widowControl/>
              <w:spacing w:line="240" w:lineRule="exact"/>
              <w:jc w:val="center"/>
              <w:rPr>
                <w:rFonts w:ascii="Times New Roman" w:hAnsi="Times New Roman"/>
                <w:kern w:val="0"/>
                <w:sz w:val="21"/>
                <w:szCs w:val="21"/>
              </w:rPr>
            </w:pPr>
            <w:r>
              <w:rPr>
                <w:rFonts w:ascii="Times New Roman" w:hAnsi="Times New Roman"/>
                <w:kern w:val="0"/>
                <w:sz w:val="21"/>
                <w:szCs w:val="21"/>
              </w:rPr>
              <w:t>合计</w:t>
            </w:r>
          </w:p>
        </w:tc>
        <w:tc>
          <w:tcPr>
            <w:tcW w:w="651"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70.47</w:t>
            </w:r>
          </w:p>
        </w:tc>
        <w:tc>
          <w:tcPr>
            <w:tcW w:w="612"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3.94</w:t>
            </w:r>
          </w:p>
        </w:tc>
        <w:tc>
          <w:tcPr>
            <w:tcW w:w="696"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1.79</w:t>
            </w:r>
          </w:p>
        </w:tc>
        <w:tc>
          <w:tcPr>
            <w:tcW w:w="72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148.90</w:t>
            </w:r>
          </w:p>
        </w:tc>
        <w:tc>
          <w:tcPr>
            <w:tcW w:w="7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2.35</w:t>
            </w:r>
          </w:p>
        </w:tc>
        <w:tc>
          <w:tcPr>
            <w:tcW w:w="76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361.96</w:t>
            </w:r>
          </w:p>
        </w:tc>
        <w:tc>
          <w:tcPr>
            <w:tcW w:w="775"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15.84</w:t>
            </w:r>
          </w:p>
        </w:tc>
        <w:tc>
          <w:tcPr>
            <w:tcW w:w="654"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4.93</w:t>
            </w:r>
          </w:p>
        </w:tc>
        <w:tc>
          <w:tcPr>
            <w:tcW w:w="63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6.43</w:t>
            </w:r>
          </w:p>
        </w:tc>
        <w:tc>
          <w:tcPr>
            <w:tcW w:w="66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22.03</w:t>
            </w:r>
          </w:p>
        </w:tc>
        <w:tc>
          <w:tcPr>
            <w:tcW w:w="747" w:type="dxa"/>
            <w:shd w:val="clear" w:color="auto" w:fill="auto"/>
            <w:noWrap/>
            <w:vAlign w:val="center"/>
          </w:tcPr>
          <w:p>
            <w:pPr>
              <w:widowControl/>
              <w:spacing w:line="240" w:lineRule="exact"/>
              <w:jc w:val="center"/>
              <w:rPr>
                <w:rFonts w:ascii="Times New Roman" w:hAnsi="Times New Roman"/>
                <w:kern w:val="0"/>
                <w:sz w:val="18"/>
                <w:szCs w:val="18"/>
              </w:rPr>
            </w:pPr>
            <w:r>
              <w:rPr>
                <w:rFonts w:ascii="Times New Roman" w:hAnsi="Times New Roman"/>
                <w:kern w:val="0"/>
                <w:sz w:val="18"/>
                <w:szCs w:val="18"/>
              </w:rPr>
              <w:t>638.65</w:t>
            </w:r>
          </w:p>
        </w:tc>
      </w:tr>
    </w:tbl>
    <w:p>
      <w:pPr>
        <w:spacing w:before="120" w:beforeLines="50" w:line="440" w:lineRule="exact"/>
        <w:ind w:firstLine="480" w:firstLineChars="200"/>
        <w:rPr>
          <w:rFonts w:ascii="Times New Roman" w:hAnsi="Times New Roman"/>
          <w:szCs w:val="24"/>
        </w:rPr>
      </w:pPr>
      <w:r>
        <w:rPr>
          <w:rFonts w:ascii="Times New Roman" w:hAnsi="Times New Roman"/>
          <w:szCs w:val="24"/>
        </w:rPr>
        <w:t>（2）地表沉陷对土地利用的影响</w:t>
      </w:r>
    </w:p>
    <w:p>
      <w:pPr>
        <w:spacing w:line="440" w:lineRule="exact"/>
        <w:ind w:firstLine="480" w:firstLineChars="200"/>
        <w:rPr>
          <w:rFonts w:ascii="Times New Roman" w:hAnsi="Times New Roman"/>
          <w:szCs w:val="24"/>
        </w:rPr>
      </w:pPr>
      <w:r>
        <w:rPr>
          <w:rFonts w:ascii="Times New Roman" w:hAnsi="Times New Roman"/>
        </w:rPr>
        <w:t>根据地表沉陷预测，矿区开发后地表最大下沉深度约23m。由于矿区煤层埋深大，地表不会出现明显的裂缝和破碎变形，而是整体缓慢下沉，不会形成较为明显的下沉盆地。</w:t>
      </w:r>
      <w:r>
        <w:rPr>
          <w:rFonts w:ascii="Times New Roman" w:hAnsi="Times New Roman"/>
          <w:szCs w:val="24"/>
        </w:rPr>
        <w:t>通过对矿区内植被调查及现状分析，矿区及评价区内植被覆盖度在30%左右。根据土地利用现状分析，区域主要土地利用类型为林地和草地，矿区开采沉陷可能造成沉陷盆地边缘的植被覆盖度下降，但基本不会改变土地利用类型。采煤沉陷对土地利用的影响情况见表5.2-2和图5.2-1。</w:t>
      </w:r>
    </w:p>
    <w:p>
      <w:pPr>
        <w:adjustRightInd w:val="0"/>
        <w:snapToGrid w:val="0"/>
        <w:spacing w:before="120" w:beforeLines="50" w:line="440" w:lineRule="exact"/>
        <w:jc w:val="center"/>
        <w:rPr>
          <w:rFonts w:ascii="Times New Roman" w:hAnsi="Times New Roman"/>
          <w:szCs w:val="24"/>
        </w:rPr>
      </w:pPr>
      <w:r>
        <w:rPr>
          <w:rFonts w:ascii="Times New Roman" w:hAnsi="Times New Roman"/>
          <w:b/>
          <w:szCs w:val="24"/>
        </w:rPr>
        <w:t>地表沉陷对土地利用影响情况统计表</w:t>
      </w:r>
    </w:p>
    <w:p>
      <w:pPr>
        <w:adjustRightInd w:val="0"/>
        <w:snapToGrid w:val="0"/>
        <w:spacing w:line="440" w:lineRule="exact"/>
        <w:outlineLvl w:val="4"/>
        <w:rPr>
          <w:rFonts w:ascii="Times New Roman" w:hAnsi="Times New Roman"/>
          <w:szCs w:val="24"/>
        </w:rPr>
      </w:pPr>
      <w:r>
        <w:rPr>
          <w:rFonts w:ascii="Times New Roman" w:hAnsi="Times New Roman"/>
          <w:szCs w:val="24"/>
        </w:rPr>
        <w:t>表5.2-2</w:t>
      </w:r>
    </w:p>
    <w:tbl>
      <w:tblPr>
        <w:tblStyle w:val="59"/>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5"/>
        <w:gridCol w:w="1882"/>
        <w:gridCol w:w="2604"/>
        <w:gridCol w:w="2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4077"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r>
              <w:rPr>
                <w:kern w:val="0"/>
                <w:sz w:val="21"/>
                <w:szCs w:val="21"/>
              </w:rPr>
              <w:t>土地利用类型</w:t>
            </w:r>
          </w:p>
        </w:tc>
        <w:tc>
          <w:tcPr>
            <w:tcW w:w="5210"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r>
              <w:rPr>
                <w:kern w:val="0"/>
                <w:sz w:val="21"/>
                <w:szCs w:val="21"/>
              </w:rPr>
              <w:t>沉陷区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19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r>
              <w:rPr>
                <w:kern w:val="0"/>
                <w:sz w:val="21"/>
                <w:szCs w:val="21"/>
              </w:rPr>
              <w:t>一级类</w:t>
            </w:r>
          </w:p>
        </w:tc>
        <w:tc>
          <w:tcPr>
            <w:tcW w:w="1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r>
              <w:rPr>
                <w:kern w:val="0"/>
                <w:sz w:val="21"/>
                <w:szCs w:val="21"/>
              </w:rPr>
              <w:t>二级类</w:t>
            </w:r>
          </w:p>
        </w:tc>
        <w:tc>
          <w:tcPr>
            <w:tcW w:w="26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r>
              <w:rPr>
                <w:kern w:val="0"/>
                <w:sz w:val="21"/>
                <w:szCs w:val="21"/>
              </w:rPr>
              <w:t>面积（</w:t>
            </w:r>
            <w:r>
              <w:rPr>
                <w:rFonts w:ascii="Times New Roman" w:hAnsi="Times New Roman"/>
                <w:kern w:val="0"/>
                <w:sz w:val="21"/>
                <w:szCs w:val="21"/>
              </w:rPr>
              <w:t>km</w:t>
            </w:r>
            <w:r>
              <w:rPr>
                <w:rFonts w:ascii="Times New Roman" w:hAnsi="Times New Roman"/>
                <w:kern w:val="0"/>
                <w:sz w:val="21"/>
                <w:szCs w:val="21"/>
                <w:vertAlign w:val="superscript"/>
              </w:rPr>
              <w:t>2</w:t>
            </w:r>
            <w:r>
              <w:rPr>
                <w:kern w:val="0"/>
                <w:sz w:val="21"/>
                <w:szCs w:val="21"/>
              </w:rPr>
              <w:t>）</w:t>
            </w:r>
          </w:p>
        </w:tc>
        <w:tc>
          <w:tcPr>
            <w:tcW w:w="260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kern w:val="0"/>
                <w:sz w:val="21"/>
                <w:szCs w:val="21"/>
              </w:rPr>
            </w:pPr>
            <w:r>
              <w:rPr>
                <w:kern w:val="0"/>
                <w:sz w:val="21"/>
                <w:szCs w:val="21"/>
              </w:rPr>
              <w:t>比例（</w:t>
            </w:r>
            <w:r>
              <w:rPr>
                <w:rFonts w:ascii="Times New Roman" w:hAnsi="Times New Roman"/>
                <w:kern w:val="0"/>
                <w:sz w:val="21"/>
                <w:szCs w:val="21"/>
              </w:rPr>
              <w:t>%</w:t>
            </w:r>
            <w:r>
              <w:rPr>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restart"/>
            <w:tcBorders>
              <w:top w:val="nil"/>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耕地</w:t>
            </w: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水浇地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18.48</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4.35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旱地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4.11</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restart"/>
            <w:tcBorders>
              <w:top w:val="nil"/>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林地</w:t>
            </w: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乔木林地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16.19</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3.81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灌木林地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160.70</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37.84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其他林地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5.48</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restart"/>
            <w:tcBorders>
              <w:top w:val="nil"/>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草地</w:t>
            </w: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天然牧草地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170.80</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40.22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人工牧草地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16.16</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3.81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其他草地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2.31</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工矿仓储用地</w:t>
            </w: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采矿用地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0.06</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restart"/>
            <w:tcBorders>
              <w:top w:val="nil"/>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住宅用地</w:t>
            </w: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建制镇</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0.09</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村庄</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4.16</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restart"/>
            <w:tcBorders>
              <w:top w:val="nil"/>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交通运输用地</w:t>
            </w: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公路用地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0.63</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农村道路</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5.94</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restart"/>
            <w:tcBorders>
              <w:top w:val="nil"/>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水域及水利设施用地</w:t>
            </w: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河流水面</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2.07</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湖泊水面</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7.39</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坑塘水面</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1.58</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内陆滩涂</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4.24</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restart"/>
            <w:tcBorders>
              <w:top w:val="nil"/>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其他土地</w:t>
            </w: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设施农用地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0.04</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盐碱地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3.17</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沙地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0.95</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5"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kern w:val="0"/>
                <w:sz w:val="21"/>
                <w:szCs w:val="21"/>
              </w:rPr>
            </w:pPr>
          </w:p>
        </w:tc>
        <w:tc>
          <w:tcPr>
            <w:tcW w:w="1882"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裸地</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0.12</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077" w:type="dxa"/>
            <w:gridSpan w:val="2"/>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kern w:val="0"/>
                <w:sz w:val="21"/>
                <w:szCs w:val="21"/>
              </w:rPr>
              <w:t>合计</w:t>
            </w:r>
          </w:p>
        </w:tc>
        <w:tc>
          <w:tcPr>
            <w:tcW w:w="260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ascii="Times New Roman" w:hAnsi="Times New Roman"/>
                <w:sz w:val="21"/>
                <w:szCs w:val="21"/>
              </w:rPr>
              <w:t>424.67</w:t>
            </w:r>
          </w:p>
        </w:tc>
        <w:tc>
          <w:tcPr>
            <w:tcW w:w="2606"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Times New Roman" w:hAnsi="Times New Roman"/>
                <w:kern w:val="0"/>
                <w:sz w:val="21"/>
                <w:szCs w:val="21"/>
              </w:rPr>
            </w:pPr>
            <w:r>
              <w:rPr>
                <w:rFonts w:hint="eastAsia" w:ascii="Times New Roman" w:hAnsi="Times New Roman"/>
                <w:kern w:val="0"/>
                <w:sz w:val="21"/>
                <w:szCs w:val="21"/>
              </w:rPr>
              <w:t>1</w:t>
            </w:r>
            <w:r>
              <w:rPr>
                <w:rFonts w:ascii="Times New Roman" w:hAnsi="Times New Roman"/>
                <w:kern w:val="0"/>
                <w:sz w:val="21"/>
                <w:szCs w:val="21"/>
              </w:rPr>
              <w:t>00.00</w:t>
            </w:r>
          </w:p>
        </w:tc>
      </w:tr>
    </w:tbl>
    <w:p>
      <w:pPr>
        <w:spacing w:before="240" w:beforeLines="100" w:line="440" w:lineRule="exact"/>
        <w:ind w:firstLine="480" w:firstLineChars="200"/>
        <w:rPr>
          <w:rFonts w:ascii="Times New Roman" w:hAnsi="Times New Roman" w:cs="宋体"/>
          <w:szCs w:val="24"/>
        </w:rPr>
      </w:pPr>
      <w:r>
        <w:rPr>
          <w:rFonts w:ascii="Times New Roman" w:hAnsi="Times New Roman"/>
          <w:szCs w:val="24"/>
        </w:rPr>
        <w:t>综合以上2个方面的影响结果可以得到矿区开发对评价区土地利用影响预测表，见表5.2-3。</w:t>
      </w:r>
      <w:r>
        <w:rPr>
          <w:rFonts w:hint="eastAsia" w:cs="宋体"/>
          <w:szCs w:val="24"/>
        </w:rPr>
        <w:t>矿区开发前后评价区土地利用变化趋势图见图</w:t>
      </w:r>
      <w:r>
        <w:rPr>
          <w:rFonts w:hint="eastAsia" w:ascii="Times New Roman" w:hAnsi="Times New Roman"/>
          <w:szCs w:val="24"/>
        </w:rPr>
        <w:t>5</w:t>
      </w:r>
      <w:r>
        <w:rPr>
          <w:rFonts w:ascii="Times New Roman" w:hAnsi="Times New Roman"/>
          <w:szCs w:val="24"/>
        </w:rPr>
        <w:t>.2</w:t>
      </w:r>
      <w:r>
        <w:rPr>
          <w:rFonts w:hint="eastAsia" w:ascii="Times New Roman" w:hAnsi="Times New Roman"/>
          <w:szCs w:val="24"/>
        </w:rPr>
        <w:t>-</w:t>
      </w:r>
      <w:r>
        <w:rPr>
          <w:rFonts w:ascii="Times New Roman" w:hAnsi="Times New Roman"/>
          <w:szCs w:val="24"/>
        </w:rPr>
        <w:t>2</w:t>
      </w:r>
      <w:r>
        <w:rPr>
          <w:rFonts w:hint="eastAsia" w:cs="宋体"/>
          <w:szCs w:val="24"/>
        </w:rPr>
        <w:t>。</w:t>
      </w:r>
    </w:p>
    <w:p>
      <w:pPr>
        <w:jc w:val="center"/>
        <w:rPr>
          <w:rFonts w:ascii="Times New Roman" w:hAnsi="Times New Roman"/>
          <w:szCs w:val="24"/>
        </w:rPr>
      </w:pPr>
      <w:r>
        <w:rPr>
          <w:rFonts w:ascii="Times New Roman" w:hAnsi="Times New Roman"/>
          <w:szCs w:val="24"/>
        </w:rPr>
        <w:t xml:space="preserve"> </w:t>
      </w:r>
      <w:r>
        <w:rPr>
          <w:rFonts w:ascii="Times New Roman" w:hAnsi="Times New Roman"/>
          <w:b/>
          <w:szCs w:val="24"/>
        </w:rPr>
        <w:t>评价区土地利用变化预测表</w:t>
      </w:r>
    </w:p>
    <w:p>
      <w:pPr>
        <w:spacing w:line="440" w:lineRule="exact"/>
        <w:outlineLvl w:val="4"/>
        <w:rPr>
          <w:rFonts w:ascii="Times New Roman" w:hAnsi="Times New Roman"/>
          <w:szCs w:val="24"/>
        </w:rPr>
      </w:pPr>
      <w:r>
        <w:rPr>
          <w:rFonts w:ascii="Times New Roman" w:hAnsi="Times New Roman"/>
          <w:szCs w:val="24"/>
        </w:rPr>
        <w:t>表5.2-3</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6"/>
        <w:gridCol w:w="1848"/>
        <w:gridCol w:w="1361"/>
        <w:gridCol w:w="1049"/>
        <w:gridCol w:w="1273"/>
        <w:gridCol w:w="1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3954"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土地利用类型</w:t>
            </w:r>
          </w:p>
        </w:tc>
        <w:tc>
          <w:tcPr>
            <w:tcW w:w="2410"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矿区开发前</w:t>
            </w:r>
          </w:p>
        </w:tc>
        <w:tc>
          <w:tcPr>
            <w:tcW w:w="2923"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矿区开发后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一级类</w:t>
            </w:r>
          </w:p>
        </w:tc>
        <w:tc>
          <w:tcPr>
            <w:tcW w:w="1848"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二级类</w:t>
            </w:r>
          </w:p>
        </w:tc>
        <w:tc>
          <w:tcPr>
            <w:tcW w:w="136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面积</w:t>
            </w:r>
          </w:p>
        </w:tc>
        <w:tc>
          <w:tcPr>
            <w:tcW w:w="1049"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面积百分比（%）</w:t>
            </w:r>
          </w:p>
        </w:tc>
        <w:tc>
          <w:tcPr>
            <w:tcW w:w="127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面积</w:t>
            </w:r>
          </w:p>
        </w:tc>
        <w:tc>
          <w:tcPr>
            <w:tcW w:w="1650"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面积百分比（%）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vMerge w:val="continue"/>
            <w:vAlign w:val="center"/>
          </w:tcPr>
          <w:p>
            <w:pPr>
              <w:widowControl/>
              <w:jc w:val="center"/>
              <w:rPr>
                <w:rFonts w:ascii="Times New Roman" w:hAnsi="Times New Roman"/>
                <w:kern w:val="0"/>
                <w:sz w:val="21"/>
                <w:szCs w:val="21"/>
              </w:rPr>
            </w:pPr>
          </w:p>
        </w:tc>
        <w:tc>
          <w:tcPr>
            <w:tcW w:w="1361"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（km</w:t>
            </w:r>
            <w:r>
              <w:rPr>
                <w:rFonts w:ascii="Times New Roman" w:hAnsi="Times New Roman"/>
                <w:kern w:val="0"/>
                <w:sz w:val="21"/>
                <w:szCs w:val="21"/>
                <w:vertAlign w:val="superscript"/>
              </w:rPr>
              <w:t>2</w:t>
            </w:r>
            <w:r>
              <w:rPr>
                <w:rFonts w:ascii="Times New Roman" w:hAnsi="Times New Roman"/>
                <w:kern w:val="0"/>
                <w:sz w:val="21"/>
                <w:szCs w:val="21"/>
              </w:rPr>
              <w:t>）</w:t>
            </w:r>
          </w:p>
        </w:tc>
        <w:tc>
          <w:tcPr>
            <w:tcW w:w="1049" w:type="dxa"/>
            <w:vMerge w:val="continue"/>
            <w:vAlign w:val="center"/>
          </w:tcPr>
          <w:p>
            <w:pPr>
              <w:widowControl/>
              <w:jc w:val="center"/>
              <w:rPr>
                <w:rFonts w:ascii="Times New Roman" w:hAnsi="Times New Roman"/>
                <w:kern w:val="0"/>
                <w:sz w:val="21"/>
                <w:szCs w:val="21"/>
              </w:rPr>
            </w:pPr>
          </w:p>
        </w:tc>
        <w:tc>
          <w:tcPr>
            <w:tcW w:w="127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（km</w:t>
            </w:r>
            <w:r>
              <w:rPr>
                <w:rFonts w:ascii="Times New Roman" w:hAnsi="Times New Roman"/>
                <w:kern w:val="0"/>
                <w:sz w:val="21"/>
                <w:szCs w:val="21"/>
                <w:vertAlign w:val="superscript"/>
              </w:rPr>
              <w:t>2</w:t>
            </w:r>
            <w:r>
              <w:rPr>
                <w:rFonts w:ascii="Times New Roman" w:hAnsi="Times New Roman"/>
                <w:kern w:val="0"/>
                <w:sz w:val="21"/>
                <w:szCs w:val="21"/>
              </w:rPr>
              <w:t>）</w:t>
            </w:r>
          </w:p>
        </w:tc>
        <w:tc>
          <w:tcPr>
            <w:tcW w:w="1650" w:type="dxa"/>
            <w:vMerge w:val="continue"/>
            <w:vAlign w:val="center"/>
          </w:tcPr>
          <w:p>
            <w:pPr>
              <w:widowControl/>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耕地</w:t>
            </w: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水浇地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36.71</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3.49</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36.01</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旱地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17.63</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1.68</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17.59</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林地</w:t>
            </w: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乔木林地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38.84</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3.70</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38.82</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灌木林地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396.28</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37.71</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394.79</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37.57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其他林地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14.26</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1.36</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14.23</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草地</w:t>
            </w: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天然牧草地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421.09</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40.07</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417.47</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39.73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人工牧草地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40.79</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3.88</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40.63</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其他草地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6.27</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0.60</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6.22</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工矿仓储用地</w:t>
            </w: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采矿用地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0.06</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0.01</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2.58</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住宅用地</w:t>
            </w: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城镇住宅用地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0.35</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0.03</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0.35</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农村宅基地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9.85</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0.94</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9.85</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交通运输用地</w:t>
            </w: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铁路用地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1.51</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0.14</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4.53</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公路用地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3.91</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0.37</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4.77</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农村道路</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14.42</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1.37</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14.36</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水域及水利设施用地</w:t>
            </w: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河流水面</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7.85</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0.75</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7.85</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湖泊水面</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13.80</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1.31</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13.80</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坑塘水面</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1.91</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0.18</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1.91</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内陆滩涂</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10.31</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0.98</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10.31</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其他土地</w:t>
            </w: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设施农用地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0.13</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0.01</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0.13</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盐碱地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9.18</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0.87</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9.18</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沙地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4.23</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0.40</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4.01</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106" w:type="dxa"/>
            <w:vMerge w:val="continue"/>
            <w:vAlign w:val="center"/>
          </w:tcPr>
          <w:p>
            <w:pPr>
              <w:widowControl/>
              <w:jc w:val="center"/>
              <w:rPr>
                <w:rFonts w:ascii="Times New Roman" w:hAnsi="Times New Roman"/>
                <w:kern w:val="0"/>
                <w:sz w:val="21"/>
                <w:szCs w:val="21"/>
              </w:rPr>
            </w:pPr>
          </w:p>
        </w:tc>
        <w:tc>
          <w:tcPr>
            <w:tcW w:w="184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裸地</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1.51</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0.14</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1.51</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954" w:type="dxa"/>
            <w:gridSpan w:val="2"/>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合计</w:t>
            </w:r>
          </w:p>
        </w:tc>
        <w:tc>
          <w:tcPr>
            <w:tcW w:w="1361"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1050.90</w:t>
            </w:r>
          </w:p>
        </w:tc>
        <w:tc>
          <w:tcPr>
            <w:tcW w:w="1049"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100.00</w:t>
            </w:r>
          </w:p>
        </w:tc>
        <w:tc>
          <w:tcPr>
            <w:tcW w:w="1273"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1050.90</w:t>
            </w:r>
          </w:p>
        </w:tc>
        <w:tc>
          <w:tcPr>
            <w:tcW w:w="1650"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100.00</w:t>
            </w:r>
          </w:p>
        </w:tc>
      </w:tr>
    </w:tbl>
    <w:p>
      <w:pPr>
        <w:spacing w:line="440" w:lineRule="exact"/>
        <w:ind w:firstLine="480" w:firstLineChars="200"/>
        <w:rPr>
          <w:rFonts w:ascii="Times New Roman" w:hAnsi="Times New Roman"/>
          <w:szCs w:val="24"/>
        </w:rPr>
      </w:pPr>
    </w:p>
    <w:p>
      <w:pPr>
        <w:jc w:val="center"/>
        <w:rPr>
          <w:rFonts w:ascii="Times New Roman" w:hAnsi="Times New Roman"/>
          <w:szCs w:val="24"/>
        </w:rPr>
      </w:pPr>
      <w:r>
        <w:rPr>
          <w:rFonts w:cs="宋体"/>
          <w:szCs w:val="24"/>
        </w:rPr>
        <w:drawing>
          <wp:inline distT="0" distB="0" distL="0" distR="0">
            <wp:extent cx="5760085" cy="2359660"/>
            <wp:effectExtent l="0" t="0" r="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a:xfrm>
                      <a:off x="0" y="0"/>
                      <a:ext cx="5760085" cy="2359744"/>
                    </a:xfrm>
                    <a:prstGeom prst="rect">
                      <a:avLst/>
                    </a:prstGeom>
                    <a:noFill/>
                    <a:ln>
                      <a:noFill/>
                    </a:ln>
                  </pic:spPr>
                </pic:pic>
              </a:graphicData>
            </a:graphic>
          </wp:inline>
        </w:drawing>
      </w:r>
    </w:p>
    <w:p>
      <w:pPr>
        <w:spacing w:line="440" w:lineRule="exact"/>
        <w:jc w:val="center"/>
        <w:rPr>
          <w:rFonts w:ascii="Times New Roman" w:hAnsi="Times New Roman"/>
          <w:b/>
          <w:bCs/>
          <w:szCs w:val="24"/>
        </w:rPr>
      </w:pPr>
      <w:r>
        <w:rPr>
          <w:rFonts w:hint="eastAsia" w:cs="宋体"/>
          <w:b/>
          <w:bCs/>
          <w:szCs w:val="24"/>
        </w:rPr>
        <w:t>图5.2-2  矿区开发前后评价区土地利用变化趋势图</w:t>
      </w:r>
    </w:p>
    <w:p>
      <w:pPr>
        <w:spacing w:line="440" w:lineRule="exact"/>
        <w:ind w:firstLine="480" w:firstLineChars="200"/>
        <w:rPr>
          <w:rFonts w:ascii="Times New Roman" w:hAnsi="Times New Roman"/>
          <w:szCs w:val="24"/>
        </w:rPr>
      </w:pPr>
      <w:r>
        <w:rPr>
          <w:szCs w:val="24"/>
        </w:rPr>
        <w:t>由表</w:t>
      </w:r>
      <w:r>
        <w:rPr>
          <w:rFonts w:hint="eastAsia" w:cs="宋体"/>
          <w:szCs w:val="24"/>
        </w:rPr>
        <w:t>和图</w:t>
      </w:r>
      <w:r>
        <w:rPr>
          <w:szCs w:val="24"/>
        </w:rPr>
        <w:t>可以看出，矿区开发后造成</w:t>
      </w:r>
      <w:r>
        <w:rPr>
          <w:rFonts w:hint="eastAsia" w:cs="宋体"/>
          <w:szCs w:val="24"/>
        </w:rPr>
        <w:t>耕地、林地、草地面积均有小面积减少，减少幅度分别为</w:t>
      </w:r>
      <w:r>
        <w:rPr>
          <w:rFonts w:hint="eastAsia" w:ascii="Times New Roman" w:hAnsi="Times New Roman"/>
          <w:szCs w:val="24"/>
        </w:rPr>
        <w:t>0</w:t>
      </w:r>
      <w:r>
        <w:rPr>
          <w:rFonts w:ascii="Times New Roman" w:hAnsi="Times New Roman"/>
          <w:szCs w:val="24"/>
        </w:rPr>
        <w:t>.07</w:t>
      </w:r>
      <w:r>
        <w:rPr>
          <w:rFonts w:hint="eastAsia" w:ascii="Times New Roman" w:hAnsi="Times New Roman"/>
          <w:szCs w:val="24"/>
        </w:rPr>
        <w:t>%</w:t>
      </w:r>
      <w:r>
        <w:rPr>
          <w:rFonts w:hint="eastAsia" w:cs="宋体"/>
          <w:szCs w:val="24"/>
        </w:rPr>
        <w:t>、</w:t>
      </w:r>
      <w:r>
        <w:rPr>
          <w:rFonts w:hint="eastAsia" w:ascii="Times New Roman" w:hAnsi="Times New Roman"/>
          <w:szCs w:val="24"/>
        </w:rPr>
        <w:t>0</w:t>
      </w:r>
      <w:r>
        <w:rPr>
          <w:rFonts w:ascii="Times New Roman" w:hAnsi="Times New Roman"/>
          <w:szCs w:val="24"/>
        </w:rPr>
        <w:t>.16</w:t>
      </w:r>
      <w:r>
        <w:rPr>
          <w:rFonts w:hint="eastAsia" w:ascii="Times New Roman" w:hAnsi="Times New Roman"/>
          <w:szCs w:val="24"/>
        </w:rPr>
        <w:t>%</w:t>
      </w:r>
      <w:r>
        <w:rPr>
          <w:rFonts w:hint="eastAsia" w:cs="宋体"/>
          <w:szCs w:val="24"/>
        </w:rPr>
        <w:t>和</w:t>
      </w:r>
      <w:r>
        <w:rPr>
          <w:rFonts w:hint="eastAsia" w:ascii="Times New Roman" w:hAnsi="Times New Roman"/>
          <w:szCs w:val="24"/>
        </w:rPr>
        <w:t>0</w:t>
      </w:r>
      <w:r>
        <w:rPr>
          <w:rFonts w:ascii="Times New Roman" w:hAnsi="Times New Roman"/>
          <w:szCs w:val="24"/>
        </w:rPr>
        <w:t>.36</w:t>
      </w:r>
      <w:r>
        <w:rPr>
          <w:rFonts w:hint="eastAsia" w:ascii="Times New Roman" w:hAnsi="Times New Roman"/>
          <w:szCs w:val="24"/>
        </w:rPr>
        <w:t>%</w:t>
      </w:r>
      <w:r>
        <w:rPr>
          <w:rFonts w:hint="eastAsia" w:cs="宋体"/>
          <w:szCs w:val="24"/>
        </w:rPr>
        <w:t>。</w:t>
      </w:r>
      <w:r>
        <w:rPr>
          <w:szCs w:val="24"/>
        </w:rPr>
        <w:t>矿区开发后部分区域土地破坏，植被盖度下降，土壤侵蚀进一步加剧，生态环境受到一定程度的影响。因此在矿区开发的同时应该进行生态整治，尽量减少地表扰动面积，及时采取有效措施防治水土流失并恢复植被。</w:t>
      </w:r>
    </w:p>
    <w:p>
      <w:pPr>
        <w:keepNext/>
        <w:keepLines/>
        <w:spacing w:line="440" w:lineRule="exact"/>
        <w:outlineLvl w:val="2"/>
        <w:rPr>
          <w:rFonts w:ascii="Times New Roman" w:hAnsi="Times New Roman"/>
          <w:b/>
        </w:rPr>
      </w:pPr>
      <w:r>
        <w:rPr>
          <w:rFonts w:ascii="Times New Roman" w:hAnsi="Times New Roman"/>
          <w:b/>
        </w:rPr>
        <w:t>5.2.3 矿区开发对耕地及永久基本农田的影响分析</w:t>
      </w:r>
    </w:p>
    <w:p>
      <w:pPr>
        <w:spacing w:line="440" w:lineRule="exact"/>
        <w:ind w:firstLine="480" w:firstLineChars="200"/>
        <w:rPr>
          <w:rFonts w:ascii="Times New Roman" w:hAnsi="Times New Roman"/>
          <w:szCs w:val="24"/>
        </w:rPr>
      </w:pPr>
      <w:r>
        <w:rPr>
          <w:rFonts w:ascii="Times New Roman" w:hAnsi="Times New Roman"/>
        </w:rPr>
        <w:t>矿区开发后，项目建设占地和采煤引起的地表沉陷都不可避免的会对耕地产生影响，具体影响分析如下，</w:t>
      </w:r>
      <w:r>
        <w:rPr>
          <w:rFonts w:ascii="Times New Roman" w:hAnsi="Times New Roman"/>
          <w:szCs w:val="24"/>
        </w:rPr>
        <w:t>矿区开发对永久基本农田的影响情况见图5.2-3。</w:t>
      </w:r>
    </w:p>
    <w:p>
      <w:pPr>
        <w:adjustRightInd w:val="0"/>
        <w:snapToGrid w:val="0"/>
        <w:spacing w:line="440" w:lineRule="exact"/>
        <w:ind w:firstLine="480" w:firstLineChars="200"/>
        <w:rPr>
          <w:rFonts w:ascii="Times New Roman" w:hAnsi="Times New Roman"/>
        </w:rPr>
      </w:pPr>
      <w:r>
        <w:rPr>
          <w:rFonts w:ascii="Times New Roman" w:hAnsi="Times New Roman"/>
        </w:rPr>
        <w:t>（1）项目占地对耕地及永久基本农田的影响</w:t>
      </w:r>
    </w:p>
    <w:p>
      <w:pPr>
        <w:spacing w:line="440" w:lineRule="exact"/>
        <w:ind w:firstLine="480" w:firstLineChars="200"/>
        <w:rPr>
          <w:rFonts w:ascii="Times New Roman" w:hAnsi="Times New Roman"/>
        </w:rPr>
      </w:pPr>
      <w:r>
        <w:rPr>
          <w:rFonts w:hint="eastAsia" w:cs="宋体"/>
        </w:rPr>
        <w:t>①</w:t>
      </w:r>
      <w:r>
        <w:rPr>
          <w:rFonts w:ascii="Times New Roman" w:hAnsi="Times New Roman"/>
        </w:rPr>
        <w:t>对耕地的影响</w:t>
      </w:r>
    </w:p>
    <w:p>
      <w:pPr>
        <w:spacing w:line="440" w:lineRule="exact"/>
        <w:ind w:firstLine="480" w:firstLineChars="200"/>
        <w:rPr>
          <w:rFonts w:ascii="Times New Roman" w:hAnsi="Times New Roman"/>
        </w:rPr>
      </w:pPr>
      <w:r>
        <w:rPr>
          <w:rFonts w:ascii="Times New Roman" w:hAnsi="Times New Roman"/>
        </w:rPr>
        <w:t>矿区开发后项目占地总面积为638.65hm</w:t>
      </w:r>
      <w:r>
        <w:rPr>
          <w:rFonts w:ascii="Times New Roman" w:hAnsi="Times New Roman"/>
          <w:vertAlign w:val="superscript"/>
        </w:rPr>
        <w:t>2</w:t>
      </w:r>
      <w:r>
        <w:rPr>
          <w:rFonts w:ascii="Times New Roman" w:hAnsi="Times New Roman"/>
        </w:rPr>
        <w:t>，其中水浇地面积70.47hm</w:t>
      </w:r>
      <w:r>
        <w:rPr>
          <w:rFonts w:ascii="Times New Roman" w:hAnsi="Times New Roman"/>
          <w:vertAlign w:val="superscript"/>
        </w:rPr>
        <w:t>2</w:t>
      </w:r>
      <w:r>
        <w:rPr>
          <w:rFonts w:ascii="Times New Roman" w:hAnsi="Times New Roman"/>
        </w:rPr>
        <w:t>，旱地面积3.94hm</w:t>
      </w:r>
      <w:r>
        <w:rPr>
          <w:rFonts w:ascii="Times New Roman" w:hAnsi="Times New Roman"/>
          <w:vertAlign w:val="superscript"/>
        </w:rPr>
        <w:t>2</w:t>
      </w:r>
      <w:r>
        <w:rPr>
          <w:rFonts w:ascii="Times New Roman" w:hAnsi="Times New Roman"/>
        </w:rPr>
        <w:t>。根据《鄂尔多斯市2020年国民经济和社会发展统计公报》，全年粮食作物播种面积310800hm</w:t>
      </w:r>
      <w:r>
        <w:rPr>
          <w:rFonts w:ascii="Times New Roman" w:hAnsi="Times New Roman"/>
          <w:vertAlign w:val="superscript"/>
        </w:rPr>
        <w:t>2</w:t>
      </w:r>
      <w:r>
        <w:rPr>
          <w:rFonts w:ascii="Times New Roman" w:hAnsi="Times New Roman"/>
        </w:rPr>
        <w:t>，粮食总产量189.8万t，平均粮食产量为6106kg/hm</w:t>
      </w:r>
      <w:r>
        <w:rPr>
          <w:rFonts w:ascii="Times New Roman" w:hAnsi="Times New Roman"/>
          <w:vertAlign w:val="superscript"/>
        </w:rPr>
        <w:t>2</w:t>
      </w:r>
      <w:r>
        <w:rPr>
          <w:rFonts w:ascii="Times New Roman" w:hAnsi="Times New Roman"/>
        </w:rPr>
        <w:t>。项目建设后，因项目占地每年约损失粮食454.34t，数量较小，不会导致区域粮食产量明显减少。</w:t>
      </w:r>
    </w:p>
    <w:p>
      <w:pPr>
        <w:spacing w:line="440" w:lineRule="exact"/>
        <w:ind w:firstLine="480" w:firstLineChars="200"/>
        <w:rPr>
          <w:rFonts w:ascii="Times New Roman" w:hAnsi="Times New Roman"/>
        </w:rPr>
      </w:pPr>
      <w:r>
        <w:rPr>
          <w:rFonts w:hint="eastAsia" w:cs="宋体"/>
        </w:rPr>
        <w:t>②</w:t>
      </w:r>
      <w:r>
        <w:rPr>
          <w:rFonts w:ascii="Times New Roman" w:hAnsi="Times New Roman"/>
        </w:rPr>
        <w:t>对永久基本农田的影响</w:t>
      </w:r>
    </w:p>
    <w:p>
      <w:pPr>
        <w:spacing w:line="440" w:lineRule="exact"/>
        <w:ind w:firstLine="480" w:firstLineChars="200"/>
        <w:rPr>
          <w:rFonts w:ascii="Times New Roman" w:hAnsi="Times New Roman"/>
        </w:rPr>
      </w:pPr>
      <w:r>
        <w:rPr>
          <w:rFonts w:ascii="Times New Roman" w:hAnsi="Times New Roman"/>
        </w:rPr>
        <w:t>项目建设占地中有42.28hm</w:t>
      </w:r>
      <w:r>
        <w:rPr>
          <w:rFonts w:ascii="Times New Roman" w:hAnsi="Times New Roman"/>
          <w:vertAlign w:val="superscript"/>
        </w:rPr>
        <w:t>2</w:t>
      </w:r>
      <w:r>
        <w:rPr>
          <w:rFonts w:ascii="Times New Roman" w:hAnsi="Times New Roman"/>
        </w:rPr>
        <w:t>为永久基本农田。对于占用永久基本农田应根据《自然资源部 农业农村部关于加强和改进永久基本农田保护工作的通知》（自然资规[2019]1号）中的规定：一般建设项目不得占用永久基本农田；重大建设项目选址确实难以避让永久基本农田的，在可行性研究阶段，省级自然资源主管部门负责组织对占用的必要性、合理性和补划方案的可行性进行严格论证，报自然资源部用地预审；农用地转用和土地征收依法报批。</w:t>
      </w:r>
    </w:p>
    <w:p>
      <w:pPr>
        <w:spacing w:line="440" w:lineRule="exact"/>
        <w:ind w:firstLine="480" w:firstLineChars="200"/>
        <w:rPr>
          <w:rFonts w:ascii="Times New Roman" w:hAnsi="Times New Roman" w:cs="宋体"/>
          <w:szCs w:val="24"/>
        </w:rPr>
      </w:pPr>
      <w:r>
        <w:rPr>
          <w:rFonts w:hint="eastAsia" w:cs="宋体"/>
          <w:szCs w:val="24"/>
        </w:rPr>
        <w:t>本次环评提出，工业场地选址和线性工程选线时应尽量避开永久基本农田，减少对永久基本农田的占用。如果避让不开，确需占用，应严格按照永久基本农田保护要求办理手续后，再开工建设。</w:t>
      </w:r>
    </w:p>
    <w:p>
      <w:pPr>
        <w:adjustRightInd w:val="0"/>
        <w:snapToGrid w:val="0"/>
        <w:spacing w:line="440" w:lineRule="exact"/>
        <w:ind w:firstLine="480" w:firstLineChars="200"/>
        <w:rPr>
          <w:rFonts w:ascii="Times New Roman" w:hAnsi="Times New Roman"/>
        </w:rPr>
      </w:pPr>
      <w:r>
        <w:rPr>
          <w:rFonts w:ascii="Times New Roman" w:hAnsi="Times New Roman"/>
        </w:rPr>
        <w:t>（2）地表沉陷对耕地及永久基本农田的影响</w:t>
      </w:r>
    </w:p>
    <w:p>
      <w:pPr>
        <w:spacing w:line="440" w:lineRule="exact"/>
        <w:ind w:firstLine="480" w:firstLineChars="200"/>
        <w:rPr>
          <w:rFonts w:ascii="Times New Roman" w:hAnsi="Times New Roman"/>
        </w:rPr>
      </w:pPr>
      <w:r>
        <w:rPr>
          <w:rFonts w:hint="eastAsia" w:cs="宋体"/>
        </w:rPr>
        <w:t>①</w:t>
      </w:r>
      <w:r>
        <w:rPr>
          <w:rFonts w:ascii="Times New Roman" w:hAnsi="Times New Roman"/>
        </w:rPr>
        <w:t>对耕地的影响</w:t>
      </w:r>
    </w:p>
    <w:p>
      <w:pPr>
        <w:spacing w:line="440" w:lineRule="exact"/>
        <w:ind w:firstLine="480" w:firstLineChars="200"/>
        <w:rPr>
          <w:rFonts w:ascii="Times New Roman" w:hAnsi="Times New Roman"/>
        </w:rPr>
      </w:pPr>
      <w:r>
        <w:rPr>
          <w:rFonts w:ascii="Times New Roman" w:hAnsi="Times New Roman"/>
        </w:rPr>
        <w:t>矿区开发后受地表沉陷影响的水浇地面积为18.48km</w:t>
      </w:r>
      <w:r>
        <w:rPr>
          <w:rFonts w:ascii="Times New Roman" w:hAnsi="Times New Roman"/>
          <w:vertAlign w:val="superscript"/>
        </w:rPr>
        <w:t>2</w:t>
      </w:r>
      <w:r>
        <w:rPr>
          <w:rFonts w:ascii="Times New Roman" w:hAnsi="Times New Roman"/>
        </w:rPr>
        <w:t>，旱地面积4.11km</w:t>
      </w:r>
      <w:r>
        <w:rPr>
          <w:rFonts w:ascii="Times New Roman" w:hAnsi="Times New Roman"/>
          <w:vertAlign w:val="superscript"/>
        </w:rPr>
        <w:t>2</w:t>
      </w:r>
      <w:r>
        <w:rPr>
          <w:rFonts w:ascii="Times New Roman" w:hAnsi="Times New Roman"/>
        </w:rPr>
        <w:t>。由于矿区煤层埋深大，地表不会出现明显的裂缝和破碎变形，而是整体缓慢下沉，</w:t>
      </w:r>
      <w:r>
        <w:rPr>
          <w:rFonts w:hint="eastAsia" w:ascii="Times New Roman" w:hAnsi="Times New Roman"/>
        </w:rPr>
        <w:t>仅在沉陷盆地周围形成细小裂缝，因此地表沉陷对耕地的影响不大。</w:t>
      </w:r>
      <w:r>
        <w:rPr>
          <w:rFonts w:hint="eastAsia" w:ascii="Times New Roman" w:hAnsi="Times New Roman"/>
          <w:color w:val="FF0000"/>
        </w:rPr>
        <w:t>矿区开发后</w:t>
      </w:r>
      <w:r>
        <w:rPr>
          <w:rFonts w:ascii="Times New Roman" w:hAnsi="Times New Roman"/>
          <w:color w:val="FF0000"/>
        </w:rPr>
        <w:t>，仅在沉陷盆地边缘，</w:t>
      </w:r>
      <w:r>
        <w:rPr>
          <w:rFonts w:hint="eastAsia" w:ascii="Times New Roman" w:hAnsi="Times New Roman"/>
          <w:color w:val="FF0000"/>
        </w:rPr>
        <w:t>由于评价区水浇地灌溉方式为滴灌，因此沉陷盆地边缘</w:t>
      </w:r>
      <w:r>
        <w:rPr>
          <w:rFonts w:ascii="Times New Roman" w:hAnsi="Times New Roman"/>
          <w:color w:val="FF0000"/>
        </w:rPr>
        <w:t>田面坡度变陡</w:t>
      </w:r>
      <w:r>
        <w:rPr>
          <w:rFonts w:hint="eastAsia" w:ascii="Times New Roman" w:hAnsi="Times New Roman"/>
          <w:color w:val="FF0000"/>
        </w:rPr>
        <w:t>后不会</w:t>
      </w:r>
      <w:r>
        <w:rPr>
          <w:rFonts w:ascii="Times New Roman" w:hAnsi="Times New Roman"/>
          <w:color w:val="FF0000"/>
        </w:rPr>
        <w:t>影响水浇地灌溉</w:t>
      </w:r>
      <w:r>
        <w:rPr>
          <w:rFonts w:hint="eastAsia" w:ascii="Times New Roman" w:hAnsi="Times New Roman"/>
          <w:color w:val="FF0000"/>
        </w:rPr>
        <w:t>。</w:t>
      </w:r>
      <w:r>
        <w:rPr>
          <w:rFonts w:ascii="Times New Roman" w:hAnsi="Times New Roman"/>
        </w:rPr>
        <w:t>在沉陷盆地低洼处有可能因排水不畅造成耕地内涝导致农作物减产。因此应对耕地受损的农民应按国家规定进行必要的经济补偿并按有关规定复垦或异地开垦同等面积同等质量以上的耕地，以减轻矿区开采沉陷对耕地及农业生产的影响。</w:t>
      </w:r>
    </w:p>
    <w:p>
      <w:pPr>
        <w:spacing w:line="440" w:lineRule="exact"/>
        <w:ind w:firstLine="480" w:firstLineChars="200"/>
        <w:rPr>
          <w:rFonts w:ascii="Times New Roman" w:hAnsi="Times New Roman"/>
        </w:rPr>
      </w:pPr>
      <w:r>
        <w:rPr>
          <w:rFonts w:hint="eastAsia" w:cs="宋体"/>
        </w:rPr>
        <w:t>②</w:t>
      </w:r>
      <w:r>
        <w:rPr>
          <w:rFonts w:ascii="Times New Roman" w:hAnsi="Times New Roman"/>
        </w:rPr>
        <w:t>对永久基本农田的影响</w:t>
      </w:r>
    </w:p>
    <w:p>
      <w:pPr>
        <w:spacing w:line="440" w:lineRule="exact"/>
        <w:ind w:firstLine="480" w:firstLineChars="200"/>
        <w:rPr>
          <w:szCs w:val="24"/>
        </w:rPr>
      </w:pPr>
      <w:r>
        <w:rPr>
          <w:szCs w:val="24"/>
        </w:rPr>
        <w:t>地表沉陷范围内分布有永久基本农田</w:t>
      </w:r>
      <w:r>
        <w:rPr>
          <w:rFonts w:ascii="Times New Roman" w:hAnsi="Times New Roman"/>
          <w:szCs w:val="24"/>
        </w:rPr>
        <w:t>17.96km</w:t>
      </w:r>
      <w:r>
        <w:rPr>
          <w:rFonts w:ascii="Times New Roman" w:hAnsi="Times New Roman"/>
          <w:szCs w:val="24"/>
          <w:vertAlign w:val="superscript"/>
        </w:rPr>
        <w:t>2</w:t>
      </w:r>
      <w:r>
        <w:rPr>
          <w:szCs w:val="24"/>
        </w:rPr>
        <w:t>，其中水浇地</w:t>
      </w:r>
      <w:r>
        <w:rPr>
          <w:rFonts w:ascii="Times New Roman" w:hAnsi="Times New Roman"/>
          <w:szCs w:val="24"/>
        </w:rPr>
        <w:t>15.70km</w:t>
      </w:r>
      <w:r>
        <w:rPr>
          <w:rFonts w:ascii="Times New Roman" w:hAnsi="Times New Roman"/>
          <w:szCs w:val="24"/>
          <w:vertAlign w:val="superscript"/>
        </w:rPr>
        <w:t>2</w:t>
      </w:r>
      <w:r>
        <w:rPr>
          <w:szCs w:val="24"/>
        </w:rPr>
        <w:t>，旱地</w:t>
      </w:r>
      <w:r>
        <w:rPr>
          <w:rFonts w:ascii="Times New Roman" w:hAnsi="Times New Roman"/>
          <w:szCs w:val="24"/>
        </w:rPr>
        <w:t>2.26km</w:t>
      </w:r>
      <w:r>
        <w:rPr>
          <w:rFonts w:ascii="Times New Roman" w:hAnsi="Times New Roman"/>
          <w:szCs w:val="24"/>
          <w:vertAlign w:val="superscript"/>
        </w:rPr>
        <w:t>2</w:t>
      </w:r>
      <w:r>
        <w:rPr>
          <w:szCs w:val="24"/>
        </w:rPr>
        <w:t>。矿区地形较平缓，开采下沉值较大（约</w:t>
      </w:r>
      <w:r>
        <w:rPr>
          <w:rFonts w:ascii="Times New Roman" w:hAnsi="Times New Roman"/>
          <w:szCs w:val="24"/>
        </w:rPr>
        <w:t>23m</w:t>
      </w:r>
      <w:r>
        <w:rPr>
          <w:szCs w:val="24"/>
        </w:rPr>
        <w:t>），但由于矿区煤层埋深大（多为</w:t>
      </w:r>
      <w:r>
        <w:rPr>
          <w:rFonts w:ascii="Times New Roman" w:hAnsi="Times New Roman"/>
          <w:szCs w:val="24"/>
        </w:rPr>
        <w:t>700-1000</w:t>
      </w:r>
      <w:r>
        <w:rPr>
          <w:szCs w:val="24"/>
        </w:rPr>
        <w:t>左右），开采后下沉盆地不会非常明显</w:t>
      </w:r>
      <w:r>
        <w:rPr>
          <w:rFonts w:hint="eastAsia" w:cs="宋体"/>
          <w:szCs w:val="24"/>
        </w:rPr>
        <w:t>，仅在沉陷盆地周围形成细小裂缝，因此</w:t>
      </w:r>
      <w:r>
        <w:rPr>
          <w:szCs w:val="24"/>
        </w:rPr>
        <w:t>矿区开采地表沉陷对永久基本农田影响不大。根据《自然资源部</w:t>
      </w:r>
      <w:r>
        <w:rPr>
          <w:rFonts w:ascii="Times New Roman" w:hAnsi="Times New Roman"/>
          <w:szCs w:val="24"/>
        </w:rPr>
        <w:t xml:space="preserve"> </w:t>
      </w:r>
      <w:r>
        <w:rPr>
          <w:szCs w:val="24"/>
        </w:rPr>
        <w:t>农业农村部关于加强和改进永久基本农田保护工作的通知》（自然资规</w:t>
      </w:r>
      <w:r>
        <w:rPr>
          <w:rFonts w:ascii="Times New Roman" w:hAnsi="Times New Roman"/>
          <w:szCs w:val="24"/>
        </w:rPr>
        <w:t>[2019]1</w:t>
      </w:r>
      <w:r>
        <w:rPr>
          <w:szCs w:val="24"/>
        </w:rPr>
        <w:t>号），对于井下方式开采，矿产资源开发利用与生态保护修复方案应落实保护性开发措施。井下开采方式所配套建设的地面工业广场等设施，要符合占用永久基本农田重大建设项目用地要求。</w:t>
      </w:r>
    </w:p>
    <w:p>
      <w:pPr>
        <w:spacing w:line="440" w:lineRule="exact"/>
        <w:ind w:firstLine="480" w:firstLineChars="200"/>
        <w:rPr>
          <w:rFonts w:ascii="Times New Roman" w:hAnsi="Times New Roman" w:cs="宋体"/>
          <w:szCs w:val="24"/>
        </w:rPr>
      </w:pPr>
      <w:r>
        <w:rPr>
          <w:rFonts w:hint="eastAsia" w:cs="宋体"/>
          <w:szCs w:val="24"/>
        </w:rPr>
        <w:t>本次环评提出，矿区开发时应采取矸石充填的减沉措施，保护永久基本农田不受影响。另外对于沉陷盆地周围受到严重破坏的永久基本农田，应及时采取裂缝充填、整地、修复灌溉设施等措施，并给予农民赔偿。</w:t>
      </w:r>
    </w:p>
    <w:p>
      <w:pPr>
        <w:keepNext/>
        <w:keepLines/>
        <w:spacing w:line="440" w:lineRule="exact"/>
        <w:outlineLvl w:val="2"/>
        <w:rPr>
          <w:rFonts w:ascii="Times New Roman" w:hAnsi="Times New Roman"/>
          <w:b/>
        </w:rPr>
      </w:pPr>
      <w:r>
        <w:rPr>
          <w:rFonts w:ascii="Times New Roman" w:hAnsi="Times New Roman"/>
          <w:b/>
        </w:rPr>
        <w:t>5.2.4 矿区开发对林地及公益林的影响分析</w:t>
      </w:r>
    </w:p>
    <w:p>
      <w:pPr>
        <w:spacing w:line="440" w:lineRule="exact"/>
        <w:ind w:firstLine="480" w:firstLineChars="200"/>
        <w:rPr>
          <w:rFonts w:ascii="Times New Roman" w:hAnsi="Times New Roman"/>
          <w:szCs w:val="24"/>
        </w:rPr>
      </w:pPr>
      <w:r>
        <w:rPr>
          <w:szCs w:val="24"/>
        </w:rPr>
        <w:t>矿区开发后，项目建设占地和采煤引起的地表沉陷都不可避免的会对</w:t>
      </w:r>
      <w:r>
        <w:rPr>
          <w:rFonts w:hint="eastAsia" w:cs="宋体"/>
          <w:szCs w:val="24"/>
        </w:rPr>
        <w:t>林地</w:t>
      </w:r>
      <w:r>
        <w:rPr>
          <w:szCs w:val="24"/>
        </w:rPr>
        <w:t>产生影响，具体影响分析如下</w:t>
      </w:r>
      <w:r>
        <w:rPr>
          <w:rFonts w:hint="eastAsia" w:cs="宋体"/>
          <w:szCs w:val="24"/>
        </w:rPr>
        <w:t>：</w:t>
      </w:r>
    </w:p>
    <w:p>
      <w:pPr>
        <w:adjustRightInd w:val="0"/>
        <w:snapToGrid w:val="0"/>
        <w:spacing w:line="440" w:lineRule="exact"/>
        <w:ind w:firstLine="480" w:firstLineChars="200"/>
        <w:rPr>
          <w:rFonts w:ascii="Times New Roman" w:hAnsi="Times New Roman"/>
        </w:rPr>
      </w:pPr>
      <w:r>
        <w:rPr>
          <w:rFonts w:ascii="Times New Roman" w:hAnsi="Times New Roman"/>
        </w:rPr>
        <w:t>（1）项目占地对林地及公益林的影响</w:t>
      </w:r>
    </w:p>
    <w:p>
      <w:pPr>
        <w:spacing w:line="440" w:lineRule="exact"/>
        <w:ind w:firstLine="480" w:firstLineChars="200"/>
        <w:rPr>
          <w:rFonts w:ascii="Times New Roman" w:hAnsi="Times New Roman"/>
        </w:rPr>
      </w:pPr>
      <w:r>
        <w:rPr>
          <w:rFonts w:hint="eastAsia" w:cs="宋体"/>
        </w:rPr>
        <w:t>①</w:t>
      </w:r>
      <w:r>
        <w:rPr>
          <w:rFonts w:ascii="Times New Roman" w:hAnsi="Times New Roman"/>
        </w:rPr>
        <w:t>对林地的影响</w:t>
      </w:r>
    </w:p>
    <w:p>
      <w:pPr>
        <w:spacing w:line="440" w:lineRule="exact"/>
        <w:ind w:firstLine="480" w:firstLineChars="200"/>
        <w:rPr>
          <w:rFonts w:ascii="Times New Roman" w:hAnsi="Times New Roman"/>
        </w:rPr>
      </w:pPr>
      <w:r>
        <w:rPr>
          <w:rFonts w:ascii="Times New Roman" w:hAnsi="Times New Roman"/>
        </w:rPr>
        <w:t>矿区开发后项目占地总面积为638.65hm</w:t>
      </w:r>
      <w:r>
        <w:rPr>
          <w:rFonts w:ascii="Times New Roman" w:hAnsi="Times New Roman"/>
          <w:vertAlign w:val="superscript"/>
        </w:rPr>
        <w:t>2</w:t>
      </w:r>
      <w:r>
        <w:rPr>
          <w:rFonts w:ascii="Times New Roman" w:hAnsi="Times New Roman"/>
        </w:rPr>
        <w:t>，其中乔木林地面积1.79hm</w:t>
      </w:r>
      <w:r>
        <w:rPr>
          <w:rFonts w:ascii="Times New Roman" w:hAnsi="Times New Roman"/>
          <w:vertAlign w:val="superscript"/>
        </w:rPr>
        <w:t>2</w:t>
      </w:r>
      <w:r>
        <w:rPr>
          <w:rFonts w:ascii="Times New Roman" w:hAnsi="Times New Roman"/>
        </w:rPr>
        <w:t>，灌木林地面积148.90hm</w:t>
      </w:r>
      <w:r>
        <w:rPr>
          <w:rFonts w:ascii="Times New Roman" w:hAnsi="Times New Roman"/>
          <w:vertAlign w:val="superscript"/>
        </w:rPr>
        <w:t>2</w:t>
      </w:r>
      <w:r>
        <w:rPr>
          <w:rFonts w:ascii="Times New Roman" w:hAnsi="Times New Roman"/>
        </w:rPr>
        <w:t>，其他林地面积2.35hm</w:t>
      </w:r>
      <w:r>
        <w:rPr>
          <w:rFonts w:ascii="Times New Roman" w:hAnsi="Times New Roman"/>
          <w:vertAlign w:val="superscript"/>
        </w:rPr>
        <w:t>2</w:t>
      </w:r>
      <w:r>
        <w:rPr>
          <w:rFonts w:ascii="Times New Roman" w:hAnsi="Times New Roman"/>
        </w:rPr>
        <w:t>。根据生态现状调查结果，项目建设后，因项目占地林地约损失生物量219.11t，数量较小，不会导致区域生物量明显减少。</w:t>
      </w:r>
    </w:p>
    <w:p>
      <w:pPr>
        <w:spacing w:line="440" w:lineRule="exact"/>
        <w:ind w:firstLine="480" w:firstLineChars="200"/>
        <w:rPr>
          <w:rFonts w:ascii="Times New Roman" w:hAnsi="Times New Roman"/>
        </w:rPr>
      </w:pPr>
      <w:r>
        <w:rPr>
          <w:rFonts w:hint="eastAsia" w:cs="宋体"/>
        </w:rPr>
        <w:t>②</w:t>
      </w:r>
      <w:r>
        <w:rPr>
          <w:rFonts w:ascii="Times New Roman" w:hAnsi="Times New Roman"/>
        </w:rPr>
        <w:t>对公益林的影响</w:t>
      </w:r>
    </w:p>
    <w:p>
      <w:pPr>
        <w:spacing w:line="440" w:lineRule="exact"/>
        <w:ind w:firstLine="480" w:firstLineChars="200"/>
        <w:rPr>
          <w:rFonts w:ascii="Times New Roman" w:hAnsi="Times New Roman"/>
        </w:rPr>
      </w:pPr>
      <w:r>
        <w:rPr>
          <w:rFonts w:ascii="Times New Roman" w:hAnsi="Times New Roman"/>
        </w:rPr>
        <w:t>项目建设占地中有公益林面积26.15hm</w:t>
      </w:r>
      <w:r>
        <w:rPr>
          <w:rFonts w:ascii="Times New Roman" w:hAnsi="Times New Roman"/>
          <w:vertAlign w:val="superscript"/>
        </w:rPr>
        <w:t>2</w:t>
      </w:r>
      <w:r>
        <w:rPr>
          <w:rFonts w:ascii="Times New Roman" w:hAnsi="Times New Roman"/>
        </w:rPr>
        <w:t>，全部为二级国家级公益林。根据《国家级公益林管理办法》（林资发[2013]71号）第九条，严格控制勘查、开采矿藏和工程建设使用国家级公益林地。确需使用的，严格按照《建设项目使用林地审核审批管理办法》有关规定办理使用林地手续。</w:t>
      </w:r>
    </w:p>
    <w:p>
      <w:pPr>
        <w:spacing w:line="440" w:lineRule="exact"/>
        <w:ind w:firstLine="480" w:firstLineChars="200"/>
        <w:rPr>
          <w:rFonts w:ascii="Times New Roman" w:hAnsi="Times New Roman" w:cs="宋体"/>
          <w:szCs w:val="24"/>
        </w:rPr>
      </w:pPr>
      <w:r>
        <w:rPr>
          <w:rFonts w:hint="eastAsia" w:cs="宋体"/>
          <w:szCs w:val="24"/>
        </w:rPr>
        <w:t>本次环评提出，工业场地选址和线性工程选线时应尽量避开公益林，减少对公益林的占用。如果避让不开，确需占用，应严格按照公益林保护要求办理手续后，再开工建设。</w:t>
      </w:r>
    </w:p>
    <w:p>
      <w:pPr>
        <w:adjustRightInd w:val="0"/>
        <w:snapToGrid w:val="0"/>
        <w:spacing w:line="440" w:lineRule="exact"/>
        <w:ind w:firstLine="480" w:firstLineChars="200"/>
        <w:rPr>
          <w:rFonts w:ascii="Times New Roman" w:hAnsi="Times New Roman"/>
        </w:rPr>
      </w:pPr>
      <w:r>
        <w:rPr>
          <w:rFonts w:ascii="Times New Roman" w:hAnsi="Times New Roman"/>
        </w:rPr>
        <w:t>（2）地表沉陷对林地及公益林的影响</w:t>
      </w:r>
    </w:p>
    <w:p>
      <w:pPr>
        <w:spacing w:line="440" w:lineRule="exact"/>
        <w:ind w:firstLine="480" w:firstLineChars="200"/>
        <w:rPr>
          <w:rFonts w:ascii="Times New Roman" w:hAnsi="Times New Roman"/>
        </w:rPr>
      </w:pPr>
      <w:r>
        <w:rPr>
          <w:rFonts w:hint="eastAsia" w:cs="宋体"/>
        </w:rPr>
        <w:t>①</w:t>
      </w:r>
      <w:r>
        <w:rPr>
          <w:rFonts w:ascii="Times New Roman" w:hAnsi="Times New Roman"/>
        </w:rPr>
        <w:t>对林地的影响</w:t>
      </w:r>
    </w:p>
    <w:p>
      <w:pPr>
        <w:adjustRightInd w:val="0"/>
        <w:snapToGrid w:val="0"/>
        <w:spacing w:line="440" w:lineRule="exact"/>
        <w:ind w:firstLine="480" w:firstLineChars="200"/>
        <w:rPr>
          <w:rFonts w:ascii="Times New Roman" w:hAnsi="Times New Roman"/>
        </w:rPr>
      </w:pPr>
      <w:r>
        <w:rPr>
          <w:rFonts w:ascii="Times New Roman" w:hAnsi="Times New Roman"/>
        </w:rPr>
        <w:t>矿区开发后受地表沉陷影响的乔木林地面积为16.19km</w:t>
      </w:r>
      <w:r>
        <w:rPr>
          <w:rFonts w:ascii="Times New Roman" w:hAnsi="Times New Roman"/>
          <w:vertAlign w:val="superscript"/>
        </w:rPr>
        <w:t>2</w:t>
      </w:r>
      <w:r>
        <w:rPr>
          <w:rFonts w:ascii="Times New Roman" w:hAnsi="Times New Roman"/>
        </w:rPr>
        <w:t>，灌木林地面积160.59km</w:t>
      </w:r>
      <w:r>
        <w:rPr>
          <w:rFonts w:ascii="Times New Roman" w:hAnsi="Times New Roman"/>
          <w:vertAlign w:val="superscript"/>
        </w:rPr>
        <w:t>2</w:t>
      </w:r>
      <w:r>
        <w:rPr>
          <w:rFonts w:ascii="Times New Roman" w:hAnsi="Times New Roman"/>
        </w:rPr>
        <w:t>，其他林地面积5.48km</w:t>
      </w:r>
      <w:r>
        <w:rPr>
          <w:rFonts w:ascii="Times New Roman" w:hAnsi="Times New Roman"/>
          <w:vertAlign w:val="superscript"/>
        </w:rPr>
        <w:t>2</w:t>
      </w:r>
      <w:r>
        <w:rPr>
          <w:rFonts w:ascii="Times New Roman" w:hAnsi="Times New Roman"/>
        </w:rPr>
        <w:t>。</w:t>
      </w:r>
      <w:r>
        <w:rPr>
          <w:rFonts w:hint="eastAsia" w:ascii="Times New Roman" w:hAnsi="Times New Roman"/>
        </w:rPr>
        <w:t>由于矿区煤层埋深大，地表不会出现明显的裂缝和破碎变形，而是整体缓慢下沉。因此地表沉陷对林地的影响不大，仅在沉陷盆地边缘，可能造成根系的部分裸露，或植物倒伏。</w:t>
      </w:r>
      <w:r>
        <w:rPr>
          <w:rFonts w:ascii="Times New Roman" w:hAnsi="Times New Roman"/>
          <w:kern w:val="24"/>
          <w:szCs w:val="24"/>
        </w:rPr>
        <w:t>但由于其分布的广泛性，局部地段的植物倒伏或死亡，不会造成较大程度的土壤侵蚀加剧或沙化，进而不会影响其余植株的正常生长</w:t>
      </w:r>
      <w:r>
        <w:rPr>
          <w:rFonts w:ascii="Times New Roman" w:hAnsi="Times New Roman"/>
        </w:rPr>
        <w:t>。总体而言，矿区开发对林地的影响不大。</w:t>
      </w:r>
    </w:p>
    <w:p>
      <w:pPr>
        <w:spacing w:line="440" w:lineRule="exact"/>
        <w:ind w:firstLine="480" w:firstLineChars="200"/>
        <w:rPr>
          <w:rFonts w:ascii="Times New Roman" w:hAnsi="Times New Roman"/>
        </w:rPr>
      </w:pPr>
      <w:r>
        <w:rPr>
          <w:rFonts w:hint="eastAsia" w:cs="宋体"/>
        </w:rPr>
        <w:t>②</w:t>
      </w:r>
      <w:r>
        <w:rPr>
          <w:rFonts w:ascii="Times New Roman" w:hAnsi="Times New Roman"/>
        </w:rPr>
        <w:t>对公益林的影响</w:t>
      </w:r>
    </w:p>
    <w:p>
      <w:pPr>
        <w:pStyle w:val="185"/>
        <w:spacing w:line="440" w:lineRule="exact"/>
        <w:ind w:firstLine="480"/>
        <w:rPr>
          <w:rFonts w:ascii="Times New Roman" w:hAnsi="Times New Roman" w:cs="Times New Roman"/>
        </w:rPr>
      </w:pPr>
      <w:r>
        <w:rPr>
          <w:rFonts w:ascii="Times New Roman" w:hAnsi="Times New Roman" w:cs="Times New Roman"/>
          <w:kern w:val="24"/>
          <w:szCs w:val="24"/>
        </w:rPr>
        <w:t>矿区开发后受地表沉陷影响的林地中有公益林123.43km</w:t>
      </w:r>
      <w:r>
        <w:rPr>
          <w:rFonts w:ascii="Times New Roman" w:hAnsi="Times New Roman" w:cs="Times New Roman"/>
          <w:kern w:val="24"/>
          <w:szCs w:val="24"/>
          <w:vertAlign w:val="superscript"/>
        </w:rPr>
        <w:t>2</w:t>
      </w:r>
      <w:r>
        <w:rPr>
          <w:rFonts w:ascii="Times New Roman" w:hAnsi="Times New Roman" w:cs="Times New Roman"/>
          <w:kern w:val="24"/>
          <w:szCs w:val="24"/>
        </w:rPr>
        <w:t>，其中一级国家级公益林1.50km</w:t>
      </w:r>
      <w:r>
        <w:rPr>
          <w:rFonts w:ascii="Times New Roman" w:hAnsi="Times New Roman" w:cs="Times New Roman"/>
          <w:kern w:val="24"/>
          <w:szCs w:val="24"/>
          <w:vertAlign w:val="superscript"/>
        </w:rPr>
        <w:t>2</w:t>
      </w:r>
      <w:r>
        <w:rPr>
          <w:rFonts w:ascii="Times New Roman" w:hAnsi="Times New Roman" w:cs="Times New Roman"/>
          <w:kern w:val="24"/>
          <w:szCs w:val="24"/>
        </w:rPr>
        <w:t>，二级国家级公益林121.93km</w:t>
      </w:r>
      <w:r>
        <w:rPr>
          <w:rFonts w:ascii="Times New Roman" w:hAnsi="Times New Roman" w:cs="Times New Roman"/>
          <w:kern w:val="24"/>
          <w:szCs w:val="24"/>
          <w:vertAlign w:val="superscript"/>
        </w:rPr>
        <w:t>2</w:t>
      </w:r>
      <w:r>
        <w:rPr>
          <w:rFonts w:ascii="Times New Roman" w:hAnsi="Times New Roman" w:cs="Times New Roman"/>
          <w:kern w:val="24"/>
          <w:szCs w:val="24"/>
        </w:rPr>
        <w:t>。</w:t>
      </w:r>
      <w:r>
        <w:rPr>
          <w:rFonts w:hint="eastAsia" w:ascii="Times New Roman" w:hAnsi="Times New Roman" w:cs="Times New Roman"/>
          <w:kern w:val="24"/>
          <w:szCs w:val="24"/>
        </w:rPr>
        <w:t>矿区开发对公益林的影响情况见图</w:t>
      </w:r>
      <w:r>
        <w:rPr>
          <w:rFonts w:ascii="Times New Roman" w:hAnsi="Times New Roman" w:cs="Times New Roman"/>
          <w:kern w:val="24"/>
          <w:szCs w:val="24"/>
        </w:rPr>
        <w:t>5.2-4。受沉陷影响的公益林主要为灌木林地，</w:t>
      </w:r>
      <w:r>
        <w:rPr>
          <w:rFonts w:ascii="Times New Roman" w:hAnsi="Times New Roman" w:cs="Times New Roman"/>
        </w:rPr>
        <w:t>抗旱性较强，生长多依赖大气降水，地表沉陷后的地下水变化对其生长无较大影响。地表沉陷基本不会对林木的正常生长产生影响，仅是在裂缝处的局部林木可能因根系裸露或植株倒伏造成生长状况不良或死亡，不会出现大面积的林木死亡，不会对整个区域的林业生产力和生态功能造成重大影响。</w:t>
      </w:r>
    </w:p>
    <w:p>
      <w:pPr>
        <w:keepNext/>
        <w:keepLines/>
        <w:spacing w:line="440" w:lineRule="exact"/>
        <w:outlineLvl w:val="2"/>
        <w:rPr>
          <w:rFonts w:ascii="Times New Roman" w:hAnsi="Times New Roman"/>
          <w:b/>
        </w:rPr>
      </w:pPr>
      <w:r>
        <w:rPr>
          <w:rFonts w:ascii="Times New Roman" w:hAnsi="Times New Roman"/>
          <w:b/>
        </w:rPr>
        <w:t>5.2.5 矿区开发对草地及基本草原的影响分析</w:t>
      </w:r>
    </w:p>
    <w:p>
      <w:pPr>
        <w:spacing w:line="440" w:lineRule="exact"/>
        <w:ind w:firstLine="480" w:firstLineChars="200"/>
        <w:rPr>
          <w:rFonts w:ascii="Times New Roman" w:hAnsi="Times New Roman"/>
          <w:szCs w:val="24"/>
        </w:rPr>
      </w:pPr>
      <w:r>
        <w:rPr>
          <w:szCs w:val="24"/>
        </w:rPr>
        <w:t>矿区开发后，项目建设占地和采煤引起的地表沉陷都不可避免的会对</w:t>
      </w:r>
      <w:r>
        <w:rPr>
          <w:rFonts w:hint="eastAsia" w:cs="宋体"/>
          <w:szCs w:val="24"/>
        </w:rPr>
        <w:t>草地</w:t>
      </w:r>
      <w:r>
        <w:rPr>
          <w:szCs w:val="24"/>
        </w:rPr>
        <w:t>产生影响，具体影响分析如下</w:t>
      </w:r>
      <w:r>
        <w:rPr>
          <w:rFonts w:hint="eastAsia" w:cs="宋体"/>
          <w:szCs w:val="24"/>
        </w:rPr>
        <w:t>：</w:t>
      </w:r>
    </w:p>
    <w:p>
      <w:pPr>
        <w:adjustRightInd w:val="0"/>
        <w:snapToGrid w:val="0"/>
        <w:spacing w:line="440" w:lineRule="exact"/>
        <w:ind w:firstLine="480" w:firstLineChars="200"/>
        <w:rPr>
          <w:rFonts w:ascii="Times New Roman" w:hAnsi="Times New Roman"/>
        </w:rPr>
      </w:pPr>
      <w:r>
        <w:rPr>
          <w:rFonts w:ascii="Times New Roman" w:hAnsi="Times New Roman"/>
        </w:rPr>
        <w:t>（1）项目占地对草地及基本草原的影响</w:t>
      </w:r>
    </w:p>
    <w:p>
      <w:pPr>
        <w:spacing w:line="440" w:lineRule="exact"/>
        <w:ind w:firstLine="480" w:firstLineChars="200"/>
        <w:rPr>
          <w:rFonts w:ascii="Times New Roman" w:hAnsi="Times New Roman"/>
        </w:rPr>
      </w:pPr>
      <w:r>
        <w:rPr>
          <w:rFonts w:hint="eastAsia" w:cs="宋体"/>
        </w:rPr>
        <w:t>①</w:t>
      </w:r>
      <w:r>
        <w:rPr>
          <w:rFonts w:ascii="Times New Roman" w:hAnsi="Times New Roman"/>
        </w:rPr>
        <w:t>对草地的影响</w:t>
      </w:r>
    </w:p>
    <w:p>
      <w:pPr>
        <w:spacing w:line="440" w:lineRule="exact"/>
        <w:ind w:firstLine="480" w:firstLineChars="200"/>
        <w:rPr>
          <w:rFonts w:ascii="Times New Roman" w:hAnsi="Times New Roman"/>
        </w:rPr>
      </w:pPr>
      <w:r>
        <w:rPr>
          <w:rFonts w:ascii="Times New Roman" w:hAnsi="Times New Roman"/>
        </w:rPr>
        <w:t>矿区开发后项目占地总面积为638.65hm</w:t>
      </w:r>
      <w:r>
        <w:rPr>
          <w:rFonts w:ascii="Times New Roman" w:hAnsi="Times New Roman"/>
          <w:vertAlign w:val="superscript"/>
        </w:rPr>
        <w:t>2</w:t>
      </w:r>
      <w:r>
        <w:rPr>
          <w:rFonts w:ascii="Times New Roman" w:hAnsi="Times New Roman"/>
        </w:rPr>
        <w:t>，其中天然牧草地面积361.96hm</w:t>
      </w:r>
      <w:r>
        <w:rPr>
          <w:rFonts w:ascii="Times New Roman" w:hAnsi="Times New Roman"/>
          <w:vertAlign w:val="superscript"/>
        </w:rPr>
        <w:t>2</w:t>
      </w:r>
      <w:r>
        <w:rPr>
          <w:rFonts w:ascii="Times New Roman" w:hAnsi="Times New Roman"/>
        </w:rPr>
        <w:t>，人工牧草地面积15.84hm</w:t>
      </w:r>
      <w:r>
        <w:rPr>
          <w:rFonts w:ascii="Times New Roman" w:hAnsi="Times New Roman"/>
          <w:vertAlign w:val="superscript"/>
        </w:rPr>
        <w:t>2</w:t>
      </w:r>
      <w:r>
        <w:rPr>
          <w:rFonts w:ascii="Times New Roman" w:hAnsi="Times New Roman"/>
        </w:rPr>
        <w:t>，其他草地面积4.93hm</w:t>
      </w:r>
      <w:r>
        <w:rPr>
          <w:rFonts w:ascii="Times New Roman" w:hAnsi="Times New Roman"/>
          <w:vertAlign w:val="superscript"/>
        </w:rPr>
        <w:t>2</w:t>
      </w:r>
      <w:r>
        <w:rPr>
          <w:rFonts w:ascii="Times New Roman" w:hAnsi="Times New Roman"/>
        </w:rPr>
        <w:t>。根据生态现状调查结果，项目建设后，因项目占地草地约损失生物量386.75t，数量较小，不会导致区域生物量明显减少。</w:t>
      </w:r>
    </w:p>
    <w:p>
      <w:pPr>
        <w:spacing w:line="440" w:lineRule="exact"/>
        <w:ind w:firstLine="480" w:firstLineChars="200"/>
        <w:rPr>
          <w:rFonts w:ascii="Times New Roman" w:hAnsi="Times New Roman"/>
        </w:rPr>
      </w:pPr>
      <w:r>
        <w:rPr>
          <w:rFonts w:hint="eastAsia" w:cs="宋体"/>
        </w:rPr>
        <w:t>②</w:t>
      </w:r>
      <w:r>
        <w:rPr>
          <w:rFonts w:ascii="Times New Roman" w:hAnsi="Times New Roman"/>
        </w:rPr>
        <w:t>对基本草原的影响</w:t>
      </w:r>
    </w:p>
    <w:p>
      <w:pPr>
        <w:spacing w:line="440" w:lineRule="exact"/>
        <w:ind w:firstLine="480" w:firstLineChars="200"/>
        <w:rPr>
          <w:rFonts w:ascii="Times New Roman" w:hAnsi="Times New Roman"/>
        </w:rPr>
      </w:pPr>
      <w:r>
        <w:rPr>
          <w:rFonts w:ascii="Times New Roman" w:hAnsi="Times New Roman"/>
        </w:rPr>
        <w:t>项目建设占地中有基本草原59.12hm</w:t>
      </w:r>
      <w:r>
        <w:rPr>
          <w:rFonts w:ascii="Times New Roman" w:hAnsi="Times New Roman"/>
          <w:vertAlign w:val="superscript"/>
        </w:rPr>
        <w:t>2</w:t>
      </w:r>
      <w:r>
        <w:rPr>
          <w:rFonts w:ascii="Times New Roman" w:hAnsi="Times New Roman"/>
        </w:rPr>
        <w:t>。根据《内蒙古自治区基本草原保护条例》，第十八条，进行矿藏开采和工程建设确需征收、征用或者使用基本草原的，必须经自治区以上人民政府草原行政主管部门审核同意后，依照有关土地管理的法律、行政法规办理建设用地审批手续。</w:t>
      </w:r>
    </w:p>
    <w:p>
      <w:pPr>
        <w:spacing w:line="440" w:lineRule="exact"/>
        <w:ind w:firstLine="480" w:firstLineChars="200"/>
        <w:rPr>
          <w:rFonts w:ascii="Times New Roman" w:hAnsi="Times New Roman" w:cs="宋体"/>
          <w:szCs w:val="24"/>
        </w:rPr>
      </w:pPr>
      <w:r>
        <w:rPr>
          <w:rFonts w:hint="eastAsia" w:cs="宋体"/>
          <w:szCs w:val="24"/>
        </w:rPr>
        <w:t>本次环评提出，工业场地选址和线性工程选线时应尽量避开基本草原，减少对基本草原的占用。如果避让不开，确需占用，应严格按照基本草原保护要求办理手续后，再开工建设。</w:t>
      </w:r>
    </w:p>
    <w:p>
      <w:pPr>
        <w:adjustRightInd w:val="0"/>
        <w:snapToGrid w:val="0"/>
        <w:spacing w:line="440" w:lineRule="exact"/>
        <w:ind w:firstLine="480" w:firstLineChars="200"/>
        <w:rPr>
          <w:rFonts w:ascii="Times New Roman" w:hAnsi="Times New Roman"/>
        </w:rPr>
      </w:pPr>
      <w:r>
        <w:rPr>
          <w:rFonts w:ascii="Times New Roman" w:hAnsi="Times New Roman"/>
        </w:rPr>
        <w:t>（2）地表沉陷对草地及基本草原的影响</w:t>
      </w:r>
    </w:p>
    <w:p>
      <w:pPr>
        <w:spacing w:line="440" w:lineRule="exact"/>
        <w:ind w:firstLine="480" w:firstLineChars="200"/>
        <w:rPr>
          <w:rFonts w:ascii="Times New Roman" w:hAnsi="Times New Roman"/>
        </w:rPr>
      </w:pPr>
      <w:r>
        <w:rPr>
          <w:rFonts w:hint="eastAsia" w:cs="宋体"/>
        </w:rPr>
        <w:t>①</w:t>
      </w:r>
      <w:r>
        <w:rPr>
          <w:rFonts w:ascii="Times New Roman" w:hAnsi="Times New Roman"/>
        </w:rPr>
        <w:t>对草地的影响</w:t>
      </w:r>
    </w:p>
    <w:p>
      <w:pPr>
        <w:spacing w:line="440" w:lineRule="exact"/>
        <w:ind w:firstLine="480" w:firstLineChars="200"/>
        <w:rPr>
          <w:rFonts w:ascii="Times New Roman" w:hAnsi="Times New Roman"/>
        </w:rPr>
      </w:pPr>
      <w:r>
        <w:rPr>
          <w:rFonts w:ascii="Times New Roman" w:hAnsi="Times New Roman"/>
        </w:rPr>
        <w:t>矿区开发后受地表沉陷影响的天然牧草地面积为170.80km</w:t>
      </w:r>
      <w:r>
        <w:rPr>
          <w:rFonts w:ascii="Times New Roman" w:hAnsi="Times New Roman"/>
          <w:vertAlign w:val="superscript"/>
        </w:rPr>
        <w:t>2</w:t>
      </w:r>
      <w:r>
        <w:rPr>
          <w:rFonts w:ascii="Times New Roman" w:hAnsi="Times New Roman"/>
        </w:rPr>
        <w:t>，人工牧草地面积16.16km</w:t>
      </w:r>
      <w:r>
        <w:rPr>
          <w:rFonts w:ascii="Times New Roman" w:hAnsi="Times New Roman"/>
          <w:vertAlign w:val="superscript"/>
        </w:rPr>
        <w:t>2</w:t>
      </w:r>
      <w:r>
        <w:rPr>
          <w:rFonts w:ascii="Times New Roman" w:hAnsi="Times New Roman"/>
        </w:rPr>
        <w:t>，其他草地面积2.31km</w:t>
      </w:r>
      <w:r>
        <w:rPr>
          <w:rFonts w:ascii="Times New Roman" w:hAnsi="Times New Roman"/>
          <w:vertAlign w:val="superscript"/>
        </w:rPr>
        <w:t>2</w:t>
      </w:r>
      <w:r>
        <w:rPr>
          <w:rFonts w:ascii="Times New Roman" w:hAnsi="Times New Roman"/>
        </w:rPr>
        <w:t>。</w:t>
      </w:r>
      <w:r>
        <w:rPr>
          <w:rFonts w:hint="eastAsia" w:ascii="Times New Roman" w:hAnsi="Times New Roman"/>
        </w:rPr>
        <w:t>由于矿区煤层埋深大，地表不会出现明显的裂缝和破碎变形，而是整体缓慢下沉。因此地表沉陷对草地的影响不大，仅在沉陷盆地边缘的裂缝位置有可能发生草地退化。</w:t>
      </w:r>
      <w:r>
        <w:rPr>
          <w:rFonts w:ascii="Times New Roman" w:hAnsi="Times New Roman"/>
        </w:rPr>
        <w:t>另外受地表沉陷影响在沉陷盆地低洼处有可能地下水位升高，加之该地区蒸发量较大，局部地区产生盐渍化，一些耐盐碱的如碱蓬、芨芨草、柽柳等可能会替代原有的植被。地表沉陷是一个长期缓慢的过程，植被类型演替也是一个缓慢的过程，因此对于区域的生态环境变化需要长期监测，并采取人为干预的方式及时对退化的生态系统进行恢复，保证区域生态系统的稳定与完整性。</w:t>
      </w:r>
    </w:p>
    <w:p>
      <w:pPr>
        <w:spacing w:line="440" w:lineRule="exact"/>
        <w:ind w:firstLine="480" w:firstLineChars="200"/>
        <w:rPr>
          <w:rFonts w:ascii="Times New Roman" w:hAnsi="Times New Roman"/>
        </w:rPr>
      </w:pPr>
      <w:r>
        <w:rPr>
          <w:rFonts w:hint="eastAsia" w:cs="宋体"/>
        </w:rPr>
        <w:t>②</w:t>
      </w:r>
      <w:r>
        <w:rPr>
          <w:rFonts w:ascii="Times New Roman" w:hAnsi="Times New Roman"/>
        </w:rPr>
        <w:t>对基本草原的影响</w:t>
      </w:r>
    </w:p>
    <w:p>
      <w:pPr>
        <w:spacing w:line="440" w:lineRule="exact"/>
        <w:ind w:firstLine="482"/>
        <w:rPr>
          <w:rFonts w:ascii="Times New Roman" w:hAnsi="Times New Roman"/>
        </w:rPr>
      </w:pPr>
      <w:r>
        <w:rPr>
          <w:rFonts w:ascii="Times New Roman" w:hAnsi="Times New Roman"/>
        </w:rPr>
        <w:t>矿区开发后受地表沉陷影响的草地中有基本草原136.53km</w:t>
      </w:r>
      <w:r>
        <w:rPr>
          <w:rFonts w:ascii="Times New Roman" w:hAnsi="Times New Roman"/>
          <w:vertAlign w:val="superscript"/>
        </w:rPr>
        <w:t>2</w:t>
      </w:r>
      <w:r>
        <w:rPr>
          <w:rFonts w:ascii="Times New Roman" w:hAnsi="Times New Roman"/>
        </w:rPr>
        <w:t>，</w:t>
      </w:r>
      <w:r>
        <w:rPr>
          <w:rFonts w:hint="eastAsia" w:ascii="Times New Roman" w:hAnsi="Times New Roman"/>
        </w:rPr>
        <w:t>矿区开发对基本草原的影响情况见图</w:t>
      </w:r>
      <w:r>
        <w:rPr>
          <w:rFonts w:ascii="Times New Roman" w:hAnsi="Times New Roman"/>
        </w:rPr>
        <w:t>5.2-5。根据地表沉陷预测结果及上述分析，地表沉陷对基本草原影响不大，仅在局部地区可能会发生植被退化和植被演替的情况。</w:t>
      </w:r>
    </w:p>
    <w:p>
      <w:pPr>
        <w:keepNext/>
        <w:keepLines/>
        <w:spacing w:line="440" w:lineRule="exact"/>
        <w:outlineLvl w:val="2"/>
        <w:rPr>
          <w:rFonts w:ascii="Times New Roman" w:hAnsi="Times New Roman"/>
          <w:b/>
        </w:rPr>
      </w:pPr>
      <w:r>
        <w:rPr>
          <w:rFonts w:ascii="Times New Roman" w:hAnsi="Times New Roman"/>
          <w:b/>
        </w:rPr>
        <w:t>5.2.6 矿区开发对土壤侵蚀的影响分析</w:t>
      </w:r>
    </w:p>
    <w:p>
      <w:pPr>
        <w:spacing w:line="440" w:lineRule="exact"/>
        <w:ind w:firstLine="480" w:firstLineChars="200"/>
        <w:rPr>
          <w:rFonts w:ascii="Times New Roman" w:hAnsi="Times New Roman"/>
          <w:szCs w:val="24"/>
        </w:rPr>
      </w:pPr>
      <w:r>
        <w:rPr>
          <w:rFonts w:ascii="Times New Roman" w:hAnsi="Times New Roman"/>
          <w:szCs w:val="24"/>
        </w:rPr>
        <w:t>评价区位于鄂尔多斯高原之东部，受毛乌素沙漠的影响，该区域内常年风沙较大，水土流失类型以为风力侵蚀为主，兼有水力侵蚀，评价区内的水土流失强度以中度侵蚀为主。</w:t>
      </w:r>
    </w:p>
    <w:p>
      <w:pPr>
        <w:spacing w:line="440" w:lineRule="exact"/>
        <w:ind w:firstLine="480" w:firstLineChars="200"/>
        <w:rPr>
          <w:rFonts w:ascii="Times New Roman" w:hAnsi="Times New Roman"/>
          <w:szCs w:val="24"/>
        </w:rPr>
      </w:pPr>
      <w:r>
        <w:rPr>
          <w:rFonts w:ascii="Times New Roman" w:hAnsi="Times New Roman"/>
          <w:szCs w:val="24"/>
        </w:rPr>
        <w:t>矿区开发之后由于施工期间会对评价区内地表造成人为干扰，一些区域植被会受到破坏，局部地区土壤侵蚀强度有所增加。另外由于井工矿开采造成地表沉陷，沉陷盆地边缘以及裂缝区域土壤侵蚀强度会有所增加。总体来说矿区开发后部分地区土壤侵蚀强度会有所增加，如果不及时采取合理措施恢复植被，远期来说评价区局部土壤侵蚀强度将由中度和强烈侵蚀向极强烈侵蚀方向发展。</w:t>
      </w:r>
    </w:p>
    <w:p>
      <w:pPr>
        <w:spacing w:line="440" w:lineRule="exact"/>
        <w:ind w:firstLine="480" w:firstLineChars="200"/>
        <w:rPr>
          <w:rFonts w:ascii="Times New Roman" w:hAnsi="Times New Roman"/>
          <w:szCs w:val="24"/>
        </w:rPr>
      </w:pPr>
      <w:r>
        <w:rPr>
          <w:rFonts w:ascii="Times New Roman" w:hAnsi="Times New Roman"/>
          <w:szCs w:val="24"/>
        </w:rPr>
        <w:t>在参考植被、土壤及现场调查等资料的基础上，查阅临近煤矿项目土壤侵蚀数据后对评价区土壤侵蚀情况进行预测。结果表明，由于项目占地、施工扰动、地表沉陷等多方面影响，会引起土壤侵蚀模数增加，土壤流失量增加，土壤侵蚀等级升级。评价区内土壤侵蚀预测结果相见表5.2-4。</w:t>
      </w:r>
      <w:r>
        <w:rPr>
          <w:rFonts w:hint="eastAsia" w:ascii="Times New Roman" w:hAnsi="Times New Roman"/>
          <w:szCs w:val="24"/>
        </w:rPr>
        <w:t>矿区开发前后评价区土壤侵蚀强度变化趋势图见图</w:t>
      </w:r>
      <w:r>
        <w:rPr>
          <w:rFonts w:ascii="Times New Roman" w:hAnsi="Times New Roman"/>
          <w:szCs w:val="24"/>
        </w:rPr>
        <w:t>5.2-6。</w:t>
      </w:r>
    </w:p>
    <w:p>
      <w:pPr>
        <w:adjustRightInd w:val="0"/>
        <w:snapToGrid w:val="0"/>
        <w:spacing w:line="440" w:lineRule="exact"/>
        <w:jc w:val="center"/>
        <w:outlineLvl w:val="4"/>
        <w:rPr>
          <w:rFonts w:ascii="Times New Roman" w:hAnsi="Times New Roman"/>
          <w:b/>
          <w:kern w:val="24"/>
          <w:szCs w:val="24"/>
        </w:rPr>
      </w:pPr>
      <w:r>
        <w:rPr>
          <w:rFonts w:hint="eastAsia" w:ascii="Times New Roman" w:hAnsi="Times New Roman"/>
          <w:b/>
          <w:kern w:val="24"/>
          <w:szCs w:val="24"/>
        </w:rPr>
        <w:t>矿区开发后评价区内土壤侵蚀预测结果</w:t>
      </w:r>
    </w:p>
    <w:p>
      <w:pPr>
        <w:adjustRightInd w:val="0"/>
        <w:snapToGrid w:val="0"/>
        <w:spacing w:line="440" w:lineRule="exact"/>
        <w:outlineLvl w:val="4"/>
        <w:rPr>
          <w:rFonts w:ascii="Times New Roman" w:hAnsi="Times New Roman"/>
          <w:szCs w:val="24"/>
        </w:rPr>
      </w:pPr>
      <w:r>
        <w:rPr>
          <w:rFonts w:ascii="Times New Roman" w:hAnsi="Times New Roman"/>
          <w:szCs w:val="24"/>
        </w:rPr>
        <w:t>表5.2-4</w:t>
      </w:r>
    </w:p>
    <w:tbl>
      <w:tblPr>
        <w:tblStyle w:val="59"/>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1857"/>
        <w:gridCol w:w="1857"/>
        <w:gridCol w:w="1858"/>
        <w:gridCol w:w="1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57" w:type="dxa"/>
            <w:vMerge w:val="restart"/>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土壤侵蚀分级</w:t>
            </w:r>
          </w:p>
        </w:tc>
        <w:tc>
          <w:tcPr>
            <w:tcW w:w="3714"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矿区开发前</w:t>
            </w:r>
          </w:p>
        </w:tc>
        <w:tc>
          <w:tcPr>
            <w:tcW w:w="3716" w:type="dxa"/>
            <w:gridSpan w:val="2"/>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矿区开发后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857" w:type="dxa"/>
            <w:vMerge w:val="continue"/>
            <w:vAlign w:val="center"/>
          </w:tcPr>
          <w:p>
            <w:pPr>
              <w:widowControl/>
              <w:jc w:val="center"/>
              <w:rPr>
                <w:rFonts w:ascii="Times New Roman" w:hAnsi="Times New Roman"/>
                <w:kern w:val="0"/>
                <w:sz w:val="21"/>
                <w:szCs w:val="21"/>
              </w:rPr>
            </w:pP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面积（km</w:t>
            </w:r>
            <w:r>
              <w:rPr>
                <w:rFonts w:ascii="Times New Roman" w:hAnsi="Times New Roman"/>
                <w:kern w:val="0"/>
                <w:sz w:val="21"/>
                <w:szCs w:val="21"/>
                <w:vertAlign w:val="superscript"/>
              </w:rPr>
              <w:t>2</w:t>
            </w:r>
            <w:r>
              <w:rPr>
                <w:rFonts w:ascii="Times New Roman" w:hAnsi="Times New Roman"/>
                <w:kern w:val="0"/>
                <w:sz w:val="21"/>
                <w:szCs w:val="21"/>
              </w:rPr>
              <w:t>）</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比例（%）</w:t>
            </w:r>
          </w:p>
        </w:tc>
        <w:tc>
          <w:tcPr>
            <w:tcW w:w="185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面积（km</w:t>
            </w:r>
            <w:r>
              <w:rPr>
                <w:rFonts w:ascii="Times New Roman" w:hAnsi="Times New Roman"/>
                <w:kern w:val="0"/>
                <w:sz w:val="21"/>
                <w:szCs w:val="21"/>
                <w:vertAlign w:val="superscript"/>
              </w:rPr>
              <w:t>2</w:t>
            </w:r>
            <w:r>
              <w:rPr>
                <w:rFonts w:ascii="Times New Roman" w:hAnsi="Times New Roman"/>
                <w:kern w:val="0"/>
                <w:sz w:val="21"/>
                <w:szCs w:val="21"/>
              </w:rPr>
              <w:t>）</w:t>
            </w:r>
          </w:p>
        </w:tc>
        <w:tc>
          <w:tcPr>
            <w:tcW w:w="185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微度侵蚀</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92.63</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8.81</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92.69</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8.82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轻度侵蚀</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215.10</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20.47</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203.35</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19.35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中度侵蚀</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717.58</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68.28</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724.91</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68.98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强烈侵蚀</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25.58</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2.43</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27.74</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极强烈侵蚀</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0.00</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0.00</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2.21</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合计</w:t>
            </w:r>
          </w:p>
        </w:tc>
        <w:tc>
          <w:tcPr>
            <w:tcW w:w="1857"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1050.90</w:t>
            </w:r>
          </w:p>
        </w:tc>
        <w:tc>
          <w:tcPr>
            <w:tcW w:w="1857"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100.00</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1050.90</w:t>
            </w:r>
          </w:p>
        </w:tc>
        <w:tc>
          <w:tcPr>
            <w:tcW w:w="1858" w:type="dxa"/>
            <w:shd w:val="clear" w:color="auto" w:fill="auto"/>
            <w:noWrap/>
            <w:vAlign w:val="center"/>
          </w:tcPr>
          <w:p>
            <w:pPr>
              <w:widowControl/>
              <w:jc w:val="center"/>
              <w:rPr>
                <w:rFonts w:ascii="Times New Roman" w:hAnsi="Times New Roman"/>
                <w:kern w:val="0"/>
                <w:sz w:val="21"/>
                <w:szCs w:val="21"/>
              </w:rPr>
            </w:pPr>
            <w:r>
              <w:rPr>
                <w:rFonts w:ascii="Times New Roman" w:hAnsi="Times New Roman"/>
                <w:kern w:val="0"/>
                <w:sz w:val="21"/>
                <w:szCs w:val="21"/>
              </w:rPr>
              <w:t>100.00</w:t>
            </w:r>
          </w:p>
        </w:tc>
      </w:tr>
    </w:tbl>
    <w:p>
      <w:r>
        <w:drawing>
          <wp:inline distT="0" distB="0" distL="0" distR="0">
            <wp:extent cx="5760085" cy="2510790"/>
            <wp:effectExtent l="0" t="0" r="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a:xfrm>
                      <a:off x="0" y="0"/>
                      <a:ext cx="5760085" cy="2510790"/>
                    </a:xfrm>
                    <a:prstGeom prst="rect">
                      <a:avLst/>
                    </a:prstGeom>
                    <a:noFill/>
                    <a:ln>
                      <a:noFill/>
                    </a:ln>
                  </pic:spPr>
                </pic:pic>
              </a:graphicData>
            </a:graphic>
          </wp:inline>
        </w:drawing>
      </w:r>
    </w:p>
    <w:p>
      <w:pPr>
        <w:spacing w:line="440" w:lineRule="exact"/>
        <w:jc w:val="center"/>
        <w:rPr>
          <w:rFonts w:ascii="Times New Roman" w:hAnsi="Times New Roman"/>
          <w:b/>
          <w:bCs/>
        </w:rPr>
      </w:pPr>
      <w:r>
        <w:rPr>
          <w:rFonts w:hint="eastAsia"/>
          <w:b/>
          <w:bCs/>
        </w:rPr>
        <w:t>图5.2-6  矿区开发前后评价区土壤侵蚀强度变化趋势图</w:t>
      </w:r>
    </w:p>
    <w:p>
      <w:pPr>
        <w:spacing w:before="120" w:line="440" w:lineRule="exact"/>
        <w:ind w:firstLine="480" w:firstLineChars="200"/>
        <w:rPr>
          <w:rFonts w:ascii="Times New Roman" w:hAnsi="Times New Roman"/>
        </w:rPr>
      </w:pPr>
      <w:r>
        <w:rPr>
          <w:rFonts w:ascii="Times New Roman" w:hAnsi="Times New Roman"/>
        </w:rPr>
        <w:t>从数据分析发现，矿区开发后轻度侵蚀面积有所减少，中度侵蚀、强烈侵蚀面积有所增加，出现了极强烈侵蚀，但是总体上评价区土壤侵蚀强度仍以中度侵蚀为主，矿区开发对评价区土壤侵蚀总体影响不大。</w:t>
      </w:r>
    </w:p>
    <w:p>
      <w:pPr>
        <w:keepNext/>
        <w:keepLines/>
        <w:adjustRightInd w:val="0"/>
        <w:snapToGrid w:val="0"/>
        <w:spacing w:line="440" w:lineRule="exact"/>
        <w:outlineLvl w:val="2"/>
        <w:rPr>
          <w:rFonts w:ascii="Times New Roman" w:hAnsi="Times New Roman"/>
          <w:b/>
        </w:rPr>
      </w:pPr>
      <w:r>
        <w:rPr>
          <w:rFonts w:ascii="Times New Roman" w:hAnsi="Times New Roman"/>
          <w:b/>
        </w:rPr>
        <w:t>5.2.7 矿区开发对土壤沙化的影响分析</w:t>
      </w:r>
    </w:p>
    <w:p>
      <w:pPr>
        <w:pStyle w:val="185"/>
        <w:spacing w:line="440" w:lineRule="exact"/>
        <w:ind w:firstLine="480"/>
        <w:rPr>
          <w:rFonts w:ascii="Times New Roman" w:hAnsi="Times New Roman" w:cs="Times New Roman"/>
        </w:rPr>
      </w:pPr>
      <w:r>
        <w:rPr>
          <w:rFonts w:ascii="Times New Roman" w:hAnsi="Times New Roman" w:cs="Times New Roman"/>
        </w:rPr>
        <w:t>本次评价同样利用《生态功能区划暂行规程》提供的指标体系进行土壤沙化敏感性分析，不敏感区域基本不会发生沙漠化，敏感区域就有发生沙漠化的可能。土地沙漠化可以用湿润指数、土壤质地及起沙风的天数等来评价区域沙漠化敏感性程度，具体指标与分级标准见表5.2-5。</w:t>
      </w:r>
    </w:p>
    <w:p>
      <w:pPr>
        <w:spacing w:line="440" w:lineRule="exact"/>
        <w:jc w:val="center"/>
        <w:rPr>
          <w:rFonts w:ascii="Times New Roman" w:hAnsi="Times New Roman"/>
          <w:b/>
          <w:bCs/>
          <w:szCs w:val="24"/>
        </w:rPr>
      </w:pPr>
      <w:r>
        <w:rPr>
          <w:rFonts w:ascii="Times New Roman" w:hAnsi="Times New Roman"/>
          <w:b/>
          <w:bCs/>
          <w:szCs w:val="24"/>
        </w:rPr>
        <w:t>沙漠化敏感性分级指标</w:t>
      </w:r>
    </w:p>
    <w:p>
      <w:pPr>
        <w:widowControl/>
        <w:adjustRightInd w:val="0"/>
        <w:snapToGrid w:val="0"/>
        <w:spacing w:line="440" w:lineRule="exact"/>
        <w:jc w:val="left"/>
        <w:outlineLvl w:val="4"/>
        <w:rPr>
          <w:rFonts w:ascii="Times New Roman" w:hAnsi="Times New Roman"/>
          <w:szCs w:val="24"/>
        </w:rPr>
      </w:pPr>
      <w:r>
        <w:rPr>
          <w:rFonts w:ascii="Times New Roman" w:hAnsi="Times New Roman"/>
          <w:szCs w:val="24"/>
        </w:rPr>
        <w:t>表5.2-5</w:t>
      </w:r>
    </w:p>
    <w:tbl>
      <w:tblPr>
        <w:tblStyle w:val="59"/>
        <w:tblW w:w="91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5"/>
        <w:gridCol w:w="1338"/>
        <w:gridCol w:w="1368"/>
        <w:gridCol w:w="1368"/>
        <w:gridCol w:w="1482"/>
        <w:gridCol w:w="13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敏感性指标</w:t>
            </w:r>
          </w:p>
        </w:tc>
        <w:tc>
          <w:tcPr>
            <w:tcW w:w="133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不敏感</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轻度敏感</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中度敏感</w:t>
            </w:r>
          </w:p>
        </w:tc>
        <w:tc>
          <w:tcPr>
            <w:tcW w:w="14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高度敏感</w:t>
            </w:r>
          </w:p>
        </w:tc>
        <w:tc>
          <w:tcPr>
            <w:tcW w:w="1366"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极敏感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湿润指数</w:t>
            </w:r>
          </w:p>
        </w:tc>
        <w:tc>
          <w:tcPr>
            <w:tcW w:w="133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&gt;0.65</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0.5-0.65</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0.20-0.50</w:t>
            </w:r>
          </w:p>
        </w:tc>
        <w:tc>
          <w:tcPr>
            <w:tcW w:w="14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0.05-0.20</w:t>
            </w:r>
          </w:p>
        </w:tc>
        <w:tc>
          <w:tcPr>
            <w:tcW w:w="1366"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&lt;0.05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冬春季大于6m/s大风的天数</w:t>
            </w:r>
          </w:p>
        </w:tc>
        <w:tc>
          <w:tcPr>
            <w:tcW w:w="133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&lt;15</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15-30</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30-45</w:t>
            </w:r>
          </w:p>
        </w:tc>
        <w:tc>
          <w:tcPr>
            <w:tcW w:w="14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45-60</w:t>
            </w:r>
          </w:p>
        </w:tc>
        <w:tc>
          <w:tcPr>
            <w:tcW w:w="1366"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&gt;60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土壤质地</w:t>
            </w:r>
          </w:p>
        </w:tc>
        <w:tc>
          <w:tcPr>
            <w:tcW w:w="133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基岩</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粘质</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砾质</w:t>
            </w:r>
          </w:p>
        </w:tc>
        <w:tc>
          <w:tcPr>
            <w:tcW w:w="14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壤质</w:t>
            </w:r>
          </w:p>
        </w:tc>
        <w:tc>
          <w:tcPr>
            <w:tcW w:w="1366"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沙质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植被覆盖(冬春)</w:t>
            </w:r>
          </w:p>
        </w:tc>
        <w:tc>
          <w:tcPr>
            <w:tcW w:w="133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茂密</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适中</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较少</w:t>
            </w:r>
          </w:p>
        </w:tc>
        <w:tc>
          <w:tcPr>
            <w:tcW w:w="14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稀疏</w:t>
            </w:r>
          </w:p>
        </w:tc>
        <w:tc>
          <w:tcPr>
            <w:tcW w:w="1366"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裸地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分级赋值(D)</w:t>
            </w:r>
          </w:p>
        </w:tc>
        <w:tc>
          <w:tcPr>
            <w:tcW w:w="133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1</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3</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5</w:t>
            </w:r>
          </w:p>
        </w:tc>
        <w:tc>
          <w:tcPr>
            <w:tcW w:w="14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7</w:t>
            </w:r>
          </w:p>
        </w:tc>
        <w:tc>
          <w:tcPr>
            <w:tcW w:w="1366"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5"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分级标准(DS)</w:t>
            </w:r>
          </w:p>
        </w:tc>
        <w:tc>
          <w:tcPr>
            <w:tcW w:w="133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1.0-2.0</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2.1-4.0</w:t>
            </w:r>
          </w:p>
        </w:tc>
        <w:tc>
          <w:tcPr>
            <w:tcW w:w="136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4.1-6.0</w:t>
            </w:r>
          </w:p>
        </w:tc>
        <w:tc>
          <w:tcPr>
            <w:tcW w:w="14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6.1-8.0</w:t>
            </w:r>
          </w:p>
        </w:tc>
        <w:tc>
          <w:tcPr>
            <w:tcW w:w="1366"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left="40" w:right="40"/>
              <w:jc w:val="center"/>
              <w:rPr>
                <w:rFonts w:ascii="Times New Roman" w:hAnsi="Times New Roman"/>
                <w:kern w:val="0"/>
                <w:sz w:val="21"/>
                <w:szCs w:val="21"/>
              </w:rPr>
            </w:pPr>
            <w:r>
              <w:rPr>
                <w:rFonts w:ascii="Times New Roman" w:hAnsi="Times New Roman"/>
                <w:kern w:val="0"/>
                <w:sz w:val="21"/>
                <w:szCs w:val="21"/>
              </w:rPr>
              <w:t>&gt;8.0</w:t>
            </w:r>
          </w:p>
        </w:tc>
      </w:tr>
    </w:tbl>
    <w:p>
      <w:pPr>
        <w:pStyle w:val="185"/>
        <w:spacing w:line="440" w:lineRule="exact"/>
        <w:ind w:firstLine="480"/>
        <w:rPr>
          <w:rFonts w:ascii="Times New Roman" w:hAnsi="Times New Roman" w:cs="Times New Roman"/>
          <w:szCs w:val="24"/>
        </w:rPr>
      </w:pPr>
      <w:r>
        <w:rPr>
          <w:rFonts w:ascii="Times New Roman" w:hAnsi="Times New Roman" w:cs="Times New Roman"/>
        </w:rPr>
        <w:t>沙漠化敏感性指数计算方法</w:t>
      </w:r>
    </w:p>
    <w:p>
      <w:pPr>
        <w:pStyle w:val="185"/>
        <w:spacing w:line="720" w:lineRule="exact"/>
        <w:ind w:firstLine="480"/>
        <w:jc w:val="center"/>
        <w:rPr>
          <w:rFonts w:ascii="Times New Roman" w:hAnsi="Times New Roman" w:cs="Times New Roman"/>
        </w:rPr>
      </w:pPr>
      <w:r>
        <w:rPr>
          <w:rFonts w:ascii="Times New Roman" w:hAnsi="Times New Roman" w:cs="Times New Roman"/>
        </w:rPr>
        <w:drawing>
          <wp:inline distT="0" distB="0" distL="0" distR="0">
            <wp:extent cx="914400" cy="353695"/>
            <wp:effectExtent l="0" t="0" r="0" b="762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a:xfrm>
                      <a:off x="0" y="0"/>
                      <a:ext cx="922135" cy="356832"/>
                    </a:xfrm>
                    <a:prstGeom prst="rect">
                      <a:avLst/>
                    </a:prstGeom>
                    <a:noFill/>
                    <a:ln>
                      <a:noFill/>
                    </a:ln>
                  </pic:spPr>
                </pic:pic>
              </a:graphicData>
            </a:graphic>
          </wp:inline>
        </w:drawing>
      </w:r>
      <w:r>
        <w:rPr>
          <w:rFonts w:ascii="Times New Roman" w:hAnsi="Times New Roman" w:cs="Times New Roman"/>
        </w:rPr>
        <w:t xml:space="preserve"> </w:t>
      </w:r>
    </w:p>
    <w:p>
      <w:pPr>
        <w:pStyle w:val="185"/>
        <w:spacing w:line="440" w:lineRule="exact"/>
        <w:ind w:firstLine="480"/>
        <w:rPr>
          <w:rFonts w:ascii="Times New Roman" w:hAnsi="Times New Roman" w:cs="Times New Roman"/>
        </w:rPr>
      </w:pPr>
      <w:r>
        <w:rPr>
          <w:rFonts w:ascii="Times New Roman" w:hAnsi="Times New Roman" w:cs="Times New Roman"/>
        </w:rPr>
        <w:t>式中：DSj为j空间单元沙漠化敏感性指数；Di为i因素敏感性等级值。</w:t>
      </w:r>
    </w:p>
    <w:p>
      <w:pPr>
        <w:pStyle w:val="185"/>
        <w:spacing w:line="440" w:lineRule="exact"/>
        <w:ind w:firstLine="480"/>
        <w:rPr>
          <w:rFonts w:ascii="Times New Roman" w:hAnsi="Times New Roman" w:cs="Times New Roman"/>
        </w:rPr>
      </w:pPr>
      <w:r>
        <w:rPr>
          <w:rFonts w:ascii="Times New Roman" w:hAnsi="Times New Roman" w:cs="Times New Roman"/>
        </w:rPr>
        <w:t>评价区内湿润指数为干燥度的倒数，反映了一个区域热量和水分之间的相互作用关系。干燥度等于潜在蒸发量与降水量之比。经计算湿润指数为0.16，分级赋值为7，属于高度敏感；冬春季大于6m/s大风的天数多于50天，分级赋值为7，属于高度敏感；土壤质地为沙质，极其敏感；因此区域沙漠化敏感性主要取决于冬春季节的植被盖度，评价区总体植被盖度较少，根据计算，沙漠化敏感性指数为6.85，属于沙漠化高度敏感区，较易发生沙漠化。随着矿区，沉陷区内植被可能会出现不同程度的退化，降低了植被盖度，增加了土壤沙漠化的风险。因此，在煤矿开发过程中必须高度重视扰动地表的植被恢复工作。</w:t>
      </w:r>
    </w:p>
    <w:p>
      <w:pPr>
        <w:pStyle w:val="185"/>
        <w:spacing w:line="440" w:lineRule="exact"/>
        <w:ind w:firstLine="480"/>
        <w:rPr>
          <w:rFonts w:ascii="Times New Roman" w:hAnsi="Times New Roman" w:cs="Times New Roman"/>
        </w:rPr>
      </w:pPr>
      <w:r>
        <w:rPr>
          <w:rFonts w:ascii="Times New Roman" w:hAnsi="Times New Roman" w:cs="Times New Roman"/>
        </w:rPr>
        <w:t>根据《全国防沙治沙综合示范区规划》，纳林希里矿区位于半干旱沙地类型区，毛乌素沙地综合治理与开发利用示范区。《中国人民共和国防沙治沙法》中规定：“防沙治沙实行统一规划。从事防沙治沙活动，以及在沙化土地范围内从事开发利用活动，必须遵循防沙治沙规划”。毛乌素沙地综合整治与开发利用示范区的规划示范方向为：根据不同立地条件，因地制宜建立综合防治及开发利用模式，先固定流沙，然后综合进行农业利用与开发，充分利用沙地光、热、水等自然资源，组合各种技术进行沙地的治理和开发。示范内容：一是针对以沙质荒漠化所造成的沙害和沙丘前移埋压农田及居民点等的危害，建立“带、片、网”相结合的防风固沙体系，利用沙区内部丘间条件好的地方，采取丘间营造片林与沙丘表面设置沙障相结合的方法固定流沙，同时加强对固定、半固定沙丘的封育与天然植被的保护；二是对于分布在河谷阶地、湖盆滩地中处于沙丘包围的农田，建立以窄林带小网格为主的防护林网，并与滩地边缘固定、半固定沙丘的封育，草灌结合固定流沙等措施组成的一个农田防护体系。与此同时，在河滩地内，将开放利用地下水、发展灌溉农业、改良土壤和建排灌渠等措施相配合。</w:t>
      </w:r>
    </w:p>
    <w:p>
      <w:pPr>
        <w:spacing w:line="440" w:lineRule="exact"/>
        <w:ind w:firstLine="480" w:firstLineChars="200"/>
        <w:rPr>
          <w:rFonts w:ascii="Times New Roman" w:hAnsi="Times New Roman"/>
        </w:rPr>
      </w:pPr>
      <w:r>
        <w:rPr>
          <w:rFonts w:ascii="Times New Roman" w:hAnsi="Times New Roman"/>
        </w:rPr>
        <w:t>矿区开发后，因采煤地表沉陷产生的植被损毁，土壤沙化问题，可参照示范内容，在采煤沉陷区营造防沙固沙体系，增加植被盖度，预防采煤沉陷引起的土壤沙化。</w:t>
      </w:r>
    </w:p>
    <w:p>
      <w:pPr>
        <w:keepNext/>
        <w:keepLines/>
        <w:adjustRightInd w:val="0"/>
        <w:snapToGrid w:val="0"/>
        <w:spacing w:line="440" w:lineRule="exact"/>
        <w:outlineLvl w:val="2"/>
        <w:rPr>
          <w:rFonts w:ascii="Times New Roman" w:hAnsi="Times New Roman"/>
          <w:b/>
        </w:rPr>
      </w:pPr>
      <w:r>
        <w:rPr>
          <w:rFonts w:ascii="Times New Roman" w:hAnsi="Times New Roman"/>
          <w:b/>
        </w:rPr>
        <w:t>5.2.8 矿区开发对土壤盐渍化的影响分析</w:t>
      </w:r>
    </w:p>
    <w:p>
      <w:pPr>
        <w:spacing w:line="440" w:lineRule="exact"/>
        <w:ind w:firstLine="482" w:firstLineChars="200"/>
        <w:rPr>
          <w:rFonts w:ascii="Times New Roman" w:hAnsi="Times New Roman"/>
          <w:b/>
        </w:rPr>
      </w:pPr>
      <w:r>
        <w:rPr>
          <w:rFonts w:ascii="Times New Roman" w:hAnsi="Times New Roman"/>
          <w:b/>
        </w:rPr>
        <w:t>（1）土壤盐渍化影响分析</w:t>
      </w:r>
    </w:p>
    <w:p>
      <w:pPr>
        <w:spacing w:line="440" w:lineRule="exact"/>
        <w:ind w:firstLine="480" w:firstLineChars="200"/>
        <w:rPr>
          <w:rFonts w:ascii="Times New Roman" w:hAnsi="Times New Roman"/>
          <w:szCs w:val="22"/>
        </w:rPr>
      </w:pPr>
      <w:r>
        <w:rPr>
          <w:rFonts w:ascii="Times New Roman" w:hAnsi="Times New Roman"/>
          <w:szCs w:val="22"/>
        </w:rPr>
        <w:t>本次评价利用《生态功能区划暂行规程》提供的指标体系进行土壤盐渍化敏感性分析，不敏感区域基本不会发生土壤盐渍化，敏感区域就有发生盐渍化的可能。土地盐渍化敏感性指标体系见5.2-6。</w:t>
      </w:r>
    </w:p>
    <w:p>
      <w:pPr>
        <w:pStyle w:val="345"/>
        <w:spacing w:line="440" w:lineRule="exact"/>
        <w:jc w:val="center"/>
        <w:rPr>
          <w:rFonts w:ascii="Times New Roman" w:hAnsi="Times New Roman" w:cs="Times New Roman"/>
          <w:kern w:val="0"/>
        </w:rPr>
      </w:pPr>
      <w:r>
        <w:rPr>
          <w:rFonts w:ascii="Times New Roman" w:hAnsi="Times New Roman" w:cs="Times New Roman"/>
          <w:kern w:val="0"/>
        </w:rPr>
        <w:t>盐渍化敏感性评价指标</w:t>
      </w:r>
    </w:p>
    <w:p>
      <w:pPr>
        <w:pStyle w:val="331"/>
        <w:spacing w:line="440" w:lineRule="exact"/>
        <w:ind w:firstLine="240" w:firstLineChars="100"/>
        <w:rPr>
          <w:rFonts w:ascii="Times New Roman" w:hAnsi="Times New Roman" w:cs="Times New Roman"/>
        </w:rPr>
      </w:pPr>
      <w:r>
        <w:rPr>
          <w:rFonts w:ascii="Times New Roman" w:hAnsi="Times New Roman" w:cs="Times New Roman"/>
        </w:rPr>
        <w:t>表5.2-6</w:t>
      </w:r>
    </w:p>
    <w:tbl>
      <w:tblPr>
        <w:tblStyle w:val="59"/>
        <w:tblW w:w="903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809"/>
        <w:gridCol w:w="1444"/>
        <w:gridCol w:w="1444"/>
        <w:gridCol w:w="1507"/>
        <w:gridCol w:w="1301"/>
        <w:gridCol w:w="152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3" w:hRule="atLeast"/>
          <w:jc w:val="center"/>
        </w:trPr>
        <w:tc>
          <w:tcPr>
            <w:tcW w:w="1809" w:type="dxa"/>
            <w:vAlign w:val="center"/>
          </w:tcPr>
          <w:p>
            <w:pPr>
              <w:autoSpaceDE w:val="0"/>
              <w:autoSpaceDN w:val="0"/>
              <w:adjustRightInd w:val="0"/>
              <w:ind w:left="40" w:right="40"/>
              <w:jc w:val="center"/>
              <w:rPr>
                <w:rFonts w:ascii="Times New Roman" w:hAnsi="Times New Roman"/>
                <w:sz w:val="21"/>
                <w:szCs w:val="21"/>
              </w:rPr>
            </w:pPr>
            <w:r>
              <w:rPr>
                <w:rFonts w:ascii="Times New Roman" w:hAnsi="Times New Roman"/>
                <w:sz w:val="21"/>
                <w:szCs w:val="21"/>
              </w:rPr>
              <w:t>敏感性要素</w:t>
            </w:r>
          </w:p>
        </w:tc>
        <w:tc>
          <w:tcPr>
            <w:tcW w:w="1444" w:type="dxa"/>
            <w:vAlign w:val="center"/>
          </w:tcPr>
          <w:p>
            <w:pPr>
              <w:autoSpaceDE w:val="0"/>
              <w:autoSpaceDN w:val="0"/>
              <w:adjustRightInd w:val="0"/>
              <w:ind w:left="40" w:right="40"/>
              <w:jc w:val="center"/>
              <w:rPr>
                <w:rFonts w:ascii="Times New Roman" w:hAnsi="Times New Roman"/>
                <w:sz w:val="21"/>
                <w:szCs w:val="21"/>
              </w:rPr>
            </w:pPr>
            <w:r>
              <w:rPr>
                <w:rFonts w:ascii="Times New Roman" w:hAnsi="Times New Roman"/>
                <w:sz w:val="21"/>
                <w:szCs w:val="21"/>
              </w:rPr>
              <w:t>不敏感</w:t>
            </w:r>
          </w:p>
        </w:tc>
        <w:tc>
          <w:tcPr>
            <w:tcW w:w="1444" w:type="dxa"/>
            <w:vAlign w:val="center"/>
          </w:tcPr>
          <w:p>
            <w:pPr>
              <w:autoSpaceDE w:val="0"/>
              <w:autoSpaceDN w:val="0"/>
              <w:adjustRightInd w:val="0"/>
              <w:ind w:left="40" w:right="40"/>
              <w:jc w:val="center"/>
              <w:rPr>
                <w:rFonts w:ascii="Times New Roman" w:hAnsi="Times New Roman"/>
                <w:sz w:val="21"/>
                <w:szCs w:val="21"/>
              </w:rPr>
            </w:pPr>
            <w:r>
              <w:rPr>
                <w:rFonts w:ascii="Times New Roman" w:hAnsi="Times New Roman"/>
                <w:sz w:val="21"/>
                <w:szCs w:val="21"/>
              </w:rPr>
              <w:t>轻度敏感</w:t>
            </w:r>
          </w:p>
        </w:tc>
        <w:tc>
          <w:tcPr>
            <w:tcW w:w="1507" w:type="dxa"/>
            <w:vAlign w:val="center"/>
          </w:tcPr>
          <w:p>
            <w:pPr>
              <w:autoSpaceDE w:val="0"/>
              <w:autoSpaceDN w:val="0"/>
              <w:adjustRightInd w:val="0"/>
              <w:ind w:left="40" w:right="40"/>
              <w:jc w:val="center"/>
              <w:rPr>
                <w:rFonts w:ascii="Times New Roman" w:hAnsi="Times New Roman"/>
                <w:sz w:val="21"/>
                <w:szCs w:val="21"/>
              </w:rPr>
            </w:pPr>
            <w:r>
              <w:rPr>
                <w:rFonts w:ascii="Times New Roman" w:hAnsi="Times New Roman"/>
                <w:sz w:val="21"/>
                <w:szCs w:val="21"/>
              </w:rPr>
              <w:t>中度敏感</w:t>
            </w:r>
          </w:p>
        </w:tc>
        <w:tc>
          <w:tcPr>
            <w:tcW w:w="1301" w:type="dxa"/>
            <w:vAlign w:val="center"/>
          </w:tcPr>
          <w:p>
            <w:pPr>
              <w:autoSpaceDE w:val="0"/>
              <w:autoSpaceDN w:val="0"/>
              <w:adjustRightInd w:val="0"/>
              <w:ind w:left="40" w:right="40"/>
              <w:jc w:val="center"/>
              <w:rPr>
                <w:rFonts w:ascii="Times New Roman" w:hAnsi="Times New Roman"/>
                <w:sz w:val="21"/>
                <w:szCs w:val="21"/>
              </w:rPr>
            </w:pPr>
            <w:r>
              <w:rPr>
                <w:rFonts w:ascii="Times New Roman" w:hAnsi="Times New Roman"/>
                <w:sz w:val="21"/>
                <w:szCs w:val="21"/>
              </w:rPr>
              <w:t>高度敏感</w:t>
            </w:r>
          </w:p>
        </w:tc>
        <w:tc>
          <w:tcPr>
            <w:tcW w:w="1525" w:type="dxa"/>
            <w:vAlign w:val="center"/>
          </w:tcPr>
          <w:p>
            <w:pPr>
              <w:autoSpaceDE w:val="0"/>
              <w:autoSpaceDN w:val="0"/>
              <w:adjustRightInd w:val="0"/>
              <w:ind w:left="40" w:right="40"/>
              <w:jc w:val="center"/>
              <w:rPr>
                <w:rFonts w:ascii="Times New Roman" w:hAnsi="Times New Roman"/>
                <w:sz w:val="21"/>
                <w:szCs w:val="21"/>
              </w:rPr>
            </w:pPr>
            <w:r>
              <w:rPr>
                <w:rFonts w:ascii="Times New Roman" w:hAnsi="Times New Roman"/>
                <w:sz w:val="21"/>
                <w:szCs w:val="21"/>
              </w:rPr>
              <w:t>极敏感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0" w:hRule="atLeast"/>
          <w:jc w:val="center"/>
        </w:trPr>
        <w:tc>
          <w:tcPr>
            <w:tcW w:w="1809" w:type="dxa"/>
            <w:vAlign w:val="center"/>
          </w:tcPr>
          <w:p>
            <w:pPr>
              <w:jc w:val="center"/>
              <w:rPr>
                <w:rFonts w:ascii="Times New Roman" w:hAnsi="Times New Roman"/>
                <w:sz w:val="21"/>
                <w:szCs w:val="21"/>
              </w:rPr>
            </w:pPr>
            <w:r>
              <w:rPr>
                <w:rFonts w:ascii="Times New Roman" w:hAnsi="Times New Roman"/>
                <w:sz w:val="21"/>
                <w:szCs w:val="21"/>
              </w:rPr>
              <w:t>蒸发量/降雨量</w:t>
            </w:r>
          </w:p>
        </w:tc>
        <w:tc>
          <w:tcPr>
            <w:tcW w:w="1444" w:type="dxa"/>
            <w:vAlign w:val="center"/>
          </w:tcPr>
          <w:p>
            <w:pPr>
              <w:jc w:val="center"/>
              <w:rPr>
                <w:rFonts w:ascii="Times New Roman" w:hAnsi="Times New Roman"/>
                <w:sz w:val="21"/>
                <w:szCs w:val="21"/>
              </w:rPr>
            </w:pPr>
            <w:r>
              <w:rPr>
                <w:rFonts w:ascii="Times New Roman" w:hAnsi="Times New Roman"/>
                <w:sz w:val="21"/>
                <w:szCs w:val="21"/>
              </w:rPr>
              <w:t>&lt;1</w:t>
            </w:r>
          </w:p>
        </w:tc>
        <w:tc>
          <w:tcPr>
            <w:tcW w:w="1444" w:type="dxa"/>
            <w:vAlign w:val="center"/>
          </w:tcPr>
          <w:p>
            <w:pPr>
              <w:jc w:val="center"/>
              <w:rPr>
                <w:rFonts w:ascii="Times New Roman" w:hAnsi="Times New Roman"/>
                <w:sz w:val="21"/>
                <w:szCs w:val="21"/>
              </w:rPr>
            </w:pPr>
            <w:r>
              <w:rPr>
                <w:rFonts w:ascii="Times New Roman" w:hAnsi="Times New Roman"/>
                <w:sz w:val="21"/>
                <w:szCs w:val="21"/>
              </w:rPr>
              <w:t>1-3</w:t>
            </w:r>
          </w:p>
        </w:tc>
        <w:tc>
          <w:tcPr>
            <w:tcW w:w="1507" w:type="dxa"/>
            <w:vAlign w:val="center"/>
          </w:tcPr>
          <w:p>
            <w:pPr>
              <w:jc w:val="center"/>
              <w:rPr>
                <w:rFonts w:ascii="Times New Roman" w:hAnsi="Times New Roman"/>
                <w:sz w:val="21"/>
                <w:szCs w:val="21"/>
              </w:rPr>
            </w:pPr>
            <w:r>
              <w:rPr>
                <w:rFonts w:ascii="Times New Roman" w:hAnsi="Times New Roman"/>
                <w:sz w:val="21"/>
                <w:szCs w:val="21"/>
              </w:rPr>
              <w:t>3-10</w:t>
            </w:r>
          </w:p>
        </w:tc>
        <w:tc>
          <w:tcPr>
            <w:tcW w:w="1301" w:type="dxa"/>
            <w:vAlign w:val="center"/>
          </w:tcPr>
          <w:p>
            <w:pPr>
              <w:jc w:val="center"/>
              <w:rPr>
                <w:rFonts w:ascii="Times New Roman" w:hAnsi="Times New Roman"/>
                <w:sz w:val="21"/>
                <w:szCs w:val="21"/>
              </w:rPr>
            </w:pPr>
            <w:r>
              <w:rPr>
                <w:rFonts w:ascii="Times New Roman" w:hAnsi="Times New Roman"/>
                <w:sz w:val="21"/>
                <w:szCs w:val="21"/>
              </w:rPr>
              <w:t>10-15</w:t>
            </w:r>
          </w:p>
        </w:tc>
        <w:tc>
          <w:tcPr>
            <w:tcW w:w="1525" w:type="dxa"/>
            <w:vAlign w:val="center"/>
          </w:tcPr>
          <w:p>
            <w:pPr>
              <w:jc w:val="center"/>
              <w:rPr>
                <w:rFonts w:ascii="Times New Roman" w:hAnsi="Times New Roman"/>
                <w:sz w:val="21"/>
                <w:szCs w:val="21"/>
              </w:rPr>
            </w:pPr>
            <w:r>
              <w:rPr>
                <w:rFonts w:ascii="Times New Roman" w:hAnsi="Times New Roman"/>
                <w:sz w:val="21"/>
                <w:szCs w:val="21"/>
              </w:rPr>
              <w:t>&gt;15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0" w:hRule="atLeast"/>
          <w:jc w:val="center"/>
        </w:trPr>
        <w:tc>
          <w:tcPr>
            <w:tcW w:w="1809" w:type="dxa"/>
            <w:vAlign w:val="center"/>
          </w:tcPr>
          <w:p>
            <w:pPr>
              <w:jc w:val="center"/>
              <w:rPr>
                <w:rFonts w:ascii="Times New Roman" w:hAnsi="Times New Roman"/>
                <w:sz w:val="21"/>
                <w:szCs w:val="21"/>
              </w:rPr>
            </w:pPr>
            <w:r>
              <w:rPr>
                <w:rFonts w:ascii="Times New Roman" w:hAnsi="Times New Roman"/>
                <w:sz w:val="21"/>
                <w:szCs w:val="21"/>
              </w:rPr>
              <w:t>地下水矿化度g/l</w:t>
            </w:r>
          </w:p>
        </w:tc>
        <w:tc>
          <w:tcPr>
            <w:tcW w:w="1444" w:type="dxa"/>
            <w:vAlign w:val="center"/>
          </w:tcPr>
          <w:p>
            <w:pPr>
              <w:jc w:val="center"/>
              <w:rPr>
                <w:rFonts w:ascii="Times New Roman" w:hAnsi="Times New Roman"/>
                <w:sz w:val="21"/>
                <w:szCs w:val="21"/>
              </w:rPr>
            </w:pPr>
            <w:r>
              <w:rPr>
                <w:rFonts w:ascii="Times New Roman" w:hAnsi="Times New Roman"/>
                <w:sz w:val="21"/>
                <w:szCs w:val="21"/>
              </w:rPr>
              <w:t>&lt;1</w:t>
            </w:r>
          </w:p>
        </w:tc>
        <w:tc>
          <w:tcPr>
            <w:tcW w:w="1444" w:type="dxa"/>
            <w:vAlign w:val="center"/>
          </w:tcPr>
          <w:p>
            <w:pPr>
              <w:jc w:val="center"/>
              <w:rPr>
                <w:rFonts w:ascii="Times New Roman" w:hAnsi="Times New Roman"/>
                <w:sz w:val="21"/>
                <w:szCs w:val="21"/>
              </w:rPr>
            </w:pPr>
            <w:r>
              <w:rPr>
                <w:rFonts w:ascii="Times New Roman" w:hAnsi="Times New Roman"/>
                <w:sz w:val="21"/>
                <w:szCs w:val="21"/>
              </w:rPr>
              <w:t>1-5</w:t>
            </w:r>
          </w:p>
        </w:tc>
        <w:tc>
          <w:tcPr>
            <w:tcW w:w="1507" w:type="dxa"/>
            <w:vAlign w:val="center"/>
          </w:tcPr>
          <w:p>
            <w:pPr>
              <w:jc w:val="center"/>
              <w:rPr>
                <w:rFonts w:ascii="Times New Roman" w:hAnsi="Times New Roman"/>
                <w:sz w:val="21"/>
                <w:szCs w:val="21"/>
              </w:rPr>
            </w:pPr>
            <w:r>
              <w:rPr>
                <w:rFonts w:ascii="Times New Roman" w:hAnsi="Times New Roman"/>
                <w:sz w:val="21"/>
                <w:szCs w:val="21"/>
              </w:rPr>
              <w:t>5-10</w:t>
            </w:r>
          </w:p>
        </w:tc>
        <w:tc>
          <w:tcPr>
            <w:tcW w:w="1301" w:type="dxa"/>
            <w:vAlign w:val="center"/>
          </w:tcPr>
          <w:p>
            <w:pPr>
              <w:jc w:val="center"/>
              <w:rPr>
                <w:rFonts w:ascii="Times New Roman" w:hAnsi="Times New Roman"/>
                <w:sz w:val="21"/>
                <w:szCs w:val="21"/>
              </w:rPr>
            </w:pPr>
            <w:r>
              <w:rPr>
                <w:rFonts w:ascii="Times New Roman" w:hAnsi="Times New Roman"/>
                <w:sz w:val="21"/>
                <w:szCs w:val="21"/>
              </w:rPr>
              <w:t>10-25</w:t>
            </w:r>
          </w:p>
        </w:tc>
        <w:tc>
          <w:tcPr>
            <w:tcW w:w="1525" w:type="dxa"/>
            <w:vAlign w:val="center"/>
          </w:tcPr>
          <w:p>
            <w:pPr>
              <w:jc w:val="center"/>
              <w:rPr>
                <w:rFonts w:ascii="Times New Roman" w:hAnsi="Times New Roman"/>
                <w:sz w:val="21"/>
                <w:szCs w:val="21"/>
              </w:rPr>
            </w:pPr>
            <w:r>
              <w:rPr>
                <w:rFonts w:ascii="Times New Roman" w:hAnsi="Times New Roman"/>
                <w:sz w:val="21"/>
                <w:szCs w:val="21"/>
              </w:rPr>
              <w:t>&gt;25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53" w:hRule="atLeast"/>
          <w:jc w:val="center"/>
        </w:trPr>
        <w:tc>
          <w:tcPr>
            <w:tcW w:w="1809" w:type="dxa"/>
            <w:vAlign w:val="center"/>
          </w:tcPr>
          <w:p>
            <w:pPr>
              <w:jc w:val="center"/>
              <w:rPr>
                <w:rFonts w:ascii="Times New Roman" w:hAnsi="Times New Roman"/>
                <w:sz w:val="21"/>
                <w:szCs w:val="21"/>
              </w:rPr>
            </w:pPr>
            <w:r>
              <w:rPr>
                <w:rFonts w:ascii="Times New Roman" w:hAnsi="Times New Roman"/>
                <w:sz w:val="21"/>
                <w:szCs w:val="21"/>
              </w:rPr>
              <w:t>地形</w:t>
            </w:r>
          </w:p>
        </w:tc>
        <w:tc>
          <w:tcPr>
            <w:tcW w:w="1444" w:type="dxa"/>
            <w:vAlign w:val="center"/>
          </w:tcPr>
          <w:p>
            <w:pPr>
              <w:jc w:val="center"/>
              <w:rPr>
                <w:rFonts w:ascii="Times New Roman" w:hAnsi="Times New Roman"/>
                <w:sz w:val="21"/>
                <w:szCs w:val="21"/>
              </w:rPr>
            </w:pPr>
            <w:r>
              <w:rPr>
                <w:rFonts w:ascii="Times New Roman" w:hAnsi="Times New Roman"/>
                <w:sz w:val="21"/>
                <w:szCs w:val="21"/>
              </w:rPr>
              <w:t>山地</w:t>
            </w:r>
          </w:p>
        </w:tc>
        <w:tc>
          <w:tcPr>
            <w:tcW w:w="1444" w:type="dxa"/>
            <w:vAlign w:val="center"/>
          </w:tcPr>
          <w:p>
            <w:pPr>
              <w:jc w:val="center"/>
              <w:rPr>
                <w:rFonts w:ascii="Times New Roman" w:hAnsi="Times New Roman"/>
                <w:sz w:val="21"/>
                <w:szCs w:val="21"/>
              </w:rPr>
            </w:pPr>
            <w:r>
              <w:rPr>
                <w:rFonts w:ascii="Times New Roman" w:hAnsi="Times New Roman"/>
                <w:sz w:val="21"/>
                <w:szCs w:val="21"/>
              </w:rPr>
              <w:t>洪积平原、三角洲</w:t>
            </w:r>
          </w:p>
        </w:tc>
        <w:tc>
          <w:tcPr>
            <w:tcW w:w="1507" w:type="dxa"/>
            <w:vAlign w:val="center"/>
          </w:tcPr>
          <w:p>
            <w:pPr>
              <w:jc w:val="center"/>
              <w:rPr>
                <w:rFonts w:ascii="Times New Roman" w:hAnsi="Times New Roman"/>
                <w:sz w:val="21"/>
                <w:szCs w:val="21"/>
              </w:rPr>
            </w:pPr>
            <w:r>
              <w:rPr>
                <w:rFonts w:ascii="Times New Roman" w:hAnsi="Times New Roman"/>
                <w:sz w:val="21"/>
                <w:szCs w:val="21"/>
              </w:rPr>
              <w:t>泛滥冲积平原</w:t>
            </w:r>
          </w:p>
        </w:tc>
        <w:tc>
          <w:tcPr>
            <w:tcW w:w="1301" w:type="dxa"/>
            <w:vAlign w:val="center"/>
          </w:tcPr>
          <w:p>
            <w:pPr>
              <w:jc w:val="center"/>
              <w:rPr>
                <w:rFonts w:ascii="Times New Roman" w:hAnsi="Times New Roman"/>
                <w:sz w:val="21"/>
                <w:szCs w:val="21"/>
              </w:rPr>
            </w:pPr>
            <w:r>
              <w:rPr>
                <w:rFonts w:ascii="Times New Roman" w:hAnsi="Times New Roman"/>
                <w:sz w:val="21"/>
                <w:szCs w:val="21"/>
              </w:rPr>
              <w:t>河谷平原</w:t>
            </w:r>
          </w:p>
        </w:tc>
        <w:tc>
          <w:tcPr>
            <w:tcW w:w="1525" w:type="dxa"/>
            <w:vAlign w:val="center"/>
          </w:tcPr>
          <w:p>
            <w:pPr>
              <w:jc w:val="center"/>
              <w:rPr>
                <w:rFonts w:ascii="Times New Roman" w:hAnsi="Times New Roman"/>
                <w:sz w:val="21"/>
                <w:szCs w:val="21"/>
              </w:rPr>
            </w:pPr>
            <w:r>
              <w:rPr>
                <w:rFonts w:ascii="Times New Roman" w:hAnsi="Times New Roman"/>
                <w:sz w:val="21"/>
                <w:szCs w:val="21"/>
              </w:rPr>
              <w:t>滨海低平原、闭流盆地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0" w:hRule="atLeast"/>
          <w:jc w:val="center"/>
        </w:trPr>
        <w:tc>
          <w:tcPr>
            <w:tcW w:w="1809" w:type="dxa"/>
            <w:vAlign w:val="center"/>
          </w:tcPr>
          <w:p>
            <w:pPr>
              <w:jc w:val="center"/>
              <w:rPr>
                <w:rFonts w:ascii="Times New Roman" w:hAnsi="Times New Roman"/>
                <w:sz w:val="21"/>
                <w:szCs w:val="21"/>
              </w:rPr>
            </w:pPr>
            <w:r>
              <w:rPr>
                <w:rFonts w:ascii="Times New Roman" w:hAnsi="Times New Roman"/>
                <w:sz w:val="21"/>
                <w:szCs w:val="21"/>
              </w:rPr>
              <w:t>分级赋值(S)</w:t>
            </w:r>
          </w:p>
        </w:tc>
        <w:tc>
          <w:tcPr>
            <w:tcW w:w="1444" w:type="dxa"/>
            <w:vAlign w:val="center"/>
          </w:tcPr>
          <w:p>
            <w:pPr>
              <w:jc w:val="center"/>
              <w:rPr>
                <w:rFonts w:ascii="Times New Roman" w:hAnsi="Times New Roman"/>
                <w:sz w:val="21"/>
                <w:szCs w:val="21"/>
              </w:rPr>
            </w:pPr>
            <w:r>
              <w:rPr>
                <w:rFonts w:ascii="Times New Roman" w:hAnsi="Times New Roman"/>
                <w:sz w:val="21"/>
                <w:szCs w:val="21"/>
              </w:rPr>
              <w:t>1</w:t>
            </w:r>
          </w:p>
        </w:tc>
        <w:tc>
          <w:tcPr>
            <w:tcW w:w="1444" w:type="dxa"/>
            <w:vAlign w:val="center"/>
          </w:tcPr>
          <w:p>
            <w:pPr>
              <w:jc w:val="center"/>
              <w:rPr>
                <w:rFonts w:ascii="Times New Roman" w:hAnsi="Times New Roman"/>
                <w:sz w:val="21"/>
                <w:szCs w:val="21"/>
              </w:rPr>
            </w:pPr>
            <w:r>
              <w:rPr>
                <w:rFonts w:ascii="Times New Roman" w:hAnsi="Times New Roman"/>
                <w:sz w:val="21"/>
                <w:szCs w:val="21"/>
              </w:rPr>
              <w:t>3</w:t>
            </w:r>
          </w:p>
        </w:tc>
        <w:tc>
          <w:tcPr>
            <w:tcW w:w="1507" w:type="dxa"/>
            <w:vAlign w:val="center"/>
          </w:tcPr>
          <w:p>
            <w:pPr>
              <w:jc w:val="center"/>
              <w:rPr>
                <w:rFonts w:ascii="Times New Roman" w:hAnsi="Times New Roman"/>
                <w:sz w:val="21"/>
                <w:szCs w:val="21"/>
              </w:rPr>
            </w:pPr>
            <w:r>
              <w:rPr>
                <w:rFonts w:ascii="Times New Roman" w:hAnsi="Times New Roman"/>
                <w:sz w:val="21"/>
                <w:szCs w:val="21"/>
              </w:rPr>
              <w:t>5</w:t>
            </w:r>
          </w:p>
        </w:tc>
        <w:tc>
          <w:tcPr>
            <w:tcW w:w="1301" w:type="dxa"/>
            <w:vAlign w:val="center"/>
          </w:tcPr>
          <w:p>
            <w:pPr>
              <w:jc w:val="center"/>
              <w:rPr>
                <w:rFonts w:ascii="Times New Roman" w:hAnsi="Times New Roman"/>
                <w:sz w:val="21"/>
                <w:szCs w:val="21"/>
              </w:rPr>
            </w:pPr>
            <w:r>
              <w:rPr>
                <w:rFonts w:ascii="Times New Roman" w:hAnsi="Times New Roman"/>
                <w:sz w:val="21"/>
                <w:szCs w:val="21"/>
              </w:rPr>
              <w:t>7</w:t>
            </w:r>
          </w:p>
        </w:tc>
        <w:tc>
          <w:tcPr>
            <w:tcW w:w="1525" w:type="dxa"/>
            <w:vAlign w:val="center"/>
          </w:tcPr>
          <w:p>
            <w:pPr>
              <w:jc w:val="center"/>
              <w:rPr>
                <w:rFonts w:ascii="Times New Roman" w:hAnsi="Times New Roman"/>
                <w:sz w:val="21"/>
                <w:szCs w:val="21"/>
              </w:rPr>
            </w:pPr>
            <w:r>
              <w:rPr>
                <w:rFonts w:ascii="Times New Roman" w:hAnsi="Times New Roman"/>
                <w:sz w:val="21"/>
                <w:szCs w:val="21"/>
              </w:rPr>
              <w:t>9</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0" w:hRule="atLeast"/>
          <w:jc w:val="center"/>
        </w:trPr>
        <w:tc>
          <w:tcPr>
            <w:tcW w:w="1809" w:type="dxa"/>
            <w:vAlign w:val="center"/>
          </w:tcPr>
          <w:p>
            <w:pPr>
              <w:jc w:val="center"/>
              <w:rPr>
                <w:rFonts w:ascii="Times New Roman" w:hAnsi="Times New Roman"/>
                <w:sz w:val="21"/>
                <w:szCs w:val="21"/>
              </w:rPr>
            </w:pPr>
            <w:r>
              <w:rPr>
                <w:rFonts w:ascii="Times New Roman" w:hAnsi="Times New Roman"/>
                <w:sz w:val="21"/>
                <w:szCs w:val="21"/>
              </w:rPr>
              <w:t>分级标准(YS)</w:t>
            </w:r>
          </w:p>
        </w:tc>
        <w:tc>
          <w:tcPr>
            <w:tcW w:w="1444" w:type="dxa"/>
            <w:vAlign w:val="center"/>
          </w:tcPr>
          <w:p>
            <w:pPr>
              <w:jc w:val="center"/>
              <w:rPr>
                <w:rFonts w:ascii="Times New Roman" w:hAnsi="Times New Roman"/>
                <w:sz w:val="21"/>
                <w:szCs w:val="21"/>
              </w:rPr>
            </w:pPr>
            <w:r>
              <w:rPr>
                <w:rFonts w:ascii="Times New Roman" w:hAnsi="Times New Roman"/>
                <w:sz w:val="21"/>
                <w:szCs w:val="21"/>
              </w:rPr>
              <w:t>1.0-2.0</w:t>
            </w:r>
          </w:p>
        </w:tc>
        <w:tc>
          <w:tcPr>
            <w:tcW w:w="1444" w:type="dxa"/>
            <w:vAlign w:val="center"/>
          </w:tcPr>
          <w:p>
            <w:pPr>
              <w:jc w:val="center"/>
              <w:rPr>
                <w:rFonts w:ascii="Times New Roman" w:hAnsi="Times New Roman"/>
                <w:sz w:val="21"/>
                <w:szCs w:val="21"/>
              </w:rPr>
            </w:pPr>
            <w:r>
              <w:rPr>
                <w:rFonts w:ascii="Times New Roman" w:hAnsi="Times New Roman"/>
                <w:sz w:val="21"/>
                <w:szCs w:val="21"/>
              </w:rPr>
              <w:t>2.1-4.0</w:t>
            </w:r>
          </w:p>
        </w:tc>
        <w:tc>
          <w:tcPr>
            <w:tcW w:w="1507" w:type="dxa"/>
            <w:vAlign w:val="center"/>
          </w:tcPr>
          <w:p>
            <w:pPr>
              <w:jc w:val="center"/>
              <w:rPr>
                <w:rFonts w:ascii="Times New Roman" w:hAnsi="Times New Roman"/>
                <w:sz w:val="21"/>
                <w:szCs w:val="21"/>
              </w:rPr>
            </w:pPr>
            <w:r>
              <w:rPr>
                <w:rFonts w:ascii="Times New Roman" w:hAnsi="Times New Roman"/>
                <w:sz w:val="21"/>
                <w:szCs w:val="21"/>
              </w:rPr>
              <w:t>4.1-6.0</w:t>
            </w:r>
          </w:p>
        </w:tc>
        <w:tc>
          <w:tcPr>
            <w:tcW w:w="1301" w:type="dxa"/>
            <w:vAlign w:val="center"/>
          </w:tcPr>
          <w:p>
            <w:pPr>
              <w:jc w:val="center"/>
              <w:rPr>
                <w:rFonts w:ascii="Times New Roman" w:hAnsi="Times New Roman"/>
                <w:sz w:val="21"/>
                <w:szCs w:val="21"/>
              </w:rPr>
            </w:pPr>
            <w:r>
              <w:rPr>
                <w:rFonts w:ascii="Times New Roman" w:hAnsi="Times New Roman"/>
                <w:sz w:val="21"/>
                <w:szCs w:val="21"/>
              </w:rPr>
              <w:t>6.1-8.0</w:t>
            </w:r>
          </w:p>
        </w:tc>
        <w:tc>
          <w:tcPr>
            <w:tcW w:w="1525" w:type="dxa"/>
            <w:vAlign w:val="center"/>
          </w:tcPr>
          <w:p>
            <w:pPr>
              <w:jc w:val="center"/>
              <w:rPr>
                <w:rFonts w:ascii="Times New Roman" w:hAnsi="Times New Roman"/>
                <w:sz w:val="21"/>
                <w:szCs w:val="21"/>
              </w:rPr>
            </w:pPr>
            <w:r>
              <w:rPr>
                <w:rFonts w:ascii="Times New Roman" w:hAnsi="Times New Roman"/>
                <w:sz w:val="21"/>
                <w:szCs w:val="21"/>
              </w:rPr>
              <w:t>&gt;8.0</w:t>
            </w:r>
          </w:p>
        </w:tc>
      </w:tr>
    </w:tbl>
    <w:p>
      <w:pPr>
        <w:spacing w:before="120" w:beforeLines="50" w:line="440" w:lineRule="exact"/>
        <w:ind w:firstLine="480" w:firstLineChars="200"/>
        <w:rPr>
          <w:rFonts w:ascii="Times New Roman" w:hAnsi="Times New Roman"/>
        </w:rPr>
      </w:pPr>
      <w:r>
        <w:rPr>
          <w:rFonts w:ascii="Times New Roman" w:hAnsi="Times New Roman"/>
        </w:rPr>
        <w:t>盐渍化敏感性指数计算公式为：</w:t>
      </w:r>
    </w:p>
    <w:p>
      <w:pPr>
        <w:ind w:firstLine="1132" w:firstLineChars="472"/>
        <w:rPr>
          <w:rFonts w:ascii="Times New Roman" w:hAnsi="Times New Roman"/>
        </w:rPr>
      </w:pPr>
      <w:r>
        <w:rPr>
          <w:rFonts w:ascii="Times New Roman" w:hAnsi="Times New Roman"/>
        </w:rPr>
        <w:object>
          <v:shape id="_x0000_i1067" o:spt="75" type="#_x0000_t75" style="height:38.15pt;width:67.7pt;" o:ole="t" filled="f" o:preferrelative="t" stroked="f" coordsize="21600,21600">
            <v:path/>
            <v:fill on="f" focussize="0,0"/>
            <v:stroke on="f" joinstyle="miter"/>
            <v:imagedata r:id="rId159" o:title=""/>
            <o:lock v:ext="edit" aspectratio="t"/>
            <w10:wrap type="none"/>
            <w10:anchorlock/>
          </v:shape>
          <o:OLEObject Type="Embed" ProgID="Equation.3" ShapeID="_x0000_i1067" DrawAspect="Content" ObjectID="_1468075768" r:id="rId158">
            <o:LockedField>false</o:LockedField>
          </o:OLEObject>
        </w:object>
      </w:r>
    </w:p>
    <w:p>
      <w:pPr>
        <w:spacing w:line="440" w:lineRule="exact"/>
        <w:ind w:firstLine="480" w:firstLineChars="200"/>
        <w:rPr>
          <w:rFonts w:ascii="Times New Roman" w:hAnsi="Times New Roman"/>
        </w:rPr>
      </w:pPr>
      <w:r>
        <w:rPr>
          <w:rFonts w:ascii="Times New Roman" w:hAnsi="Times New Roman"/>
        </w:rPr>
        <w:t>式中：YS</w:t>
      </w:r>
      <w:r>
        <w:rPr>
          <w:rFonts w:ascii="Times New Roman" w:hAnsi="Times New Roman"/>
          <w:vertAlign w:val="subscript"/>
        </w:rPr>
        <w:t>j</w:t>
      </w:r>
      <w:r>
        <w:rPr>
          <w:rFonts w:ascii="Times New Roman" w:hAnsi="Times New Roman"/>
        </w:rPr>
        <w:t>——j空间单元土壤盐渍化敏感性指数；</w:t>
      </w:r>
    </w:p>
    <w:p>
      <w:pPr>
        <w:spacing w:line="440" w:lineRule="exact"/>
        <w:ind w:firstLine="1132" w:firstLineChars="472"/>
        <w:rPr>
          <w:rFonts w:ascii="Times New Roman" w:hAnsi="Times New Roman"/>
        </w:rPr>
      </w:pPr>
      <w:r>
        <w:rPr>
          <w:rFonts w:ascii="Times New Roman" w:hAnsi="Times New Roman"/>
        </w:rPr>
        <w:t>S</w:t>
      </w:r>
      <w:r>
        <w:rPr>
          <w:rFonts w:ascii="Times New Roman" w:hAnsi="Times New Roman"/>
          <w:vertAlign w:val="subscript"/>
        </w:rPr>
        <w:t>i</w:t>
      </w:r>
      <w:r>
        <w:rPr>
          <w:rFonts w:ascii="Times New Roman" w:hAnsi="Times New Roman"/>
        </w:rPr>
        <w:t>——i因素敏感性等级值。</w:t>
      </w:r>
    </w:p>
    <w:p>
      <w:pPr>
        <w:spacing w:line="440" w:lineRule="exact"/>
        <w:ind w:firstLine="480" w:firstLineChars="200"/>
        <w:rPr>
          <w:rFonts w:ascii="Times New Roman" w:hAnsi="Times New Roman"/>
        </w:rPr>
      </w:pPr>
      <w:r>
        <w:rPr>
          <w:rFonts w:ascii="Times New Roman" w:hAnsi="Times New Roman"/>
        </w:rPr>
        <w:t>评价区多年平均降水量376.5mm，多年平均蒸发量2534.2mm，蒸发量/降雨量为6.4，属中度敏感；区域地下水矿化度基本在1-2.23g/l之间，属轻度敏感；评价区内盐渍化敏感性程度轻重与否主要取决于地形，由现状评价可知，评价区内为平缓洼地及梁地相间的风积丘陵地貌。其中，梁地对应敏感评价指标中的山地，平缓洼地对应敏感评价指标中的闭流盆地。</w:t>
      </w:r>
    </w:p>
    <w:p>
      <w:pPr>
        <w:spacing w:line="440" w:lineRule="exact"/>
        <w:ind w:firstLine="480" w:firstLineChars="200"/>
        <w:rPr>
          <w:rFonts w:ascii="Times New Roman" w:hAnsi="Times New Roman"/>
        </w:rPr>
      </w:pPr>
      <w:r>
        <w:rPr>
          <w:rFonts w:ascii="Times New Roman" w:hAnsi="Times New Roman"/>
        </w:rPr>
        <w:t>依据公式，分别计算出每种地形的敏感性指数：梁地敏感性指数为2.46，平缓洼地的敏感性指数为5.13。总体来看，梁地对于土壤盐渍化不敏感，该区域发生土壤盐渍化的可能很小；平缓洼地属于中度敏感区，有发生土壤盐渍化的可能，应加强管理和跟踪监测，防止土地退化而发生盐渍化。</w:t>
      </w:r>
    </w:p>
    <w:p>
      <w:pPr>
        <w:keepNext/>
        <w:keepLines/>
        <w:adjustRightInd w:val="0"/>
        <w:snapToGrid w:val="0"/>
        <w:spacing w:line="440" w:lineRule="exact"/>
        <w:outlineLvl w:val="2"/>
        <w:rPr>
          <w:rFonts w:ascii="Times New Roman" w:hAnsi="Times New Roman"/>
          <w:b/>
        </w:rPr>
      </w:pPr>
      <w:r>
        <w:rPr>
          <w:rFonts w:ascii="Times New Roman" w:hAnsi="Times New Roman"/>
          <w:b/>
        </w:rPr>
        <w:t>5.2.9 矿区开发对野生动物的影响分析</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（1）项目施工对野生动物的影响</w:t>
      </w:r>
    </w:p>
    <w:p>
      <w:pPr>
        <w:pStyle w:val="113"/>
        <w:spacing w:line="440" w:lineRule="exact"/>
        <w:ind w:firstLine="480"/>
        <w:rPr>
          <w:rFonts w:ascii="Times New Roman" w:hAnsi="Times New Roman"/>
          <w:szCs w:val="24"/>
        </w:rPr>
      </w:pPr>
      <w:r>
        <w:rPr>
          <w:rFonts w:ascii="Times New Roman" w:hAnsi="Times New Roman"/>
          <w:kern w:val="0"/>
          <w:sz w:val="24"/>
        </w:rPr>
        <w:t>根据相关调查资料，不同类型的陆生野生动物对外界环境影响因子的敏感性反应顺序为大型兽类&gt;鸟类&gt;小型兽类&gt;爬行类&gt;两栖类。动物的个体越大，其基本生存空间要求越大，对人类活动的影响也越敏感。矿区内的野生动物主要是蒙古兔、艾鼬、黄鼬、草原黄鼠、五趾跳鼠、长爪沙鼠等小型哺乳动物和草原沙蜥等爬行动物，均为广布种。矿区开发过程中，大量施工人员进驻工程区，造成当地人类活动频繁；施工活动产生的噪声、扬尘、废弃等，都将对施工区及其附近的偶尔出现的野生动物产生干扰，使得该区域野生动物的栖息适宜度降低。因此建设单位在进行开发活动的同时应尽量减少人为扰动，降低因规划实施对其造成的不良影响。由于野生动物一般警惕性很强，即使偶尔出现在矿区，也会因工业场地人员活动而迅速远离，且施工期有限，施工活动对野生动物的影响较小。矿区临近遗鸥国家级自然保护区，遗鸥为荒漠半荒漠生态条件下的典型鸟种，是相对独立的繁殖种群，仅取自然保护区核心区内的湖心岛为繁殖生境。遗鸥在繁殖期以湖岸附近大量滋生的昆虫为主要食物，也杂食植物的叶子和种子。矿区内没有遗鸥的繁殖地和栖息地，偶有成鸟过境或觅食，但数量很少。因此，项目施工不致对遗鸥的生存和种群延续造成大的影响。</w:t>
      </w:r>
    </w:p>
    <w:p>
      <w:pPr>
        <w:pStyle w:val="113"/>
        <w:spacing w:line="440" w:lineRule="exact"/>
        <w:ind w:firstLine="480"/>
        <w:rPr>
          <w:rFonts w:ascii="Times New Roman" w:hAnsi="Times New Roman"/>
          <w:kern w:val="0"/>
          <w:sz w:val="24"/>
        </w:rPr>
      </w:pPr>
      <w:r>
        <w:rPr>
          <w:rFonts w:ascii="Times New Roman" w:hAnsi="Times New Roman"/>
          <w:kern w:val="0"/>
          <w:sz w:val="24"/>
        </w:rPr>
        <w:t>（2）地表沉陷对野生动物的影响</w:t>
      </w:r>
    </w:p>
    <w:p>
      <w:pPr>
        <w:pStyle w:val="113"/>
        <w:spacing w:line="440" w:lineRule="exact"/>
        <w:ind w:firstLine="480"/>
        <w:rPr>
          <w:rFonts w:ascii="Times New Roman" w:hAnsi="Times New Roman"/>
          <w:kern w:val="0"/>
          <w:sz w:val="24"/>
        </w:rPr>
      </w:pPr>
      <w:r>
        <w:rPr>
          <w:rFonts w:ascii="Times New Roman" w:hAnsi="Times New Roman"/>
          <w:kern w:val="0"/>
          <w:sz w:val="24"/>
        </w:rPr>
        <w:t>地表沉陷将会对野生动物生境产生一定的影响，特别是一些活动范围较小的洞穴动物，如鼠类、沙蜥等。在沉陷盆地边缘会形成一些地表裂缝，裂缝发生处土壤结构受到破坏，植被难以恢复，动物栖息地的原始地貌完整性与植被连续性受到影响，一些穴居小型动物的巢穴可能被破坏，大的裂缝还可能对动物活动构成障碍。但矿区内的动物为广布种，种群数量庞大，可替代生境众多，地表沉陷的影响不会对其种群生存造成威胁。</w:t>
      </w:r>
    </w:p>
    <w:p>
      <w:pPr>
        <w:keepNext/>
        <w:keepLines/>
        <w:spacing w:line="440" w:lineRule="exact"/>
        <w:outlineLvl w:val="2"/>
        <w:rPr>
          <w:rFonts w:ascii="Times New Roman" w:hAnsi="Times New Roman"/>
          <w:b/>
        </w:rPr>
      </w:pPr>
      <w:r>
        <w:rPr>
          <w:rFonts w:ascii="Times New Roman" w:hAnsi="Times New Roman"/>
          <w:b/>
        </w:rPr>
        <w:t>5.2.</w:t>
      </w:r>
      <w:r>
        <w:rPr>
          <w:rFonts w:hint="eastAsia" w:ascii="Times New Roman" w:hAnsi="Times New Roman"/>
          <w:b/>
        </w:rPr>
        <w:t>10</w:t>
      </w:r>
      <w:r>
        <w:rPr>
          <w:rFonts w:ascii="Times New Roman" w:hAnsi="Times New Roman"/>
          <w:b/>
        </w:rPr>
        <w:t xml:space="preserve"> </w:t>
      </w:r>
      <w:r>
        <w:rPr>
          <w:rFonts w:hint="eastAsia" w:ascii="Times New Roman" w:hAnsi="Times New Roman"/>
          <w:b/>
        </w:rPr>
        <w:t>积水区</w:t>
      </w:r>
      <w:r>
        <w:rPr>
          <w:rFonts w:ascii="Times New Roman" w:hAnsi="Times New Roman"/>
          <w:b/>
        </w:rPr>
        <w:t>的影响分析</w:t>
      </w:r>
    </w:p>
    <w:p>
      <w:pPr>
        <w:spacing w:line="440" w:lineRule="exact"/>
        <w:ind w:firstLine="482"/>
        <w:rPr>
          <w:rFonts w:ascii="Times New Roman" w:hAnsi="Times New Roman"/>
        </w:rPr>
      </w:pPr>
      <w:r>
        <w:rPr>
          <w:rFonts w:hint="eastAsia" w:ascii="Times New Roman" w:hAnsi="Times New Roman"/>
        </w:rPr>
        <w:t>纳林希里矿区为典型的中温带半干旱高原大陆性气候，气候特点为太阳辐射强烈，日照较丰富，干燥少雨，蒸发量大。根据区域水文地质条件，矿区属闭流水系，地下水补给来源主要依靠大气降水，具有明显的季节性变化。因此矿区内不会大面积形成积水区，仅在局部低洼地带形成积水。根据地下水水位埋深情况和地表沉陷预测情况，可以预测矿区开发后积水区的位置和面积。矿区开发后苏布尔噶、壕赖苏、纳林希里矿井内的低洼地可能形成积水区，</w:t>
      </w:r>
      <w:r>
        <w:rPr>
          <w:rFonts w:hint="eastAsia" w:ascii="Times New Roman" w:hAnsi="Times New Roman"/>
          <w:color w:val="FF0000"/>
        </w:rPr>
        <w:t>根据预测矿区内形成积水区面积大约</w:t>
      </w:r>
      <w:r>
        <w:rPr>
          <w:rFonts w:ascii="Times New Roman" w:hAnsi="Times New Roman"/>
          <w:color w:val="FF0000"/>
        </w:rPr>
        <w:t>14.04</w:t>
      </w:r>
      <w:r>
        <w:rPr>
          <w:rFonts w:hint="eastAsia" w:ascii="Times New Roman" w:hAnsi="Times New Roman"/>
          <w:color w:val="FF0000"/>
        </w:rPr>
        <w:t>km</w:t>
      </w:r>
      <w:r>
        <w:rPr>
          <w:rFonts w:ascii="Times New Roman" w:hAnsi="Times New Roman"/>
          <w:color w:val="FF0000"/>
          <w:vertAlign w:val="superscript"/>
        </w:rPr>
        <w:t>2</w:t>
      </w:r>
      <w:r>
        <w:rPr>
          <w:rFonts w:hint="eastAsia" w:ascii="Times New Roman" w:hAnsi="Times New Roman"/>
          <w:color w:val="FF0000"/>
        </w:rPr>
        <w:t>。</w:t>
      </w:r>
      <w:r>
        <w:rPr>
          <w:rFonts w:hint="eastAsia" w:ascii="Times New Roman" w:hAnsi="Times New Roman"/>
        </w:rPr>
        <w:t>矿区开发后积水区位置见图5</w:t>
      </w:r>
      <w:r>
        <w:rPr>
          <w:rFonts w:ascii="Times New Roman" w:hAnsi="Times New Roman"/>
        </w:rPr>
        <w:t>.2</w:t>
      </w:r>
      <w:r>
        <w:rPr>
          <w:rFonts w:hint="eastAsia" w:ascii="Times New Roman" w:hAnsi="Times New Roman"/>
        </w:rPr>
        <w:t>-</w:t>
      </w:r>
      <w:r>
        <w:rPr>
          <w:rFonts w:ascii="Times New Roman" w:hAnsi="Times New Roman"/>
        </w:rPr>
        <w:t>7</w:t>
      </w:r>
      <w:r>
        <w:rPr>
          <w:rFonts w:hint="eastAsia" w:ascii="Times New Roman" w:hAnsi="Times New Roman"/>
        </w:rPr>
        <w:t>。根据当地气候特点，形成的积水区水深较浅，可能为季节性积水区。雨季水面面积扩大，枯水期水面大量蒸发，水面面积缩小。</w:t>
      </w:r>
    </w:p>
    <w:p>
      <w:pPr>
        <w:spacing w:line="440" w:lineRule="exact"/>
        <w:ind w:firstLine="480" w:firstLineChars="200"/>
        <w:rPr>
          <w:rFonts w:ascii="Times New Roman" w:hAnsi="Times New Roman"/>
          <w:szCs w:val="24"/>
        </w:rPr>
      </w:pPr>
      <w:r>
        <w:rPr>
          <w:rFonts w:hint="eastAsia" w:ascii="Times New Roman" w:hAnsi="Times New Roman"/>
          <w:szCs w:val="24"/>
        </w:rPr>
        <w:t>积水区形成后由于反复蒸发，造成积水区周围盐碱化程度加剧。同时，植被类型也会发生变化，由原来的旱生植被自然演替为水生、中生、耐盐碱植被。由于积水区主要在矿区低洼处，与矿区内的泡子距离较近。本次环评提出，将积水输排至附近泡子，避免积水区形成后改变原有土地利用类型，造成植被面积减少。</w:t>
      </w:r>
    </w:p>
    <w:p>
      <w:pPr>
        <w:keepNext/>
        <w:keepLines/>
        <w:adjustRightInd w:val="0"/>
        <w:snapToGrid w:val="0"/>
        <w:spacing w:before="260" w:after="260" w:line="440" w:lineRule="exact"/>
        <w:jc w:val="left"/>
        <w:outlineLvl w:val="1"/>
        <w:rPr>
          <w:rFonts w:ascii="Times New Roman" w:hAnsi="Times New Roman"/>
          <w:b/>
          <w:sz w:val="28"/>
        </w:rPr>
      </w:pPr>
      <w:bookmarkStart w:id="221" w:name="_Toc18838453"/>
      <w:bookmarkStart w:id="222" w:name="_Toc29450"/>
      <w:r>
        <w:rPr>
          <w:rFonts w:ascii="Times New Roman" w:hAnsi="Times New Roman"/>
          <w:b/>
          <w:sz w:val="28"/>
        </w:rPr>
        <w:t>5.3 地下水环境与水资源影响评价</w:t>
      </w:r>
      <w:bookmarkEnd w:id="221"/>
      <w:bookmarkEnd w:id="222"/>
    </w:p>
    <w:p>
      <w:pPr>
        <w:spacing w:line="440" w:lineRule="exact"/>
        <w:ind w:firstLine="480" w:firstLineChars="200"/>
        <w:rPr>
          <w:rFonts w:ascii="Times New Roman" w:hAnsi="Times New Roman"/>
          <w:bCs/>
          <w:color w:val="FF0000"/>
          <w:szCs w:val="24"/>
        </w:rPr>
      </w:pPr>
      <w:bookmarkStart w:id="223" w:name="_Hlk98682555"/>
      <w:r>
        <w:rPr>
          <w:rFonts w:hint="eastAsia" w:ascii="Times New Roman" w:hAnsi="Times New Roman"/>
          <w:bCs/>
          <w:color w:val="FF0000"/>
          <w:szCs w:val="24"/>
        </w:rPr>
        <w:t>根据对矿区煤炭开发对各含水层影响分析，矿区煤炭开采主要可能影响的含水层包括：侏罗系中统直罗组</w:t>
      </w:r>
      <w:r>
        <w:rPr>
          <w:rFonts w:ascii="Times New Roman" w:hAnsi="Times New Roman"/>
          <w:bCs/>
          <w:color w:val="FF0000"/>
          <w:szCs w:val="24"/>
        </w:rPr>
        <w:t>碎屑岩类承压水</w:t>
      </w:r>
      <w:r>
        <w:rPr>
          <w:rFonts w:hint="eastAsia" w:ascii="Times New Roman" w:hAnsi="Times New Roman"/>
          <w:bCs/>
          <w:color w:val="FF0000"/>
          <w:szCs w:val="24"/>
        </w:rPr>
        <w:t>弱富水性</w:t>
      </w:r>
      <w:r>
        <w:rPr>
          <w:rFonts w:ascii="Times New Roman" w:hAnsi="Times New Roman"/>
          <w:bCs/>
          <w:color w:val="FF0000"/>
          <w:szCs w:val="24"/>
        </w:rPr>
        <w:t>含水</w:t>
      </w:r>
      <w:r>
        <w:rPr>
          <w:rFonts w:hint="eastAsia" w:ascii="Times New Roman" w:hAnsi="Times New Roman"/>
          <w:bCs/>
          <w:color w:val="FF0000"/>
          <w:szCs w:val="24"/>
        </w:rPr>
        <w:t>层、侏罗系中下统延安组煤系弱富水性含水层，根据对受影响含水层疏干影响半径计算，其影响半径约1</w:t>
      </w:r>
      <w:r>
        <w:rPr>
          <w:rFonts w:ascii="Times New Roman" w:hAnsi="Times New Roman"/>
          <w:bCs/>
          <w:color w:val="FF0000"/>
          <w:szCs w:val="24"/>
        </w:rPr>
        <w:t>426~2427</w:t>
      </w:r>
      <w:r>
        <w:rPr>
          <w:rFonts w:hint="eastAsia" w:ascii="Times New Roman" w:hAnsi="Times New Roman"/>
          <w:bCs/>
          <w:color w:val="FF0000"/>
          <w:szCs w:val="24"/>
        </w:rPr>
        <w:t>m。因此确定本次调查评价范围为矿区外扩</w:t>
      </w:r>
      <w:r>
        <w:rPr>
          <w:rFonts w:ascii="Times New Roman" w:hAnsi="Times New Roman"/>
          <w:bCs/>
          <w:color w:val="FF0000"/>
          <w:szCs w:val="24"/>
        </w:rPr>
        <w:t>2.5</w:t>
      </w:r>
      <w:r>
        <w:rPr>
          <w:rFonts w:hint="eastAsia" w:ascii="Times New Roman" w:hAnsi="Times New Roman"/>
          <w:bCs/>
          <w:color w:val="FF0000"/>
          <w:szCs w:val="24"/>
        </w:rPr>
        <w:t>km，其调查评价范围面积约1</w:t>
      </w:r>
      <w:r>
        <w:rPr>
          <w:rFonts w:ascii="Times New Roman" w:hAnsi="Times New Roman"/>
          <w:bCs/>
          <w:color w:val="FF0000"/>
          <w:szCs w:val="24"/>
        </w:rPr>
        <w:t>051</w:t>
      </w:r>
      <w:r>
        <w:rPr>
          <w:rFonts w:hint="eastAsia" w:ascii="Times New Roman" w:hAnsi="Times New Roman"/>
          <w:bCs/>
          <w:color w:val="FF0000"/>
          <w:szCs w:val="24"/>
        </w:rPr>
        <w:t>km</w:t>
      </w:r>
      <w:r>
        <w:rPr>
          <w:rFonts w:ascii="Times New Roman" w:hAnsi="Times New Roman"/>
          <w:bCs/>
          <w:color w:val="FF0000"/>
          <w:szCs w:val="24"/>
          <w:vertAlign w:val="superscript"/>
        </w:rPr>
        <w:t>2</w:t>
      </w:r>
      <w:r>
        <w:rPr>
          <w:rFonts w:hint="eastAsia" w:ascii="Times New Roman" w:hAnsi="Times New Roman"/>
          <w:bCs/>
          <w:color w:val="FF0000"/>
          <w:szCs w:val="24"/>
        </w:rPr>
        <w:t>。</w:t>
      </w:r>
    </w:p>
    <w:p>
      <w:pPr>
        <w:keepNext/>
        <w:keepLines/>
        <w:adjustRightInd w:val="0"/>
        <w:snapToGrid w:val="0"/>
        <w:spacing w:line="440" w:lineRule="exact"/>
        <w:outlineLvl w:val="2"/>
        <w:rPr>
          <w:rFonts w:ascii="Times New Roman" w:hAnsi="Times New Roman"/>
          <w:b/>
        </w:rPr>
      </w:pPr>
      <w:r>
        <w:rPr>
          <w:rFonts w:ascii="Times New Roman" w:hAnsi="Times New Roman"/>
          <w:b/>
        </w:rPr>
        <w:t>5.3.1 区域地质概况</w:t>
      </w:r>
    </w:p>
    <w:bookmarkEnd w:id="223"/>
    <w:p>
      <w:pPr>
        <w:spacing w:line="440" w:lineRule="exact"/>
        <w:ind w:firstLine="480" w:firstLineChars="200"/>
        <w:rPr>
          <w:rFonts w:ascii="Times New Roman" w:hAnsi="Times New Roman"/>
          <w:szCs w:val="24"/>
        </w:rPr>
      </w:pPr>
      <w:r>
        <w:rPr>
          <w:rFonts w:ascii="Times New Roman" w:hAnsi="Times New Roman"/>
          <w:szCs w:val="24"/>
        </w:rPr>
        <w:t>（1）区域概况</w:t>
      </w:r>
    </w:p>
    <w:p>
      <w:pPr>
        <w:spacing w:line="440" w:lineRule="exact"/>
        <w:ind w:firstLine="480" w:firstLineChars="200"/>
        <w:rPr>
          <w:rFonts w:ascii="Times New Roman" w:hAnsi="Times New Roman"/>
          <w:szCs w:val="24"/>
        </w:rPr>
        <w:sectPr>
          <w:headerReference r:id="rId24" w:type="default"/>
          <w:footerReference r:id="rId25" w:type="default"/>
          <w:pgSz w:w="11907" w:h="16840"/>
          <w:pgMar w:top="1701" w:right="1418" w:bottom="1134" w:left="1418" w:header="1134" w:footer="851" w:gutter="0"/>
          <w:cols w:space="720" w:num="1"/>
          <w:docGrid w:linePitch="360" w:charSpace="0"/>
        </w:sectPr>
      </w:pPr>
      <w:r>
        <w:rPr>
          <w:rFonts w:ascii="Times New Roman" w:hAnsi="Times New Roman"/>
          <w:szCs w:val="24"/>
        </w:rPr>
        <w:t>本区中、新生代地层区划属于陕甘宁地层区（3），鄂尔多斯分区（3</w:t>
      </w:r>
      <w:r>
        <w:rPr>
          <w:rFonts w:ascii="Times New Roman" w:hAnsi="Times New Roman"/>
          <w:szCs w:val="24"/>
          <w:vertAlign w:val="subscript"/>
        </w:rPr>
        <w:t>1</w:t>
      </w:r>
      <w:r>
        <w:rPr>
          <w:rFonts w:ascii="Times New Roman" w:hAnsi="Times New Roman"/>
          <w:szCs w:val="24"/>
        </w:rPr>
        <w:t>）。区内大部地段被风积沙及黄土层覆盖，白垩系下统志丹群广泛发育，侏罗系中下统延安组和侏罗系中统直罗组在东胜煤田的东部大面积出露，多分布在较大沟谷、沟坡及周边。根据钻探揭露，区域地层由老至新依次为：三叠系中统二马营组（T</w:t>
      </w:r>
      <w:r>
        <w:rPr>
          <w:rFonts w:ascii="Times New Roman" w:hAnsi="Times New Roman"/>
          <w:szCs w:val="24"/>
          <w:vertAlign w:val="subscript"/>
        </w:rPr>
        <w:t>2</w:t>
      </w:r>
      <w:r>
        <w:rPr>
          <w:rFonts w:ascii="Times New Roman" w:hAnsi="Times New Roman"/>
          <w:szCs w:val="24"/>
        </w:rPr>
        <w:t>er），三叠系上统延长组（T</w:t>
      </w:r>
      <w:r>
        <w:rPr>
          <w:rFonts w:ascii="Times New Roman" w:hAnsi="Times New Roman"/>
          <w:szCs w:val="24"/>
          <w:vertAlign w:val="subscript"/>
        </w:rPr>
        <w:t>3</w:t>
      </w:r>
      <w:r>
        <w:rPr>
          <w:rFonts w:ascii="Times New Roman" w:hAnsi="Times New Roman"/>
          <w:szCs w:val="24"/>
        </w:rPr>
        <w:t>y），侏罗系下统富县组（J</w:t>
      </w:r>
      <w:r>
        <w:rPr>
          <w:rFonts w:ascii="Times New Roman" w:hAnsi="Times New Roman"/>
          <w:szCs w:val="24"/>
          <w:vertAlign w:val="subscript"/>
        </w:rPr>
        <w:t>1</w:t>
      </w:r>
      <w:r>
        <w:rPr>
          <w:rFonts w:ascii="Times New Roman" w:hAnsi="Times New Roman"/>
          <w:szCs w:val="24"/>
        </w:rPr>
        <w:t>f），侏罗系中下统延安组（J</w:t>
      </w:r>
      <w:r>
        <w:rPr>
          <w:rFonts w:ascii="Times New Roman" w:hAnsi="Times New Roman"/>
          <w:szCs w:val="24"/>
          <w:vertAlign w:val="subscript"/>
        </w:rPr>
        <w:t>1-2</w:t>
      </w:r>
      <w:r>
        <w:rPr>
          <w:rFonts w:ascii="Times New Roman" w:hAnsi="Times New Roman"/>
          <w:szCs w:val="24"/>
        </w:rPr>
        <w:t>y），侏罗系中统直罗组（J</w:t>
      </w:r>
      <w:r>
        <w:rPr>
          <w:rFonts w:ascii="Times New Roman" w:hAnsi="Times New Roman"/>
          <w:szCs w:val="24"/>
          <w:vertAlign w:val="subscript"/>
        </w:rPr>
        <w:t>2</w:t>
      </w:r>
      <w:r>
        <w:rPr>
          <w:rFonts w:ascii="Times New Roman" w:hAnsi="Times New Roman"/>
          <w:szCs w:val="24"/>
        </w:rPr>
        <w:t>z）、安定组（J</w:t>
      </w:r>
      <w:r>
        <w:rPr>
          <w:rFonts w:ascii="Times New Roman" w:hAnsi="Times New Roman"/>
          <w:szCs w:val="24"/>
          <w:vertAlign w:val="subscript"/>
        </w:rPr>
        <w:t>2</w:t>
      </w:r>
      <w:r>
        <w:rPr>
          <w:rFonts w:ascii="Times New Roman" w:hAnsi="Times New Roman"/>
          <w:szCs w:val="24"/>
        </w:rPr>
        <w:t>a），白垩系下统志丹群（K</w:t>
      </w:r>
      <w:r>
        <w:rPr>
          <w:rFonts w:ascii="Times New Roman" w:hAnsi="Times New Roman"/>
          <w:szCs w:val="24"/>
          <w:vertAlign w:val="subscript"/>
        </w:rPr>
        <w:t>1</w:t>
      </w:r>
      <w:r>
        <w:rPr>
          <w:rFonts w:ascii="Times New Roman" w:hAnsi="Times New Roman"/>
          <w:szCs w:val="24"/>
        </w:rPr>
        <w:t>zh），新近系（N）及第四系（Q），区域地层见表5.3-1。</w:t>
      </w:r>
    </w:p>
    <w:p>
      <w:pPr>
        <w:spacing w:line="440" w:lineRule="exact"/>
        <w:jc w:val="center"/>
        <w:rPr>
          <w:rFonts w:ascii="Times New Roman" w:hAnsi="Times New Roman"/>
          <w:b/>
          <w:szCs w:val="24"/>
        </w:rPr>
      </w:pPr>
      <w:r>
        <w:rPr>
          <w:rFonts w:ascii="Times New Roman" w:hAnsi="Times New Roman"/>
          <w:b/>
          <w:szCs w:val="24"/>
        </w:rPr>
        <w:t>区域地层简表</w:t>
      </w:r>
    </w:p>
    <w:p>
      <w:pPr>
        <w:adjustRightInd w:val="0"/>
        <w:snapToGrid w:val="0"/>
        <w:spacing w:line="440" w:lineRule="exact"/>
        <w:ind w:firstLine="240" w:firstLineChars="100"/>
        <w:outlineLvl w:val="4"/>
        <w:rPr>
          <w:rFonts w:ascii="Times New Roman" w:hAnsi="Times New Roman"/>
          <w:szCs w:val="24"/>
        </w:rPr>
      </w:pPr>
      <w:r>
        <w:rPr>
          <w:rFonts w:ascii="Times New Roman" w:hAnsi="Times New Roman"/>
          <w:bCs/>
          <w:szCs w:val="24"/>
        </w:rPr>
        <w:t>表5.3-1</w:t>
      </w:r>
    </w:p>
    <w:tbl>
      <w:tblPr>
        <w:tblStyle w:val="59"/>
        <w:tblpPr w:leftFromText="180" w:rightFromText="180" w:vertAnchor="text" w:horzAnchor="margin" w:tblpXSpec="center" w:tblpY="2"/>
        <w:tblW w:w="9005" w:type="dxa"/>
        <w:tblInd w:w="0" w:type="dxa"/>
        <w:tblLayout w:type="fixed"/>
        <w:tblCellMar>
          <w:top w:w="0" w:type="dxa"/>
          <w:left w:w="0" w:type="dxa"/>
          <w:bottom w:w="0" w:type="dxa"/>
          <w:right w:w="0" w:type="dxa"/>
        </w:tblCellMar>
      </w:tblPr>
      <w:tblGrid>
        <w:gridCol w:w="461"/>
        <w:gridCol w:w="469"/>
        <w:gridCol w:w="469"/>
        <w:gridCol w:w="1296"/>
        <w:gridCol w:w="1463"/>
        <w:gridCol w:w="4847"/>
      </w:tblGrid>
      <w:tr>
        <w:tblPrEx>
          <w:tblCellMar>
            <w:top w:w="0" w:type="dxa"/>
            <w:left w:w="0" w:type="dxa"/>
            <w:bottom w:w="0" w:type="dxa"/>
            <w:right w:w="0" w:type="dxa"/>
          </w:tblCellMar>
        </w:tblPrEx>
        <w:trPr>
          <w:trHeight w:val="514" w:hRule="atLeast"/>
        </w:trPr>
        <w:tc>
          <w:tcPr>
            <w:tcW w:w="461" w:type="dxa"/>
            <w:tcBorders>
              <w:top w:val="single" w:color="auto" w:sz="12" w:space="0"/>
              <w:left w:val="single" w:color="auto" w:sz="12" w:space="0"/>
              <w:bottom w:val="single" w:color="auto" w:sz="6"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界</w:t>
            </w:r>
          </w:p>
        </w:tc>
        <w:tc>
          <w:tcPr>
            <w:tcW w:w="469" w:type="dxa"/>
            <w:tcBorders>
              <w:top w:val="single" w:color="auto" w:sz="12" w:space="0"/>
              <w:left w:val="single" w:color="auto" w:sz="6" w:space="0"/>
              <w:bottom w:val="single" w:color="auto" w:sz="4"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系</w:t>
            </w:r>
          </w:p>
        </w:tc>
        <w:tc>
          <w:tcPr>
            <w:tcW w:w="469" w:type="dxa"/>
            <w:tcBorders>
              <w:top w:val="single" w:color="auto" w:sz="12" w:space="0"/>
              <w:left w:val="single" w:color="auto" w:sz="6" w:space="0"/>
              <w:bottom w:val="single" w:color="auto" w:sz="4"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296" w:type="dxa"/>
            <w:tcBorders>
              <w:top w:val="single" w:color="auto" w:sz="12" w:space="0"/>
              <w:left w:val="single" w:color="auto" w:sz="6" w:space="0"/>
              <w:bottom w:val="single" w:color="auto" w:sz="4"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组（群）</w:t>
            </w:r>
          </w:p>
        </w:tc>
        <w:tc>
          <w:tcPr>
            <w:tcW w:w="1463" w:type="dxa"/>
            <w:tcBorders>
              <w:top w:val="single" w:color="auto" w:sz="12" w:space="0"/>
              <w:left w:val="single" w:color="auto" w:sz="6" w:space="0"/>
              <w:bottom w:val="single" w:color="auto" w:sz="6"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厚度（m）</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最小-最大</w:t>
            </w:r>
          </w:p>
        </w:tc>
        <w:tc>
          <w:tcPr>
            <w:tcW w:w="4847" w:type="dxa"/>
            <w:tcBorders>
              <w:top w:val="single" w:color="auto" w:sz="12" w:space="0"/>
              <w:left w:val="single" w:color="auto" w:sz="6" w:space="0"/>
              <w:bottom w:val="single" w:color="auto" w:sz="6" w:space="0"/>
              <w:right w:val="single" w:color="auto" w:sz="12"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岩   性   描   述</w:t>
            </w:r>
          </w:p>
        </w:tc>
      </w:tr>
      <w:tr>
        <w:tblPrEx>
          <w:tblCellMar>
            <w:top w:w="0" w:type="dxa"/>
            <w:left w:w="0" w:type="dxa"/>
            <w:bottom w:w="0" w:type="dxa"/>
            <w:right w:w="0" w:type="dxa"/>
          </w:tblCellMar>
        </w:tblPrEx>
        <w:trPr>
          <w:trHeight w:val="722" w:hRule="atLeast"/>
        </w:trPr>
        <w:tc>
          <w:tcPr>
            <w:tcW w:w="461" w:type="dxa"/>
            <w:vMerge w:val="restart"/>
            <w:tcBorders>
              <w:top w:val="single" w:color="auto" w:sz="6" w:space="0"/>
              <w:left w:val="single" w:color="auto" w:sz="12"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新</w:t>
            </w:r>
          </w:p>
          <w:p>
            <w:pPr>
              <w:autoSpaceDE w:val="0"/>
              <w:autoSpaceDN w:val="0"/>
              <w:adjustRightInd w:val="0"/>
              <w:jc w:val="center"/>
              <w:rPr>
                <w:rFonts w:ascii="Times New Roman" w:hAnsi="Times New Roman"/>
                <w:sz w:val="21"/>
                <w:szCs w:val="21"/>
              </w:rPr>
            </w:pPr>
            <w:r>
              <w:rPr>
                <w:rFonts w:ascii="Times New Roman" w:hAnsi="Times New Roman"/>
                <w:sz w:val="21"/>
                <w:szCs w:val="21"/>
              </w:rPr>
              <w:t>生</w:t>
            </w:r>
          </w:p>
          <w:p>
            <w:pPr>
              <w:autoSpaceDE w:val="0"/>
              <w:autoSpaceDN w:val="0"/>
              <w:adjustRightInd w:val="0"/>
              <w:jc w:val="center"/>
              <w:rPr>
                <w:rFonts w:ascii="Times New Roman" w:hAnsi="Times New Roman"/>
                <w:sz w:val="21"/>
                <w:szCs w:val="21"/>
              </w:rPr>
            </w:pPr>
            <w:r>
              <w:rPr>
                <w:rFonts w:ascii="Times New Roman" w:hAnsi="Times New Roman"/>
                <w:sz w:val="21"/>
                <w:szCs w:val="21"/>
              </w:rPr>
              <w:t>界</w:t>
            </w:r>
          </w:p>
        </w:tc>
        <w:tc>
          <w:tcPr>
            <w:tcW w:w="469" w:type="dxa"/>
            <w:vMerge w:val="restart"/>
            <w:tcBorders>
              <w:top w:val="single" w:color="auto" w:sz="6"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第</w:t>
            </w:r>
          </w:p>
          <w:p>
            <w:pPr>
              <w:autoSpaceDE w:val="0"/>
              <w:autoSpaceDN w:val="0"/>
              <w:adjustRightInd w:val="0"/>
              <w:jc w:val="center"/>
              <w:rPr>
                <w:rFonts w:ascii="Times New Roman" w:hAnsi="Times New Roman"/>
                <w:sz w:val="21"/>
                <w:szCs w:val="21"/>
              </w:rPr>
            </w:pPr>
            <w:r>
              <w:rPr>
                <w:rFonts w:ascii="Times New Roman" w:hAnsi="Times New Roman"/>
                <w:sz w:val="21"/>
                <w:szCs w:val="21"/>
              </w:rPr>
              <w:t>四</w:t>
            </w:r>
          </w:p>
          <w:p>
            <w:pPr>
              <w:autoSpaceDE w:val="0"/>
              <w:autoSpaceDN w:val="0"/>
              <w:adjustRightInd w:val="0"/>
              <w:jc w:val="center"/>
              <w:rPr>
                <w:rFonts w:ascii="Times New Roman" w:hAnsi="Times New Roman"/>
                <w:sz w:val="21"/>
                <w:szCs w:val="21"/>
              </w:rPr>
            </w:pPr>
            <w:r>
              <w:rPr>
                <w:rFonts w:ascii="Times New Roman" w:hAnsi="Times New Roman"/>
                <w:sz w:val="21"/>
                <w:szCs w:val="21"/>
              </w:rPr>
              <w:t>系</w:t>
            </w:r>
          </w:p>
        </w:tc>
        <w:tc>
          <w:tcPr>
            <w:tcW w:w="469" w:type="dxa"/>
            <w:vMerge w:val="restart"/>
            <w:tcBorders>
              <w:left w:val="single" w:color="auto" w:sz="6"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全</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新</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296" w:type="dxa"/>
            <w:tcBorders>
              <w:left w:val="single" w:color="auto" w:sz="6" w:space="0"/>
              <w:bottom w:val="wave" w:color="auto" w:sz="6" w:space="0"/>
              <w:right w:val="single" w:color="auto" w:sz="6" w:space="0"/>
            </w:tcBorders>
            <w:shd w:val="clear" w:color="auto" w:fill="auto"/>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洪冲积砂</w:t>
            </w:r>
          </w:p>
          <w:p>
            <w:pPr>
              <w:autoSpaceDE w:val="0"/>
              <w:autoSpaceDN w:val="0"/>
              <w:adjustRightInd w:val="0"/>
              <w:jc w:val="center"/>
              <w:rPr>
                <w:rFonts w:ascii="Times New Roman" w:hAnsi="Times New Roman"/>
                <w:sz w:val="21"/>
                <w:szCs w:val="21"/>
              </w:rPr>
            </w:pPr>
            <w:r>
              <w:rPr>
                <w:rFonts w:ascii="Times New Roman" w:hAnsi="Times New Roman"/>
                <w:sz w:val="21"/>
                <w:szCs w:val="21"/>
              </w:rPr>
              <w:t>（Q</w:t>
            </w:r>
            <w:r>
              <w:rPr>
                <w:rFonts w:ascii="Times New Roman" w:hAnsi="Times New Roman"/>
                <w:sz w:val="21"/>
                <w:szCs w:val="21"/>
                <w:vertAlign w:val="subscript"/>
              </w:rPr>
              <w:t>4</w:t>
            </w:r>
            <w:r>
              <w:rPr>
                <w:rFonts w:ascii="Times New Roman" w:hAnsi="Times New Roman"/>
                <w:sz w:val="21"/>
                <w:szCs w:val="21"/>
                <w:vertAlign w:val="superscript"/>
              </w:rPr>
              <w:t>al+pl</w:t>
            </w:r>
            <w:r>
              <w:rPr>
                <w:rFonts w:ascii="Times New Roman" w:hAnsi="Times New Roman"/>
                <w:sz w:val="21"/>
                <w:szCs w:val="21"/>
              </w:rPr>
              <w:t>）</w:t>
            </w:r>
          </w:p>
        </w:tc>
        <w:tc>
          <w:tcPr>
            <w:tcW w:w="1463" w:type="dxa"/>
            <w:vMerge w:val="restart"/>
            <w:tcBorders>
              <w:top w:val="single" w:color="auto" w:sz="6"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＜200</w:t>
            </w:r>
          </w:p>
        </w:tc>
        <w:tc>
          <w:tcPr>
            <w:tcW w:w="4847" w:type="dxa"/>
            <w:tcBorders>
              <w:top w:val="single" w:color="auto" w:sz="6" w:space="0"/>
              <w:left w:val="single" w:color="auto" w:sz="6" w:space="0"/>
              <w:bottom w:val="single" w:color="auto" w:sz="6" w:space="0"/>
              <w:right w:val="single" w:color="auto" w:sz="12" w:space="0"/>
            </w:tcBorders>
            <w:vAlign w:val="center"/>
          </w:tcPr>
          <w:p>
            <w:pPr>
              <w:autoSpaceDE w:val="0"/>
              <w:autoSpaceDN w:val="0"/>
              <w:adjustRightInd w:val="0"/>
              <w:ind w:firstLine="210"/>
              <w:rPr>
                <w:rFonts w:ascii="Times New Roman" w:hAnsi="Times New Roman"/>
                <w:sz w:val="21"/>
                <w:szCs w:val="21"/>
              </w:rPr>
            </w:pPr>
            <w:r>
              <w:rPr>
                <w:rFonts w:ascii="Times New Roman" w:hAnsi="Times New Roman"/>
                <w:sz w:val="21"/>
                <w:szCs w:val="21"/>
              </w:rPr>
              <w:t>淡黄褐、黄色中细粒砂及粉砂。为湖泊相沉积层、冲洪积层和风积层。</w:t>
            </w:r>
          </w:p>
        </w:tc>
      </w:tr>
      <w:tr>
        <w:tblPrEx>
          <w:tblCellMar>
            <w:top w:w="0" w:type="dxa"/>
            <w:left w:w="0" w:type="dxa"/>
            <w:bottom w:w="0" w:type="dxa"/>
            <w:right w:w="0" w:type="dxa"/>
          </w:tblCellMar>
        </w:tblPrEx>
        <w:trPr>
          <w:trHeight w:val="631" w:hRule="atLeast"/>
        </w:trPr>
        <w:tc>
          <w:tcPr>
            <w:tcW w:w="461" w:type="dxa"/>
            <w:vMerge w:val="continue"/>
            <w:tcBorders>
              <w:left w:val="single" w:color="auto" w:sz="12"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469" w:type="dxa"/>
            <w:vMerge w:val="continue"/>
            <w:tcBorders>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469" w:type="dxa"/>
            <w:vMerge w:val="continue"/>
            <w:tcBorders>
              <w:left w:val="single" w:color="auto" w:sz="6" w:space="0"/>
              <w:bottom w:val="single" w:color="auto" w:sz="4"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p>
        </w:tc>
        <w:tc>
          <w:tcPr>
            <w:tcW w:w="1296" w:type="dxa"/>
            <w:tcBorders>
              <w:top w:val="wave" w:color="auto" w:sz="6" w:space="0"/>
              <w:left w:val="single" w:color="auto" w:sz="6" w:space="0"/>
              <w:bottom w:val="wave" w:color="auto" w:sz="6" w:space="0"/>
              <w:right w:val="single" w:color="auto" w:sz="6" w:space="0"/>
            </w:tcBorders>
            <w:shd w:val="clear" w:color="auto" w:fill="auto"/>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风积层</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（Q</w:t>
            </w:r>
            <w:r>
              <w:rPr>
                <w:rFonts w:ascii="Times New Roman" w:hAnsi="Times New Roman"/>
                <w:sz w:val="21"/>
                <w:szCs w:val="21"/>
                <w:vertAlign w:val="subscript"/>
              </w:rPr>
              <w:t>4</w:t>
            </w:r>
            <w:r>
              <w:rPr>
                <w:rFonts w:ascii="Times New Roman" w:hAnsi="Times New Roman"/>
                <w:sz w:val="21"/>
                <w:szCs w:val="21"/>
                <w:vertAlign w:val="superscript"/>
              </w:rPr>
              <w:t>eol</w:t>
            </w:r>
            <w:r>
              <w:rPr>
                <w:rFonts w:ascii="Times New Roman" w:hAnsi="Times New Roman"/>
                <w:sz w:val="21"/>
                <w:szCs w:val="21"/>
              </w:rPr>
              <w:t>）</w:t>
            </w:r>
          </w:p>
        </w:tc>
        <w:tc>
          <w:tcPr>
            <w:tcW w:w="1463" w:type="dxa"/>
            <w:vMerge w:val="continue"/>
            <w:tcBorders>
              <w:left w:val="single" w:color="auto" w:sz="6" w:space="0"/>
              <w:bottom w:val="single" w:color="auto" w:sz="4"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p>
        </w:tc>
        <w:tc>
          <w:tcPr>
            <w:tcW w:w="4847" w:type="dxa"/>
            <w:tcBorders>
              <w:top w:val="single" w:color="auto" w:sz="6" w:space="0"/>
              <w:left w:val="single" w:color="auto" w:sz="6" w:space="0"/>
              <w:bottom w:val="single" w:color="auto" w:sz="4" w:space="0"/>
              <w:right w:val="single" w:color="auto" w:sz="12" w:space="0"/>
            </w:tcBorders>
            <w:vAlign w:val="center"/>
          </w:tcPr>
          <w:p>
            <w:pPr>
              <w:adjustRightInd w:val="0"/>
              <w:snapToGrid w:val="0"/>
              <w:ind w:firstLine="210"/>
              <w:rPr>
                <w:rFonts w:ascii="Times New Roman" w:hAnsi="Times New Roman"/>
                <w:sz w:val="21"/>
                <w:szCs w:val="21"/>
              </w:rPr>
            </w:pPr>
            <w:r>
              <w:rPr>
                <w:rFonts w:ascii="Times New Roman" w:hAnsi="Times New Roman"/>
                <w:sz w:val="21"/>
                <w:szCs w:val="21"/>
              </w:rPr>
              <w:t>棕色砾石、灰黄色各粒级的砂及粉砂。西部沙漠地区沙层厚度0～180m。</w:t>
            </w:r>
          </w:p>
        </w:tc>
      </w:tr>
      <w:tr>
        <w:tblPrEx>
          <w:tblCellMar>
            <w:top w:w="0" w:type="dxa"/>
            <w:left w:w="0" w:type="dxa"/>
            <w:bottom w:w="0" w:type="dxa"/>
            <w:right w:w="0" w:type="dxa"/>
          </w:tblCellMar>
        </w:tblPrEx>
        <w:trPr>
          <w:trHeight w:val="812" w:hRule="atLeast"/>
        </w:trPr>
        <w:tc>
          <w:tcPr>
            <w:tcW w:w="461" w:type="dxa"/>
            <w:vMerge w:val="continue"/>
            <w:tcBorders>
              <w:left w:val="single" w:color="auto" w:sz="12"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469" w:type="dxa"/>
            <w:vMerge w:val="continue"/>
            <w:tcBorders>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469" w:type="dxa"/>
            <w:tcBorders>
              <w:top w:val="single" w:color="auto" w:sz="4" w:space="0"/>
              <w:left w:val="single" w:color="auto" w:sz="6"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mc:AlternateContent>
                <mc:Choice Requires="wps">
                  <w:drawing>
                    <wp:anchor distT="0" distB="0" distL="114300" distR="114300" simplePos="0" relativeHeight="251677696" behindDoc="0" locked="0" layoutInCell="1" allowOverlap="1">
                      <wp:simplePos x="0" y="0"/>
                      <wp:positionH relativeFrom="column">
                        <wp:posOffset>278765</wp:posOffset>
                      </wp:positionH>
                      <wp:positionV relativeFrom="paragraph">
                        <wp:posOffset>1905</wp:posOffset>
                      </wp:positionV>
                      <wp:extent cx="0" cy="0"/>
                      <wp:effectExtent l="13970" t="8890" r="5080" b="1016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1.95pt;margin-top:0.15pt;height:0pt;width:0pt;z-index:251677696;mso-width-relative:page;mso-height-relative:page;" filled="f" stroked="t" coordsize="21600,21600" o:gfxdata="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OTtCtAAAAADAQAADwAAAAAAAAABACAA&#10;AAAiAAAAZHJzL2Rvd25yZXYueG1sUEsBAhQAFAAAAAgAh07iQHp6IXrcAQAApAMAAA4AAAAAAAAA&#10;AQAgAAAAHwEAAGRycy9lMm9Eb2MueG1sUEsFBgAAAAAGAAYAWQEAAG0FAAAAAA==&#10;">
                      <v:fill on="f" focussize="0,0"/>
                      <v:stroke color="#000000" joinstyle="round"/>
                      <v:imagedata o:title=""/>
                      <o:lock v:ext="edit" aspectratio="f"/>
                    </v:line>
                  </w:pict>
                </mc:Fallback>
              </mc:AlternateContent>
            </w:r>
            <w:r>
              <w:rPr>
                <w:rFonts w:ascii="Times New Roman" w:hAnsi="Times New Roman"/>
                <w:sz w:val="21"/>
                <w:szCs w:val="21"/>
              </w:rPr>
              <w:t>上</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更</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新</w:t>
            </w: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tc>
        <w:tc>
          <w:tcPr>
            <w:tcW w:w="1296" w:type="dxa"/>
            <w:tcBorders>
              <w:top w:val="wave" w:color="auto" w:sz="6" w:space="0"/>
              <w:left w:val="single" w:color="auto" w:sz="6" w:space="0"/>
              <w:bottom w:val="wav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马兰组</w:t>
            </w:r>
          </w:p>
          <w:p>
            <w:pPr>
              <w:autoSpaceDE w:val="0"/>
              <w:autoSpaceDN w:val="0"/>
              <w:adjustRightInd w:val="0"/>
              <w:jc w:val="center"/>
              <w:rPr>
                <w:rFonts w:ascii="Times New Roman" w:hAnsi="Times New Roman"/>
                <w:sz w:val="21"/>
                <w:szCs w:val="21"/>
              </w:rPr>
            </w:pPr>
            <w:r>
              <w:rPr>
                <w:rFonts w:ascii="Times New Roman" w:hAnsi="Times New Roman"/>
                <w:sz w:val="21"/>
                <w:szCs w:val="21"/>
              </w:rPr>
              <w:t>（Q</w:t>
            </w:r>
            <w:r>
              <w:rPr>
                <w:rFonts w:ascii="Times New Roman" w:hAnsi="Times New Roman"/>
                <w:sz w:val="21"/>
                <w:szCs w:val="21"/>
                <w:vertAlign w:val="subscript"/>
              </w:rPr>
              <w:t>3</w:t>
            </w:r>
            <w:r>
              <w:rPr>
                <w:rFonts w:ascii="Times New Roman" w:hAnsi="Times New Roman"/>
                <w:i/>
                <w:iCs/>
                <w:sz w:val="21"/>
                <w:szCs w:val="21"/>
              </w:rPr>
              <w:t>m</w:t>
            </w:r>
            <w:r>
              <w:rPr>
                <w:rFonts w:ascii="Times New Roman" w:hAnsi="Times New Roman"/>
                <w:sz w:val="21"/>
                <w:szCs w:val="21"/>
              </w:rPr>
              <w:t>）</w:t>
            </w:r>
          </w:p>
        </w:tc>
        <w:tc>
          <w:tcPr>
            <w:tcW w:w="1463" w:type="dxa"/>
            <w:tcBorders>
              <w:top w:val="single" w:color="auto" w:sz="4" w:space="0"/>
              <w:left w:val="single" w:color="auto" w:sz="6" w:space="0"/>
              <w:bottom w:val="single"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0-40</w:t>
            </w:r>
          </w:p>
        </w:tc>
        <w:tc>
          <w:tcPr>
            <w:tcW w:w="4847" w:type="dxa"/>
            <w:tcBorders>
              <w:top w:val="single" w:color="auto" w:sz="4" w:space="0"/>
              <w:left w:val="single" w:color="auto" w:sz="6" w:space="0"/>
              <w:bottom w:val="single" w:color="auto" w:sz="4" w:space="0"/>
              <w:right w:val="single" w:color="auto" w:sz="12" w:space="0"/>
            </w:tcBorders>
            <w:vAlign w:val="center"/>
          </w:tcPr>
          <w:p>
            <w:pPr>
              <w:adjustRightInd w:val="0"/>
              <w:snapToGrid w:val="0"/>
              <w:ind w:firstLine="210"/>
              <w:rPr>
                <w:rFonts w:ascii="Times New Roman" w:hAnsi="Times New Roman"/>
                <w:sz w:val="21"/>
                <w:szCs w:val="21"/>
              </w:rPr>
            </w:pPr>
            <w:r>
              <w:rPr>
                <w:rFonts w:ascii="Times New Roman" w:hAnsi="Times New Roman"/>
                <w:sz w:val="21"/>
                <w:szCs w:val="21"/>
              </w:rPr>
              <w:t>浅黄色含砂黄土，含钙质结核，具柱状节理，不整合于一切老地层之上。</w:t>
            </w:r>
          </w:p>
        </w:tc>
      </w:tr>
      <w:tr>
        <w:tblPrEx>
          <w:tblCellMar>
            <w:top w:w="0" w:type="dxa"/>
            <w:left w:w="0" w:type="dxa"/>
            <w:bottom w:w="0" w:type="dxa"/>
            <w:right w:w="0" w:type="dxa"/>
          </w:tblCellMar>
        </w:tblPrEx>
        <w:trPr>
          <w:trHeight w:val="951" w:hRule="atLeast"/>
        </w:trPr>
        <w:tc>
          <w:tcPr>
            <w:tcW w:w="461" w:type="dxa"/>
            <w:vMerge w:val="continue"/>
            <w:tcBorders>
              <w:left w:val="single" w:color="auto" w:sz="12" w:space="0"/>
              <w:bottom w:val="single" w:color="auto" w:sz="6" w:space="0"/>
              <w:right w:val="single" w:color="auto" w:sz="6" w:space="0"/>
            </w:tcBorders>
          </w:tcPr>
          <w:p>
            <w:pPr>
              <w:autoSpaceDE w:val="0"/>
              <w:autoSpaceDN w:val="0"/>
              <w:adjustRightInd w:val="0"/>
              <w:jc w:val="center"/>
              <w:rPr>
                <w:rFonts w:ascii="Times New Roman" w:hAnsi="Times New Roman"/>
                <w:sz w:val="21"/>
                <w:szCs w:val="21"/>
              </w:rPr>
            </w:pPr>
          </w:p>
        </w:tc>
        <w:tc>
          <w:tcPr>
            <w:tcW w:w="469"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新</w:t>
            </w:r>
          </w:p>
          <w:p>
            <w:pPr>
              <w:autoSpaceDE w:val="0"/>
              <w:autoSpaceDN w:val="0"/>
              <w:adjustRightInd w:val="0"/>
              <w:jc w:val="center"/>
              <w:rPr>
                <w:rFonts w:ascii="Times New Roman" w:hAnsi="Times New Roman"/>
                <w:sz w:val="21"/>
                <w:szCs w:val="21"/>
              </w:rPr>
            </w:pPr>
            <w:r>
              <w:rPr>
                <w:rFonts w:ascii="Times New Roman" w:hAnsi="Times New Roman"/>
                <w:sz w:val="21"/>
                <w:szCs w:val="21"/>
              </w:rPr>
              <w:t>近</w:t>
            </w:r>
          </w:p>
          <w:p>
            <w:pPr>
              <w:autoSpaceDE w:val="0"/>
              <w:autoSpaceDN w:val="0"/>
              <w:adjustRightInd w:val="0"/>
              <w:jc w:val="center"/>
              <w:rPr>
                <w:rFonts w:ascii="Times New Roman" w:hAnsi="Times New Roman"/>
                <w:sz w:val="21"/>
                <w:szCs w:val="21"/>
              </w:rPr>
            </w:pPr>
            <w:r>
              <w:rPr>
                <w:rFonts w:ascii="Times New Roman" w:hAnsi="Times New Roman"/>
                <w:sz w:val="21"/>
                <w:szCs w:val="21"/>
              </w:rPr>
              <w:t>系</w:t>
            </w:r>
          </w:p>
        </w:tc>
        <w:tc>
          <w:tcPr>
            <w:tcW w:w="469"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上</w:t>
            </w:r>
          </w:p>
          <w:p>
            <w:pPr>
              <w:autoSpaceDE w:val="0"/>
              <w:autoSpaceDN w:val="0"/>
              <w:adjustRightInd w:val="0"/>
              <w:jc w:val="center"/>
              <w:rPr>
                <w:rFonts w:ascii="Times New Roman" w:hAnsi="Times New Roman"/>
                <w:sz w:val="21"/>
                <w:szCs w:val="21"/>
              </w:rPr>
            </w:pPr>
            <w:r>
              <w:rPr>
                <w:rFonts w:ascii="Times New Roman" w:hAnsi="Times New Roman"/>
                <w:sz w:val="21"/>
                <w:szCs w:val="21"/>
              </w:rPr>
              <w:t>新</w:t>
            </w:r>
          </w:p>
          <w:p>
            <w:pPr>
              <w:autoSpaceDE w:val="0"/>
              <w:autoSpaceDN w:val="0"/>
              <w:adjustRightInd w:val="0"/>
              <w:jc w:val="center"/>
              <w:rPr>
                <w:rFonts w:ascii="Times New Roman" w:hAnsi="Times New Roman"/>
                <w:sz w:val="21"/>
                <w:szCs w:val="21"/>
              </w:rPr>
            </w:pPr>
            <w:r>
              <w:rPr>
                <w:rFonts w:ascii="Times New Roman" w:hAnsi="Times New Roman"/>
                <w:sz w:val="21"/>
                <w:szCs w:val="21"/>
              </w:rPr>
              <w:t>统</w:t>
            </w:r>
          </w:p>
        </w:tc>
        <w:tc>
          <w:tcPr>
            <w:tcW w:w="1296" w:type="dxa"/>
            <w:tcBorders>
              <w:top w:val="wave" w:color="auto" w:sz="6" w:space="0"/>
              <w:left w:val="single" w:color="auto" w:sz="6" w:space="0"/>
              <w:bottom w:val="wav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（N</w:t>
            </w:r>
            <w:r>
              <w:rPr>
                <w:rFonts w:ascii="Times New Roman" w:hAnsi="Times New Roman"/>
                <w:sz w:val="21"/>
                <w:szCs w:val="21"/>
                <w:vertAlign w:val="subscript"/>
              </w:rPr>
              <w:t>2</w:t>
            </w:r>
            <w:r>
              <w:rPr>
                <w:rFonts w:ascii="Times New Roman" w:hAnsi="Times New Roman"/>
                <w:sz w:val="21"/>
                <w:szCs w:val="21"/>
              </w:rPr>
              <w:t>）</w:t>
            </w:r>
          </w:p>
        </w:tc>
        <w:tc>
          <w:tcPr>
            <w:tcW w:w="1463"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0-100</w:t>
            </w:r>
          </w:p>
        </w:tc>
        <w:tc>
          <w:tcPr>
            <w:tcW w:w="4847" w:type="dxa"/>
            <w:tcBorders>
              <w:top w:val="single" w:color="auto" w:sz="6" w:space="0"/>
              <w:left w:val="single" w:color="auto" w:sz="6" w:space="0"/>
              <w:bottom w:val="single" w:color="auto" w:sz="6" w:space="0"/>
              <w:right w:val="single" w:color="auto" w:sz="12" w:space="0"/>
            </w:tcBorders>
            <w:vAlign w:val="center"/>
          </w:tcPr>
          <w:p>
            <w:pPr>
              <w:autoSpaceDE w:val="0"/>
              <w:autoSpaceDN w:val="0"/>
              <w:adjustRightInd w:val="0"/>
              <w:ind w:firstLine="210"/>
              <w:rPr>
                <w:rFonts w:ascii="Times New Roman" w:hAnsi="Times New Roman"/>
                <w:sz w:val="21"/>
                <w:szCs w:val="21"/>
              </w:rPr>
            </w:pPr>
            <w:r>
              <w:rPr>
                <w:rFonts w:ascii="Times New Roman" w:hAnsi="Times New Roman"/>
                <w:sz w:val="21"/>
                <w:szCs w:val="21"/>
              </w:rPr>
              <w:t>上部为红色、土黄色粘土及其胶结疏松的砂岩；下部为灰黄、棕红、绿黄色砂砾岩、砾岩，中夹砂岩透镜，不整合于一切老地层之上。</w:t>
            </w:r>
          </w:p>
        </w:tc>
      </w:tr>
      <w:tr>
        <w:tblPrEx>
          <w:tblCellMar>
            <w:top w:w="0" w:type="dxa"/>
            <w:left w:w="0" w:type="dxa"/>
            <w:bottom w:w="0" w:type="dxa"/>
            <w:right w:w="0" w:type="dxa"/>
          </w:tblCellMar>
        </w:tblPrEx>
        <w:trPr>
          <w:trHeight w:val="1111" w:hRule="atLeast"/>
        </w:trPr>
        <w:tc>
          <w:tcPr>
            <w:tcW w:w="461" w:type="dxa"/>
            <w:vMerge w:val="restart"/>
            <w:tcBorders>
              <w:top w:val="single" w:color="auto" w:sz="6" w:space="0"/>
              <w:left w:val="single" w:color="auto" w:sz="12"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中</w:t>
            </w: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r>
              <w:rPr>
                <w:rFonts w:ascii="Times New Roman" w:hAnsi="Times New Roman"/>
                <w:sz w:val="21"/>
                <w:szCs w:val="21"/>
              </w:rPr>
              <w:t>生</w:t>
            </w: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r>
              <w:rPr>
                <w:rFonts w:ascii="Times New Roman" w:hAnsi="Times New Roman"/>
                <w:sz w:val="21"/>
                <w:szCs w:val="21"/>
              </w:rPr>
              <w:t>界</w:t>
            </w:r>
          </w:p>
        </w:tc>
        <w:tc>
          <w:tcPr>
            <w:tcW w:w="469" w:type="dxa"/>
            <w:vMerge w:val="restart"/>
            <w:tcBorders>
              <w:top w:val="single" w:color="auto" w:sz="6" w:space="0"/>
              <w:left w:val="single" w:color="auto" w:sz="6"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白</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垩</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系</w:t>
            </w:r>
          </w:p>
          <w:p>
            <w:pPr>
              <w:autoSpaceDE w:val="0"/>
              <w:autoSpaceDN w:val="0"/>
              <w:adjustRightInd w:val="0"/>
              <w:jc w:val="center"/>
              <w:rPr>
                <w:rFonts w:ascii="Times New Roman" w:hAnsi="Times New Roman"/>
                <w:sz w:val="21"/>
                <w:szCs w:val="21"/>
              </w:rPr>
            </w:pPr>
          </w:p>
        </w:tc>
        <w:tc>
          <w:tcPr>
            <w:tcW w:w="469" w:type="dxa"/>
            <w:vMerge w:val="restart"/>
            <w:tcBorders>
              <w:top w:val="single" w:color="auto" w:sz="6" w:space="0"/>
              <w:left w:val="single" w:color="auto" w:sz="6"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下</w:t>
            </w: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p>
          <w:p>
            <w:pPr>
              <w:autoSpaceDE w:val="0"/>
              <w:autoSpaceDN w:val="0"/>
              <w:adjustRightInd w:val="0"/>
              <w:snapToGrid w:val="0"/>
              <w:spacing w:line="240" w:lineRule="exact"/>
              <w:jc w:val="center"/>
              <w:rPr>
                <w:rFonts w:ascii="Times New Roman" w:hAnsi="Times New Roman"/>
                <w:sz w:val="21"/>
                <w:szCs w:val="21"/>
              </w:rPr>
            </w:pPr>
            <w:r>
              <w:rPr>
                <w:rFonts w:ascii="Times New Roman" w:hAnsi="Times New Roman"/>
                <w:sz w:val="21"/>
                <w:szCs w:val="21"/>
              </w:rPr>
              <w:t>统</w:t>
            </w:r>
          </w:p>
          <w:p>
            <w:pPr>
              <w:autoSpaceDE w:val="0"/>
              <w:autoSpaceDN w:val="0"/>
              <w:adjustRightInd w:val="0"/>
              <w:snapToGrid w:val="0"/>
              <w:spacing w:line="240" w:lineRule="exact"/>
              <w:jc w:val="center"/>
              <w:rPr>
                <w:rFonts w:ascii="Times New Roman" w:hAnsi="Times New Roman"/>
                <w:sz w:val="21"/>
                <w:szCs w:val="21"/>
              </w:rPr>
            </w:pPr>
          </w:p>
        </w:tc>
        <w:tc>
          <w:tcPr>
            <w:tcW w:w="1296" w:type="dxa"/>
            <w:vMerge w:val="restart"/>
            <w:tcBorders>
              <w:top w:val="wave" w:color="auto" w:sz="6"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志丹群</w:t>
            </w:r>
          </w:p>
          <w:p>
            <w:pPr>
              <w:autoSpaceDE w:val="0"/>
              <w:autoSpaceDN w:val="0"/>
              <w:adjustRightInd w:val="0"/>
              <w:jc w:val="center"/>
              <w:rPr>
                <w:rFonts w:ascii="Times New Roman" w:hAnsi="Times New Roman"/>
                <w:sz w:val="21"/>
                <w:szCs w:val="21"/>
              </w:rPr>
            </w:pPr>
            <w:r>
              <w:rPr>
                <w:rFonts w:ascii="Times New Roman" w:hAnsi="Times New Roman"/>
                <w:sz w:val="21"/>
                <w:szCs w:val="21"/>
              </w:rPr>
              <w:t>（K</w:t>
            </w:r>
            <w:r>
              <w:rPr>
                <w:rFonts w:ascii="Times New Roman" w:hAnsi="Times New Roman"/>
                <w:sz w:val="21"/>
                <w:szCs w:val="21"/>
                <w:vertAlign w:val="subscript"/>
              </w:rPr>
              <w:t>1</w:t>
            </w:r>
            <w:r>
              <w:rPr>
                <w:rFonts w:ascii="Times New Roman" w:hAnsi="Times New Roman"/>
                <w:i/>
                <w:iCs/>
                <w:sz w:val="21"/>
                <w:szCs w:val="21"/>
              </w:rPr>
              <w:t>zh</w:t>
            </w:r>
            <w:r>
              <w:rPr>
                <w:rFonts w:ascii="Times New Roman" w:hAnsi="Times New Roman"/>
                <w:sz w:val="21"/>
                <w:szCs w:val="21"/>
              </w:rPr>
              <w:t>）</w:t>
            </w:r>
          </w:p>
        </w:tc>
        <w:tc>
          <w:tcPr>
            <w:tcW w:w="1463" w:type="dxa"/>
            <w:tcBorders>
              <w:top w:val="single" w:color="auto" w:sz="6" w:space="0"/>
              <w:left w:val="single" w:color="auto" w:sz="6" w:space="0"/>
              <w:bottom w:val="single"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40-420</w:t>
            </w:r>
          </w:p>
          <w:p>
            <w:pPr>
              <w:autoSpaceDE w:val="0"/>
              <w:autoSpaceDN w:val="0"/>
              <w:adjustRightInd w:val="0"/>
              <w:jc w:val="center"/>
              <w:rPr>
                <w:rFonts w:ascii="Times New Roman" w:hAnsi="Times New Roman"/>
                <w:sz w:val="21"/>
                <w:szCs w:val="21"/>
              </w:rPr>
            </w:pPr>
          </w:p>
        </w:tc>
        <w:tc>
          <w:tcPr>
            <w:tcW w:w="4847" w:type="dxa"/>
            <w:tcBorders>
              <w:top w:val="single" w:color="auto" w:sz="6" w:space="0"/>
              <w:left w:val="single" w:color="auto" w:sz="6" w:space="0"/>
              <w:bottom w:val="single" w:color="auto" w:sz="4" w:space="0"/>
              <w:right w:val="single" w:color="auto" w:sz="12" w:space="0"/>
            </w:tcBorders>
            <w:vAlign w:val="center"/>
          </w:tcPr>
          <w:p>
            <w:pPr>
              <w:autoSpaceDE w:val="0"/>
              <w:autoSpaceDN w:val="0"/>
              <w:adjustRightInd w:val="0"/>
              <w:ind w:firstLine="210"/>
              <w:rPr>
                <w:rFonts w:ascii="Times New Roman" w:hAnsi="Times New Roman"/>
                <w:sz w:val="21"/>
                <w:szCs w:val="21"/>
              </w:rPr>
            </w:pPr>
            <w:r>
              <w:rPr>
                <w:rFonts w:ascii="Times New Roman" w:hAnsi="Times New Roman"/>
                <w:sz w:val="21"/>
                <w:szCs w:val="21"/>
              </w:rPr>
              <w:t>上部为浅灰、灰紫、灰黄、黄、紫红色泥岩、粉砂岩、细砂岩、砂砾岩泥岩砂泥岩互层，夹薄层泥质灰岩。交错层理较发育。底部常见大型交错层理及河道迁移大型切割面和冲刷面。</w:t>
            </w:r>
          </w:p>
        </w:tc>
      </w:tr>
      <w:tr>
        <w:tblPrEx>
          <w:tblCellMar>
            <w:top w:w="0" w:type="dxa"/>
            <w:left w:w="0" w:type="dxa"/>
            <w:bottom w:w="0" w:type="dxa"/>
            <w:right w:w="0" w:type="dxa"/>
          </w:tblCellMar>
        </w:tblPrEx>
        <w:trPr>
          <w:trHeight w:val="1237" w:hRule="atLeast"/>
        </w:trPr>
        <w:tc>
          <w:tcPr>
            <w:tcW w:w="461" w:type="dxa"/>
            <w:vMerge w:val="continue"/>
            <w:tcBorders>
              <w:left w:val="single" w:color="auto" w:sz="12"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469" w:type="dxa"/>
            <w:vMerge w:val="continue"/>
            <w:tcBorders>
              <w:left w:val="single" w:color="auto" w:sz="6" w:space="0"/>
              <w:bottom w:val="single" w:color="auto" w:sz="4"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p>
        </w:tc>
        <w:tc>
          <w:tcPr>
            <w:tcW w:w="469" w:type="dxa"/>
            <w:vMerge w:val="continue"/>
            <w:tcBorders>
              <w:left w:val="single" w:color="auto" w:sz="6" w:space="0"/>
              <w:bottom w:val="single" w:color="auto" w:sz="4" w:space="0"/>
              <w:right w:val="single" w:color="auto" w:sz="6" w:space="0"/>
            </w:tcBorders>
            <w:vAlign w:val="center"/>
          </w:tcPr>
          <w:p>
            <w:pPr>
              <w:autoSpaceDE w:val="0"/>
              <w:autoSpaceDN w:val="0"/>
              <w:adjustRightInd w:val="0"/>
              <w:snapToGrid w:val="0"/>
              <w:spacing w:line="240" w:lineRule="exact"/>
              <w:jc w:val="center"/>
              <w:rPr>
                <w:rFonts w:ascii="Times New Roman" w:hAnsi="Times New Roman"/>
                <w:sz w:val="21"/>
                <w:szCs w:val="21"/>
              </w:rPr>
            </w:pPr>
          </w:p>
        </w:tc>
        <w:tc>
          <w:tcPr>
            <w:tcW w:w="1296" w:type="dxa"/>
            <w:vMerge w:val="continue"/>
            <w:tcBorders>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1463" w:type="dxa"/>
            <w:tcBorders>
              <w:top w:val="single" w:color="auto" w:sz="4"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30-280</w:t>
            </w:r>
          </w:p>
          <w:p>
            <w:pPr>
              <w:autoSpaceDE w:val="0"/>
              <w:autoSpaceDN w:val="0"/>
              <w:adjustRightInd w:val="0"/>
              <w:jc w:val="center"/>
              <w:rPr>
                <w:rFonts w:ascii="Times New Roman" w:hAnsi="Times New Roman"/>
                <w:sz w:val="21"/>
                <w:szCs w:val="21"/>
              </w:rPr>
            </w:pPr>
          </w:p>
        </w:tc>
        <w:tc>
          <w:tcPr>
            <w:tcW w:w="4847" w:type="dxa"/>
            <w:tcBorders>
              <w:top w:val="single" w:color="auto" w:sz="4" w:space="0"/>
              <w:left w:val="single" w:color="auto" w:sz="6" w:space="0"/>
              <w:right w:val="single" w:color="auto" w:sz="12" w:space="0"/>
            </w:tcBorders>
            <w:vAlign w:val="center"/>
          </w:tcPr>
          <w:p>
            <w:pPr>
              <w:autoSpaceDE w:val="0"/>
              <w:autoSpaceDN w:val="0"/>
              <w:adjustRightInd w:val="0"/>
              <w:ind w:firstLine="210"/>
              <w:rPr>
                <w:rFonts w:ascii="Times New Roman" w:hAnsi="Times New Roman"/>
                <w:sz w:val="21"/>
                <w:szCs w:val="21"/>
              </w:rPr>
            </w:pPr>
            <w:r>
              <w:rPr>
                <w:rFonts w:ascii="Times New Roman" w:hAnsi="Times New Roman"/>
                <w:sz w:val="21"/>
                <w:szCs w:val="21"/>
              </w:rPr>
              <w:t>下部为浅灰、灰绿、棕红、灰紫色泥岩、粉砂岩、砂质泥岩和各种粒级砂岩、砾岩，中夹薄层钙质细砂岩。泥质胶结，较疏松，斜层理发育。底部常见大型交错层理。与下伏地层呈角度不整合接触。</w:t>
            </w:r>
          </w:p>
        </w:tc>
      </w:tr>
      <w:tr>
        <w:tblPrEx>
          <w:tblCellMar>
            <w:top w:w="0" w:type="dxa"/>
            <w:left w:w="0" w:type="dxa"/>
            <w:bottom w:w="0" w:type="dxa"/>
            <w:right w:w="0" w:type="dxa"/>
          </w:tblCellMar>
        </w:tblPrEx>
        <w:trPr>
          <w:trHeight w:val="652" w:hRule="atLeast"/>
        </w:trPr>
        <w:tc>
          <w:tcPr>
            <w:tcW w:w="461" w:type="dxa"/>
            <w:vMerge w:val="continue"/>
            <w:tcBorders>
              <w:left w:val="single" w:color="auto" w:sz="12" w:space="0"/>
              <w:right w:val="single" w:color="auto" w:sz="6" w:space="0"/>
            </w:tcBorders>
          </w:tcPr>
          <w:p>
            <w:pPr>
              <w:autoSpaceDE w:val="0"/>
              <w:autoSpaceDN w:val="0"/>
              <w:adjustRightInd w:val="0"/>
              <w:jc w:val="center"/>
              <w:rPr>
                <w:rFonts w:ascii="Times New Roman" w:hAnsi="Times New Roman"/>
                <w:sz w:val="21"/>
                <w:szCs w:val="21"/>
              </w:rPr>
            </w:pPr>
          </w:p>
        </w:tc>
        <w:tc>
          <w:tcPr>
            <w:tcW w:w="469" w:type="dxa"/>
            <w:vMerge w:val="restart"/>
            <w:tcBorders>
              <w:top w:val="single" w:color="auto" w:sz="4"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侏</w:t>
            </w: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r>
              <w:rPr>
                <w:rFonts w:ascii="Times New Roman" w:hAnsi="Times New Roman"/>
                <w:sz w:val="21"/>
                <w:szCs w:val="21"/>
              </w:rPr>
              <w:t>罗</w:t>
            </w: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r>
              <w:rPr>
                <w:rFonts w:ascii="Times New Roman" w:hAnsi="Times New Roman"/>
                <w:sz w:val="21"/>
                <w:szCs w:val="21"/>
              </w:rPr>
              <w:t>系</w:t>
            </w:r>
          </w:p>
        </w:tc>
        <w:tc>
          <w:tcPr>
            <w:tcW w:w="469" w:type="dxa"/>
            <w:vMerge w:val="restart"/>
            <w:tcBorders>
              <w:top w:val="single" w:color="auto" w:sz="4"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中</w:t>
            </w:r>
          </w:p>
          <w:p>
            <w:pPr>
              <w:autoSpaceDE w:val="0"/>
              <w:autoSpaceDN w:val="0"/>
              <w:adjustRightInd w:val="0"/>
              <w:jc w:val="center"/>
              <w:rPr>
                <w:rFonts w:ascii="Times New Roman" w:hAnsi="Times New Roman"/>
                <w:sz w:val="21"/>
                <w:szCs w:val="21"/>
              </w:rPr>
            </w:pPr>
          </w:p>
          <w:p>
            <w:pPr>
              <w:autoSpaceDE w:val="0"/>
              <w:autoSpaceDN w:val="0"/>
              <w:adjustRightInd w:val="0"/>
              <w:jc w:val="center"/>
              <w:rPr>
                <w:rFonts w:ascii="Times New Roman" w:hAnsi="Times New Roman"/>
                <w:sz w:val="21"/>
                <w:szCs w:val="21"/>
              </w:rPr>
            </w:pPr>
            <w:r>
              <w:rPr>
                <w:rFonts w:ascii="Times New Roman" w:hAnsi="Times New Roman"/>
                <w:sz w:val="21"/>
                <w:szCs w:val="21"/>
              </w:rPr>
              <w:t>统</w:t>
            </w:r>
          </w:p>
        </w:tc>
        <w:tc>
          <w:tcPr>
            <w:tcW w:w="1296" w:type="dxa"/>
            <w:tcBorders>
              <w:top w:val="wav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安定组</w:t>
            </w:r>
          </w:p>
          <w:p>
            <w:pPr>
              <w:autoSpaceDE w:val="0"/>
              <w:autoSpaceDN w:val="0"/>
              <w:adjustRightInd w:val="0"/>
              <w:jc w:val="center"/>
              <w:rPr>
                <w:rFonts w:ascii="Times New Roman" w:hAnsi="Times New Roman"/>
                <w:sz w:val="21"/>
                <w:szCs w:val="21"/>
              </w:rPr>
            </w:pPr>
            <w:r>
              <w:rPr>
                <w:rFonts w:ascii="Times New Roman" w:hAnsi="Times New Roman"/>
                <w:sz w:val="21"/>
                <w:szCs w:val="21"/>
              </w:rPr>
              <w:t>（J</w:t>
            </w:r>
            <w:r>
              <w:rPr>
                <w:rFonts w:ascii="Times New Roman" w:hAnsi="Times New Roman"/>
                <w:sz w:val="21"/>
                <w:szCs w:val="21"/>
                <w:vertAlign w:val="subscript"/>
              </w:rPr>
              <w:t>2</w:t>
            </w:r>
            <w:r>
              <w:rPr>
                <w:rFonts w:ascii="Times New Roman" w:hAnsi="Times New Roman"/>
                <w:i/>
                <w:sz w:val="21"/>
                <w:szCs w:val="21"/>
              </w:rPr>
              <w:t>a</w:t>
            </w:r>
            <w:r>
              <w:rPr>
                <w:rFonts w:ascii="Times New Roman" w:hAnsi="Times New Roman"/>
                <w:sz w:val="21"/>
                <w:szCs w:val="21"/>
              </w:rPr>
              <w:t>）</w:t>
            </w:r>
          </w:p>
        </w:tc>
        <w:tc>
          <w:tcPr>
            <w:tcW w:w="1463"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10-152</w:t>
            </w:r>
          </w:p>
        </w:tc>
        <w:tc>
          <w:tcPr>
            <w:tcW w:w="4847" w:type="dxa"/>
            <w:tcBorders>
              <w:top w:val="single" w:color="auto" w:sz="6" w:space="0"/>
              <w:left w:val="single" w:color="auto" w:sz="6" w:space="0"/>
              <w:bottom w:val="single" w:color="auto" w:sz="6" w:space="0"/>
              <w:right w:val="single" w:color="auto" w:sz="12" w:space="0"/>
            </w:tcBorders>
            <w:vAlign w:val="center"/>
          </w:tcPr>
          <w:p>
            <w:pPr>
              <w:adjustRightInd w:val="0"/>
              <w:snapToGrid w:val="0"/>
              <w:ind w:firstLine="210"/>
              <w:rPr>
                <w:rFonts w:ascii="Times New Roman" w:hAnsi="Times New Roman"/>
                <w:sz w:val="21"/>
                <w:szCs w:val="21"/>
              </w:rPr>
            </w:pPr>
            <w:r>
              <w:rPr>
                <w:rFonts w:ascii="Times New Roman" w:hAnsi="Times New Roman"/>
                <w:sz w:val="21"/>
                <w:szCs w:val="21"/>
              </w:rPr>
              <w:t>浅灰、灰绿、黄紫褐色泥岩、砂质泥岩、中砂岩。含钙质结核和泥质团块，具平行层理和交错层理。</w:t>
            </w:r>
          </w:p>
        </w:tc>
      </w:tr>
      <w:tr>
        <w:tblPrEx>
          <w:tblCellMar>
            <w:top w:w="0" w:type="dxa"/>
            <w:left w:w="0" w:type="dxa"/>
            <w:bottom w:w="0" w:type="dxa"/>
            <w:right w:w="0" w:type="dxa"/>
          </w:tblCellMar>
        </w:tblPrEx>
        <w:trPr>
          <w:trHeight w:val="1304" w:hRule="atLeast"/>
        </w:trPr>
        <w:tc>
          <w:tcPr>
            <w:tcW w:w="461" w:type="dxa"/>
            <w:vMerge w:val="continue"/>
            <w:tcBorders>
              <w:left w:val="single" w:color="auto" w:sz="12" w:space="0"/>
              <w:right w:val="single" w:color="auto" w:sz="6" w:space="0"/>
            </w:tcBorders>
          </w:tcPr>
          <w:p>
            <w:pPr>
              <w:autoSpaceDE w:val="0"/>
              <w:autoSpaceDN w:val="0"/>
              <w:adjustRightInd w:val="0"/>
              <w:jc w:val="center"/>
              <w:rPr>
                <w:rFonts w:ascii="Times New Roman" w:hAnsi="Times New Roman"/>
                <w:sz w:val="21"/>
                <w:szCs w:val="21"/>
              </w:rPr>
            </w:pPr>
          </w:p>
        </w:tc>
        <w:tc>
          <w:tcPr>
            <w:tcW w:w="469" w:type="dxa"/>
            <w:vMerge w:val="continue"/>
            <w:tcBorders>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469" w:type="dxa"/>
            <w:vMerge w:val="continue"/>
            <w:tcBorders>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1296" w:type="dxa"/>
            <w:tcBorders>
              <w:top w:val="single" w:color="auto" w:sz="6" w:space="0"/>
              <w:left w:val="single" w:color="auto" w:sz="6" w:space="0"/>
              <w:bottom w:val="dashed"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直罗组</w:t>
            </w:r>
          </w:p>
          <w:p>
            <w:pPr>
              <w:autoSpaceDE w:val="0"/>
              <w:autoSpaceDN w:val="0"/>
              <w:adjustRightInd w:val="0"/>
              <w:jc w:val="center"/>
              <w:rPr>
                <w:rFonts w:ascii="Times New Roman" w:hAnsi="Times New Roman"/>
                <w:sz w:val="21"/>
                <w:szCs w:val="21"/>
              </w:rPr>
            </w:pPr>
            <w:r>
              <w:rPr>
                <w:rFonts w:ascii="Times New Roman" w:hAnsi="Times New Roman"/>
                <w:sz w:val="21"/>
                <w:szCs w:val="21"/>
              </w:rPr>
              <w:t>（J</w:t>
            </w:r>
            <w:r>
              <w:rPr>
                <w:rFonts w:ascii="Times New Roman" w:hAnsi="Times New Roman"/>
                <w:sz w:val="21"/>
                <w:szCs w:val="21"/>
                <w:vertAlign w:val="subscript"/>
              </w:rPr>
              <w:t>2</w:t>
            </w:r>
            <w:r>
              <w:rPr>
                <w:rFonts w:ascii="Times New Roman" w:hAnsi="Times New Roman"/>
                <w:i/>
                <w:sz w:val="21"/>
                <w:szCs w:val="21"/>
              </w:rPr>
              <w:t>z</w:t>
            </w:r>
            <w:r>
              <w:rPr>
                <w:rFonts w:ascii="Times New Roman" w:hAnsi="Times New Roman"/>
                <w:sz w:val="21"/>
                <w:szCs w:val="21"/>
              </w:rPr>
              <w:t>）</w:t>
            </w:r>
          </w:p>
        </w:tc>
        <w:tc>
          <w:tcPr>
            <w:tcW w:w="1463" w:type="dxa"/>
            <w:tcBorders>
              <w:top w:val="single" w:color="auto" w:sz="6"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10-400</w:t>
            </w:r>
          </w:p>
        </w:tc>
        <w:tc>
          <w:tcPr>
            <w:tcW w:w="4847" w:type="dxa"/>
            <w:tcBorders>
              <w:top w:val="single" w:color="auto" w:sz="6" w:space="0"/>
              <w:left w:val="single" w:color="auto" w:sz="6" w:space="0"/>
              <w:right w:val="single" w:color="auto" w:sz="12" w:space="0"/>
            </w:tcBorders>
            <w:vAlign w:val="center"/>
          </w:tcPr>
          <w:p>
            <w:pPr>
              <w:autoSpaceDE w:val="0"/>
              <w:autoSpaceDN w:val="0"/>
              <w:adjustRightInd w:val="0"/>
              <w:ind w:firstLine="210"/>
              <w:rPr>
                <w:rFonts w:ascii="Times New Roman" w:hAnsi="Times New Roman"/>
                <w:sz w:val="21"/>
                <w:szCs w:val="21"/>
              </w:rPr>
            </w:pPr>
            <w:r>
              <w:rPr>
                <w:rFonts w:ascii="Times New Roman" w:hAnsi="Times New Roman"/>
                <w:sz w:val="21"/>
                <w:szCs w:val="21"/>
              </w:rPr>
              <w:t>灰白、灰黄、灰绿、紫红色泥岩、砂质泥岩、细砂岩、中砂岩和粗砂岩，具交错层理和波状层理。下部夹薄煤层及油页岩，含1煤组。含煤1～3层。与下伏地层呈平行不整合接触。</w:t>
            </w:r>
          </w:p>
        </w:tc>
      </w:tr>
      <w:tr>
        <w:tblPrEx>
          <w:tblCellMar>
            <w:top w:w="0" w:type="dxa"/>
            <w:left w:w="0" w:type="dxa"/>
            <w:bottom w:w="0" w:type="dxa"/>
            <w:right w:w="0" w:type="dxa"/>
          </w:tblCellMar>
        </w:tblPrEx>
        <w:trPr>
          <w:trHeight w:val="1518" w:hRule="atLeast"/>
        </w:trPr>
        <w:tc>
          <w:tcPr>
            <w:tcW w:w="461" w:type="dxa"/>
            <w:vMerge w:val="continue"/>
            <w:tcBorders>
              <w:left w:val="single" w:color="auto" w:sz="12" w:space="0"/>
              <w:right w:val="single" w:color="auto" w:sz="6" w:space="0"/>
            </w:tcBorders>
          </w:tcPr>
          <w:p>
            <w:pPr>
              <w:autoSpaceDE w:val="0"/>
              <w:autoSpaceDN w:val="0"/>
              <w:adjustRightInd w:val="0"/>
              <w:jc w:val="center"/>
              <w:rPr>
                <w:rFonts w:ascii="Times New Roman" w:hAnsi="Times New Roman"/>
                <w:sz w:val="21"/>
                <w:szCs w:val="21"/>
              </w:rPr>
            </w:pPr>
          </w:p>
        </w:tc>
        <w:tc>
          <w:tcPr>
            <w:tcW w:w="469" w:type="dxa"/>
            <w:vMerge w:val="continue"/>
            <w:tcBorders>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469" w:type="dxa"/>
            <w:tcBorders>
              <w:top w:val="single" w:color="auto" w:sz="6" w:space="0"/>
              <w:left w:val="single" w:color="auto" w:sz="6" w:space="0"/>
              <w:bottom w:val="dashed"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中</w:t>
            </w:r>
          </w:p>
          <w:p>
            <w:pPr>
              <w:autoSpaceDE w:val="0"/>
              <w:autoSpaceDN w:val="0"/>
              <w:adjustRightInd w:val="0"/>
              <w:jc w:val="center"/>
              <w:rPr>
                <w:rFonts w:ascii="Times New Roman" w:hAnsi="Times New Roman"/>
                <w:sz w:val="21"/>
                <w:szCs w:val="21"/>
              </w:rPr>
            </w:pPr>
            <w:r>
              <w:rPr>
                <w:rFonts w:ascii="Times New Roman" w:hAnsi="Times New Roman"/>
                <w:sz w:val="21"/>
                <w:szCs w:val="21"/>
              </w:rPr>
              <w:t>下</w:t>
            </w:r>
          </w:p>
          <w:p>
            <w:pPr>
              <w:autoSpaceDE w:val="0"/>
              <w:autoSpaceDN w:val="0"/>
              <w:adjustRightInd w:val="0"/>
              <w:jc w:val="center"/>
              <w:rPr>
                <w:rFonts w:ascii="Times New Roman" w:hAnsi="Times New Roman"/>
                <w:sz w:val="21"/>
                <w:szCs w:val="21"/>
              </w:rPr>
            </w:pPr>
            <w:r>
              <w:rPr>
                <w:rFonts w:ascii="Times New Roman" w:hAnsi="Times New Roman"/>
                <w:sz w:val="21"/>
                <w:szCs w:val="21"/>
              </w:rPr>
              <w:t>统</w:t>
            </w:r>
          </w:p>
        </w:tc>
        <w:tc>
          <w:tcPr>
            <w:tcW w:w="1296" w:type="dxa"/>
            <w:tcBorders>
              <w:top w:val="dashed" w:color="auto" w:sz="4" w:space="0"/>
              <w:left w:val="single" w:color="auto" w:sz="6" w:space="0"/>
              <w:bottom w:val="dashed"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延安组(J</w:t>
            </w:r>
            <w:r>
              <w:rPr>
                <w:rFonts w:ascii="Times New Roman" w:hAnsi="Times New Roman"/>
                <w:sz w:val="21"/>
                <w:szCs w:val="21"/>
                <w:vertAlign w:val="subscript"/>
              </w:rPr>
              <w:t>1-2</w:t>
            </w:r>
            <w:r>
              <w:rPr>
                <w:rFonts w:ascii="Times New Roman" w:hAnsi="Times New Roman"/>
                <w:i/>
                <w:sz w:val="21"/>
                <w:szCs w:val="21"/>
              </w:rPr>
              <w:t>y</w:t>
            </w:r>
            <w:r>
              <w:rPr>
                <w:rFonts w:ascii="Times New Roman" w:hAnsi="Times New Roman"/>
                <w:sz w:val="21"/>
                <w:szCs w:val="21"/>
              </w:rPr>
              <w:t>)</w:t>
            </w:r>
          </w:p>
        </w:tc>
        <w:tc>
          <w:tcPr>
            <w:tcW w:w="1463" w:type="dxa"/>
            <w:tcBorders>
              <w:top w:val="single" w:color="auto" w:sz="6"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78-500</w:t>
            </w:r>
          </w:p>
        </w:tc>
        <w:tc>
          <w:tcPr>
            <w:tcW w:w="4847" w:type="dxa"/>
            <w:tcBorders>
              <w:top w:val="single" w:color="auto" w:sz="6" w:space="0"/>
              <w:left w:val="single" w:color="auto" w:sz="6" w:space="0"/>
              <w:right w:val="single" w:color="auto" w:sz="12" w:space="0"/>
            </w:tcBorders>
            <w:vAlign w:val="center"/>
          </w:tcPr>
          <w:p>
            <w:pPr>
              <w:autoSpaceDE w:val="0"/>
              <w:autoSpaceDN w:val="0"/>
              <w:adjustRightInd w:val="0"/>
              <w:ind w:firstLine="210"/>
              <w:rPr>
                <w:rFonts w:ascii="Times New Roman" w:hAnsi="Times New Roman"/>
                <w:sz w:val="21"/>
                <w:szCs w:val="21"/>
              </w:rPr>
            </w:pPr>
            <w:r>
              <w:rPr>
                <w:rFonts w:ascii="Times New Roman" w:hAnsi="Times New Roman"/>
                <w:sz w:val="21"/>
                <w:szCs w:val="21"/>
              </w:rPr>
              <w:t>灰～灰白色各种粒级的砂岩与深灰色、灰黑色砂质泥岩和泥岩互层；中夹具工业开采价值的煤层。共含2、3、4、5、6、7煤组，27层煤；其中主要可采煤层为2-2中、3-1、4-1、4-2中、5-1、6-1中、6-2。与下伏地层呈平行不整合接触。</w:t>
            </w:r>
          </w:p>
        </w:tc>
      </w:tr>
      <w:tr>
        <w:tblPrEx>
          <w:tblCellMar>
            <w:top w:w="0" w:type="dxa"/>
            <w:left w:w="0" w:type="dxa"/>
            <w:bottom w:w="0" w:type="dxa"/>
            <w:right w:w="0" w:type="dxa"/>
          </w:tblCellMar>
        </w:tblPrEx>
        <w:trPr>
          <w:trHeight w:val="983" w:hRule="atLeast"/>
        </w:trPr>
        <w:tc>
          <w:tcPr>
            <w:tcW w:w="461" w:type="dxa"/>
            <w:vMerge w:val="continue"/>
            <w:tcBorders>
              <w:left w:val="single" w:color="auto" w:sz="12" w:space="0"/>
              <w:right w:val="single" w:color="auto" w:sz="6" w:space="0"/>
            </w:tcBorders>
          </w:tcPr>
          <w:p>
            <w:pPr>
              <w:autoSpaceDE w:val="0"/>
              <w:autoSpaceDN w:val="0"/>
              <w:adjustRightInd w:val="0"/>
              <w:jc w:val="center"/>
              <w:rPr>
                <w:rFonts w:ascii="Times New Roman" w:hAnsi="Times New Roman"/>
                <w:sz w:val="21"/>
                <w:szCs w:val="21"/>
              </w:rPr>
            </w:pPr>
          </w:p>
        </w:tc>
        <w:tc>
          <w:tcPr>
            <w:tcW w:w="469" w:type="dxa"/>
            <w:vMerge w:val="continue"/>
            <w:tcBorders>
              <w:left w:val="single" w:color="auto" w:sz="6" w:space="0"/>
              <w:bottom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469" w:type="dxa"/>
            <w:tcBorders>
              <w:top w:val="single" w:color="auto" w:sz="6" w:space="0"/>
              <w:left w:val="single" w:color="auto" w:sz="6" w:space="0"/>
              <w:bottom w:val="dashed"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下</w:t>
            </w:r>
          </w:p>
          <w:p>
            <w:pPr>
              <w:autoSpaceDE w:val="0"/>
              <w:autoSpaceDN w:val="0"/>
              <w:adjustRightInd w:val="0"/>
              <w:jc w:val="center"/>
              <w:rPr>
                <w:rFonts w:ascii="Times New Roman" w:hAnsi="Times New Roman"/>
                <w:sz w:val="21"/>
                <w:szCs w:val="21"/>
              </w:rPr>
            </w:pPr>
            <w:r>
              <w:rPr>
                <w:rFonts w:ascii="Times New Roman" w:hAnsi="Times New Roman"/>
                <w:sz w:val="21"/>
                <w:szCs w:val="21"/>
              </w:rPr>
              <w:t>统</w:t>
            </w:r>
          </w:p>
        </w:tc>
        <w:tc>
          <w:tcPr>
            <w:tcW w:w="1296" w:type="dxa"/>
            <w:tcBorders>
              <w:top w:val="dashed" w:color="auto" w:sz="4" w:space="0"/>
              <w:left w:val="single" w:color="auto" w:sz="6" w:space="0"/>
              <w:bottom w:val="dashed"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富县组</w:t>
            </w:r>
          </w:p>
          <w:p>
            <w:pPr>
              <w:autoSpaceDE w:val="0"/>
              <w:autoSpaceDN w:val="0"/>
              <w:adjustRightInd w:val="0"/>
              <w:jc w:val="center"/>
              <w:rPr>
                <w:rFonts w:ascii="Times New Roman" w:hAnsi="Times New Roman"/>
                <w:sz w:val="21"/>
                <w:szCs w:val="21"/>
              </w:rPr>
            </w:pPr>
            <w:r>
              <w:rPr>
                <w:rFonts w:ascii="Times New Roman" w:hAnsi="Times New Roman"/>
                <w:sz w:val="21"/>
                <w:szCs w:val="21"/>
              </w:rPr>
              <w:t>（J</w:t>
            </w:r>
            <w:r>
              <w:rPr>
                <w:rFonts w:ascii="Times New Roman" w:hAnsi="Times New Roman"/>
                <w:sz w:val="21"/>
                <w:szCs w:val="21"/>
                <w:vertAlign w:val="subscript"/>
              </w:rPr>
              <w:t>1</w:t>
            </w:r>
            <w:r>
              <w:rPr>
                <w:rFonts w:ascii="Times New Roman" w:hAnsi="Times New Roman"/>
                <w:i/>
                <w:sz w:val="21"/>
                <w:szCs w:val="21"/>
              </w:rPr>
              <w:t>f</w:t>
            </w:r>
            <w:r>
              <w:rPr>
                <w:rFonts w:ascii="Times New Roman" w:hAnsi="Times New Roman"/>
                <w:sz w:val="21"/>
                <w:szCs w:val="21"/>
              </w:rPr>
              <w:t>）</w:t>
            </w:r>
          </w:p>
        </w:tc>
        <w:tc>
          <w:tcPr>
            <w:tcW w:w="1463" w:type="dxa"/>
            <w:tcBorders>
              <w:top w:val="single" w:color="auto" w:sz="6"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0-110</w:t>
            </w:r>
          </w:p>
        </w:tc>
        <w:tc>
          <w:tcPr>
            <w:tcW w:w="4847" w:type="dxa"/>
            <w:tcBorders>
              <w:top w:val="single" w:color="auto" w:sz="6" w:space="0"/>
              <w:left w:val="single" w:color="auto" w:sz="6" w:space="0"/>
              <w:right w:val="single" w:color="auto" w:sz="12" w:space="0"/>
            </w:tcBorders>
            <w:vAlign w:val="center"/>
          </w:tcPr>
          <w:p>
            <w:pPr>
              <w:autoSpaceDE w:val="0"/>
              <w:autoSpaceDN w:val="0"/>
              <w:adjustRightInd w:val="0"/>
              <w:rPr>
                <w:rFonts w:ascii="Times New Roman" w:hAnsi="Times New Roman"/>
                <w:sz w:val="21"/>
                <w:szCs w:val="21"/>
              </w:rPr>
            </w:pPr>
            <w:r>
              <w:rPr>
                <w:rFonts w:ascii="Times New Roman" w:hAnsi="Times New Roman"/>
                <w:sz w:val="21"/>
                <w:szCs w:val="21"/>
              </w:rPr>
              <w:t>上部为浅黄、灰绿、紫红色泥岩，夹砂岩；下部以砂岩为主，局部为砂岩和泥岩互层；底部为浅黄色砾岩。与下伏地层呈平行不整合接触。</w:t>
            </w:r>
          </w:p>
        </w:tc>
      </w:tr>
      <w:tr>
        <w:tblPrEx>
          <w:tblCellMar>
            <w:top w:w="0" w:type="dxa"/>
            <w:left w:w="0" w:type="dxa"/>
            <w:bottom w:w="0" w:type="dxa"/>
            <w:right w:w="0" w:type="dxa"/>
          </w:tblCellMar>
        </w:tblPrEx>
        <w:trPr>
          <w:trHeight w:val="967" w:hRule="atLeast"/>
        </w:trPr>
        <w:tc>
          <w:tcPr>
            <w:tcW w:w="461" w:type="dxa"/>
            <w:vMerge w:val="continue"/>
            <w:tcBorders>
              <w:left w:val="single" w:color="auto" w:sz="12" w:space="0"/>
              <w:right w:val="single" w:color="auto" w:sz="6" w:space="0"/>
            </w:tcBorders>
          </w:tcPr>
          <w:p>
            <w:pPr>
              <w:autoSpaceDE w:val="0"/>
              <w:autoSpaceDN w:val="0"/>
              <w:adjustRightInd w:val="0"/>
              <w:jc w:val="center"/>
              <w:rPr>
                <w:rFonts w:ascii="Times New Roman" w:hAnsi="Times New Roman"/>
                <w:sz w:val="21"/>
                <w:szCs w:val="21"/>
              </w:rPr>
            </w:pPr>
          </w:p>
        </w:tc>
        <w:tc>
          <w:tcPr>
            <w:tcW w:w="469" w:type="dxa"/>
            <w:vMerge w:val="restart"/>
            <w:tcBorders>
              <w:top w:val="single" w:color="auto" w:sz="4" w:space="0"/>
              <w:left w:val="single" w:color="auto" w:sz="6"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三</w:t>
            </w:r>
          </w:p>
          <w:p>
            <w:pPr>
              <w:autoSpaceDE w:val="0"/>
              <w:autoSpaceDN w:val="0"/>
              <w:adjustRightInd w:val="0"/>
              <w:jc w:val="center"/>
              <w:rPr>
                <w:rFonts w:ascii="Times New Roman" w:hAnsi="Times New Roman"/>
                <w:sz w:val="21"/>
                <w:szCs w:val="21"/>
              </w:rPr>
            </w:pPr>
            <w:r>
              <w:rPr>
                <w:rFonts w:ascii="Times New Roman" w:hAnsi="Times New Roman"/>
                <w:sz w:val="21"/>
                <w:szCs w:val="21"/>
              </w:rPr>
              <w:t>叠</w:t>
            </w:r>
          </w:p>
          <w:p>
            <w:pPr>
              <w:autoSpaceDE w:val="0"/>
              <w:autoSpaceDN w:val="0"/>
              <w:adjustRightInd w:val="0"/>
              <w:jc w:val="center"/>
              <w:rPr>
                <w:rFonts w:ascii="Times New Roman" w:hAnsi="Times New Roman"/>
                <w:sz w:val="21"/>
                <w:szCs w:val="21"/>
              </w:rPr>
            </w:pPr>
            <w:r>
              <w:rPr>
                <w:rFonts w:ascii="Times New Roman" w:hAnsi="Times New Roman"/>
                <w:sz w:val="21"/>
                <w:szCs w:val="21"/>
              </w:rPr>
              <w:t>系</w:t>
            </w:r>
          </w:p>
        </w:tc>
        <w:tc>
          <w:tcPr>
            <w:tcW w:w="469" w:type="dxa"/>
            <w:tcBorders>
              <w:top w:val="single" w:color="auto" w:sz="4" w:space="0"/>
              <w:left w:val="single" w:color="auto" w:sz="6" w:space="0"/>
              <w:bottom w:val="single"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上</w:t>
            </w:r>
          </w:p>
          <w:p>
            <w:pPr>
              <w:autoSpaceDE w:val="0"/>
              <w:autoSpaceDN w:val="0"/>
              <w:adjustRightInd w:val="0"/>
              <w:jc w:val="center"/>
              <w:rPr>
                <w:rFonts w:ascii="Times New Roman" w:hAnsi="Times New Roman"/>
                <w:sz w:val="21"/>
                <w:szCs w:val="21"/>
              </w:rPr>
            </w:pPr>
            <w:r>
              <w:rPr>
                <w:rFonts w:ascii="Times New Roman" w:hAnsi="Times New Roman"/>
                <w:sz w:val="21"/>
                <w:szCs w:val="21"/>
              </w:rPr>
              <w:t>统</w:t>
            </w:r>
          </w:p>
        </w:tc>
        <w:tc>
          <w:tcPr>
            <w:tcW w:w="1296" w:type="dxa"/>
            <w:tcBorders>
              <w:top w:val="dashed" w:color="auto" w:sz="4" w:space="0"/>
              <w:left w:val="single" w:color="auto" w:sz="6" w:space="0"/>
              <w:bottom w:val="dashed"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延长组</w:t>
            </w:r>
          </w:p>
          <w:p>
            <w:pPr>
              <w:autoSpaceDE w:val="0"/>
              <w:autoSpaceDN w:val="0"/>
              <w:adjustRightInd w:val="0"/>
              <w:jc w:val="center"/>
              <w:rPr>
                <w:rFonts w:ascii="Times New Roman" w:hAnsi="Times New Roman"/>
                <w:sz w:val="21"/>
                <w:szCs w:val="21"/>
              </w:rPr>
            </w:pPr>
            <w:r>
              <w:rPr>
                <w:rFonts w:ascii="Times New Roman" w:hAnsi="Times New Roman"/>
                <w:sz w:val="21"/>
                <w:szCs w:val="21"/>
              </w:rPr>
              <w:t>（T</w:t>
            </w:r>
            <w:r>
              <w:rPr>
                <w:rFonts w:ascii="Times New Roman" w:hAnsi="Times New Roman"/>
                <w:sz w:val="21"/>
                <w:szCs w:val="21"/>
                <w:vertAlign w:val="subscript"/>
              </w:rPr>
              <w:t>3</w:t>
            </w:r>
            <w:r>
              <w:rPr>
                <w:rFonts w:ascii="Times New Roman" w:hAnsi="Times New Roman"/>
                <w:i/>
                <w:sz w:val="21"/>
                <w:szCs w:val="21"/>
              </w:rPr>
              <w:t>y</w:t>
            </w:r>
            <w:r>
              <w:rPr>
                <w:rFonts w:ascii="Times New Roman" w:hAnsi="Times New Roman"/>
                <w:sz w:val="21"/>
                <w:szCs w:val="21"/>
              </w:rPr>
              <w:t>）</w:t>
            </w:r>
          </w:p>
        </w:tc>
        <w:tc>
          <w:tcPr>
            <w:tcW w:w="1463" w:type="dxa"/>
            <w:tcBorders>
              <w:top w:val="single" w:color="auto" w:sz="4" w:space="0"/>
              <w:left w:val="single" w:color="auto" w:sz="6" w:space="0"/>
              <w:bottom w:val="single" w:color="auto" w:sz="4"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35-312</w:t>
            </w:r>
          </w:p>
        </w:tc>
        <w:tc>
          <w:tcPr>
            <w:tcW w:w="4847" w:type="dxa"/>
            <w:tcBorders>
              <w:top w:val="single" w:color="auto" w:sz="6" w:space="0"/>
              <w:left w:val="single" w:color="auto" w:sz="6" w:space="0"/>
              <w:bottom w:val="single" w:color="auto" w:sz="6" w:space="0"/>
              <w:right w:val="single" w:color="auto" w:sz="12" w:space="0"/>
            </w:tcBorders>
            <w:vAlign w:val="center"/>
          </w:tcPr>
          <w:p>
            <w:pPr>
              <w:autoSpaceDE w:val="0"/>
              <w:autoSpaceDN w:val="0"/>
              <w:adjustRightInd w:val="0"/>
              <w:ind w:firstLine="210"/>
              <w:rPr>
                <w:rFonts w:ascii="Times New Roman" w:hAnsi="Times New Roman"/>
                <w:sz w:val="21"/>
                <w:szCs w:val="21"/>
              </w:rPr>
            </w:pPr>
            <w:r>
              <w:rPr>
                <w:rFonts w:ascii="Times New Roman" w:hAnsi="Times New Roman"/>
                <w:sz w:val="21"/>
                <w:szCs w:val="21"/>
              </w:rPr>
              <w:t>灰绿、黄、紫、灰黑色块状粗、中砂岩，局部含细砾，夹泥岩、粉砂岩及煤线。与下伏地层呈平行不整合接触。</w:t>
            </w:r>
          </w:p>
        </w:tc>
      </w:tr>
      <w:tr>
        <w:tblPrEx>
          <w:tblCellMar>
            <w:top w:w="0" w:type="dxa"/>
            <w:left w:w="0" w:type="dxa"/>
            <w:bottom w:w="0" w:type="dxa"/>
            <w:right w:w="0" w:type="dxa"/>
          </w:tblCellMar>
        </w:tblPrEx>
        <w:trPr>
          <w:trHeight w:val="468" w:hRule="atLeast"/>
        </w:trPr>
        <w:tc>
          <w:tcPr>
            <w:tcW w:w="461" w:type="dxa"/>
            <w:vMerge w:val="continue"/>
            <w:tcBorders>
              <w:left w:val="single" w:color="auto" w:sz="12" w:space="0"/>
              <w:bottom w:val="single" w:color="auto" w:sz="12" w:space="0"/>
              <w:right w:val="single" w:color="auto" w:sz="6" w:space="0"/>
            </w:tcBorders>
          </w:tcPr>
          <w:p>
            <w:pPr>
              <w:autoSpaceDE w:val="0"/>
              <w:autoSpaceDN w:val="0"/>
              <w:adjustRightInd w:val="0"/>
              <w:jc w:val="center"/>
              <w:rPr>
                <w:rFonts w:ascii="Times New Roman" w:hAnsi="Times New Roman"/>
                <w:sz w:val="21"/>
                <w:szCs w:val="21"/>
              </w:rPr>
            </w:pPr>
          </w:p>
        </w:tc>
        <w:tc>
          <w:tcPr>
            <w:tcW w:w="469" w:type="dxa"/>
            <w:vMerge w:val="continue"/>
            <w:tcBorders>
              <w:left w:val="single" w:color="auto" w:sz="6" w:space="0"/>
              <w:bottom w:val="single" w:color="auto" w:sz="12" w:space="0"/>
              <w:right w:val="single" w:color="auto" w:sz="6" w:space="0"/>
            </w:tcBorders>
            <w:vAlign w:val="center"/>
          </w:tcPr>
          <w:p>
            <w:pPr>
              <w:autoSpaceDE w:val="0"/>
              <w:autoSpaceDN w:val="0"/>
              <w:adjustRightInd w:val="0"/>
              <w:jc w:val="center"/>
              <w:rPr>
                <w:rFonts w:ascii="Times New Roman" w:hAnsi="Times New Roman"/>
                <w:sz w:val="21"/>
                <w:szCs w:val="21"/>
              </w:rPr>
            </w:pPr>
          </w:p>
        </w:tc>
        <w:tc>
          <w:tcPr>
            <w:tcW w:w="469" w:type="dxa"/>
            <w:tcBorders>
              <w:top w:val="single" w:color="auto" w:sz="4" w:space="0"/>
              <w:left w:val="single" w:color="auto" w:sz="6" w:space="0"/>
              <w:bottom w:val="single" w:color="auto" w:sz="12"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中</w:t>
            </w:r>
          </w:p>
          <w:p>
            <w:pPr>
              <w:autoSpaceDE w:val="0"/>
              <w:autoSpaceDN w:val="0"/>
              <w:adjustRightInd w:val="0"/>
              <w:jc w:val="center"/>
              <w:rPr>
                <w:rFonts w:ascii="Times New Roman" w:hAnsi="Times New Roman"/>
                <w:sz w:val="21"/>
                <w:szCs w:val="21"/>
              </w:rPr>
            </w:pPr>
            <w:r>
              <w:rPr>
                <w:rFonts w:ascii="Times New Roman" w:hAnsi="Times New Roman"/>
                <w:sz w:val="21"/>
                <w:szCs w:val="21"/>
              </w:rPr>
              <w:t>统</w:t>
            </w:r>
          </w:p>
        </w:tc>
        <w:tc>
          <w:tcPr>
            <w:tcW w:w="1296" w:type="dxa"/>
            <w:tcBorders>
              <w:top w:val="dashed" w:color="auto" w:sz="4" w:space="0"/>
              <w:left w:val="single" w:color="auto" w:sz="6" w:space="0"/>
              <w:bottom w:val="single" w:color="auto" w:sz="12"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二马营组</w:t>
            </w:r>
          </w:p>
          <w:p>
            <w:pPr>
              <w:autoSpaceDE w:val="0"/>
              <w:autoSpaceDN w:val="0"/>
              <w:adjustRightInd w:val="0"/>
              <w:jc w:val="center"/>
              <w:rPr>
                <w:rFonts w:ascii="Times New Roman" w:hAnsi="Times New Roman"/>
                <w:sz w:val="21"/>
                <w:szCs w:val="21"/>
              </w:rPr>
            </w:pPr>
            <w:r>
              <w:rPr>
                <w:rFonts w:ascii="Times New Roman" w:hAnsi="Times New Roman"/>
                <w:sz w:val="21"/>
                <w:szCs w:val="21"/>
              </w:rPr>
              <w:t>（T</w:t>
            </w:r>
            <w:r>
              <w:rPr>
                <w:rFonts w:ascii="Times New Roman" w:hAnsi="Times New Roman"/>
                <w:sz w:val="21"/>
                <w:szCs w:val="21"/>
                <w:vertAlign w:val="subscript"/>
              </w:rPr>
              <w:t>2</w:t>
            </w:r>
            <w:r>
              <w:rPr>
                <w:rFonts w:ascii="Times New Roman" w:hAnsi="Times New Roman"/>
                <w:i/>
                <w:sz w:val="21"/>
                <w:szCs w:val="21"/>
              </w:rPr>
              <w:t>er</w:t>
            </w:r>
            <w:r>
              <w:rPr>
                <w:rFonts w:ascii="Times New Roman" w:hAnsi="Times New Roman"/>
                <w:sz w:val="21"/>
                <w:szCs w:val="21"/>
              </w:rPr>
              <w:t>）</w:t>
            </w:r>
          </w:p>
        </w:tc>
        <w:tc>
          <w:tcPr>
            <w:tcW w:w="1463" w:type="dxa"/>
            <w:tcBorders>
              <w:top w:val="single" w:color="auto" w:sz="4" w:space="0"/>
              <w:left w:val="single" w:color="auto" w:sz="6" w:space="0"/>
              <w:bottom w:val="single" w:color="auto" w:sz="12" w:space="0"/>
              <w:right w:val="single" w:color="auto" w:sz="6" w:space="0"/>
            </w:tcBorders>
            <w:vAlign w:val="center"/>
          </w:tcPr>
          <w:p>
            <w:pPr>
              <w:autoSpaceDE w:val="0"/>
              <w:autoSpaceDN w:val="0"/>
              <w:adjustRightInd w:val="0"/>
              <w:jc w:val="center"/>
              <w:rPr>
                <w:rFonts w:ascii="Times New Roman" w:hAnsi="Times New Roman"/>
                <w:sz w:val="21"/>
                <w:szCs w:val="21"/>
              </w:rPr>
            </w:pPr>
            <w:r>
              <w:rPr>
                <w:rFonts w:ascii="Times New Roman" w:hAnsi="Times New Roman"/>
                <w:sz w:val="21"/>
                <w:szCs w:val="21"/>
              </w:rPr>
              <w:t>87-367</w:t>
            </w:r>
          </w:p>
        </w:tc>
        <w:tc>
          <w:tcPr>
            <w:tcW w:w="4847" w:type="dxa"/>
            <w:tcBorders>
              <w:top w:val="single" w:color="auto" w:sz="6" w:space="0"/>
              <w:left w:val="single" w:color="auto" w:sz="6" w:space="0"/>
              <w:bottom w:val="single" w:color="auto" w:sz="12" w:space="0"/>
              <w:right w:val="single" w:color="auto" w:sz="12" w:space="0"/>
            </w:tcBorders>
            <w:vAlign w:val="center"/>
          </w:tcPr>
          <w:p>
            <w:pPr>
              <w:autoSpaceDE w:val="0"/>
              <w:autoSpaceDN w:val="0"/>
              <w:adjustRightInd w:val="0"/>
              <w:ind w:firstLine="210"/>
              <w:rPr>
                <w:rFonts w:ascii="Times New Roman" w:hAnsi="Times New Roman"/>
                <w:sz w:val="21"/>
                <w:szCs w:val="21"/>
              </w:rPr>
            </w:pPr>
            <w:r>
              <w:rPr>
                <w:rFonts w:ascii="Times New Roman" w:hAnsi="Times New Roman"/>
                <w:sz w:val="21"/>
                <w:szCs w:val="21"/>
              </w:rPr>
              <w:t>以灰绿色含砂砾岩、砾岩，紫色泥岩和粉砂岩为主。</w:t>
            </w:r>
          </w:p>
        </w:tc>
      </w:tr>
    </w:tbl>
    <w:p>
      <w:pPr>
        <w:spacing w:before="120" w:beforeLines="50" w:line="440" w:lineRule="exact"/>
        <w:ind w:firstLine="480" w:firstLineChars="200"/>
        <w:rPr>
          <w:rFonts w:ascii="Times New Roman" w:hAnsi="Times New Roman"/>
          <w:szCs w:val="24"/>
        </w:rPr>
      </w:pPr>
    </w:p>
    <w:p>
      <w:pPr>
        <w:spacing w:before="120" w:beforeLines="50" w:line="440" w:lineRule="exact"/>
        <w:ind w:firstLine="480" w:firstLineChars="200"/>
        <w:rPr>
          <w:rFonts w:ascii="Times New Roman" w:hAnsi="Times New Roman"/>
          <w:szCs w:val="24"/>
        </w:rPr>
      </w:pPr>
      <w:r>
        <w:rPr>
          <w:rFonts w:ascii="Times New Roman" w:hAnsi="Times New Roman"/>
          <w:szCs w:val="24"/>
        </w:rPr>
        <w:t>（2）区域构造</w:t>
      </w:r>
    </w:p>
    <w:p>
      <w:pPr>
        <w:spacing w:line="440" w:lineRule="exact"/>
        <w:ind w:firstLine="480" w:firstLineChars="200"/>
        <w:rPr>
          <w:rFonts w:ascii="Times New Roman" w:hAnsi="Times New Roman"/>
          <w:szCs w:val="24"/>
        </w:rPr>
      </w:pPr>
      <w:r>
        <w:rPr>
          <w:rFonts w:ascii="Times New Roman" w:hAnsi="Times New Roman"/>
          <w:szCs w:val="24"/>
        </w:rPr>
        <w:t>东胜煤田及向西延伸区域，其大地构造分区属华北地台鄂尔多斯台向斜东胜隆起区，纳林希里矿区位于东胜隆起区中部（图5.3-1）。</w:t>
      </w:r>
    </w:p>
    <w:p>
      <w:pPr>
        <w:ind w:firstLine="480" w:firstLineChars="200"/>
        <w:rPr>
          <w:rFonts w:ascii="Times New Roman" w:hAnsi="Times New Roman"/>
          <w:szCs w:val="24"/>
        </w:rPr>
      </w:pPr>
      <w:r>
        <w:rPr>
          <w:rFonts w:ascii="Times New Roman" w:hAnsi="Times New Roman"/>
          <w:szCs w:val="24"/>
        </w:rPr>
        <w:drawing>
          <wp:inline distT="0" distB="0" distL="0" distR="0">
            <wp:extent cx="5314315" cy="462851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a:xfrm>
                      <a:off x="0" y="0"/>
                      <a:ext cx="5314315" cy="4628515"/>
                    </a:xfrm>
                    <a:prstGeom prst="rect">
                      <a:avLst/>
                    </a:prstGeom>
                    <a:noFill/>
                  </pic:spPr>
                </pic:pic>
              </a:graphicData>
            </a:graphic>
          </wp:inline>
        </w:drawing>
      </w:r>
    </w:p>
    <w:p>
      <w:pPr>
        <w:spacing w:line="440" w:lineRule="exact"/>
        <w:ind w:firstLine="482" w:firstLineChars="200"/>
        <w:jc w:val="center"/>
        <w:rPr>
          <w:rFonts w:ascii="Times New Roman" w:hAnsi="Times New Roman"/>
          <w:b/>
          <w:szCs w:val="24"/>
        </w:rPr>
      </w:pPr>
      <w:r>
        <w:rPr>
          <w:rFonts w:ascii="Times New Roman" w:hAnsi="Times New Roman"/>
          <w:b/>
          <w:szCs w:val="24"/>
        </w:rPr>
        <w:t>图5.3-1 纳林希里矿区大地构造位置示意图</w:t>
      </w:r>
    </w:p>
    <w:p>
      <w:pPr>
        <w:spacing w:before="100" w:beforeAutospacing="1" w:line="440" w:lineRule="exact"/>
        <w:ind w:firstLine="480" w:firstLineChars="200"/>
        <w:rPr>
          <w:rFonts w:ascii="Times New Roman" w:hAnsi="Times New Roman"/>
          <w:szCs w:val="24"/>
        </w:rPr>
      </w:pPr>
      <w:r>
        <w:rPr>
          <w:rFonts w:ascii="Times New Roman" w:hAnsi="Times New Roman"/>
          <w:szCs w:val="24"/>
        </w:rPr>
        <w:t>华北地台经历了基底形成阶段和盖层稳定发展阶段之后，在晚三叠世末期开始进入地台活动阶段。在华北地台西部开始出现了继承性大型内陆拗陷型盆地—鄂尔多斯盆地，其构造形态总体为一宽缓的大向斜构造（台向斜），核部偏西，中部、东部广大地区基本为近水平的西倾单斜。东胜煤田基本构造形态为一向南西向倾斜的单斜构造，岩层倾角1°~3°，褶皱、断层不发育，但局部有宽缓的波状起伏。</w:t>
      </w:r>
    </w:p>
    <w:p>
      <w:pPr>
        <w:spacing w:line="440" w:lineRule="exact"/>
        <w:ind w:firstLine="480" w:firstLineChars="200"/>
        <w:rPr>
          <w:rFonts w:ascii="Times New Roman" w:hAnsi="Times New Roman"/>
          <w:szCs w:val="24"/>
        </w:rPr>
      </w:pPr>
      <w:bookmarkStart w:id="224" w:name="_Hlk98682573"/>
      <w:r>
        <w:rPr>
          <w:rFonts w:ascii="Times New Roman" w:hAnsi="Times New Roman"/>
          <w:szCs w:val="24"/>
        </w:rPr>
        <w:t>（3）岩浆岩</w:t>
      </w:r>
    </w:p>
    <w:bookmarkEnd w:id="224"/>
    <w:p>
      <w:pPr>
        <w:spacing w:line="440" w:lineRule="exact"/>
        <w:ind w:firstLine="480" w:firstLineChars="200"/>
        <w:rPr>
          <w:rFonts w:ascii="Times New Roman" w:hAnsi="Times New Roman"/>
          <w:szCs w:val="24"/>
        </w:rPr>
      </w:pPr>
      <w:r>
        <w:rPr>
          <w:rFonts w:ascii="Times New Roman" w:hAnsi="Times New Roman"/>
          <w:szCs w:val="24"/>
        </w:rPr>
        <w:t>区域内东胜煤田无岩浆岩。</w:t>
      </w:r>
    </w:p>
    <w:p>
      <w:pPr>
        <w:spacing w:line="440" w:lineRule="exact"/>
        <w:ind w:firstLine="480" w:firstLineChars="200"/>
        <w:rPr>
          <w:rFonts w:ascii="Times New Roman" w:hAnsi="Times New Roman"/>
          <w:szCs w:val="24"/>
        </w:rPr>
      </w:pPr>
      <w:r>
        <w:rPr>
          <w:rFonts w:ascii="Times New Roman" w:hAnsi="Times New Roman"/>
          <w:szCs w:val="24"/>
        </w:rPr>
        <w:t>区域地质图见图5.3-2。</w:t>
      </w:r>
    </w:p>
    <w:p>
      <w:pPr>
        <w:keepNext/>
        <w:keepLines/>
        <w:adjustRightInd w:val="0"/>
        <w:snapToGrid w:val="0"/>
        <w:spacing w:line="440" w:lineRule="exact"/>
        <w:outlineLvl w:val="2"/>
        <w:rPr>
          <w:rFonts w:ascii="Times New Roman" w:hAnsi="Times New Roman"/>
          <w:b/>
        </w:rPr>
      </w:pPr>
      <w:r>
        <w:rPr>
          <w:rFonts w:ascii="Times New Roman" w:hAnsi="Times New Roman"/>
          <w:b/>
        </w:rPr>
        <w:t>5.3.2 矿区地质</w:t>
      </w:r>
    </w:p>
    <w:p>
      <w:pPr>
        <w:spacing w:line="440" w:lineRule="exact"/>
        <w:ind w:firstLine="480" w:firstLineChars="200"/>
        <w:rPr>
          <w:rFonts w:ascii="Times New Roman" w:hAnsi="Times New Roman"/>
          <w:szCs w:val="24"/>
        </w:rPr>
      </w:pPr>
      <w:r>
        <w:rPr>
          <w:rFonts w:ascii="Times New Roman" w:hAnsi="Times New Roman"/>
          <w:szCs w:val="24"/>
        </w:rPr>
        <w:t>（1）矿区地层</w:t>
      </w:r>
    </w:p>
    <w:p>
      <w:pPr>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纳林希里矿区位于东胜煤田西部的深部区，地表大部被第四系（Q）覆盖，仅在沟谷两侧及较高的梁、峁出露有白垩系下统志丹群(K</w:t>
      </w:r>
      <w:r>
        <w:rPr>
          <w:rFonts w:ascii="Times New Roman" w:hAnsi="Times New Roman"/>
          <w:kern w:val="0"/>
          <w:szCs w:val="22"/>
          <w:vertAlign w:val="subscript"/>
          <w:lang w:bidi="en-US"/>
        </w:rPr>
        <w:t>1</w:t>
      </w:r>
      <w:r>
        <w:rPr>
          <w:rFonts w:ascii="Times New Roman" w:hAnsi="Times New Roman"/>
          <w:i/>
          <w:kern w:val="0"/>
          <w:szCs w:val="22"/>
          <w:lang w:bidi="en-US"/>
        </w:rPr>
        <w:t>zh</w:t>
      </w:r>
      <w:r>
        <w:rPr>
          <w:rFonts w:ascii="Times New Roman" w:hAnsi="Times New Roman"/>
          <w:kern w:val="0"/>
          <w:szCs w:val="22"/>
          <w:lang w:bidi="en-US"/>
        </w:rPr>
        <w:t>)地层。区内钻孔揭露的地层由老至新依次有：三叠系上统延长组（T</w:t>
      </w:r>
      <w:r>
        <w:rPr>
          <w:rFonts w:ascii="Times New Roman" w:hAnsi="Times New Roman"/>
          <w:kern w:val="0"/>
          <w:szCs w:val="22"/>
          <w:vertAlign w:val="subscript"/>
          <w:lang w:bidi="en-US"/>
        </w:rPr>
        <w:t>3</w:t>
      </w:r>
      <w:r>
        <w:rPr>
          <w:rFonts w:ascii="Times New Roman" w:hAnsi="Times New Roman"/>
          <w:i/>
          <w:kern w:val="0"/>
          <w:szCs w:val="22"/>
          <w:lang w:bidi="en-US"/>
        </w:rPr>
        <w:t>y</w:t>
      </w:r>
      <w:r>
        <w:rPr>
          <w:rFonts w:ascii="Times New Roman" w:hAnsi="Times New Roman"/>
          <w:kern w:val="0"/>
          <w:szCs w:val="22"/>
          <w:lang w:bidi="en-US"/>
        </w:rPr>
        <w:t>）、侏罗系中下统延安组（J</w:t>
      </w:r>
      <w:r>
        <w:rPr>
          <w:rFonts w:ascii="Times New Roman" w:hAnsi="Times New Roman"/>
          <w:kern w:val="0"/>
          <w:szCs w:val="22"/>
          <w:vertAlign w:val="subscript"/>
          <w:lang w:bidi="en-US"/>
        </w:rPr>
        <w:t>1-2</w:t>
      </w:r>
      <w:r>
        <w:rPr>
          <w:rFonts w:ascii="Times New Roman" w:hAnsi="Times New Roman"/>
          <w:i/>
          <w:kern w:val="0"/>
          <w:szCs w:val="22"/>
          <w:lang w:bidi="en-US"/>
        </w:rPr>
        <w:t>y</w:t>
      </w:r>
      <w:r>
        <w:rPr>
          <w:rFonts w:ascii="Times New Roman" w:hAnsi="Times New Roman"/>
          <w:kern w:val="0"/>
          <w:szCs w:val="22"/>
          <w:lang w:bidi="en-US"/>
        </w:rPr>
        <w:t>）、中统直罗组（J</w:t>
      </w:r>
      <w:r>
        <w:rPr>
          <w:rFonts w:ascii="Times New Roman" w:hAnsi="Times New Roman"/>
          <w:kern w:val="0"/>
          <w:szCs w:val="22"/>
          <w:vertAlign w:val="subscript"/>
          <w:lang w:bidi="en-US"/>
        </w:rPr>
        <w:t>2</w:t>
      </w:r>
      <w:r>
        <w:rPr>
          <w:rFonts w:ascii="Times New Roman" w:hAnsi="Times New Roman"/>
          <w:i/>
          <w:kern w:val="0"/>
          <w:szCs w:val="22"/>
          <w:lang w:bidi="en-US"/>
        </w:rPr>
        <w:t>z</w:t>
      </w:r>
      <w:r>
        <w:rPr>
          <w:rFonts w:ascii="Times New Roman" w:hAnsi="Times New Roman"/>
          <w:kern w:val="0"/>
          <w:szCs w:val="22"/>
          <w:lang w:bidi="en-US"/>
        </w:rPr>
        <w:t>）、安定组（J</w:t>
      </w:r>
      <w:r>
        <w:rPr>
          <w:rFonts w:ascii="Times New Roman" w:hAnsi="Times New Roman"/>
          <w:kern w:val="0"/>
          <w:szCs w:val="22"/>
          <w:vertAlign w:val="subscript"/>
          <w:lang w:bidi="en-US"/>
        </w:rPr>
        <w:t>2</w:t>
      </w:r>
      <w:r>
        <w:rPr>
          <w:rFonts w:ascii="Times New Roman" w:hAnsi="Times New Roman"/>
          <w:i/>
          <w:kern w:val="0"/>
          <w:szCs w:val="22"/>
          <w:lang w:bidi="en-US"/>
        </w:rPr>
        <w:t>a</w:t>
      </w:r>
      <w:r>
        <w:rPr>
          <w:rFonts w:ascii="Times New Roman" w:hAnsi="Times New Roman"/>
          <w:kern w:val="0"/>
          <w:szCs w:val="22"/>
          <w:lang w:bidi="en-US"/>
        </w:rPr>
        <w:t>）、白垩系下统志丹群（K</w:t>
      </w:r>
      <w:r>
        <w:rPr>
          <w:rFonts w:ascii="Times New Roman" w:hAnsi="Times New Roman"/>
          <w:kern w:val="0"/>
          <w:szCs w:val="22"/>
          <w:vertAlign w:val="subscript"/>
          <w:lang w:bidi="en-US"/>
        </w:rPr>
        <w:t>1</w:t>
      </w:r>
      <w:r>
        <w:rPr>
          <w:rFonts w:ascii="Times New Roman" w:hAnsi="Times New Roman"/>
          <w:i/>
          <w:kern w:val="0"/>
          <w:szCs w:val="22"/>
          <w:lang w:bidi="en-US"/>
        </w:rPr>
        <w:t>zh</w:t>
      </w:r>
      <w:r>
        <w:rPr>
          <w:rFonts w:ascii="Times New Roman" w:hAnsi="Times New Roman"/>
          <w:kern w:val="0"/>
          <w:szCs w:val="22"/>
          <w:lang w:bidi="en-US"/>
        </w:rPr>
        <w:t>）以及第四系（Q）地层，矿区地层综合柱状图见图5.3-3。现由老至新分述如下：</w:t>
      </w:r>
    </w:p>
    <w:p>
      <w:pPr>
        <w:autoSpaceDE w:val="0"/>
        <w:autoSpaceDN w:val="0"/>
        <w:adjustRightInd w:val="0"/>
        <w:snapToGrid w:val="0"/>
        <w:spacing w:line="440" w:lineRule="exact"/>
        <w:ind w:firstLine="480" w:firstLineChars="200"/>
        <w:rPr>
          <w:rFonts w:ascii="Times New Roman" w:hAnsi="Times New Roman"/>
          <w:kern w:val="0"/>
          <w:szCs w:val="22"/>
          <w:lang w:bidi="en-US"/>
        </w:rPr>
      </w:pPr>
      <w:bookmarkStart w:id="225" w:name="_Toc165611366"/>
      <w:r>
        <w:rPr>
          <w:rFonts w:ascii="Times New Roman" w:hAnsi="Times New Roman"/>
          <w:kern w:val="0"/>
          <w:szCs w:val="22"/>
          <w:lang w:bidi="en-US"/>
        </w:rPr>
        <w:t>1）三叠系上统延长组（T</w:t>
      </w:r>
      <w:r>
        <w:rPr>
          <w:rFonts w:ascii="Times New Roman" w:hAnsi="Times New Roman"/>
          <w:kern w:val="0"/>
          <w:szCs w:val="22"/>
          <w:vertAlign w:val="subscript"/>
          <w:lang w:bidi="en-US"/>
        </w:rPr>
        <w:t>3</w:t>
      </w:r>
      <w:r>
        <w:rPr>
          <w:rFonts w:ascii="Times New Roman" w:hAnsi="Times New Roman"/>
          <w:i/>
          <w:kern w:val="0"/>
          <w:szCs w:val="22"/>
          <w:lang w:bidi="en-US"/>
        </w:rPr>
        <w:t>y</w:t>
      </w:r>
      <w:r>
        <w:rPr>
          <w:rFonts w:ascii="Times New Roman" w:hAnsi="Times New Roman"/>
          <w:kern w:val="0"/>
          <w:szCs w:val="22"/>
          <w:lang w:bidi="en-US"/>
        </w:rPr>
        <w:t>）</w:t>
      </w:r>
      <w:bookmarkEnd w:id="225"/>
    </w:p>
    <w:p>
      <w:pPr>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该组为煤系地层的沉积基底。据钻孔资料，岩性为一套灰绿色中—粗粒砂岩，局部含砾，夹绿色薄层状砂质泥岩和粉砂岩。砂岩成份以石英、长石为主，含暗色矿物。普遍发育大型板状、槽状交错层理，是典型的曲流河沉积体系。钻孔未揭穿延长组，揭露厚度大于55.30m。</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bookmarkStart w:id="226" w:name="_Toc165611367"/>
      <w:r>
        <w:rPr>
          <w:rFonts w:ascii="Times New Roman" w:hAnsi="Times New Roman"/>
          <w:kern w:val="0"/>
          <w:szCs w:val="22"/>
          <w:lang w:bidi="en-US"/>
        </w:rPr>
        <w:t>2）侏罗系中下统延安组（J</w:t>
      </w:r>
      <w:r>
        <w:rPr>
          <w:rFonts w:ascii="Times New Roman" w:hAnsi="Times New Roman"/>
          <w:kern w:val="0"/>
          <w:szCs w:val="22"/>
          <w:vertAlign w:val="subscript"/>
          <w:lang w:bidi="en-US"/>
        </w:rPr>
        <w:t>1-2</w:t>
      </w:r>
      <w:r>
        <w:rPr>
          <w:rFonts w:ascii="Times New Roman" w:hAnsi="Times New Roman"/>
          <w:i/>
          <w:kern w:val="0"/>
          <w:szCs w:val="22"/>
          <w:lang w:bidi="en-US"/>
        </w:rPr>
        <w:t>y</w:t>
      </w:r>
      <w:r>
        <w:rPr>
          <w:rFonts w:ascii="Times New Roman" w:hAnsi="Times New Roman"/>
          <w:kern w:val="0"/>
          <w:szCs w:val="22"/>
          <w:lang w:bidi="en-US"/>
        </w:rPr>
        <w:t>）</w:t>
      </w:r>
      <w:bookmarkEnd w:id="226"/>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该组为本区的含煤地层，地表无出露。据钻孔资料，岩性主要由一套灰白色各粒级的砂岩，灰色、深灰色砂质泥岩、泥岩和煤层组成，发育水平层理及波状层理。含2、3、4、5、6、五个煤组。由于缺失侏罗系下统富县组（J</w:t>
      </w:r>
      <w:r>
        <w:rPr>
          <w:rFonts w:ascii="Times New Roman" w:hAnsi="Times New Roman"/>
          <w:kern w:val="0"/>
          <w:szCs w:val="22"/>
          <w:vertAlign w:val="subscript"/>
          <w:lang w:bidi="en-US"/>
        </w:rPr>
        <w:t>1</w:t>
      </w:r>
      <w:r>
        <w:rPr>
          <w:rFonts w:ascii="Times New Roman" w:hAnsi="Times New Roman"/>
          <w:i/>
          <w:kern w:val="0"/>
          <w:szCs w:val="22"/>
          <w:lang w:bidi="en-US"/>
        </w:rPr>
        <w:t>f</w:t>
      </w:r>
      <w:r>
        <w:rPr>
          <w:rFonts w:ascii="Times New Roman" w:hAnsi="Times New Roman"/>
          <w:kern w:val="0"/>
          <w:szCs w:val="22"/>
          <w:lang w:bidi="en-US"/>
        </w:rPr>
        <w:t>）沉积，与下伏地层延长组（T</w:t>
      </w:r>
      <w:r>
        <w:rPr>
          <w:rFonts w:ascii="Times New Roman" w:hAnsi="Times New Roman"/>
          <w:kern w:val="0"/>
          <w:szCs w:val="22"/>
          <w:vertAlign w:val="subscript"/>
          <w:lang w:bidi="en-US"/>
        </w:rPr>
        <w:t>3</w:t>
      </w:r>
      <w:r>
        <w:rPr>
          <w:rFonts w:ascii="Times New Roman" w:hAnsi="Times New Roman"/>
          <w:i/>
          <w:kern w:val="0"/>
          <w:szCs w:val="22"/>
          <w:lang w:bidi="en-US"/>
        </w:rPr>
        <w:t>y</w:t>
      </w:r>
      <w:r>
        <w:rPr>
          <w:rFonts w:ascii="Times New Roman" w:hAnsi="Times New Roman"/>
          <w:kern w:val="0"/>
          <w:szCs w:val="22"/>
          <w:lang w:bidi="en-US"/>
        </w:rPr>
        <w:t>）呈平行不整合接触。</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该组地层含较丰富的植物化石，但多为不完整的植物茎叶化石，未见完整的植物化石，难辨其种属。按照沉积旋回和岩性组合特征，可划分为三个岩段。钻孔资料统计，延安组厚度175.80～367.17m，平均248.67m。该组地层在矿区内整体东部厚，西部薄。</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3）侏罗系中统直罗组（J</w:t>
      </w:r>
      <w:r>
        <w:rPr>
          <w:rFonts w:ascii="Times New Roman" w:hAnsi="Times New Roman"/>
          <w:kern w:val="0"/>
          <w:szCs w:val="22"/>
          <w:vertAlign w:val="subscript"/>
          <w:lang w:bidi="en-US"/>
        </w:rPr>
        <w:t>2</w:t>
      </w:r>
      <w:r>
        <w:rPr>
          <w:rFonts w:ascii="Times New Roman" w:hAnsi="Times New Roman"/>
          <w:i/>
          <w:kern w:val="0"/>
          <w:szCs w:val="22"/>
          <w:lang w:bidi="en-US"/>
        </w:rPr>
        <w:t>z</w:t>
      </w:r>
      <w:r>
        <w:rPr>
          <w:rFonts w:ascii="Times New Roman" w:hAnsi="Times New Roman"/>
          <w:kern w:val="0"/>
          <w:szCs w:val="22"/>
          <w:lang w:bidi="en-US"/>
        </w:rPr>
        <w:t>）</w:t>
      </w:r>
    </w:p>
    <w:p>
      <w:pPr>
        <w:autoSpaceDE w:val="0"/>
        <w:autoSpaceDN w:val="0"/>
        <w:adjustRightIn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地表无出露，据钻孔揭露资料，岩性主要由一套紫红色、杂色砂质泥岩、泥岩与灰绿色、黄绿色粉砂岩互层。地层厚度32.16m～139.18m，平均79.90m。与下伏延安组(J</w:t>
      </w:r>
      <w:r>
        <w:rPr>
          <w:rFonts w:ascii="Times New Roman" w:hAnsi="Times New Roman"/>
          <w:kern w:val="0"/>
          <w:szCs w:val="22"/>
          <w:vertAlign w:val="subscript"/>
          <w:lang w:bidi="en-US"/>
        </w:rPr>
        <w:t>1-2</w:t>
      </w:r>
      <w:r>
        <w:rPr>
          <w:rFonts w:ascii="Times New Roman" w:hAnsi="Times New Roman"/>
          <w:i/>
          <w:kern w:val="0"/>
          <w:szCs w:val="22"/>
          <w:lang w:bidi="en-US"/>
        </w:rPr>
        <w:t>y</w:t>
      </w:r>
      <w:r>
        <w:rPr>
          <w:rFonts w:ascii="Times New Roman" w:hAnsi="Times New Roman"/>
          <w:kern w:val="0"/>
          <w:szCs w:val="22"/>
          <w:lang w:bidi="en-US"/>
        </w:rPr>
        <w:t>)地层呈平行不整合接触。该组地层在矿区内整体南、北部厚，中部薄。</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4）侏罗系中统安定组（J</w:t>
      </w:r>
      <w:r>
        <w:rPr>
          <w:rFonts w:ascii="Times New Roman" w:hAnsi="Times New Roman"/>
          <w:kern w:val="0"/>
          <w:szCs w:val="22"/>
          <w:vertAlign w:val="subscript"/>
          <w:lang w:bidi="en-US"/>
        </w:rPr>
        <w:t>2</w:t>
      </w:r>
      <w:r>
        <w:rPr>
          <w:rFonts w:ascii="Times New Roman" w:hAnsi="Times New Roman"/>
          <w:i/>
          <w:kern w:val="0"/>
          <w:szCs w:val="22"/>
          <w:lang w:bidi="en-US"/>
        </w:rPr>
        <w:t>a</w:t>
      </w:r>
      <w:r>
        <w:rPr>
          <w:rFonts w:ascii="Times New Roman" w:hAnsi="Times New Roman"/>
          <w:kern w:val="0"/>
          <w:szCs w:val="22"/>
          <w:lang w:bidi="en-US"/>
        </w:rPr>
        <w:t>）</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地表无出露，据钻孔揭露资料，岩性主要由浅灰、灰兰、灰绿、黄紫褐色泥岩、砂质泥岩、中粒砂岩。含钙质结核。</w:t>
      </w:r>
      <w:r>
        <w:rPr>
          <w:rFonts w:ascii="Times New Roman" w:hAnsi="Times New Roman"/>
          <w:color w:val="FF0000"/>
          <w:kern w:val="0"/>
          <w:szCs w:val="22"/>
          <w:lang w:bidi="en-US"/>
        </w:rPr>
        <w:t>地层厚度18m～213m，平均86m。</w:t>
      </w:r>
      <w:r>
        <w:rPr>
          <w:rFonts w:ascii="Times New Roman" w:hAnsi="Times New Roman"/>
          <w:kern w:val="0"/>
          <w:szCs w:val="22"/>
          <w:lang w:bidi="en-US"/>
        </w:rPr>
        <w:t>该组地层在矿区内整体北部厚，南部薄。与下伏侏罗系中统直罗组(J</w:t>
      </w:r>
      <w:r>
        <w:rPr>
          <w:rFonts w:ascii="Times New Roman" w:hAnsi="Times New Roman"/>
          <w:kern w:val="0"/>
          <w:szCs w:val="22"/>
          <w:vertAlign w:val="subscript"/>
          <w:lang w:bidi="en-US"/>
        </w:rPr>
        <w:t>2</w:t>
      </w:r>
      <w:r>
        <w:rPr>
          <w:rFonts w:ascii="Times New Roman" w:hAnsi="Times New Roman"/>
          <w:i/>
          <w:kern w:val="0"/>
          <w:szCs w:val="22"/>
          <w:lang w:bidi="en-US"/>
        </w:rPr>
        <w:t>z</w:t>
      </w:r>
      <w:r>
        <w:rPr>
          <w:rFonts w:ascii="Times New Roman" w:hAnsi="Times New Roman"/>
          <w:kern w:val="0"/>
          <w:szCs w:val="22"/>
          <w:lang w:bidi="en-US"/>
        </w:rPr>
        <w:t>)地层呈整合接触。</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5）白垩系下统志丹群（K</w:t>
      </w:r>
      <w:r>
        <w:rPr>
          <w:rFonts w:ascii="Times New Roman" w:hAnsi="Times New Roman"/>
          <w:kern w:val="0"/>
          <w:szCs w:val="22"/>
          <w:vertAlign w:val="subscript"/>
          <w:lang w:bidi="en-US"/>
        </w:rPr>
        <w:t>1</w:t>
      </w:r>
      <w:r>
        <w:rPr>
          <w:rFonts w:ascii="Times New Roman" w:hAnsi="Times New Roman"/>
          <w:i/>
          <w:kern w:val="0"/>
          <w:szCs w:val="22"/>
          <w:lang w:bidi="en-US"/>
        </w:rPr>
        <w:t>zh</w:t>
      </w:r>
      <w:r>
        <w:rPr>
          <w:rFonts w:ascii="Times New Roman" w:hAnsi="Times New Roman"/>
          <w:kern w:val="0"/>
          <w:szCs w:val="22"/>
          <w:lang w:bidi="en-US"/>
        </w:rPr>
        <w:t>）</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矿区内在大的沟谷两侧及较高的梁、峁上有另星出露。其岩性下部以灰绿、浅红色、棕红色砾岩为主，上部为深红色泥岩、砂质泥岩、细砂岩、砾岩，具斜层理和大型交错层理。地层残存厚度492.31m～897.83m。该组地层在矿区内整体北部厚，南部薄。与下伏侏罗系中统安定组（J</w:t>
      </w:r>
      <w:r>
        <w:rPr>
          <w:rFonts w:ascii="Times New Roman" w:hAnsi="Times New Roman"/>
          <w:kern w:val="0"/>
          <w:szCs w:val="22"/>
          <w:vertAlign w:val="subscript"/>
          <w:lang w:bidi="en-US"/>
        </w:rPr>
        <w:t>2</w:t>
      </w:r>
      <w:r>
        <w:rPr>
          <w:rFonts w:ascii="Times New Roman" w:hAnsi="Times New Roman"/>
          <w:kern w:val="0"/>
          <w:szCs w:val="22"/>
          <w:lang w:bidi="en-US"/>
        </w:rPr>
        <w:t>a）地层呈角度不整合接触。</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6）第四系（Q）</w:t>
      </w:r>
    </w:p>
    <w:p>
      <w:pPr>
        <w:widowControl/>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第四系（Q）地层按成因可分为：黄土（Q</w:t>
      </w:r>
      <w:r>
        <w:rPr>
          <w:rFonts w:ascii="Times New Roman" w:hAnsi="Times New Roman"/>
          <w:kern w:val="0"/>
          <w:szCs w:val="22"/>
          <w:vertAlign w:val="subscript"/>
          <w:lang w:bidi="en-US"/>
        </w:rPr>
        <w:t>3</w:t>
      </w:r>
      <w:r>
        <w:rPr>
          <w:rFonts w:ascii="Times New Roman" w:hAnsi="Times New Roman"/>
          <w:i/>
          <w:kern w:val="0"/>
          <w:szCs w:val="22"/>
          <w:lang w:bidi="en-US"/>
        </w:rPr>
        <w:t>m</w:t>
      </w:r>
      <w:r>
        <w:rPr>
          <w:rFonts w:ascii="Times New Roman" w:hAnsi="Times New Roman"/>
          <w:kern w:val="0"/>
          <w:szCs w:val="22"/>
          <w:lang w:bidi="en-US"/>
        </w:rPr>
        <w:t>）、冲洪积物（Q</w:t>
      </w:r>
      <w:r>
        <w:rPr>
          <w:rFonts w:ascii="Times New Roman" w:hAnsi="Times New Roman"/>
          <w:kern w:val="0"/>
          <w:szCs w:val="22"/>
          <w:vertAlign w:val="subscript"/>
          <w:lang w:bidi="en-US"/>
        </w:rPr>
        <w:t>4</w:t>
      </w:r>
      <w:r>
        <w:rPr>
          <w:rFonts w:ascii="Times New Roman" w:hAnsi="Times New Roman"/>
          <w:i/>
          <w:kern w:val="0"/>
          <w:szCs w:val="22"/>
          <w:vertAlign w:val="superscript"/>
          <w:lang w:bidi="en-US"/>
        </w:rPr>
        <w:t>al+pl</w:t>
      </w:r>
      <w:r>
        <w:rPr>
          <w:rFonts w:ascii="Times New Roman" w:hAnsi="Times New Roman"/>
          <w:kern w:val="0"/>
          <w:szCs w:val="22"/>
          <w:lang w:bidi="en-US"/>
        </w:rPr>
        <w:t>）、残坡积物及风积沙（Q</w:t>
      </w:r>
      <w:r>
        <w:rPr>
          <w:rFonts w:ascii="Times New Roman" w:hAnsi="Times New Roman"/>
          <w:kern w:val="0"/>
          <w:szCs w:val="22"/>
          <w:vertAlign w:val="subscript"/>
          <w:lang w:bidi="en-US"/>
        </w:rPr>
        <w:t>4</w:t>
      </w:r>
      <w:r>
        <w:rPr>
          <w:rFonts w:ascii="Times New Roman" w:hAnsi="Times New Roman"/>
          <w:i/>
          <w:kern w:val="0"/>
          <w:szCs w:val="22"/>
          <w:vertAlign w:val="superscript"/>
          <w:lang w:bidi="en-US"/>
        </w:rPr>
        <w:t>eol</w:t>
      </w:r>
      <w:r>
        <w:rPr>
          <w:rFonts w:ascii="Times New Roman" w:hAnsi="Times New Roman"/>
          <w:kern w:val="0"/>
          <w:szCs w:val="22"/>
          <w:lang w:bidi="en-US"/>
        </w:rPr>
        <w:t>）。第四系地层厚度为0～26.89m。</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黄土（Q</w:t>
      </w:r>
      <w:r>
        <w:rPr>
          <w:rFonts w:ascii="Times New Roman" w:hAnsi="Times New Roman"/>
          <w:kern w:val="0"/>
          <w:szCs w:val="22"/>
          <w:vertAlign w:val="subscript"/>
          <w:lang w:bidi="en-US"/>
        </w:rPr>
        <w:t>3</w:t>
      </w:r>
      <w:r>
        <w:rPr>
          <w:rFonts w:ascii="Times New Roman" w:hAnsi="Times New Roman"/>
          <w:i/>
          <w:kern w:val="0"/>
          <w:szCs w:val="22"/>
          <w:lang w:bidi="en-US"/>
        </w:rPr>
        <w:t>m</w:t>
      </w:r>
      <w:r>
        <w:rPr>
          <w:rFonts w:ascii="Times New Roman" w:hAnsi="Times New Roman"/>
          <w:kern w:val="0"/>
          <w:szCs w:val="22"/>
          <w:lang w:bidi="en-US"/>
        </w:rPr>
        <w:t>）在区内大面积分布。为浅黄色风积黄土，柱状节理发育，含粉砂及钙质结核。</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冲洪积物（Q</w:t>
      </w:r>
      <w:r>
        <w:rPr>
          <w:rFonts w:ascii="Times New Roman" w:hAnsi="Times New Roman"/>
          <w:kern w:val="0"/>
          <w:szCs w:val="22"/>
          <w:vertAlign w:val="subscript"/>
          <w:lang w:bidi="en-US"/>
        </w:rPr>
        <w:t>4</w:t>
      </w:r>
      <w:r>
        <w:rPr>
          <w:rFonts w:ascii="Times New Roman" w:hAnsi="Times New Roman"/>
          <w:i/>
          <w:kern w:val="0"/>
          <w:szCs w:val="22"/>
          <w:vertAlign w:val="superscript"/>
          <w:lang w:bidi="en-US"/>
        </w:rPr>
        <w:t>al+pl</w:t>
      </w:r>
      <w:r>
        <w:rPr>
          <w:rFonts w:ascii="Times New Roman" w:hAnsi="Times New Roman"/>
          <w:kern w:val="0"/>
          <w:szCs w:val="22"/>
          <w:lang w:bidi="en-US"/>
        </w:rPr>
        <w:t>）分布于冲沟谷底，由冲洪积砾石、砂及粘土混杂堆积而成。</w:t>
      </w:r>
    </w:p>
    <w:p>
      <w:pPr>
        <w:widowControl/>
        <w:autoSpaceDE w:val="0"/>
        <w:autoSpaceDN w:val="0"/>
        <w:adjustRightInd w:val="0"/>
        <w:snapToGrid w:val="0"/>
        <w:spacing w:line="440" w:lineRule="exact"/>
        <w:ind w:firstLine="480" w:firstLineChars="200"/>
        <w:rPr>
          <w:rFonts w:ascii="Times New Roman" w:hAnsi="Times New Roman"/>
          <w:kern w:val="0"/>
          <w:szCs w:val="22"/>
          <w:lang w:bidi="en-US"/>
        </w:rPr>
      </w:pPr>
      <w:r>
        <w:rPr>
          <w:rFonts w:ascii="Times New Roman" w:hAnsi="Times New Roman"/>
          <w:kern w:val="0"/>
          <w:szCs w:val="22"/>
          <w:lang w:bidi="en-US"/>
        </w:rPr>
        <w:t>风积沙（Q</w:t>
      </w:r>
      <w:r>
        <w:rPr>
          <w:rFonts w:ascii="Times New Roman" w:hAnsi="Times New Roman"/>
          <w:kern w:val="0"/>
          <w:szCs w:val="22"/>
          <w:vertAlign w:val="subscript"/>
          <w:lang w:bidi="en-US"/>
        </w:rPr>
        <w:t>4</w:t>
      </w:r>
      <w:r>
        <w:rPr>
          <w:rFonts w:ascii="Times New Roman" w:hAnsi="Times New Roman"/>
          <w:i/>
          <w:kern w:val="0"/>
          <w:szCs w:val="22"/>
          <w:vertAlign w:val="superscript"/>
          <w:lang w:bidi="en-US"/>
        </w:rPr>
        <w:t>eol</w:t>
      </w:r>
      <w:r>
        <w:rPr>
          <w:rFonts w:ascii="Times New Roman" w:hAnsi="Times New Roman"/>
          <w:kern w:val="0"/>
          <w:szCs w:val="22"/>
          <w:lang w:bidi="en-US"/>
        </w:rPr>
        <w:t>）在本区零星分布。以风积粉、细砂为主。</w:t>
      </w:r>
    </w:p>
    <w:p>
      <w:pPr>
        <w:spacing w:line="440" w:lineRule="exact"/>
        <w:ind w:firstLine="480" w:firstLineChars="200"/>
        <w:rPr>
          <w:rFonts w:ascii="Times New Roman" w:hAnsi="Times New Roman"/>
          <w:szCs w:val="24"/>
        </w:rPr>
      </w:pPr>
      <w:r>
        <w:rPr>
          <w:rFonts w:ascii="Times New Roman" w:hAnsi="Times New Roman"/>
          <w:szCs w:val="24"/>
        </w:rPr>
        <w:t>（2）矿区构造</w:t>
      </w:r>
    </w:p>
    <w:p>
      <w:pPr>
        <w:spacing w:line="440" w:lineRule="exact"/>
        <w:ind w:firstLine="480" w:firstLineChars="200"/>
        <w:rPr>
          <w:rFonts w:ascii="Times New Roman" w:hAnsi="Times New Roman"/>
          <w:szCs w:val="24"/>
        </w:rPr>
      </w:pPr>
      <w:r>
        <w:rPr>
          <w:rFonts w:ascii="Times New Roman" w:hAnsi="Times New Roman"/>
          <w:szCs w:val="24"/>
        </w:rPr>
        <w:t>矿区位于东胜煤田的中西部，其构造形态与区域构造形态基本一致，总体为一向西倾斜的单斜构造，倾向240～290°，倾角一般1～3°左右，地层沿走向及倾向发育有波状起伏。东部起伏较大，西部较小，全区东西两端煤层底板高差140m左右。根据二维地震解释，在矿区共解释落差＜30m断点18个，见表5.3-2），但均为独立断点，对各可采煤层未起到连续切割的作用。</w:t>
      </w:r>
    </w:p>
    <w:p>
      <w:pPr>
        <w:spacing w:line="440" w:lineRule="exact"/>
        <w:ind w:firstLine="480" w:firstLineChars="200"/>
        <w:rPr>
          <w:rFonts w:ascii="Times New Roman" w:hAnsi="Times New Roman"/>
          <w:szCs w:val="24"/>
        </w:rPr>
      </w:pPr>
      <w:r>
        <w:rPr>
          <w:rFonts w:ascii="Times New Roman" w:hAnsi="Times New Roman"/>
          <w:szCs w:val="24"/>
        </w:rPr>
        <w:t>综上所述，纳林希里矿区构造复杂程度属简单类型。</w:t>
      </w:r>
    </w:p>
    <w:p>
      <w:pPr>
        <w:spacing w:line="440" w:lineRule="exact"/>
        <w:jc w:val="center"/>
        <w:rPr>
          <w:rFonts w:ascii="Times New Roman" w:hAnsi="Times New Roman"/>
          <w:b/>
          <w:szCs w:val="24"/>
        </w:rPr>
      </w:pPr>
      <w:r>
        <w:rPr>
          <w:rFonts w:ascii="Times New Roman" w:hAnsi="Times New Roman"/>
          <w:b/>
          <w:szCs w:val="24"/>
        </w:rPr>
        <w:t>二维地震断点控制情况一览表</w:t>
      </w:r>
    </w:p>
    <w:p>
      <w:pPr>
        <w:adjustRightInd w:val="0"/>
        <w:snapToGrid w:val="0"/>
        <w:spacing w:line="360" w:lineRule="exact"/>
        <w:outlineLvl w:val="4"/>
        <w:rPr>
          <w:rFonts w:ascii="Times New Roman" w:hAnsi="Times New Roman" w:eastAsia="黑体"/>
          <w:b/>
          <w:szCs w:val="24"/>
        </w:rPr>
      </w:pPr>
      <w:r>
        <w:rPr>
          <w:rFonts w:ascii="Times New Roman" w:hAnsi="Times New Roman"/>
          <w:bCs/>
          <w:szCs w:val="24"/>
        </w:rPr>
        <w:t>表5.3-2</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7"/>
        <w:gridCol w:w="773"/>
        <w:gridCol w:w="466"/>
        <w:gridCol w:w="773"/>
        <w:gridCol w:w="1088"/>
        <w:gridCol w:w="929"/>
        <w:gridCol w:w="1861"/>
        <w:gridCol w:w="1559"/>
        <w:gridCol w:w="1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vMerge w:val="restart"/>
            <w:shd w:val="clear" w:color="auto" w:fill="auto"/>
            <w:vAlign w:val="center"/>
          </w:tcPr>
          <w:p>
            <w:pPr>
              <w:widowControl/>
              <w:spacing w:line="240" w:lineRule="exact"/>
              <w:jc w:val="center"/>
              <w:rPr>
                <w:rFonts w:ascii="Times New Roman" w:hAnsi="Times New Roman"/>
                <w:kern w:val="0"/>
                <w:sz w:val="20"/>
              </w:rPr>
            </w:pPr>
            <w:bookmarkStart w:id="227" w:name="_Hlk369783280"/>
            <w:r>
              <w:rPr>
                <w:rFonts w:ascii="Times New Roman" w:hAnsi="Times New Roman"/>
                <w:kern w:val="0"/>
                <w:sz w:val="20"/>
              </w:rPr>
              <w:t>序</w:t>
            </w:r>
          </w:p>
          <w:p>
            <w:pPr>
              <w:widowControl/>
              <w:spacing w:line="240" w:lineRule="exact"/>
              <w:jc w:val="center"/>
              <w:rPr>
                <w:rFonts w:ascii="Times New Roman" w:hAnsi="Times New Roman"/>
                <w:kern w:val="0"/>
                <w:sz w:val="20"/>
              </w:rPr>
            </w:pPr>
            <w:r>
              <w:rPr>
                <w:rFonts w:ascii="Times New Roman" w:hAnsi="Times New Roman"/>
                <w:kern w:val="0"/>
                <w:sz w:val="20"/>
              </w:rPr>
              <w:t>号</w:t>
            </w:r>
          </w:p>
        </w:tc>
        <w:tc>
          <w:tcPr>
            <w:tcW w:w="773" w:type="dxa"/>
            <w:vMerge w:val="restart"/>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断层</w:t>
            </w:r>
          </w:p>
          <w:p>
            <w:pPr>
              <w:widowControl/>
              <w:spacing w:line="240" w:lineRule="exact"/>
              <w:jc w:val="center"/>
              <w:rPr>
                <w:rFonts w:ascii="Times New Roman" w:hAnsi="Times New Roman"/>
                <w:kern w:val="0"/>
                <w:sz w:val="20"/>
              </w:rPr>
            </w:pPr>
            <w:r>
              <w:rPr>
                <w:rFonts w:ascii="Times New Roman" w:hAnsi="Times New Roman"/>
                <w:kern w:val="0"/>
                <w:sz w:val="20"/>
              </w:rPr>
              <w:t>名称</w:t>
            </w:r>
          </w:p>
        </w:tc>
        <w:tc>
          <w:tcPr>
            <w:tcW w:w="466" w:type="dxa"/>
            <w:vMerge w:val="restart"/>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性</w:t>
            </w:r>
          </w:p>
          <w:p>
            <w:pPr>
              <w:widowControl/>
              <w:spacing w:line="240" w:lineRule="exact"/>
              <w:jc w:val="center"/>
              <w:rPr>
                <w:rFonts w:ascii="Times New Roman" w:hAnsi="Times New Roman"/>
                <w:kern w:val="0"/>
                <w:sz w:val="20"/>
              </w:rPr>
            </w:pPr>
            <w:r>
              <w:rPr>
                <w:rFonts w:ascii="Times New Roman" w:hAnsi="Times New Roman"/>
                <w:kern w:val="0"/>
                <w:sz w:val="20"/>
              </w:rPr>
              <w:t>质</w:t>
            </w:r>
          </w:p>
        </w:tc>
        <w:tc>
          <w:tcPr>
            <w:tcW w:w="1861" w:type="dxa"/>
            <w:gridSpan w:val="2"/>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断 层 产 状</w:t>
            </w:r>
          </w:p>
        </w:tc>
        <w:tc>
          <w:tcPr>
            <w:tcW w:w="929" w:type="dxa"/>
            <w:vMerge w:val="restart"/>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落差（m）</w:t>
            </w:r>
          </w:p>
        </w:tc>
        <w:tc>
          <w:tcPr>
            <w:tcW w:w="1861" w:type="dxa"/>
            <w:vMerge w:val="restart"/>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错断</w:t>
            </w:r>
          </w:p>
          <w:p>
            <w:pPr>
              <w:widowControl/>
              <w:spacing w:line="240" w:lineRule="exact"/>
              <w:jc w:val="center"/>
              <w:rPr>
                <w:rFonts w:ascii="Times New Roman" w:hAnsi="Times New Roman"/>
                <w:kern w:val="0"/>
                <w:sz w:val="20"/>
              </w:rPr>
            </w:pPr>
            <w:r>
              <w:rPr>
                <w:rFonts w:ascii="Times New Roman" w:hAnsi="Times New Roman"/>
                <w:kern w:val="0"/>
                <w:sz w:val="20"/>
              </w:rPr>
              <w:t>煤层</w:t>
            </w:r>
          </w:p>
        </w:tc>
        <w:tc>
          <w:tcPr>
            <w:tcW w:w="1559" w:type="dxa"/>
            <w:vMerge w:val="restart"/>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控制</w:t>
            </w:r>
          </w:p>
          <w:p>
            <w:pPr>
              <w:widowControl/>
              <w:spacing w:line="240" w:lineRule="exact"/>
              <w:jc w:val="center"/>
              <w:rPr>
                <w:rFonts w:ascii="Times New Roman" w:hAnsi="Times New Roman"/>
                <w:kern w:val="0"/>
                <w:sz w:val="20"/>
              </w:rPr>
            </w:pPr>
            <w:r>
              <w:rPr>
                <w:rFonts w:ascii="Times New Roman" w:hAnsi="Times New Roman"/>
                <w:kern w:val="0"/>
                <w:sz w:val="20"/>
              </w:rPr>
              <w:t>程度</w:t>
            </w:r>
          </w:p>
        </w:tc>
        <w:tc>
          <w:tcPr>
            <w:tcW w:w="1241" w:type="dxa"/>
            <w:vMerge w:val="restart"/>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vMerge w:val="continue"/>
            <w:shd w:val="clear" w:color="auto" w:fill="auto"/>
            <w:vAlign w:val="center"/>
          </w:tcPr>
          <w:p>
            <w:pPr>
              <w:widowControl/>
              <w:spacing w:line="240" w:lineRule="exact"/>
              <w:jc w:val="center"/>
              <w:rPr>
                <w:rFonts w:ascii="Times New Roman" w:hAnsi="Times New Roman"/>
                <w:kern w:val="0"/>
                <w:sz w:val="20"/>
              </w:rPr>
            </w:pPr>
          </w:p>
        </w:tc>
        <w:tc>
          <w:tcPr>
            <w:tcW w:w="773" w:type="dxa"/>
            <w:vMerge w:val="continue"/>
            <w:shd w:val="clear" w:color="auto" w:fill="auto"/>
            <w:vAlign w:val="center"/>
          </w:tcPr>
          <w:p>
            <w:pPr>
              <w:widowControl/>
              <w:spacing w:line="240" w:lineRule="exact"/>
              <w:jc w:val="center"/>
              <w:rPr>
                <w:rFonts w:ascii="Times New Roman" w:hAnsi="Times New Roman"/>
                <w:kern w:val="0"/>
                <w:sz w:val="20"/>
              </w:rPr>
            </w:pPr>
          </w:p>
        </w:tc>
        <w:tc>
          <w:tcPr>
            <w:tcW w:w="466" w:type="dxa"/>
            <w:vMerge w:val="continue"/>
            <w:shd w:val="clear" w:color="auto" w:fill="auto"/>
            <w:vAlign w:val="center"/>
          </w:tcPr>
          <w:p>
            <w:pPr>
              <w:widowControl/>
              <w:spacing w:line="240" w:lineRule="exact"/>
              <w:jc w:val="center"/>
              <w:rPr>
                <w:rFonts w:ascii="Times New Roman" w:hAnsi="Times New Roman"/>
                <w:kern w:val="0"/>
                <w:sz w:val="20"/>
              </w:rPr>
            </w:pPr>
          </w:p>
        </w:tc>
        <w:tc>
          <w:tcPr>
            <w:tcW w:w="773" w:type="dxa"/>
            <w:shd w:val="clear" w:color="auto" w:fill="auto"/>
            <w:vAlign w:val="center"/>
          </w:tcPr>
          <w:p>
            <w:pPr>
              <w:spacing w:line="240" w:lineRule="exact"/>
              <w:jc w:val="center"/>
              <w:rPr>
                <w:rFonts w:ascii="Times New Roman" w:hAnsi="Times New Roman"/>
                <w:kern w:val="0"/>
                <w:sz w:val="20"/>
              </w:rPr>
            </w:pPr>
            <w:r>
              <w:rPr>
                <w:rFonts w:ascii="Times New Roman" w:hAnsi="Times New Roman"/>
                <w:kern w:val="0"/>
                <w:sz w:val="20"/>
              </w:rPr>
              <w:t>倾向</w:t>
            </w:r>
          </w:p>
        </w:tc>
        <w:tc>
          <w:tcPr>
            <w:tcW w:w="1088" w:type="dxa"/>
            <w:shd w:val="clear" w:color="auto" w:fill="auto"/>
            <w:vAlign w:val="center"/>
          </w:tcPr>
          <w:p>
            <w:pPr>
              <w:spacing w:line="240" w:lineRule="exact"/>
              <w:jc w:val="center"/>
              <w:rPr>
                <w:rFonts w:ascii="Times New Roman" w:hAnsi="Times New Roman"/>
                <w:kern w:val="0"/>
                <w:sz w:val="20"/>
              </w:rPr>
            </w:pPr>
            <w:r>
              <w:rPr>
                <w:rFonts w:ascii="Times New Roman" w:hAnsi="Times New Roman"/>
                <w:kern w:val="0"/>
                <w:sz w:val="20"/>
              </w:rPr>
              <w:t>倾角（°）</w:t>
            </w:r>
          </w:p>
        </w:tc>
        <w:tc>
          <w:tcPr>
            <w:tcW w:w="929" w:type="dxa"/>
            <w:vMerge w:val="continue"/>
            <w:shd w:val="clear" w:color="auto" w:fill="auto"/>
            <w:vAlign w:val="center"/>
          </w:tcPr>
          <w:p>
            <w:pPr>
              <w:spacing w:line="240" w:lineRule="exact"/>
              <w:jc w:val="center"/>
              <w:rPr>
                <w:rFonts w:ascii="Times New Roman" w:hAnsi="Times New Roman"/>
                <w:kern w:val="0"/>
                <w:sz w:val="20"/>
              </w:rPr>
            </w:pPr>
          </w:p>
        </w:tc>
        <w:tc>
          <w:tcPr>
            <w:tcW w:w="1861" w:type="dxa"/>
            <w:vMerge w:val="continue"/>
            <w:shd w:val="clear" w:color="auto" w:fill="auto"/>
            <w:vAlign w:val="center"/>
          </w:tcPr>
          <w:p>
            <w:pPr>
              <w:spacing w:line="240" w:lineRule="exact"/>
              <w:jc w:val="center"/>
              <w:rPr>
                <w:rFonts w:ascii="Times New Roman" w:hAnsi="Times New Roman"/>
                <w:kern w:val="0"/>
                <w:sz w:val="20"/>
              </w:rPr>
            </w:pPr>
          </w:p>
        </w:tc>
        <w:tc>
          <w:tcPr>
            <w:tcW w:w="1559" w:type="dxa"/>
            <w:vMerge w:val="continue"/>
            <w:shd w:val="clear" w:color="auto" w:fill="auto"/>
            <w:vAlign w:val="center"/>
          </w:tcPr>
          <w:p>
            <w:pPr>
              <w:spacing w:line="240" w:lineRule="exact"/>
              <w:jc w:val="center"/>
              <w:rPr>
                <w:rFonts w:ascii="Times New Roman" w:hAnsi="Times New Roman"/>
                <w:kern w:val="0"/>
                <w:sz w:val="20"/>
              </w:rPr>
            </w:pPr>
          </w:p>
        </w:tc>
        <w:tc>
          <w:tcPr>
            <w:tcW w:w="1241" w:type="dxa"/>
            <w:vMerge w:val="continue"/>
            <w:shd w:val="clear" w:color="auto" w:fill="auto"/>
            <w:vAlign w:val="center"/>
          </w:tcPr>
          <w:p>
            <w:pPr>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1</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DF1</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西北</w:t>
            </w:r>
          </w:p>
        </w:tc>
        <w:tc>
          <w:tcPr>
            <w:tcW w:w="1088"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72</w:t>
            </w:r>
          </w:p>
        </w:tc>
        <w:tc>
          <w:tcPr>
            <w:tcW w:w="929"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5</w:t>
            </w:r>
          </w:p>
        </w:tc>
        <w:tc>
          <w:tcPr>
            <w:tcW w:w="1861"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restart"/>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奎腾沟</w:t>
            </w:r>
          </w:p>
          <w:p>
            <w:pPr>
              <w:widowControl/>
              <w:spacing w:line="240" w:lineRule="exact"/>
              <w:jc w:val="center"/>
              <w:rPr>
                <w:rFonts w:ascii="Times New Roman" w:hAnsi="Times New Roman"/>
                <w:kern w:val="0"/>
                <w:sz w:val="20"/>
              </w:rPr>
            </w:pPr>
            <w:r>
              <w:rPr>
                <w:rFonts w:ascii="Times New Roman" w:hAnsi="Times New Roman"/>
                <w:kern w:val="0"/>
                <w:sz w:val="20"/>
              </w:rPr>
              <w:t>详查区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2</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DF2</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南西</w:t>
            </w:r>
          </w:p>
        </w:tc>
        <w:tc>
          <w:tcPr>
            <w:tcW w:w="1088"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56</w:t>
            </w:r>
          </w:p>
        </w:tc>
        <w:tc>
          <w:tcPr>
            <w:tcW w:w="929"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17</w:t>
            </w:r>
          </w:p>
        </w:tc>
        <w:tc>
          <w:tcPr>
            <w:tcW w:w="1861"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3</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DF3</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北东</w:t>
            </w:r>
          </w:p>
        </w:tc>
        <w:tc>
          <w:tcPr>
            <w:tcW w:w="1088"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64</w:t>
            </w:r>
          </w:p>
        </w:tc>
        <w:tc>
          <w:tcPr>
            <w:tcW w:w="929"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9</w:t>
            </w:r>
          </w:p>
        </w:tc>
        <w:tc>
          <w:tcPr>
            <w:tcW w:w="1861"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4</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DF4</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南东</w:t>
            </w:r>
          </w:p>
        </w:tc>
        <w:tc>
          <w:tcPr>
            <w:tcW w:w="1088"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75</w:t>
            </w:r>
          </w:p>
        </w:tc>
        <w:tc>
          <w:tcPr>
            <w:tcW w:w="929"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5</w:t>
            </w:r>
          </w:p>
        </w:tc>
        <w:tc>
          <w:tcPr>
            <w:tcW w:w="1861"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5</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DF5</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北东</w:t>
            </w:r>
          </w:p>
        </w:tc>
        <w:tc>
          <w:tcPr>
            <w:tcW w:w="1088" w:type="dxa"/>
            <w:shd w:val="clear" w:color="auto" w:fill="auto"/>
            <w:vAlign w:val="center"/>
          </w:tcPr>
          <w:p>
            <w:pPr>
              <w:widowControl/>
              <w:spacing w:line="240" w:lineRule="atLeast"/>
              <w:jc w:val="center"/>
              <w:rPr>
                <w:rFonts w:ascii="Times New Roman" w:hAnsi="Times New Roman"/>
                <w:kern w:val="0"/>
                <w:sz w:val="20"/>
              </w:rPr>
            </w:pPr>
            <w:r>
              <w:rPr>
                <w:rFonts w:ascii="Times New Roman" w:hAnsi="Times New Roman"/>
                <w:kern w:val="0"/>
                <w:sz w:val="20"/>
              </w:rPr>
              <w:t>56</w:t>
            </w:r>
          </w:p>
        </w:tc>
        <w:tc>
          <w:tcPr>
            <w:tcW w:w="929"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7</w:t>
            </w:r>
          </w:p>
        </w:tc>
        <w:tc>
          <w:tcPr>
            <w:tcW w:w="1861" w:type="dxa"/>
            <w:shd w:val="clear" w:color="auto" w:fill="auto"/>
            <w:vAlign w:val="center"/>
          </w:tcPr>
          <w:p>
            <w:pPr>
              <w:widowControl/>
              <w:spacing w:line="240" w:lineRule="atLeast"/>
              <w:ind w:left="890" w:hanging="890" w:hangingChars="445"/>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6</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DF3</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西</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74</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16</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2-2～4-2煤层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restart"/>
            <w:shd w:val="clear" w:color="auto" w:fill="auto"/>
            <w:vAlign w:val="center"/>
          </w:tcPr>
          <w:p>
            <w:pPr>
              <w:widowControl/>
              <w:spacing w:line="240" w:lineRule="atLeast"/>
              <w:jc w:val="center"/>
              <w:rPr>
                <w:rFonts w:ascii="Times New Roman" w:hAnsi="Times New Roman"/>
                <w:kern w:val="0"/>
                <w:sz w:val="20"/>
                <w:lang w:bidi="en-US"/>
              </w:rPr>
            </w:pPr>
            <w:r>
              <w:rPr>
                <w:rFonts w:ascii="Times New Roman" w:hAnsi="Times New Roman"/>
                <w:kern w:val="0"/>
                <w:sz w:val="20"/>
                <w:lang w:eastAsia="en-US" w:bidi="en-US"/>
              </w:rPr>
              <w:t>壕赖苏</w:t>
            </w:r>
          </w:p>
          <w:p>
            <w:pPr>
              <w:widowControl/>
              <w:spacing w:line="240" w:lineRule="exact"/>
              <w:jc w:val="center"/>
              <w:rPr>
                <w:rFonts w:ascii="Times New Roman" w:hAnsi="Times New Roman"/>
                <w:kern w:val="0"/>
                <w:sz w:val="20"/>
              </w:rPr>
            </w:pPr>
            <w:r>
              <w:rPr>
                <w:rFonts w:ascii="Times New Roman" w:hAnsi="Times New Roman"/>
                <w:kern w:val="0"/>
                <w:sz w:val="20"/>
                <w:lang w:eastAsia="en-US" w:bidi="en-US"/>
              </w:rPr>
              <w:t>详查</w:t>
            </w:r>
            <w:r>
              <w:rPr>
                <w:rFonts w:ascii="Times New Roman" w:hAnsi="Times New Roman"/>
                <w:kern w:val="0"/>
                <w:sz w:val="20"/>
                <w:lang w:bidi="en-US"/>
              </w:rPr>
              <w:t>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7</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DF4</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西</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77</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6</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8</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DF5</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西</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72</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5</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9</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DF6</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西</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36</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11</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10</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DF7</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东</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86</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6</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bidi="en-US"/>
              </w:rPr>
              <w:t>11</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DF8</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西</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64</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12</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bidi="en-US"/>
              </w:rPr>
              <w:t>1</w:t>
            </w:r>
            <w:r>
              <w:rPr>
                <w:rFonts w:ascii="Times New Roman" w:hAnsi="Times New Roman"/>
                <w:kern w:val="0"/>
                <w:sz w:val="20"/>
                <w:lang w:eastAsia="en-US" w:bidi="en-US"/>
              </w:rPr>
              <w:t>2</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DF9</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西</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50</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15</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4-1～6-2煤层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bidi="en-US"/>
              </w:rPr>
              <w:t>1</w:t>
            </w:r>
            <w:r>
              <w:rPr>
                <w:rFonts w:ascii="Times New Roman" w:hAnsi="Times New Roman"/>
                <w:kern w:val="0"/>
                <w:sz w:val="20"/>
                <w:lang w:eastAsia="en-US" w:bidi="en-US"/>
              </w:rPr>
              <w:t>3</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DF10</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东</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55～73</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16</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atLeast"/>
              <w:jc w:val="center"/>
              <w:rPr>
                <w:rFonts w:ascii="Times New Roman" w:hAnsi="Times New Roman"/>
                <w:kern w:val="0"/>
                <w:sz w:val="20"/>
                <w:lang w:bidi="en-US"/>
              </w:rPr>
            </w:pPr>
            <w:r>
              <w:rPr>
                <w:rFonts w:ascii="Times New Roman" w:hAnsi="Times New Roman"/>
                <w:kern w:val="0"/>
                <w:sz w:val="20"/>
                <w:lang w:bidi="en-US"/>
              </w:rPr>
              <w:t>14</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DF11</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西</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67</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26</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所有煤层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atLeast"/>
              <w:jc w:val="center"/>
              <w:rPr>
                <w:rFonts w:ascii="Times New Roman" w:hAnsi="Times New Roman"/>
                <w:kern w:val="0"/>
                <w:sz w:val="20"/>
                <w:lang w:bidi="en-US"/>
              </w:rPr>
            </w:pPr>
            <w:r>
              <w:rPr>
                <w:rFonts w:ascii="Times New Roman" w:hAnsi="Times New Roman"/>
                <w:kern w:val="0"/>
                <w:sz w:val="20"/>
                <w:lang w:bidi="en-US"/>
              </w:rPr>
              <w:t>15</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DF12</w:t>
            </w:r>
          </w:p>
        </w:tc>
        <w:tc>
          <w:tcPr>
            <w:tcW w:w="466"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正</w:t>
            </w:r>
          </w:p>
        </w:tc>
        <w:tc>
          <w:tcPr>
            <w:tcW w:w="773"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南</w:t>
            </w:r>
          </w:p>
        </w:tc>
        <w:tc>
          <w:tcPr>
            <w:tcW w:w="1088"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61</w:t>
            </w:r>
          </w:p>
        </w:tc>
        <w:tc>
          <w:tcPr>
            <w:tcW w:w="92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5</w:t>
            </w:r>
          </w:p>
        </w:tc>
        <w:tc>
          <w:tcPr>
            <w:tcW w:w="1861"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2-1下～4-2上煤层</w:t>
            </w:r>
          </w:p>
        </w:tc>
        <w:tc>
          <w:tcPr>
            <w:tcW w:w="1559" w:type="dxa"/>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独立断点参考</w:t>
            </w:r>
          </w:p>
        </w:tc>
        <w:tc>
          <w:tcPr>
            <w:tcW w:w="1241" w:type="dxa"/>
            <w:vMerge w:val="continue"/>
            <w:shd w:val="clear" w:color="auto" w:fill="auto"/>
            <w:vAlign w:val="center"/>
          </w:tcPr>
          <w:p>
            <w:pPr>
              <w:widowControl/>
              <w:spacing w:line="240" w:lineRule="exac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atLeast"/>
              <w:jc w:val="center"/>
              <w:rPr>
                <w:rFonts w:ascii="Times New Roman" w:hAnsi="Times New Roman"/>
                <w:kern w:val="0"/>
                <w:sz w:val="20"/>
                <w:lang w:bidi="en-US"/>
              </w:rPr>
            </w:pPr>
            <w:r>
              <w:rPr>
                <w:rFonts w:ascii="Times New Roman" w:hAnsi="Times New Roman"/>
                <w:kern w:val="0"/>
                <w:sz w:val="20"/>
                <w:lang w:bidi="en-US"/>
              </w:rPr>
              <w:t>16</w:t>
            </w:r>
          </w:p>
        </w:tc>
        <w:tc>
          <w:tcPr>
            <w:tcW w:w="773"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DF1</w:t>
            </w:r>
          </w:p>
        </w:tc>
        <w:tc>
          <w:tcPr>
            <w:tcW w:w="466"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正</w:t>
            </w:r>
          </w:p>
        </w:tc>
        <w:tc>
          <w:tcPr>
            <w:tcW w:w="773"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北</w:t>
            </w:r>
          </w:p>
        </w:tc>
        <w:tc>
          <w:tcPr>
            <w:tcW w:w="1088"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72</w:t>
            </w:r>
          </w:p>
        </w:tc>
        <w:tc>
          <w:tcPr>
            <w:tcW w:w="929" w:type="dxa"/>
            <w:shd w:val="clear" w:color="auto" w:fill="auto"/>
            <w:vAlign w:val="center"/>
          </w:tcPr>
          <w:p>
            <w:pPr>
              <w:widowControl/>
              <w:spacing w:line="240" w:lineRule="atLeast"/>
              <w:jc w:val="center"/>
              <w:rPr>
                <w:rFonts w:ascii="Times New Roman" w:hAnsi="Times New Roman"/>
                <w:kern w:val="0"/>
                <w:sz w:val="20"/>
                <w:lang w:bidi="en-US"/>
              </w:rPr>
            </w:pPr>
            <w:r>
              <w:rPr>
                <w:rFonts w:ascii="Times New Roman" w:hAnsi="Times New Roman"/>
                <w:kern w:val="0"/>
                <w:sz w:val="20"/>
                <w:lang w:eastAsia="en-US" w:bidi="en-US"/>
              </w:rPr>
              <w:t>11</w:t>
            </w:r>
          </w:p>
        </w:tc>
        <w:tc>
          <w:tcPr>
            <w:tcW w:w="1861"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2-1上～4-1煤层</w:t>
            </w:r>
          </w:p>
        </w:tc>
        <w:tc>
          <w:tcPr>
            <w:tcW w:w="1559"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独立断点参考</w:t>
            </w:r>
          </w:p>
        </w:tc>
        <w:tc>
          <w:tcPr>
            <w:tcW w:w="1241" w:type="dxa"/>
            <w:vMerge w:val="restart"/>
            <w:shd w:val="clear" w:color="auto" w:fill="auto"/>
            <w:vAlign w:val="center"/>
          </w:tcPr>
          <w:p>
            <w:pPr>
              <w:widowControl/>
              <w:spacing w:line="240" w:lineRule="exact"/>
              <w:jc w:val="center"/>
              <w:rPr>
                <w:rFonts w:ascii="Times New Roman" w:hAnsi="Times New Roman"/>
                <w:kern w:val="0"/>
                <w:sz w:val="20"/>
              </w:rPr>
            </w:pPr>
            <w:r>
              <w:rPr>
                <w:rFonts w:ascii="Times New Roman" w:hAnsi="Times New Roman"/>
                <w:kern w:val="0"/>
                <w:sz w:val="20"/>
              </w:rPr>
              <w:t>纳林希里</w:t>
            </w:r>
          </w:p>
          <w:p>
            <w:pPr>
              <w:widowControl/>
              <w:spacing w:line="240" w:lineRule="exact"/>
              <w:jc w:val="center"/>
              <w:rPr>
                <w:rFonts w:ascii="Times New Roman" w:hAnsi="Times New Roman"/>
                <w:kern w:val="0"/>
                <w:sz w:val="20"/>
                <w:lang w:bidi="en-US"/>
              </w:rPr>
            </w:pPr>
            <w:r>
              <w:rPr>
                <w:rFonts w:ascii="Times New Roman" w:hAnsi="Times New Roman"/>
                <w:kern w:val="0"/>
                <w:sz w:val="20"/>
              </w:rPr>
              <w:t>勘查区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atLeast"/>
              <w:jc w:val="center"/>
              <w:rPr>
                <w:rFonts w:ascii="Times New Roman" w:hAnsi="Times New Roman"/>
                <w:kern w:val="0"/>
                <w:sz w:val="20"/>
                <w:lang w:bidi="en-US"/>
              </w:rPr>
            </w:pPr>
            <w:r>
              <w:rPr>
                <w:rFonts w:ascii="Times New Roman" w:hAnsi="Times New Roman"/>
                <w:kern w:val="0"/>
                <w:sz w:val="20"/>
                <w:lang w:bidi="en-US"/>
              </w:rPr>
              <w:t>17</w:t>
            </w:r>
          </w:p>
        </w:tc>
        <w:tc>
          <w:tcPr>
            <w:tcW w:w="773"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DF2</w:t>
            </w:r>
          </w:p>
        </w:tc>
        <w:tc>
          <w:tcPr>
            <w:tcW w:w="466"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正</w:t>
            </w:r>
          </w:p>
        </w:tc>
        <w:tc>
          <w:tcPr>
            <w:tcW w:w="773"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西</w:t>
            </w:r>
          </w:p>
        </w:tc>
        <w:tc>
          <w:tcPr>
            <w:tcW w:w="1088"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69</w:t>
            </w:r>
          </w:p>
        </w:tc>
        <w:tc>
          <w:tcPr>
            <w:tcW w:w="929" w:type="dxa"/>
            <w:shd w:val="clear" w:color="auto" w:fill="auto"/>
            <w:vAlign w:val="center"/>
          </w:tcPr>
          <w:p>
            <w:pPr>
              <w:widowControl/>
              <w:spacing w:line="240" w:lineRule="atLeast"/>
              <w:jc w:val="center"/>
              <w:rPr>
                <w:rFonts w:ascii="Times New Roman" w:hAnsi="Times New Roman"/>
                <w:kern w:val="0"/>
                <w:sz w:val="20"/>
                <w:lang w:bidi="en-US"/>
              </w:rPr>
            </w:pPr>
            <w:r>
              <w:rPr>
                <w:rFonts w:ascii="Times New Roman" w:hAnsi="Times New Roman"/>
                <w:kern w:val="0"/>
                <w:sz w:val="20"/>
                <w:lang w:eastAsia="en-US" w:bidi="en-US"/>
              </w:rPr>
              <w:t>6</w:t>
            </w:r>
          </w:p>
        </w:tc>
        <w:tc>
          <w:tcPr>
            <w:tcW w:w="1861"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4-2～6-2煤层</w:t>
            </w:r>
          </w:p>
        </w:tc>
        <w:tc>
          <w:tcPr>
            <w:tcW w:w="1559"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独立断点参考</w:t>
            </w:r>
          </w:p>
        </w:tc>
        <w:tc>
          <w:tcPr>
            <w:tcW w:w="1241" w:type="dxa"/>
            <w:vMerge w:val="continue"/>
            <w:shd w:val="clear" w:color="auto" w:fill="auto"/>
            <w:vAlign w:val="center"/>
          </w:tcPr>
          <w:p>
            <w:pPr>
              <w:widowControl/>
              <w:spacing w:line="240" w:lineRule="atLeast"/>
              <w:jc w:val="center"/>
              <w:rPr>
                <w:rFonts w:ascii="Times New Roman" w:hAnsi="Times New Roman"/>
                <w:kern w:val="0"/>
                <w:sz w:val="20"/>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97" w:type="dxa"/>
            <w:shd w:val="clear" w:color="auto" w:fill="auto"/>
            <w:vAlign w:val="center"/>
          </w:tcPr>
          <w:p>
            <w:pPr>
              <w:widowControl/>
              <w:spacing w:line="240" w:lineRule="atLeast"/>
              <w:jc w:val="center"/>
              <w:rPr>
                <w:rFonts w:ascii="Times New Roman" w:hAnsi="Times New Roman"/>
                <w:kern w:val="0"/>
                <w:sz w:val="20"/>
                <w:lang w:bidi="en-US"/>
              </w:rPr>
            </w:pPr>
            <w:r>
              <w:rPr>
                <w:rFonts w:ascii="Times New Roman" w:hAnsi="Times New Roman"/>
                <w:kern w:val="0"/>
                <w:sz w:val="20"/>
                <w:lang w:bidi="en-US"/>
              </w:rPr>
              <w:t>18</w:t>
            </w:r>
          </w:p>
        </w:tc>
        <w:tc>
          <w:tcPr>
            <w:tcW w:w="773"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DF3</w:t>
            </w:r>
          </w:p>
        </w:tc>
        <w:tc>
          <w:tcPr>
            <w:tcW w:w="466"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正</w:t>
            </w:r>
          </w:p>
        </w:tc>
        <w:tc>
          <w:tcPr>
            <w:tcW w:w="773"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西</w:t>
            </w:r>
          </w:p>
        </w:tc>
        <w:tc>
          <w:tcPr>
            <w:tcW w:w="1088"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74</w:t>
            </w:r>
          </w:p>
        </w:tc>
        <w:tc>
          <w:tcPr>
            <w:tcW w:w="929" w:type="dxa"/>
            <w:shd w:val="clear" w:color="auto" w:fill="auto"/>
            <w:vAlign w:val="center"/>
          </w:tcPr>
          <w:p>
            <w:pPr>
              <w:widowControl/>
              <w:spacing w:line="240" w:lineRule="atLeast"/>
              <w:jc w:val="center"/>
              <w:rPr>
                <w:rFonts w:ascii="Times New Roman" w:hAnsi="Times New Roman"/>
                <w:kern w:val="0"/>
                <w:sz w:val="20"/>
                <w:lang w:bidi="en-US"/>
              </w:rPr>
            </w:pPr>
            <w:r>
              <w:rPr>
                <w:rFonts w:ascii="Times New Roman" w:hAnsi="Times New Roman"/>
                <w:kern w:val="0"/>
                <w:sz w:val="20"/>
                <w:lang w:eastAsia="en-US" w:bidi="en-US"/>
              </w:rPr>
              <w:t>16</w:t>
            </w:r>
          </w:p>
        </w:tc>
        <w:tc>
          <w:tcPr>
            <w:tcW w:w="1861"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2-2～4-2煤层</w:t>
            </w:r>
          </w:p>
        </w:tc>
        <w:tc>
          <w:tcPr>
            <w:tcW w:w="1559" w:type="dxa"/>
            <w:shd w:val="clear" w:color="auto" w:fill="auto"/>
            <w:vAlign w:val="center"/>
          </w:tcPr>
          <w:p>
            <w:pPr>
              <w:widowControl/>
              <w:spacing w:line="240" w:lineRule="atLeast"/>
              <w:jc w:val="center"/>
              <w:rPr>
                <w:rFonts w:ascii="Times New Roman" w:hAnsi="Times New Roman"/>
                <w:kern w:val="0"/>
                <w:sz w:val="20"/>
                <w:lang w:eastAsia="en-US" w:bidi="en-US"/>
              </w:rPr>
            </w:pPr>
            <w:r>
              <w:rPr>
                <w:rFonts w:ascii="Times New Roman" w:hAnsi="Times New Roman"/>
                <w:kern w:val="0"/>
                <w:sz w:val="20"/>
                <w:lang w:eastAsia="en-US" w:bidi="en-US"/>
              </w:rPr>
              <w:t>独立断点参考</w:t>
            </w:r>
          </w:p>
        </w:tc>
        <w:tc>
          <w:tcPr>
            <w:tcW w:w="1241" w:type="dxa"/>
            <w:vMerge w:val="continue"/>
            <w:shd w:val="clear" w:color="auto" w:fill="auto"/>
            <w:vAlign w:val="center"/>
          </w:tcPr>
          <w:p>
            <w:pPr>
              <w:widowControl/>
              <w:spacing w:line="240" w:lineRule="atLeast"/>
              <w:jc w:val="center"/>
              <w:rPr>
                <w:rFonts w:ascii="Times New Roman" w:hAnsi="Times New Roman"/>
                <w:kern w:val="0"/>
                <w:sz w:val="20"/>
                <w:lang w:eastAsia="en-US" w:bidi="en-US"/>
              </w:rPr>
            </w:pPr>
          </w:p>
        </w:tc>
      </w:tr>
      <w:bookmarkEnd w:id="227"/>
    </w:tbl>
    <w:p>
      <w:pPr>
        <w:spacing w:line="440" w:lineRule="exact"/>
        <w:ind w:firstLine="480" w:firstLineChars="200"/>
        <w:rPr>
          <w:rFonts w:ascii="Times New Roman" w:hAnsi="Times New Roman"/>
          <w:szCs w:val="24"/>
        </w:rPr>
      </w:pPr>
      <w:r>
        <w:rPr>
          <w:rFonts w:ascii="Times New Roman" w:hAnsi="Times New Roman"/>
          <w:szCs w:val="24"/>
        </w:rPr>
        <w:t>（3）岩浆岩</w:t>
      </w:r>
    </w:p>
    <w:p>
      <w:pPr>
        <w:spacing w:line="440" w:lineRule="exact"/>
        <w:ind w:firstLine="480" w:firstLineChars="200"/>
        <w:rPr>
          <w:rFonts w:ascii="Times New Roman" w:hAnsi="Times New Roman"/>
          <w:szCs w:val="24"/>
        </w:rPr>
      </w:pPr>
      <w:r>
        <w:rPr>
          <w:rFonts w:ascii="Times New Roman" w:hAnsi="Times New Roman"/>
          <w:szCs w:val="24"/>
        </w:rPr>
        <w:t>矿区内无岩浆岩。</w:t>
      </w:r>
    </w:p>
    <w:p>
      <w:pPr>
        <w:spacing w:line="440" w:lineRule="exact"/>
        <w:ind w:firstLine="480" w:firstLineChars="200"/>
        <w:rPr>
          <w:rFonts w:ascii="Times New Roman" w:hAnsi="Times New Roman"/>
          <w:szCs w:val="24"/>
        </w:rPr>
      </w:pPr>
      <w:r>
        <w:rPr>
          <w:rFonts w:ascii="Times New Roman" w:hAnsi="Times New Roman"/>
          <w:szCs w:val="24"/>
        </w:rPr>
        <w:t>矿区地形地质图见图5.3-4。</w:t>
      </w:r>
    </w:p>
    <w:p>
      <w:pPr>
        <w:keepNext/>
        <w:keepLines/>
        <w:adjustRightInd w:val="0"/>
        <w:snapToGrid w:val="0"/>
        <w:spacing w:line="440" w:lineRule="exact"/>
        <w:outlineLvl w:val="2"/>
        <w:rPr>
          <w:rFonts w:ascii="Times New Roman" w:hAnsi="Times New Roman"/>
          <w:b/>
        </w:rPr>
      </w:pPr>
      <w:r>
        <w:rPr>
          <w:rFonts w:ascii="Times New Roman" w:hAnsi="Times New Roman"/>
          <w:b/>
        </w:rPr>
        <w:t>5.3.3 区域水文地质</w:t>
      </w:r>
    </w:p>
    <w:p>
      <w:pPr>
        <w:spacing w:line="440" w:lineRule="exact"/>
        <w:ind w:firstLine="480" w:firstLineChars="200"/>
        <w:rPr>
          <w:rFonts w:ascii="Times New Roman" w:hAnsi="Times New Roman"/>
          <w:szCs w:val="24"/>
        </w:rPr>
      </w:pPr>
      <w:bookmarkStart w:id="228" w:name="_Hlk98682177"/>
      <w:r>
        <w:rPr>
          <w:rFonts w:ascii="Times New Roman" w:hAnsi="Times New Roman"/>
          <w:szCs w:val="24"/>
        </w:rPr>
        <w:t>（1）概况</w:t>
      </w:r>
    </w:p>
    <w:bookmarkEnd w:id="228"/>
    <w:p>
      <w:pPr>
        <w:spacing w:line="440" w:lineRule="exact"/>
        <w:ind w:firstLine="480" w:firstLineChars="200"/>
        <w:rPr>
          <w:rFonts w:ascii="Times New Roman" w:hAnsi="Times New Roman"/>
          <w:szCs w:val="24"/>
        </w:rPr>
      </w:pPr>
      <w:r>
        <w:rPr>
          <w:rFonts w:ascii="Times New Roman" w:hAnsi="Times New Roman"/>
          <w:szCs w:val="24"/>
        </w:rPr>
        <w:t>东胜煤田位于鄂尔多斯台向斜东北部，总体构造形态为一向南西倾斜的单斜构造，岩层倾角平缓，构造简单。北部是库布其沙漠，南西是毛乌素沙漠，煤田总面积12860km</w:t>
      </w:r>
      <w:r>
        <w:rPr>
          <w:rFonts w:ascii="Times New Roman" w:hAnsi="Times New Roman"/>
          <w:szCs w:val="24"/>
          <w:vertAlign w:val="superscript"/>
        </w:rPr>
        <w:t>2</w:t>
      </w:r>
      <w:r>
        <w:rPr>
          <w:rFonts w:ascii="Times New Roman" w:hAnsi="Times New Roman"/>
          <w:szCs w:val="24"/>
        </w:rPr>
        <w:t>。海拨标高多在1200～1400m。总体地貌形态为构造剥蚀高原。成因类型为构造剥蚀地形和堆积地形。地形中部高，向南北两侧逐渐降低。</w:t>
      </w:r>
    </w:p>
    <w:p>
      <w:pPr>
        <w:spacing w:line="440" w:lineRule="exact"/>
        <w:ind w:firstLine="480" w:firstLineChars="200"/>
        <w:rPr>
          <w:rFonts w:ascii="Times New Roman" w:hAnsi="Times New Roman"/>
          <w:szCs w:val="24"/>
        </w:rPr>
      </w:pPr>
      <w:r>
        <w:rPr>
          <w:rFonts w:ascii="Times New Roman" w:hAnsi="Times New Roman"/>
          <w:szCs w:val="24"/>
        </w:rPr>
        <w:t>气候特征属于半干旱的温带高原大陆性气候，太阳辐射强烈，日照较丰富，干燥少雨，风大沙多，无霜期短，冬季漫长寒冷，夏季炎热而短暂，春季回暖升温快，秋季气温下降显著。少量的降水，强烈的蒸发，影响了地表水系的发育和地下水的补给。</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区内沿泊尔江海子～东胜区～潮脑梁一带地形较高，呈东西向延伸，海拨标高1400～1500m，构成区域性分水岭，俗称“东胜梁”。</w:t>
      </w:r>
    </w:p>
    <w:p>
      <w:pPr>
        <w:spacing w:line="440" w:lineRule="exact"/>
        <w:ind w:firstLine="480" w:firstLineChars="200"/>
        <w:rPr>
          <w:rFonts w:ascii="Times New Roman" w:hAnsi="Times New Roman"/>
          <w:szCs w:val="24"/>
        </w:rPr>
      </w:pPr>
      <w:r>
        <w:rPr>
          <w:rFonts w:ascii="Times New Roman" w:hAnsi="Times New Roman"/>
          <w:szCs w:val="24"/>
        </w:rPr>
        <w:t>“东胜梁”以北，地形北低南高；“东胜梁”以南，地形西北高东南低。东胜梁以北的各沟川水流分别汇集于哈什拉川、罕台川、水多湖川、柳沟河后向北流经达旗注入黄河，东胜梁以南的各沟川水流分别汇集于乌兰木伦河、勃牛川后向南流入陕西境内的窟野河，最终注入黄河，属黄河水系。沟川上游狭窄，横断面呈“V”字形，下游宽缓，横断面呈“U”字形。区内沟川多为间歇性河流，唯乌兰木伦河、勃牛川、哈什拉川常年有溪流。乌兰木伦河流量为0.64～15m</w:t>
      </w:r>
      <w:r>
        <w:rPr>
          <w:rFonts w:ascii="Times New Roman" w:hAnsi="Times New Roman"/>
          <w:szCs w:val="24"/>
          <w:vertAlign w:val="superscript"/>
        </w:rPr>
        <w:t>3</w:t>
      </w:r>
      <w:r>
        <w:rPr>
          <w:rFonts w:ascii="Times New Roman" w:hAnsi="Times New Roman"/>
          <w:szCs w:val="24"/>
        </w:rPr>
        <w:t>/s，哈什拉川（东胜城市污水）流量为0.101～0.053 m</w:t>
      </w:r>
      <w:r>
        <w:rPr>
          <w:rFonts w:ascii="Times New Roman" w:hAnsi="Times New Roman"/>
          <w:szCs w:val="24"/>
          <w:vertAlign w:val="superscript"/>
        </w:rPr>
        <w:t>3</w:t>
      </w:r>
      <w:r>
        <w:rPr>
          <w:rFonts w:ascii="Times New Roman" w:hAnsi="Times New Roman"/>
          <w:szCs w:val="24"/>
        </w:rPr>
        <w:t>/s。区内水库及湖泊零星分布，面积小，一般小于1万m</w:t>
      </w:r>
      <w:r>
        <w:rPr>
          <w:rFonts w:ascii="Times New Roman" w:hAnsi="Times New Roman"/>
          <w:szCs w:val="24"/>
          <w:vertAlign w:val="superscript"/>
        </w:rPr>
        <w:t>3</w:t>
      </w:r>
      <w:r>
        <w:rPr>
          <w:rFonts w:ascii="Times New Roman" w:hAnsi="Times New Roman"/>
          <w:szCs w:val="24"/>
        </w:rPr>
        <w:t>。但个别水库的储水量较大：“高家梁水库”的储水量为12.384万m</w:t>
      </w:r>
      <w:r>
        <w:rPr>
          <w:rFonts w:ascii="Times New Roman" w:hAnsi="Times New Roman"/>
          <w:szCs w:val="24"/>
          <w:vertAlign w:val="superscript"/>
        </w:rPr>
        <w:t>3</w:t>
      </w:r>
      <w:r>
        <w:rPr>
          <w:rFonts w:ascii="Times New Roman" w:hAnsi="Times New Roman"/>
          <w:szCs w:val="24"/>
        </w:rPr>
        <w:t>，“三台基水库”的储水量为50万m</w:t>
      </w:r>
      <w:r>
        <w:rPr>
          <w:rFonts w:ascii="Times New Roman" w:hAnsi="Times New Roman"/>
          <w:szCs w:val="24"/>
          <w:vertAlign w:val="superscript"/>
        </w:rPr>
        <w:t>3</w:t>
      </w:r>
      <w:r>
        <w:rPr>
          <w:rFonts w:ascii="Times New Roman" w:hAnsi="Times New Roman"/>
          <w:szCs w:val="24"/>
        </w:rPr>
        <w:t>，“红碱淖水库”的储水量为6亿m</w:t>
      </w:r>
      <w:r>
        <w:rPr>
          <w:rFonts w:ascii="Times New Roman" w:hAnsi="Times New Roman"/>
          <w:szCs w:val="24"/>
          <w:vertAlign w:val="superscript"/>
        </w:rPr>
        <w:t>3</w:t>
      </w:r>
      <w:r>
        <w:rPr>
          <w:rFonts w:ascii="Times New Roman" w:hAnsi="Times New Roman"/>
          <w:szCs w:val="24"/>
        </w:rPr>
        <w:t>。区内泉出露较少，一般分布在沟谷两侧，流量一般小于0.10L/s。最大可达0.47L/s。区内水井主要分布在居民区附近的沟谷、河漫滩和阶地部位，涌水量0.023L/S～0.540L/S，其水量及水位均随季节变化，雨季丰水，水位上升，旱季贫水，水位下降。</w:t>
      </w:r>
    </w:p>
    <w:p>
      <w:pPr>
        <w:spacing w:line="440" w:lineRule="exact"/>
        <w:ind w:firstLine="480" w:firstLineChars="200"/>
        <w:rPr>
          <w:rFonts w:ascii="Times New Roman" w:hAnsi="Times New Roman"/>
          <w:szCs w:val="24"/>
        </w:rPr>
      </w:pPr>
      <w:r>
        <w:rPr>
          <w:rFonts w:ascii="Times New Roman" w:hAnsi="Times New Roman"/>
          <w:szCs w:val="24"/>
        </w:rPr>
        <w:t>（2）区域含水岩组水文地质特征</w:t>
      </w:r>
    </w:p>
    <w:p>
      <w:pPr>
        <w:spacing w:line="440" w:lineRule="exact"/>
        <w:ind w:firstLine="480" w:firstLineChars="200"/>
        <w:rPr>
          <w:rFonts w:ascii="Times New Roman" w:hAnsi="Times New Roman"/>
          <w:szCs w:val="24"/>
        </w:rPr>
      </w:pPr>
      <w:r>
        <w:rPr>
          <w:rFonts w:ascii="Times New Roman" w:hAnsi="Times New Roman"/>
          <w:szCs w:val="24"/>
        </w:rPr>
        <w:t>东胜煤田发育的主要地层为中生界陆相碎屑岩，次为新生界半胶结岩层及松散沉积物。依据地下水的赋存条件及水力性质不同，煤田内的含水岩组可划分为三大类：新生界松散岩类孔隙潜水含水岩组、新生界半胶结岩类孔隙潜水含水岩组和中生界碎屑岩类孔隙、裂隙潜水～承压水含水岩组。</w:t>
      </w:r>
    </w:p>
    <w:p>
      <w:pPr>
        <w:spacing w:line="440" w:lineRule="exact"/>
        <w:ind w:firstLine="480" w:firstLineChars="200"/>
        <w:rPr>
          <w:rFonts w:ascii="Times New Roman" w:hAnsi="Times New Roman"/>
          <w:szCs w:val="24"/>
        </w:rPr>
      </w:pPr>
      <w:r>
        <w:rPr>
          <w:rFonts w:ascii="Times New Roman" w:hAnsi="Times New Roman"/>
          <w:szCs w:val="24"/>
        </w:rPr>
        <w:t>1）新生界松散岩类孔隙潜水含水岩组</w:t>
      </w:r>
    </w:p>
    <w:p>
      <w:pPr>
        <w:snapToGrid w:val="0"/>
        <w:spacing w:line="440" w:lineRule="exact"/>
        <w:ind w:firstLine="480" w:firstLineChars="200"/>
        <w:rPr>
          <w:rFonts w:ascii="Times New Roman" w:hAnsi="Times New Roman"/>
          <w:szCs w:val="24"/>
        </w:rPr>
      </w:pPr>
      <w:r>
        <w:rPr>
          <w:rFonts w:ascii="Times New Roman" w:hAnsi="Times New Roman"/>
          <w:szCs w:val="24"/>
        </w:rPr>
        <w:t>第四系（Q）：岩性以风积沙、冲洪积砂、砾石、湖积砂粘土为主，主要分布在沟谷及地势平坦处，单位涌水量为0.0016～3.74L/s·m，溶解性总固体为0.259～2.96g/L，水化学类型为HCO</w:t>
      </w:r>
      <w:r>
        <w:rPr>
          <w:rFonts w:ascii="Times New Roman" w:hAnsi="Times New Roman"/>
          <w:szCs w:val="24"/>
          <w:vertAlign w:val="subscript"/>
        </w:rPr>
        <w:t>3</w:t>
      </w:r>
      <w:r>
        <w:rPr>
          <w:rFonts w:ascii="Times New Roman" w:hAnsi="Times New Roman"/>
          <w:szCs w:val="24"/>
        </w:rPr>
        <w:t>—Ca·Mg、SO</w:t>
      </w:r>
      <w:r>
        <w:rPr>
          <w:rFonts w:ascii="Times New Roman" w:hAnsi="Times New Roman"/>
          <w:szCs w:val="24"/>
          <w:vertAlign w:val="subscript"/>
        </w:rPr>
        <w:t>4</w:t>
      </w:r>
      <w:r>
        <w:rPr>
          <w:rFonts w:ascii="Times New Roman" w:hAnsi="Times New Roman"/>
          <w:szCs w:val="24"/>
        </w:rPr>
        <w:t>·HCO</w:t>
      </w:r>
      <w:r>
        <w:rPr>
          <w:rFonts w:ascii="Times New Roman" w:hAnsi="Times New Roman"/>
          <w:szCs w:val="24"/>
          <w:vertAlign w:val="subscript"/>
        </w:rPr>
        <w:t>3</w:t>
      </w:r>
      <w:r>
        <w:rPr>
          <w:rFonts w:ascii="Times New Roman" w:hAnsi="Times New Roman"/>
          <w:szCs w:val="24"/>
        </w:rPr>
        <w:t>—K·Na·Mg型。区内大部分钻孔流量均较小，对供水无意义，局部区域第四系砂砾层富水性较好，有一定的供水意义。</w:t>
      </w:r>
    </w:p>
    <w:p>
      <w:pPr>
        <w:spacing w:line="440" w:lineRule="exact"/>
        <w:ind w:firstLine="480" w:firstLineChars="200"/>
        <w:rPr>
          <w:rFonts w:ascii="Times New Roman" w:hAnsi="Times New Roman"/>
          <w:szCs w:val="24"/>
        </w:rPr>
      </w:pPr>
      <w:r>
        <w:rPr>
          <w:rFonts w:ascii="Times New Roman" w:hAnsi="Times New Roman"/>
          <w:szCs w:val="24"/>
        </w:rPr>
        <w:t>2）新生界半胶结岩类孔隙潜水含水岩组</w:t>
      </w:r>
    </w:p>
    <w:p>
      <w:pPr>
        <w:snapToGrid w:val="0"/>
        <w:spacing w:line="440" w:lineRule="exact"/>
        <w:ind w:firstLine="480" w:firstLineChars="200"/>
        <w:rPr>
          <w:rFonts w:ascii="Times New Roman" w:hAnsi="Times New Roman"/>
          <w:szCs w:val="24"/>
        </w:rPr>
      </w:pPr>
      <w:r>
        <w:rPr>
          <w:rFonts w:ascii="Times New Roman" w:hAnsi="Times New Roman"/>
          <w:szCs w:val="24"/>
        </w:rPr>
        <w:t>新近系上新统（N</w:t>
      </w:r>
      <w:r>
        <w:rPr>
          <w:rFonts w:ascii="Times New Roman" w:hAnsi="Times New Roman"/>
          <w:szCs w:val="24"/>
          <w:vertAlign w:val="subscript"/>
        </w:rPr>
        <w:t>2</w:t>
      </w:r>
      <w:r>
        <w:rPr>
          <w:rFonts w:ascii="Times New Roman" w:hAnsi="Times New Roman"/>
          <w:szCs w:val="24"/>
        </w:rPr>
        <w:t>）：该含水层在区内东南部大部分出露，岩性上部以红色、黄色粉砂岩、砂质泥岩为主；中部夹钙质结核，不含水；下部灰黄、棕红、绿黄色砂砾岩，夹有砂岩透镜体。单位涌水量为0.171～0.370L/s·m，溶解性总固体为0.319～0.351g/L，水化学类型为HCO</w:t>
      </w:r>
      <w:r>
        <w:rPr>
          <w:rFonts w:ascii="Times New Roman" w:hAnsi="Times New Roman"/>
          <w:szCs w:val="24"/>
          <w:vertAlign w:val="subscript"/>
        </w:rPr>
        <w:t>3</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-Ca·Mg型，富水性较弱。</w:t>
      </w:r>
    </w:p>
    <w:p>
      <w:pPr>
        <w:spacing w:line="440" w:lineRule="exact"/>
        <w:ind w:firstLine="480" w:firstLineChars="200"/>
        <w:rPr>
          <w:rFonts w:ascii="Times New Roman" w:hAnsi="Times New Roman"/>
          <w:szCs w:val="24"/>
        </w:rPr>
      </w:pPr>
      <w:r>
        <w:rPr>
          <w:rFonts w:ascii="Times New Roman" w:hAnsi="Times New Roman"/>
          <w:szCs w:val="24"/>
        </w:rPr>
        <w:t>3）中生界碎屑岩类孔隙、裂隙潜水～承压水含水岩组</w:t>
      </w:r>
    </w:p>
    <w:p>
      <w:pPr>
        <w:spacing w:line="440" w:lineRule="exact"/>
        <w:ind w:firstLine="480" w:firstLineChars="200"/>
        <w:rPr>
          <w:rFonts w:ascii="Times New Roman" w:hAnsi="Times New Roman"/>
          <w:szCs w:val="24"/>
        </w:rPr>
      </w:pPr>
      <w:r>
        <w:rPr>
          <w:rFonts w:hint="eastAsia" w:cs="宋体"/>
          <w:szCs w:val="24"/>
        </w:rPr>
        <w:t>①</w:t>
      </w:r>
      <w:r>
        <w:rPr>
          <w:rFonts w:ascii="Times New Roman" w:hAnsi="Times New Roman"/>
          <w:szCs w:val="24"/>
        </w:rPr>
        <w:t>白垩系下统志丹群（K</w:t>
      </w:r>
      <w:r>
        <w:rPr>
          <w:rFonts w:ascii="Times New Roman" w:hAnsi="Times New Roman"/>
          <w:szCs w:val="24"/>
          <w:vertAlign w:val="subscript"/>
        </w:rPr>
        <w:t>1</w:t>
      </w:r>
      <w:r>
        <w:rPr>
          <w:rFonts w:ascii="Times New Roman" w:hAnsi="Times New Roman"/>
          <w:szCs w:val="24"/>
        </w:rPr>
        <w:t>zh）孔隙潜水～承压水（第Ⅰ）含水组</w:t>
      </w:r>
    </w:p>
    <w:p>
      <w:pPr>
        <w:spacing w:line="440" w:lineRule="exact"/>
        <w:ind w:firstLine="480" w:firstLineChars="200"/>
        <w:rPr>
          <w:rFonts w:ascii="Times New Roman" w:hAnsi="Times New Roman"/>
          <w:szCs w:val="24"/>
        </w:rPr>
      </w:pPr>
      <w:r>
        <w:rPr>
          <w:rFonts w:ascii="Times New Roman" w:hAnsi="Times New Roman"/>
          <w:szCs w:val="24"/>
        </w:rPr>
        <w:t>该含水层区内大部分出露，含水层岩性主要为含砾砂岩与砾岩互层为主。单位涌水量为0.008～2.17L/s·m，溶解性总固体为0.249～0.30g/L，水化学类型为HCO</w:t>
      </w:r>
      <w:r>
        <w:rPr>
          <w:rFonts w:ascii="Times New Roman" w:hAnsi="Times New Roman"/>
          <w:szCs w:val="24"/>
          <w:vertAlign w:val="subscript"/>
        </w:rPr>
        <w:t>3</w:t>
      </w:r>
      <w:r>
        <w:rPr>
          <w:rFonts w:ascii="Times New Roman" w:hAnsi="Times New Roman"/>
          <w:szCs w:val="24"/>
        </w:rPr>
        <w:t>—Ca、HCO</w:t>
      </w:r>
      <w:r>
        <w:rPr>
          <w:rFonts w:ascii="Times New Roman" w:hAnsi="Times New Roman"/>
          <w:szCs w:val="24"/>
          <w:vertAlign w:val="subscript"/>
        </w:rPr>
        <w:t>3</w:t>
      </w:r>
      <w:r>
        <w:rPr>
          <w:rFonts w:ascii="Times New Roman" w:hAnsi="Times New Roman"/>
          <w:szCs w:val="24"/>
        </w:rPr>
        <w:t>—K·Na、HCO</w:t>
      </w:r>
      <w:r>
        <w:rPr>
          <w:rFonts w:ascii="Times New Roman" w:hAnsi="Times New Roman"/>
          <w:szCs w:val="24"/>
          <w:vertAlign w:val="subscript"/>
        </w:rPr>
        <w:t>3</w:t>
      </w:r>
      <w:r>
        <w:rPr>
          <w:rFonts w:ascii="Times New Roman" w:hAnsi="Times New Roman"/>
          <w:szCs w:val="24"/>
        </w:rPr>
        <w:t>—Ca·Mg型，矿区中部含水层富水性较好，其它地段富水性甚微。</w:t>
      </w:r>
    </w:p>
    <w:p>
      <w:pPr>
        <w:spacing w:line="440" w:lineRule="exact"/>
        <w:ind w:firstLine="480" w:firstLineChars="200"/>
        <w:rPr>
          <w:rFonts w:ascii="Times New Roman" w:hAnsi="Times New Roman"/>
          <w:szCs w:val="24"/>
        </w:rPr>
      </w:pPr>
      <w:r>
        <w:rPr>
          <w:rFonts w:hint="eastAsia" w:cs="宋体"/>
          <w:szCs w:val="24"/>
        </w:rPr>
        <w:t>②</w:t>
      </w:r>
      <w:r>
        <w:rPr>
          <w:rFonts w:ascii="Times New Roman" w:hAnsi="Times New Roman"/>
          <w:szCs w:val="24"/>
        </w:rPr>
        <w:t>侏罗系中统碎屑岩类承压水（第Ⅱ）含水岩组</w:t>
      </w:r>
    </w:p>
    <w:p>
      <w:pPr>
        <w:snapToGrid w:val="0"/>
        <w:spacing w:line="440" w:lineRule="exact"/>
        <w:ind w:firstLine="480" w:firstLineChars="200"/>
        <w:rPr>
          <w:rFonts w:ascii="Times New Roman" w:hAnsi="Times New Roman"/>
          <w:szCs w:val="24"/>
        </w:rPr>
      </w:pPr>
      <w:r>
        <w:rPr>
          <w:rFonts w:ascii="Times New Roman" w:hAnsi="Times New Roman"/>
          <w:kern w:val="0"/>
          <w:szCs w:val="24"/>
        </w:rPr>
        <w:t>上部紫红色、红色、灰绿色泥岩</w:t>
      </w:r>
      <w:r>
        <w:rPr>
          <w:rFonts w:ascii="Times New Roman" w:hAnsi="Times New Roman"/>
          <w:szCs w:val="24"/>
        </w:rPr>
        <w:t>，</w:t>
      </w:r>
      <w:r>
        <w:rPr>
          <w:rFonts w:ascii="Times New Roman" w:hAnsi="Times New Roman"/>
          <w:kern w:val="0"/>
          <w:szCs w:val="24"/>
        </w:rPr>
        <w:t>局部夹灰绿色</w:t>
      </w:r>
      <w:r>
        <w:rPr>
          <w:rFonts w:ascii="Times New Roman" w:hAnsi="Times New Roman"/>
          <w:szCs w:val="24"/>
        </w:rPr>
        <w:t>，</w:t>
      </w:r>
      <w:r>
        <w:rPr>
          <w:rFonts w:ascii="Times New Roman" w:hAnsi="Times New Roman"/>
          <w:kern w:val="0"/>
          <w:szCs w:val="24"/>
        </w:rPr>
        <w:t>灰紫色中粒砂岩</w:t>
      </w:r>
      <w:r>
        <w:rPr>
          <w:rFonts w:ascii="Times New Roman" w:hAnsi="Times New Roman"/>
          <w:szCs w:val="24"/>
        </w:rPr>
        <w:t>，</w:t>
      </w:r>
      <w:r>
        <w:rPr>
          <w:rFonts w:ascii="Times New Roman" w:hAnsi="Times New Roman"/>
          <w:kern w:val="0"/>
          <w:szCs w:val="24"/>
        </w:rPr>
        <w:t>底部黄色、灰白色块状中粗粒砂岩</w:t>
      </w:r>
      <w:r>
        <w:rPr>
          <w:rFonts w:ascii="Times New Roman" w:hAnsi="Times New Roman"/>
          <w:szCs w:val="24"/>
        </w:rPr>
        <w:t>，</w:t>
      </w:r>
      <w:r>
        <w:rPr>
          <w:rFonts w:ascii="Times New Roman" w:hAnsi="Times New Roman"/>
          <w:kern w:val="0"/>
          <w:szCs w:val="24"/>
        </w:rPr>
        <w:t>含铁质结核。下部紫红色砂质泥岩</w:t>
      </w:r>
      <w:r>
        <w:rPr>
          <w:rFonts w:ascii="Times New Roman" w:hAnsi="Times New Roman"/>
          <w:szCs w:val="24"/>
        </w:rPr>
        <w:t>，</w:t>
      </w:r>
      <w:r>
        <w:rPr>
          <w:rFonts w:ascii="Times New Roman" w:hAnsi="Times New Roman"/>
          <w:kern w:val="0"/>
          <w:szCs w:val="24"/>
        </w:rPr>
        <w:t>粉砂岩，灰绿色厚层状中粗粒砂岩。单位涌水量0.00437～0.0274L/s</w:t>
      </w:r>
      <w:r>
        <w:rPr>
          <w:rFonts w:ascii="Times New Roman" w:hAnsi="Times New Roman"/>
          <w:szCs w:val="24"/>
        </w:rPr>
        <w:t>·m，溶解性总固体为0.714～0.951g/L，</w:t>
      </w:r>
      <w:r>
        <w:rPr>
          <w:rFonts w:ascii="Times New Roman" w:hAnsi="Times New Roman"/>
          <w:spacing w:val="-20"/>
          <w:szCs w:val="24"/>
        </w:rPr>
        <w:t>水化学类型为</w:t>
      </w:r>
      <w:r>
        <w:rPr>
          <w:rFonts w:ascii="Times New Roman" w:hAnsi="Times New Roman"/>
          <w:szCs w:val="24"/>
        </w:rPr>
        <w:t>Cl·HCO</w:t>
      </w:r>
      <w:r>
        <w:rPr>
          <w:rFonts w:ascii="Times New Roman" w:hAnsi="Times New Roman"/>
          <w:szCs w:val="24"/>
          <w:vertAlign w:val="subscript"/>
        </w:rPr>
        <w:t>3</w:t>
      </w:r>
      <w:r>
        <w:rPr>
          <w:rFonts w:ascii="Times New Roman" w:hAnsi="Times New Roman"/>
          <w:szCs w:val="24"/>
        </w:rPr>
        <w:t>—K·Na型，富水性较弱。</w:t>
      </w:r>
    </w:p>
    <w:p>
      <w:pPr>
        <w:spacing w:line="440" w:lineRule="exact"/>
        <w:ind w:firstLine="480" w:firstLineChars="200"/>
        <w:rPr>
          <w:rFonts w:ascii="Times New Roman" w:hAnsi="Times New Roman"/>
          <w:szCs w:val="24"/>
        </w:rPr>
      </w:pPr>
      <w:r>
        <w:rPr>
          <w:rFonts w:hint="eastAsia" w:cs="宋体"/>
          <w:szCs w:val="24"/>
        </w:rPr>
        <w:t>③</w:t>
      </w:r>
      <w:r>
        <w:rPr>
          <w:rFonts w:ascii="Times New Roman" w:hAnsi="Times New Roman"/>
          <w:szCs w:val="24"/>
        </w:rPr>
        <w:t>侏罗系中统直罗组（J</w:t>
      </w:r>
      <w:r>
        <w:rPr>
          <w:rFonts w:ascii="Times New Roman" w:hAnsi="Times New Roman"/>
          <w:szCs w:val="24"/>
          <w:vertAlign w:val="subscript"/>
        </w:rPr>
        <w:t>2</w:t>
      </w:r>
      <w:r>
        <w:rPr>
          <w:rFonts w:ascii="Times New Roman" w:hAnsi="Times New Roman"/>
          <w:szCs w:val="24"/>
        </w:rPr>
        <w:t>z）底部至3煤组底碎屑岩类承压水（第Ⅲ）含水岩组</w:t>
      </w:r>
    </w:p>
    <w:p>
      <w:pPr>
        <w:snapToGrid w:val="0"/>
        <w:spacing w:line="440" w:lineRule="exact"/>
        <w:ind w:firstLine="480" w:firstLineChars="200"/>
        <w:rPr>
          <w:rFonts w:ascii="Times New Roman" w:hAnsi="Times New Roman"/>
          <w:szCs w:val="24"/>
        </w:rPr>
      </w:pPr>
      <w:r>
        <w:rPr>
          <w:rFonts w:ascii="Times New Roman" w:hAnsi="Times New Roman"/>
          <w:kern w:val="0"/>
          <w:szCs w:val="24"/>
        </w:rPr>
        <w:t>岩性以白～浅灰色砂岩和粉砂岩为主。其次为泥岩，砂质泥岩及煤</w:t>
      </w:r>
      <w:r>
        <w:rPr>
          <w:rFonts w:ascii="Times New Roman" w:hAnsi="Times New Roman"/>
          <w:spacing w:val="-20"/>
          <w:kern w:val="0"/>
          <w:szCs w:val="24"/>
        </w:rPr>
        <w:t>层。</w:t>
      </w:r>
      <w:r>
        <w:rPr>
          <w:rFonts w:ascii="Times New Roman" w:hAnsi="Times New Roman"/>
          <w:spacing w:val="-20"/>
          <w:szCs w:val="24"/>
        </w:rPr>
        <w:t>单位涌水量为　0.008～2.17L/s·m，</w:t>
      </w:r>
      <w:r>
        <w:rPr>
          <w:rFonts w:ascii="Times New Roman" w:hAnsi="Times New Roman"/>
          <w:szCs w:val="24"/>
        </w:rPr>
        <w:t>溶解性总固体为0.101～1.254g/L，</w:t>
      </w:r>
      <w:r>
        <w:rPr>
          <w:rFonts w:ascii="Times New Roman" w:hAnsi="Times New Roman"/>
          <w:spacing w:val="-20"/>
          <w:szCs w:val="24"/>
        </w:rPr>
        <w:t>水化学类型为</w:t>
      </w:r>
      <w:r>
        <w:rPr>
          <w:rFonts w:ascii="Times New Roman" w:hAnsi="Times New Roman"/>
          <w:szCs w:val="24"/>
        </w:rPr>
        <w:t>HCO</w:t>
      </w:r>
      <w:r>
        <w:rPr>
          <w:rFonts w:ascii="Times New Roman" w:hAnsi="Times New Roman"/>
          <w:szCs w:val="24"/>
          <w:vertAlign w:val="subscript"/>
        </w:rPr>
        <w:t>3</w:t>
      </w:r>
      <w:r>
        <w:rPr>
          <w:rFonts w:ascii="Times New Roman" w:hAnsi="Times New Roman"/>
          <w:szCs w:val="24"/>
        </w:rPr>
        <w:t>·Cl—K·Na型，富水性较弱。</w:t>
      </w:r>
    </w:p>
    <w:p>
      <w:pPr>
        <w:spacing w:line="440" w:lineRule="exact"/>
        <w:ind w:firstLine="480" w:firstLineChars="200"/>
        <w:rPr>
          <w:rFonts w:ascii="Times New Roman" w:hAnsi="Times New Roman"/>
          <w:szCs w:val="24"/>
        </w:rPr>
      </w:pPr>
      <w:r>
        <w:rPr>
          <w:rFonts w:hint="eastAsia" w:cs="宋体"/>
          <w:szCs w:val="24"/>
        </w:rPr>
        <w:t>④</w:t>
      </w:r>
      <w:r>
        <w:rPr>
          <w:rFonts w:ascii="Times New Roman" w:hAnsi="Times New Roman"/>
          <w:szCs w:val="24"/>
        </w:rPr>
        <w:t>4煤组顶部至6煤组底碎屑岩类承压水（第Ⅳ）含水岩组</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岩性以浅灰、灰、深灰色砂岩粉砂岩，砂质泥岩。底部为灰白色含砾石英砂岩及少量砾岩，砾石为石英岩。单位涌水量0.000674～0.0144</w:t>
      </w:r>
      <w:r>
        <w:rPr>
          <w:rFonts w:ascii="Times New Roman" w:hAnsi="Times New Roman"/>
          <w:spacing w:val="-20"/>
          <w:szCs w:val="24"/>
        </w:rPr>
        <w:t xml:space="preserve"> L/s·m，</w:t>
      </w:r>
      <w:r>
        <w:rPr>
          <w:rFonts w:ascii="Times New Roman" w:hAnsi="Times New Roman"/>
          <w:szCs w:val="24"/>
        </w:rPr>
        <w:t>溶解性总固体为0.101～1.254g/L，</w:t>
      </w:r>
      <w:r>
        <w:rPr>
          <w:rFonts w:ascii="Times New Roman" w:hAnsi="Times New Roman"/>
          <w:spacing w:val="-20"/>
          <w:szCs w:val="24"/>
        </w:rPr>
        <w:t xml:space="preserve">水化学类型为 </w:t>
      </w:r>
      <w:r>
        <w:rPr>
          <w:rFonts w:ascii="Times New Roman" w:hAnsi="Times New Roman"/>
          <w:szCs w:val="24"/>
        </w:rPr>
        <w:t>HCO</w:t>
      </w:r>
      <w:r>
        <w:rPr>
          <w:rFonts w:ascii="Times New Roman" w:hAnsi="Times New Roman"/>
          <w:szCs w:val="24"/>
          <w:vertAlign w:val="subscript"/>
        </w:rPr>
        <w:t>3</w:t>
      </w:r>
      <w:r>
        <w:rPr>
          <w:rFonts w:ascii="Times New Roman" w:hAnsi="Times New Roman"/>
          <w:szCs w:val="24"/>
        </w:rPr>
        <w:t>·Cl—K·Na型。</w:t>
      </w:r>
    </w:p>
    <w:p>
      <w:pPr>
        <w:spacing w:line="440" w:lineRule="exact"/>
        <w:ind w:firstLine="480" w:firstLineChars="200"/>
        <w:rPr>
          <w:rFonts w:ascii="Times New Roman" w:hAnsi="Times New Roman"/>
          <w:szCs w:val="24"/>
        </w:rPr>
      </w:pPr>
      <w:r>
        <w:rPr>
          <w:rFonts w:hint="eastAsia" w:cs="宋体"/>
          <w:szCs w:val="24"/>
        </w:rPr>
        <w:t>⑤</w:t>
      </w:r>
      <w:r>
        <w:rPr>
          <w:rFonts w:ascii="Times New Roman" w:hAnsi="Times New Roman"/>
          <w:szCs w:val="24"/>
        </w:rPr>
        <w:t>6煤底部至三叠系上统延长组（T</w:t>
      </w:r>
      <w:r>
        <w:rPr>
          <w:rFonts w:ascii="Times New Roman" w:hAnsi="Times New Roman"/>
          <w:szCs w:val="24"/>
          <w:vertAlign w:val="subscript"/>
        </w:rPr>
        <w:t>3</w:t>
      </w:r>
      <w:r>
        <w:rPr>
          <w:rFonts w:ascii="Times New Roman" w:hAnsi="Times New Roman"/>
          <w:szCs w:val="24"/>
        </w:rPr>
        <w:t>y）碎屑岩类承压水（第Ⅴ）含水岩组</w:t>
      </w:r>
    </w:p>
    <w:p>
      <w:pPr>
        <w:snapToGrid w:val="0"/>
        <w:spacing w:line="440" w:lineRule="exact"/>
        <w:ind w:firstLine="480" w:firstLineChars="200"/>
        <w:rPr>
          <w:rFonts w:ascii="Times New Roman" w:hAnsi="Times New Roman"/>
          <w:szCs w:val="24"/>
        </w:rPr>
      </w:pPr>
      <w:r>
        <w:rPr>
          <w:rFonts w:ascii="Times New Roman" w:hAnsi="Times New Roman"/>
          <w:szCs w:val="24"/>
        </w:rPr>
        <w:t>该含水层在区内沟谷两侧零星出露，北部高头窑、罕台川一带含水层以砾岩和含砾粗砂岩为主；中南部以黄绿色、黄褐色厚层状中粗粒长石砂岩为主，含岩屑夹粉砂岩砂质泥岩。单位涌水量0.000308～0.253</w:t>
      </w:r>
      <w:r>
        <w:rPr>
          <w:rFonts w:ascii="Times New Roman" w:hAnsi="Times New Roman"/>
          <w:spacing w:val="-20"/>
          <w:szCs w:val="24"/>
        </w:rPr>
        <w:t xml:space="preserve"> L/s·m，水化学类型为</w:t>
      </w:r>
      <w:r>
        <w:rPr>
          <w:rFonts w:ascii="Times New Roman" w:hAnsi="Times New Roman"/>
          <w:szCs w:val="24"/>
        </w:rPr>
        <w:t>HCO</w:t>
      </w:r>
      <w:r>
        <w:rPr>
          <w:rFonts w:ascii="Times New Roman" w:hAnsi="Times New Roman"/>
          <w:szCs w:val="24"/>
          <w:vertAlign w:val="subscript"/>
        </w:rPr>
        <w:t>3</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·Cl—K·Na型，溶解性总固体为1.152～1.415g/L，富水性较弱。</w:t>
      </w:r>
    </w:p>
    <w:p>
      <w:pPr>
        <w:spacing w:line="440" w:lineRule="exact"/>
        <w:ind w:firstLine="480" w:firstLineChars="200"/>
        <w:rPr>
          <w:rFonts w:ascii="Times New Roman" w:hAnsi="Times New Roman"/>
          <w:szCs w:val="24"/>
        </w:rPr>
      </w:pPr>
      <w:r>
        <w:rPr>
          <w:rFonts w:ascii="Times New Roman" w:hAnsi="Times New Roman"/>
          <w:szCs w:val="24"/>
        </w:rPr>
        <w:t>（3）区域地下水的补给、径流、排泄</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地下水的补给来源有大气降水、地表水及侧向径流补给。煤田内地表水体不发育，地下水的径流条件差，大气降水是区域地下水的主要补给来源。第四系潜水直接接受大气降水及地表水的渗入补给，承压水在浅部可接受大气降水及潜水的补给，中生界承压水在深部接受侧向径流补给。</w:t>
      </w:r>
    </w:p>
    <w:p>
      <w:pPr>
        <w:spacing w:line="440" w:lineRule="exact"/>
        <w:ind w:firstLine="480" w:firstLineChars="200"/>
        <w:rPr>
          <w:rFonts w:ascii="Times New Roman" w:hAnsi="Times New Roman"/>
          <w:szCs w:val="24"/>
        </w:rPr>
      </w:pPr>
      <w:r>
        <w:rPr>
          <w:rFonts w:ascii="Times New Roman" w:hAnsi="Times New Roman"/>
          <w:szCs w:val="24"/>
        </w:rPr>
        <w:t>第四系潜水的径流受区域地形控制，以“东胜梁”分水岭为界，分别向南北两个方向径流而排泄出区外；该区的年蒸发量大于2043.6mm，强烈的蒸发亦是第四系潜水排泄的重要途迳。碎屑岩类含水层的径流受单斜构造控制，基本沿岩层倾向即南西方向径流，在沟谷深切地段以泉的形式排泄；在地形变化较小的地段则以侧向径流的方式排泄出区外。</w:t>
      </w:r>
    </w:p>
    <w:p>
      <w:pPr>
        <w:spacing w:line="440" w:lineRule="exact"/>
        <w:ind w:firstLine="480" w:firstLineChars="200"/>
        <w:rPr>
          <w:rFonts w:ascii="Times New Roman" w:hAnsi="Times New Roman"/>
          <w:szCs w:val="24"/>
        </w:rPr>
      </w:pPr>
      <w:r>
        <w:rPr>
          <w:rFonts w:ascii="Times New Roman" w:hAnsi="Times New Roman"/>
          <w:szCs w:val="24"/>
        </w:rPr>
        <w:t>综上所述，区域地下水的赋存、补给、径流、排泄等受气候、水文、地形、地貌等因素综合控制，因补给来源有限，区域含水岩组的富水性微弱，水量贫乏。</w:t>
      </w:r>
    </w:p>
    <w:p>
      <w:pPr>
        <w:spacing w:line="440" w:lineRule="exact"/>
        <w:ind w:firstLine="480" w:firstLineChars="200"/>
        <w:rPr>
          <w:rFonts w:ascii="Times New Roman" w:hAnsi="Times New Roman"/>
          <w:szCs w:val="24"/>
        </w:rPr>
      </w:pPr>
      <w:r>
        <w:rPr>
          <w:rFonts w:ascii="Times New Roman" w:hAnsi="Times New Roman"/>
          <w:szCs w:val="24"/>
        </w:rPr>
        <w:t>区域水文地质图见图5.3-5。</w:t>
      </w:r>
    </w:p>
    <w:p>
      <w:pPr>
        <w:keepNext/>
        <w:keepLines/>
        <w:adjustRightInd w:val="0"/>
        <w:snapToGrid w:val="0"/>
        <w:spacing w:line="440" w:lineRule="exact"/>
        <w:outlineLvl w:val="2"/>
        <w:rPr>
          <w:rFonts w:ascii="Times New Roman" w:hAnsi="Times New Roman"/>
          <w:b/>
        </w:rPr>
      </w:pPr>
      <w:bookmarkStart w:id="229" w:name="_Toc372711038"/>
      <w:r>
        <w:rPr>
          <w:rFonts w:ascii="Times New Roman" w:hAnsi="Times New Roman"/>
          <w:b/>
        </w:rPr>
        <w:t>5.3.4 矿区水文地质条件</w:t>
      </w:r>
      <w:bookmarkEnd w:id="229"/>
    </w:p>
    <w:p>
      <w:pPr>
        <w:spacing w:line="440" w:lineRule="exact"/>
        <w:ind w:firstLine="480" w:firstLineChars="200"/>
        <w:rPr>
          <w:rFonts w:ascii="Times New Roman" w:hAnsi="Times New Roman"/>
          <w:szCs w:val="24"/>
        </w:rPr>
      </w:pPr>
      <w:r>
        <w:rPr>
          <w:rFonts w:ascii="Times New Roman" w:hAnsi="Times New Roman"/>
          <w:szCs w:val="24"/>
        </w:rPr>
        <w:t>（1）水文地质概况</w:t>
      </w:r>
    </w:p>
    <w:p>
      <w:pPr>
        <w:adjustRightInd w:val="0"/>
        <w:snapToGrid w:val="0"/>
        <w:spacing w:line="440" w:lineRule="exact"/>
        <w:ind w:firstLine="480" w:firstLineChars="200"/>
        <w:rPr>
          <w:rFonts w:ascii="Times New Roman" w:hAnsi="Times New Roman"/>
          <w:szCs w:val="24"/>
        </w:rPr>
      </w:pPr>
      <w:r>
        <w:rPr>
          <w:rFonts w:ascii="Times New Roman" w:hAnsi="Times New Roman"/>
          <w:snapToGrid w:val="0"/>
          <w:szCs w:val="24"/>
        </w:rPr>
        <w:t>矿区位于东胜</w:t>
      </w:r>
      <w:r>
        <w:rPr>
          <w:rFonts w:ascii="Times New Roman" w:hAnsi="Times New Roman"/>
          <w:szCs w:val="24"/>
        </w:rPr>
        <w:t>煤田西南部，“东胜梁”以南。区内地形，呈西北高，东南低的斜坡状地形，区内地形起伏不大，海拔标高一般在1300～1500m之间，海拔相对高差200m。由于受毛乌素沙漠的影响，地面多被风积沙复盖，形成典型的堆积型地貌。只在沟谷和较高的高包、高坡上有基岩出露。</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区内河流均属内陆水系，在矿区的中部和东南部有多个大小不一的咸水湖，其水量受大气降水控制，夏秋季大，冬春季小。以哈塔图淖尔、光明淖尔为主的两个大的咸水湖常年有水，水域面积达2-3km</w:t>
      </w:r>
      <w:r>
        <w:rPr>
          <w:rFonts w:ascii="Times New Roman" w:hAnsi="Times New Roman"/>
          <w:szCs w:val="24"/>
          <w:vertAlign w:val="superscript"/>
        </w:rPr>
        <w:t>2</w:t>
      </w:r>
      <w:r>
        <w:rPr>
          <w:rFonts w:ascii="Times New Roman" w:hAnsi="Times New Roman"/>
          <w:szCs w:val="24"/>
        </w:rPr>
        <w:t>。</w:t>
      </w:r>
    </w:p>
    <w:p>
      <w:pPr>
        <w:spacing w:line="440" w:lineRule="exact"/>
        <w:ind w:firstLine="480" w:firstLineChars="200"/>
        <w:rPr>
          <w:rFonts w:ascii="Times New Roman" w:hAnsi="Times New Roman"/>
          <w:szCs w:val="24"/>
        </w:rPr>
      </w:pPr>
      <w:r>
        <w:rPr>
          <w:rFonts w:ascii="Times New Roman" w:hAnsi="Times New Roman"/>
          <w:szCs w:val="24"/>
        </w:rPr>
        <w:t>（2）含水岩组的水文地质特征</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根据原纳林希里普查报告资料，结合岩层的分布和空间组合特点分析，以地下水的水力性质及赋存条件的不同，区内含水岩组可划分为三大类：松散岩类孔隙潜水含水岩组、碎屑岩类孔隙、裂隙潜水</w:t>
      </w:r>
      <w:r>
        <w:rPr>
          <w:rFonts w:ascii="Times New Roman" w:hAnsi="Times New Roman"/>
          <w:kern w:val="0"/>
          <w:szCs w:val="24"/>
        </w:rPr>
        <w:t>～</w:t>
      </w:r>
      <w:r>
        <w:rPr>
          <w:rFonts w:ascii="Times New Roman" w:hAnsi="Times New Roman"/>
          <w:szCs w:val="24"/>
        </w:rPr>
        <w:t>裂隙承压水含水岩组、碎屑岩类裂隙承压水含水岩组。现分述如下：</w:t>
      </w:r>
    </w:p>
    <w:p>
      <w:pPr>
        <w:spacing w:line="440" w:lineRule="exact"/>
        <w:ind w:firstLine="480" w:firstLineChars="200"/>
        <w:rPr>
          <w:rFonts w:ascii="Times New Roman" w:hAnsi="Times New Roman"/>
          <w:szCs w:val="24"/>
        </w:rPr>
      </w:pPr>
      <w:r>
        <w:rPr>
          <w:rFonts w:ascii="Times New Roman" w:hAnsi="Times New Roman"/>
          <w:szCs w:val="24"/>
        </w:rPr>
        <w:t>1）松散岩类孔隙潜水含水岩组</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第四系松散堆积层在全区大部分地段发育。上部主要是风积沙层及残坡积物，由灰黄色细砂、粉砂组成，成份以石英、长石为主，分布面积较广，但厚度小；主要分布在残丘梁、峁及坡地上，地形不利于积水，为透水不含水层。下部为马兰黄土，柱状节理发育，含钙质结核，含水微弱。</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冲洪积物和冲淤积物分布于各沟谷中及地形低洼处，由砂砾石、细粉砂和砂粘土组成，构成松散层潜水的主要含水层，水质较好，水位埋藏浅，一般在0.2～36.24m，主要为大气降水补给。松散层潜水是下部白垩系下统志丹群（K</w:t>
      </w:r>
      <w:r>
        <w:rPr>
          <w:rFonts w:ascii="Times New Roman" w:hAnsi="Times New Roman"/>
          <w:szCs w:val="24"/>
          <w:vertAlign w:val="subscript"/>
        </w:rPr>
        <w:t>1</w:t>
      </w:r>
      <w:r>
        <w:rPr>
          <w:rFonts w:ascii="Times New Roman" w:hAnsi="Times New Roman"/>
          <w:szCs w:val="24"/>
        </w:rPr>
        <w:t>zh）碎屑岩类孔隙裂隙潜水的直接补给来源。</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根据区内C002和C066号水井的简易抽水试验资料：含水岩性为中、细沙，水位标高</w:t>
      </w:r>
      <w:r>
        <w:rPr>
          <w:rFonts w:ascii="Times New Roman" w:hAnsi="Times New Roman"/>
          <w:w w:val="90"/>
          <w:szCs w:val="24"/>
        </w:rPr>
        <w:t>1338.68</w:t>
      </w:r>
      <w:r>
        <w:rPr>
          <w:rFonts w:ascii="Times New Roman" w:hAnsi="Times New Roman"/>
          <w:szCs w:val="24"/>
        </w:rPr>
        <w:t>～</w:t>
      </w:r>
      <w:r>
        <w:rPr>
          <w:rFonts w:ascii="Times New Roman" w:hAnsi="Times New Roman"/>
          <w:w w:val="90"/>
          <w:szCs w:val="24"/>
        </w:rPr>
        <w:t>1338.72m</w:t>
      </w:r>
      <w:r>
        <w:rPr>
          <w:rFonts w:ascii="Times New Roman" w:hAnsi="Times New Roman"/>
          <w:szCs w:val="24"/>
        </w:rPr>
        <w:t>，水位降深S=</w:t>
      </w:r>
      <w:r>
        <w:rPr>
          <w:rFonts w:ascii="Times New Roman" w:hAnsi="Times New Roman"/>
          <w:w w:val="90"/>
          <w:szCs w:val="24"/>
        </w:rPr>
        <w:t>1.54</w:t>
      </w:r>
      <w:r>
        <w:rPr>
          <w:rFonts w:ascii="Times New Roman" w:hAnsi="Times New Roman"/>
          <w:szCs w:val="24"/>
        </w:rPr>
        <w:t>～2.11m，单位涌水量q=3.0411～4.347</w:t>
      </w:r>
      <w:r>
        <w:rPr>
          <w:rFonts w:ascii="Times New Roman" w:hAnsi="Times New Roman"/>
          <w:i/>
          <w:szCs w:val="24"/>
        </w:rPr>
        <w:t>l</w:t>
      </w:r>
      <w:r>
        <w:rPr>
          <w:rFonts w:ascii="Times New Roman" w:hAnsi="Times New Roman"/>
          <w:szCs w:val="24"/>
        </w:rPr>
        <w:t>/s·m，渗透系数</w:t>
      </w:r>
      <w:r>
        <w:rPr>
          <w:rFonts w:ascii="Times New Roman" w:hAnsi="Times New Roman"/>
          <w:iCs/>
          <w:szCs w:val="24"/>
        </w:rPr>
        <w:t>K=</w:t>
      </w:r>
      <w:r>
        <w:rPr>
          <w:rFonts w:ascii="Times New Roman" w:hAnsi="Times New Roman"/>
          <w:szCs w:val="24"/>
        </w:rPr>
        <w:t>10.80～22.20m/d，溶解性总固体387～1288mg/</w:t>
      </w:r>
      <w:r>
        <w:rPr>
          <w:rFonts w:ascii="Times New Roman" w:hAnsi="Times New Roman"/>
          <w:i/>
          <w:szCs w:val="24"/>
        </w:rPr>
        <w:t>l</w:t>
      </w:r>
      <w:r>
        <w:rPr>
          <w:rFonts w:ascii="Times New Roman" w:hAnsi="Times New Roman"/>
          <w:szCs w:val="24"/>
        </w:rPr>
        <w:t>，pH值8.1～8.2，氟含量为0.57～0.58。地下水化学类型为HCO</w:t>
      </w:r>
      <w:r>
        <w:rPr>
          <w:rFonts w:ascii="Times New Roman" w:hAnsi="Times New Roman"/>
          <w:szCs w:val="24"/>
          <w:vertAlign w:val="subscript"/>
        </w:rPr>
        <w:t>3</w:t>
      </w:r>
      <w:r>
        <w:rPr>
          <w:rFonts w:ascii="Times New Roman" w:hAnsi="Times New Roman"/>
          <w:szCs w:val="24"/>
        </w:rPr>
        <w:t>－Ca·Na·Mg～Cl·SO</w:t>
      </w:r>
      <w:r>
        <w:rPr>
          <w:rFonts w:ascii="Times New Roman" w:hAnsi="Times New Roman"/>
          <w:szCs w:val="24"/>
          <w:vertAlign w:val="subscript"/>
        </w:rPr>
        <w:t>4</w:t>
      </w:r>
      <w:r>
        <w:rPr>
          <w:rFonts w:ascii="Times New Roman" w:hAnsi="Times New Roman"/>
          <w:szCs w:val="24"/>
        </w:rPr>
        <w:t>·HCO</w:t>
      </w:r>
      <w:r>
        <w:rPr>
          <w:rFonts w:ascii="Times New Roman" w:hAnsi="Times New Roman"/>
          <w:szCs w:val="24"/>
          <w:vertAlign w:val="subscript"/>
        </w:rPr>
        <w:t>3</w:t>
      </w:r>
      <w:r>
        <w:rPr>
          <w:rFonts w:ascii="Times New Roman" w:hAnsi="Times New Roman"/>
          <w:szCs w:val="24"/>
        </w:rPr>
        <w:t>—Ca·Mg型。</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区内潜水补给来源主要为大气降水，水位、水质、水量受气象因素影响较大，具有明显的季节性变化。根据野外填图资料，第四系含水岩层富水性极不均一，属弱～强富水性含水岩组。</w:t>
      </w:r>
    </w:p>
    <w:p>
      <w:pPr>
        <w:spacing w:line="440" w:lineRule="exact"/>
        <w:ind w:firstLine="480" w:firstLineChars="200"/>
        <w:rPr>
          <w:rFonts w:ascii="Times New Roman" w:hAnsi="Times New Roman"/>
          <w:szCs w:val="24"/>
        </w:rPr>
      </w:pPr>
      <w:r>
        <w:rPr>
          <w:rFonts w:ascii="Times New Roman" w:hAnsi="Times New Roman"/>
          <w:szCs w:val="24"/>
        </w:rPr>
        <w:t>2）碎屑岩类孔隙、裂隙潜水～裂隙承压水含水岩组</w:t>
      </w:r>
    </w:p>
    <w:p>
      <w:pPr>
        <w:adjustRightInd w:val="0"/>
        <w:snapToGrid w:val="0"/>
        <w:spacing w:line="440" w:lineRule="exact"/>
        <w:ind w:firstLine="480" w:firstLineChars="200"/>
        <w:rPr>
          <w:rFonts w:ascii="Times New Roman" w:hAnsi="Times New Roman"/>
          <w:szCs w:val="24"/>
        </w:rPr>
      </w:pPr>
      <w:r>
        <w:rPr>
          <w:rFonts w:hint="eastAsia" w:cs="宋体"/>
          <w:kern w:val="0"/>
          <w:szCs w:val="24"/>
        </w:rPr>
        <w:t>①</w:t>
      </w:r>
      <w:r>
        <w:rPr>
          <w:rFonts w:ascii="Times New Roman" w:hAnsi="Times New Roman"/>
          <w:szCs w:val="24"/>
        </w:rPr>
        <w:t>白垩系下统志丹群（K</w:t>
      </w:r>
      <w:r>
        <w:rPr>
          <w:rFonts w:ascii="Times New Roman" w:hAnsi="Times New Roman"/>
          <w:szCs w:val="24"/>
          <w:vertAlign w:val="subscript"/>
        </w:rPr>
        <w:t>1</w:t>
      </w:r>
      <w:r>
        <w:rPr>
          <w:rFonts w:ascii="Times New Roman" w:hAnsi="Times New Roman"/>
          <w:i/>
          <w:szCs w:val="24"/>
        </w:rPr>
        <w:t>zh</w:t>
      </w:r>
      <w:r>
        <w:rPr>
          <w:rFonts w:ascii="Times New Roman" w:hAnsi="Times New Roman"/>
          <w:szCs w:val="24"/>
        </w:rPr>
        <w:t>）孔隙潜水～裂隙承压水（第Ⅰ）含水岩组</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全区发育。地层岩性主要以紫红色、棕红色、红褐色巨厚层状粗、中、细粒长石砂岩为主，夹少量泥岩、砂质泥岩。砂岩主要由石英、长石、岩屑及砂屑、少量胶结物及粘土杂基组成。分选性较差，磨圆度多为次棱角状。以泥质胶结为主，固结程度较差，岩石松软易碎，具大型槽状、板状、楔形交错层理。</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志丹群含水岩组就其水力性质可分为潜水和承压水。由于砂岩胶结程度不同，致使砂岩中的透水性能、含水空间均存在很大差异性。胶结好、致密坚硬的砂岩即为良好的隔水层；疏松、孔隙发育的砂岩，成为赋存地下水或运移的通道，此外，还有介于二者之间的弱透水层。由于含水层与隔水层及弱透水层间变化复杂，故潜水与承压水通过弱透水层越流相互补给，相互渗透，水力联系相对比较密切。由于承压水的补给源以区外上游地下水侧向径流补给为主，次为潜水越流，故承压水的压力水头一般较低。</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szCs w:val="24"/>
        </w:rPr>
        <w:t>根据钻孔资料统计含水层厚度</w:t>
      </w:r>
      <w:r>
        <w:rPr>
          <w:rFonts w:ascii="Times New Roman" w:hAnsi="Times New Roman"/>
          <w:kern w:val="0"/>
          <w:szCs w:val="24"/>
        </w:rPr>
        <w:t>为191.85～667.63m。据简易水文地质观测资料，消耗量为0.1～0.67t/h。该含水岩层属孔隙水。</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据壕赖苏详查施工的</w:t>
      </w:r>
      <w:r>
        <w:rPr>
          <w:rFonts w:ascii="Times New Roman" w:hAnsi="Times New Roman"/>
          <w:kern w:val="0"/>
          <w:szCs w:val="24"/>
        </w:rPr>
        <w:t>X39-1、X39-5号钻孔对第四系以及</w:t>
      </w:r>
      <w:r>
        <w:rPr>
          <w:rFonts w:ascii="Times New Roman" w:hAnsi="Times New Roman"/>
          <w:szCs w:val="24"/>
        </w:rPr>
        <w:t>白垩系下统志丹群含水层进行了混合抽水试验，抽水试验结果显示</w:t>
      </w:r>
      <w:r>
        <w:rPr>
          <w:rFonts w:ascii="Times New Roman" w:hAnsi="Times New Roman"/>
          <w:kern w:val="0"/>
          <w:szCs w:val="24"/>
        </w:rPr>
        <w:t>：X39-1号钻孔揭露该含水岩组411.74m，地下水位标高1320.37m</w:t>
      </w:r>
      <w:r>
        <w:rPr>
          <w:rFonts w:ascii="Times New Roman" w:hAnsi="Times New Roman"/>
          <w:szCs w:val="24"/>
        </w:rPr>
        <w:t>，水位埋深5.97m，单位涌水量q=0.1301L/s.m，</w:t>
      </w:r>
      <w:r>
        <w:rPr>
          <w:rFonts w:ascii="Times New Roman" w:hAnsi="Times New Roman"/>
          <w:kern w:val="0"/>
          <w:szCs w:val="24"/>
        </w:rPr>
        <w:t>渗透系数K=0.0248m/d，含水层属中等富水性。</w:t>
      </w:r>
      <w:r>
        <w:rPr>
          <w:rFonts w:ascii="Times New Roman" w:hAnsi="Times New Roman"/>
          <w:szCs w:val="24"/>
        </w:rPr>
        <w:t>矿化度1.63g/L，PH=8.3，水化学类型为Cl</w:t>
      </w:r>
      <w:r>
        <w:rPr>
          <w:rFonts w:ascii="Times New Roman" w:hAnsi="Times New Roman"/>
          <w:szCs w:val="24"/>
          <w:vertAlign w:val="subscript"/>
        </w:rPr>
        <w:t xml:space="preserve"> </w:t>
      </w:r>
      <w:r>
        <w:rPr>
          <w:rFonts w:ascii="Times New Roman" w:hAnsi="Times New Roman"/>
          <w:szCs w:val="24"/>
        </w:rPr>
        <w:t>—Na</w:t>
      </w:r>
      <w:r>
        <w:rPr>
          <w:rFonts w:ascii="Times New Roman" w:hAnsi="Times New Roman"/>
          <w:szCs w:val="24"/>
          <w:vertAlign w:val="subscript"/>
        </w:rPr>
        <w:t xml:space="preserve"> </w:t>
      </w:r>
      <w:r>
        <w:rPr>
          <w:rFonts w:ascii="Times New Roman" w:hAnsi="Times New Roman"/>
          <w:szCs w:val="24"/>
        </w:rPr>
        <w:t>型，水质较差。</w:t>
      </w:r>
      <w:r>
        <w:rPr>
          <w:rFonts w:ascii="Times New Roman" w:hAnsi="Times New Roman"/>
          <w:kern w:val="0"/>
          <w:szCs w:val="24"/>
        </w:rPr>
        <w:t>X39-5号钻孔揭露该含水岩组568.67m，地下水位标高1321.07m</w:t>
      </w:r>
      <w:r>
        <w:rPr>
          <w:rFonts w:ascii="Times New Roman" w:hAnsi="Times New Roman"/>
          <w:szCs w:val="24"/>
        </w:rPr>
        <w:t>，水位埋深1.56m，单位涌水量q=0.1230L/s.m，</w:t>
      </w:r>
      <w:r>
        <w:rPr>
          <w:rFonts w:ascii="Times New Roman" w:hAnsi="Times New Roman"/>
          <w:kern w:val="0"/>
          <w:szCs w:val="24"/>
        </w:rPr>
        <w:t>渗透系数K=0.0159m/d，含水层属中等富水性。</w:t>
      </w:r>
      <w:r>
        <w:rPr>
          <w:rFonts w:ascii="Times New Roman" w:hAnsi="Times New Roman"/>
          <w:szCs w:val="24"/>
        </w:rPr>
        <w:t>矿化度0.64g/L，PH=8.2，水化学类型为HCO</w:t>
      </w:r>
      <w:r>
        <w:rPr>
          <w:rFonts w:ascii="Times New Roman" w:hAnsi="Times New Roman"/>
          <w:szCs w:val="24"/>
          <w:vertAlign w:val="subscript"/>
        </w:rPr>
        <w:t>3</w:t>
      </w:r>
      <w:r>
        <w:rPr>
          <w:rFonts w:ascii="Times New Roman" w:hAnsi="Times New Roman"/>
          <w:szCs w:val="24"/>
        </w:rPr>
        <w:t>·Cl</w:t>
      </w:r>
      <w:r>
        <w:rPr>
          <w:rFonts w:ascii="Times New Roman" w:hAnsi="Times New Roman"/>
          <w:szCs w:val="24"/>
          <w:vertAlign w:val="subscript"/>
        </w:rPr>
        <w:t xml:space="preserve"> </w:t>
      </w:r>
      <w:r>
        <w:rPr>
          <w:rFonts w:ascii="Times New Roman" w:hAnsi="Times New Roman"/>
          <w:szCs w:val="24"/>
        </w:rPr>
        <w:t>—Ca·Na·Mg</w:t>
      </w:r>
      <w:r>
        <w:rPr>
          <w:rFonts w:ascii="Times New Roman" w:hAnsi="Times New Roman"/>
          <w:szCs w:val="24"/>
          <w:vertAlign w:val="subscript"/>
        </w:rPr>
        <w:t xml:space="preserve"> </w:t>
      </w:r>
      <w:r>
        <w:rPr>
          <w:rFonts w:ascii="Times New Roman" w:hAnsi="Times New Roman"/>
          <w:szCs w:val="24"/>
        </w:rPr>
        <w:t>型，水质较差。</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据苏布尔嘎普查阶段施工的P14-4钻孔，对第四系及白垩系下统志丹群（K1zh）进行了混合抽水试验，抽水试验结果显示：水位标高1351.53m，水位埋深0.83m，最大降深11.55m，单位涌水量q=0.486L/s·m，换算单位涌水量为q换=0.476L/s·m，含水层属中等富水性；渗透系数K=0.0624m/d；水化学类型为HCO</w:t>
      </w:r>
      <w:r>
        <w:rPr>
          <w:rFonts w:ascii="Times New Roman" w:hAnsi="Times New Roman"/>
          <w:szCs w:val="24"/>
          <w:vertAlign w:val="subscript"/>
        </w:rPr>
        <w:t>3</w:t>
      </w:r>
      <w:r>
        <w:rPr>
          <w:rFonts w:ascii="Times New Roman" w:hAnsi="Times New Roman"/>
          <w:szCs w:val="24"/>
        </w:rPr>
        <w:t>-Ca·Mg型水；矿化度0.39g/L，属低矿化度淡水；PH值7.7，属中性水。</w:t>
      </w:r>
    </w:p>
    <w:p>
      <w:pPr>
        <w:tabs>
          <w:tab w:val="left" w:pos="64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根据纳林希里详查施工的NX7-2、NX7-6两个钻孔抽水试验资料：含水层厚度493.69m～502.59m，水头标高1297.403m～1304.999m，水位降深S=9.41m～29.81m，单位涌水量q=0.109～0.133</w:t>
      </w:r>
      <w:r>
        <w:rPr>
          <w:rFonts w:ascii="Times New Roman" w:hAnsi="Times New Roman"/>
          <w:i/>
          <w:szCs w:val="24"/>
        </w:rPr>
        <w:t>l</w:t>
      </w:r>
      <w:r>
        <w:rPr>
          <w:rFonts w:ascii="Times New Roman" w:hAnsi="Times New Roman"/>
          <w:szCs w:val="24"/>
        </w:rPr>
        <w:t>/s·m，渗透系数</w:t>
      </w:r>
      <w:r>
        <w:rPr>
          <w:rFonts w:ascii="Times New Roman" w:hAnsi="Times New Roman"/>
          <w:i/>
          <w:szCs w:val="24"/>
        </w:rPr>
        <w:t>K</w:t>
      </w:r>
      <w:r>
        <w:rPr>
          <w:rFonts w:ascii="Times New Roman" w:hAnsi="Times New Roman"/>
          <w:szCs w:val="24"/>
        </w:rPr>
        <w:t>=0.0137～0.0231m/d，溶解性总固体557～906mg/</w:t>
      </w:r>
      <w:r>
        <w:rPr>
          <w:rFonts w:ascii="Times New Roman" w:hAnsi="Times New Roman"/>
          <w:i/>
          <w:szCs w:val="24"/>
        </w:rPr>
        <w:t>l</w:t>
      </w:r>
      <w:r>
        <w:rPr>
          <w:rFonts w:ascii="Times New Roman" w:hAnsi="Times New Roman"/>
          <w:szCs w:val="24"/>
        </w:rPr>
        <w:t>，PH值8.2～8.3，氟含量为10.95～11.49</w:t>
      </w:r>
      <w:r>
        <w:rPr>
          <w:rFonts w:ascii="Times New Roman" w:hAnsi="Times New Roman"/>
        </w:rPr>
        <w:t xml:space="preserve"> </w:t>
      </w:r>
      <w:r>
        <w:rPr>
          <w:rFonts w:ascii="Times New Roman" w:hAnsi="Times New Roman"/>
          <w:szCs w:val="24"/>
        </w:rPr>
        <w:t>mg/l。地下水化学类型为HCO</w:t>
      </w:r>
      <w:r>
        <w:rPr>
          <w:rFonts w:ascii="Times New Roman" w:hAnsi="Times New Roman"/>
          <w:szCs w:val="24"/>
          <w:vertAlign w:val="subscript"/>
        </w:rPr>
        <w:t>3</w:t>
      </w:r>
      <w:r>
        <w:rPr>
          <w:rFonts w:ascii="Times New Roman" w:hAnsi="Times New Roman"/>
          <w:szCs w:val="24"/>
        </w:rPr>
        <w:t>·SO</w:t>
      </w:r>
      <w:r>
        <w:rPr>
          <w:rFonts w:ascii="Times New Roman" w:hAnsi="Times New Roman"/>
          <w:szCs w:val="24"/>
          <w:vertAlign w:val="subscript"/>
        </w:rPr>
        <w:t>4</w:t>
      </w:r>
      <w:r>
        <w:rPr>
          <w:rFonts w:ascii="Times New Roman" w:hAnsi="Times New Roman"/>
          <w:szCs w:val="24"/>
        </w:rPr>
        <w:t>－Na～SO</w:t>
      </w:r>
      <w:r>
        <w:rPr>
          <w:rFonts w:ascii="Times New Roman" w:hAnsi="Times New Roman"/>
          <w:szCs w:val="24"/>
          <w:vertAlign w:val="subscript"/>
        </w:rPr>
        <w:t>4</w:t>
      </w:r>
      <w:r>
        <w:rPr>
          <w:rFonts w:ascii="Times New Roman" w:hAnsi="Times New Roman"/>
          <w:szCs w:val="24"/>
        </w:rPr>
        <w:t>·HCO</w:t>
      </w:r>
      <w:r>
        <w:rPr>
          <w:rFonts w:ascii="Times New Roman" w:hAnsi="Times New Roman"/>
          <w:szCs w:val="24"/>
          <w:vertAlign w:val="subscript"/>
        </w:rPr>
        <w:t>3</w:t>
      </w:r>
      <w:r>
        <w:rPr>
          <w:rFonts w:ascii="Times New Roman" w:hAnsi="Times New Roman"/>
          <w:szCs w:val="24"/>
        </w:rPr>
        <w:t>—Na型。该含水岩组属弱富水性含水岩组，局部与上部含水层水力联系密切，与下部含水岩组无水力联系。</w:t>
      </w:r>
    </w:p>
    <w:p>
      <w:pPr>
        <w:autoSpaceDE w:val="0"/>
        <w:autoSpaceDN w:val="0"/>
        <w:adjustRightInd w:val="0"/>
        <w:snapToGrid w:val="0"/>
        <w:spacing w:line="440" w:lineRule="exact"/>
        <w:ind w:firstLine="480" w:firstLineChars="200"/>
        <w:rPr>
          <w:rFonts w:ascii="Times New Roman" w:hAnsi="Times New Roman"/>
          <w:kern w:val="0"/>
          <w:szCs w:val="24"/>
        </w:rPr>
      </w:pPr>
      <w:r>
        <w:rPr>
          <w:rFonts w:hint="eastAsia" w:cs="宋体"/>
          <w:kern w:val="0"/>
          <w:szCs w:val="24"/>
        </w:rPr>
        <w:t>②</w:t>
      </w:r>
      <w:r>
        <w:rPr>
          <w:rFonts w:ascii="Times New Roman" w:hAnsi="Times New Roman"/>
          <w:kern w:val="0"/>
          <w:szCs w:val="24"/>
        </w:rPr>
        <w:t>侏罗系中统安定组（J</w:t>
      </w:r>
      <w:r>
        <w:rPr>
          <w:rFonts w:ascii="Times New Roman" w:hAnsi="Times New Roman"/>
          <w:kern w:val="0"/>
          <w:szCs w:val="24"/>
          <w:vertAlign w:val="subscript"/>
        </w:rPr>
        <w:t>2</w:t>
      </w:r>
      <w:r>
        <w:rPr>
          <w:rFonts w:ascii="Times New Roman" w:hAnsi="Times New Roman"/>
          <w:i/>
          <w:kern w:val="0"/>
          <w:szCs w:val="24"/>
        </w:rPr>
        <w:t>a</w:t>
      </w:r>
      <w:r>
        <w:rPr>
          <w:rFonts w:ascii="Times New Roman" w:hAnsi="Times New Roman"/>
          <w:kern w:val="0"/>
          <w:szCs w:val="24"/>
        </w:rPr>
        <w:t>）隔水层</w:t>
      </w:r>
    </w:p>
    <w:p>
      <w:pPr>
        <w:autoSpaceDE w:val="0"/>
        <w:autoSpaceDN w:val="0"/>
        <w:adjustRightInd w:val="0"/>
        <w:snapToGrid w:val="0"/>
        <w:spacing w:line="440" w:lineRule="exact"/>
        <w:ind w:firstLine="480" w:firstLineChars="200"/>
        <w:rPr>
          <w:rFonts w:ascii="Times New Roman" w:hAnsi="Times New Roman"/>
          <w:color w:val="FF0000"/>
          <w:kern w:val="0"/>
          <w:szCs w:val="24"/>
        </w:rPr>
      </w:pPr>
      <w:r>
        <w:rPr>
          <w:rFonts w:hint="eastAsia" w:ascii="Times New Roman" w:hAnsi="Times New Roman"/>
          <w:szCs w:val="24"/>
        </w:rPr>
        <w:t>该隔水层位于下白垩统志丹群底部，与下伏地层呈连续沉积。岩性主要为紫红色、棕色及杂色砂质泥岩和泥岩，少量中、粗砂岩。</w:t>
      </w:r>
      <w:r>
        <w:rPr>
          <w:rFonts w:hint="eastAsia" w:ascii="Times New Roman" w:hAnsi="Times New Roman"/>
          <w:color w:val="FF0000"/>
          <w:szCs w:val="24"/>
        </w:rPr>
        <w:t>全区发育，地层厚度</w:t>
      </w:r>
      <w:r>
        <w:rPr>
          <w:rFonts w:ascii="Times New Roman" w:hAnsi="Times New Roman"/>
          <w:color w:val="FF0000"/>
          <w:szCs w:val="24"/>
        </w:rPr>
        <w:t>18m～213m，平均86m，广泛分布，隔水性能较好。</w:t>
      </w:r>
    </w:p>
    <w:p>
      <w:pPr>
        <w:spacing w:line="440" w:lineRule="exact"/>
        <w:ind w:firstLine="480" w:firstLineChars="200"/>
        <w:rPr>
          <w:rFonts w:ascii="Times New Roman" w:hAnsi="Times New Roman"/>
          <w:szCs w:val="24"/>
        </w:rPr>
      </w:pPr>
      <w:r>
        <w:rPr>
          <w:rFonts w:ascii="Times New Roman" w:hAnsi="Times New Roman"/>
          <w:szCs w:val="24"/>
        </w:rPr>
        <w:t>3）碎屑岩类裂隙承压水含水岩组</w:t>
      </w:r>
    </w:p>
    <w:p>
      <w:pPr>
        <w:autoSpaceDE w:val="0"/>
        <w:autoSpaceDN w:val="0"/>
        <w:adjustRightInd w:val="0"/>
        <w:snapToGrid w:val="0"/>
        <w:spacing w:line="440" w:lineRule="exact"/>
        <w:ind w:firstLine="480" w:firstLineChars="200"/>
        <w:rPr>
          <w:rFonts w:ascii="Times New Roman" w:hAnsi="Times New Roman"/>
          <w:kern w:val="0"/>
          <w:szCs w:val="24"/>
        </w:rPr>
      </w:pPr>
      <w:r>
        <w:rPr>
          <w:rFonts w:hint="eastAsia" w:cs="宋体"/>
          <w:kern w:val="0"/>
          <w:szCs w:val="24"/>
        </w:rPr>
        <w:t>①</w:t>
      </w:r>
      <w:r>
        <w:rPr>
          <w:rFonts w:ascii="Times New Roman" w:hAnsi="Times New Roman"/>
          <w:kern w:val="0"/>
          <w:szCs w:val="24"/>
        </w:rPr>
        <w:t>侏罗系中统直罗组(J</w:t>
      </w:r>
      <w:r>
        <w:rPr>
          <w:rFonts w:ascii="Times New Roman" w:hAnsi="Times New Roman"/>
          <w:kern w:val="0"/>
          <w:szCs w:val="24"/>
          <w:vertAlign w:val="subscript"/>
        </w:rPr>
        <w:t>2</w:t>
      </w:r>
      <w:r>
        <w:rPr>
          <w:rFonts w:ascii="Times New Roman" w:hAnsi="Times New Roman"/>
          <w:kern w:val="0"/>
          <w:szCs w:val="24"/>
        </w:rPr>
        <w:t>z)碎屑岩类承压水(第Ⅱ)含水岩组</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该组地层地表无出露，据钻孔揭露资料，岩性主要由一套紫红色、杂色砂质泥岩、泥岩与灰绿色、黄绿色粉砂岩互层。地层厚度32.16m～139.18m，平均79.90m。与下伏延安组(J</w:t>
      </w:r>
      <w:r>
        <w:rPr>
          <w:rFonts w:ascii="Times New Roman" w:hAnsi="Times New Roman"/>
          <w:kern w:val="0"/>
          <w:szCs w:val="24"/>
          <w:vertAlign w:val="subscript"/>
        </w:rPr>
        <w:t>1-2</w:t>
      </w:r>
      <w:r>
        <w:rPr>
          <w:rFonts w:ascii="Times New Roman" w:hAnsi="Times New Roman"/>
          <w:kern w:val="0"/>
          <w:szCs w:val="24"/>
        </w:rPr>
        <w:t>y)地层呈平行不整合接触。</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苏布尔噶详查施工的X3-3、X6-3、X6-6及勘探施工的K6-7水文孔均对安定组和直罗组合并进行了稳定流抽水试验，成果显示：含水层厚度31.35～157.95m，水位埋深+8.26-32.50m，水位标高1324.25-1352.75m，涌水量6.06-40.62m</w:t>
      </w:r>
      <w:r>
        <w:rPr>
          <w:rFonts w:ascii="Times New Roman" w:hAnsi="Times New Roman"/>
          <w:kern w:val="0"/>
          <w:szCs w:val="24"/>
          <w:vertAlign w:val="superscript"/>
        </w:rPr>
        <w:t>3</w:t>
      </w:r>
      <w:r>
        <w:rPr>
          <w:rFonts w:ascii="Times New Roman" w:hAnsi="Times New Roman"/>
          <w:kern w:val="0"/>
          <w:szCs w:val="24"/>
        </w:rPr>
        <w:t>/d，单位涌水量q=0.0070-0.047L/s·m，含水层弱富水；矿化度0.51-3.21g/L，属微咸水；PH值8.92-9.58，属弱碱性水；水化学类型为HCO</w:t>
      </w:r>
      <w:r>
        <w:rPr>
          <w:rFonts w:ascii="Times New Roman" w:hAnsi="Times New Roman"/>
          <w:kern w:val="0"/>
          <w:szCs w:val="24"/>
          <w:vertAlign w:val="subscript"/>
        </w:rPr>
        <w:t>3</w:t>
      </w:r>
      <w:r>
        <w:rPr>
          <w:rFonts w:ascii="Times New Roman" w:hAnsi="Times New Roman"/>
          <w:kern w:val="0"/>
          <w:szCs w:val="24"/>
        </w:rPr>
        <w:t>·SO</w:t>
      </w:r>
      <w:r>
        <w:rPr>
          <w:rFonts w:ascii="Times New Roman" w:hAnsi="Times New Roman"/>
          <w:kern w:val="0"/>
          <w:szCs w:val="24"/>
          <w:vertAlign w:val="subscript"/>
        </w:rPr>
        <w:t>4</w:t>
      </w:r>
      <w:r>
        <w:rPr>
          <w:rFonts w:ascii="Times New Roman" w:hAnsi="Times New Roman"/>
          <w:kern w:val="0"/>
          <w:szCs w:val="24"/>
        </w:rPr>
        <w:t>—Ca·Na、SO</w:t>
      </w:r>
      <w:r>
        <w:rPr>
          <w:rFonts w:ascii="Times New Roman" w:hAnsi="Times New Roman"/>
          <w:kern w:val="0"/>
          <w:szCs w:val="24"/>
          <w:vertAlign w:val="subscript"/>
        </w:rPr>
        <w:t>4</w:t>
      </w:r>
      <w:r>
        <w:rPr>
          <w:rFonts w:ascii="Times New Roman" w:hAnsi="Times New Roman"/>
          <w:kern w:val="0"/>
          <w:szCs w:val="24"/>
        </w:rPr>
        <w:t>·Cl—Na型水。</w:t>
      </w:r>
    </w:p>
    <w:p>
      <w:pPr>
        <w:autoSpaceDE w:val="0"/>
        <w:autoSpaceDN w:val="0"/>
        <w:adjustRightInd w:val="0"/>
        <w:snapToGrid w:val="0"/>
        <w:spacing w:line="440" w:lineRule="exact"/>
        <w:ind w:firstLine="480" w:firstLineChars="200"/>
        <w:rPr>
          <w:rFonts w:ascii="Times New Roman" w:hAnsi="Times New Roman"/>
          <w:kern w:val="0"/>
          <w:szCs w:val="24"/>
        </w:rPr>
      </w:pPr>
      <w:r>
        <w:rPr>
          <w:rFonts w:hint="eastAsia" w:cs="宋体"/>
          <w:kern w:val="0"/>
          <w:szCs w:val="24"/>
        </w:rPr>
        <w:t>②</w:t>
      </w:r>
      <w:r>
        <w:rPr>
          <w:rFonts w:ascii="Times New Roman" w:hAnsi="Times New Roman"/>
          <w:kern w:val="0"/>
          <w:szCs w:val="24"/>
        </w:rPr>
        <w:t>侏罗系中统直罗组（J</w:t>
      </w:r>
      <w:r>
        <w:rPr>
          <w:rFonts w:ascii="Times New Roman" w:hAnsi="Times New Roman"/>
          <w:kern w:val="0"/>
          <w:szCs w:val="24"/>
          <w:vertAlign w:val="subscript"/>
        </w:rPr>
        <w:t>2</w:t>
      </w:r>
      <w:r>
        <w:rPr>
          <w:rFonts w:ascii="Times New Roman" w:hAnsi="Times New Roman"/>
          <w:iCs/>
          <w:kern w:val="0"/>
          <w:szCs w:val="24"/>
        </w:rPr>
        <w:t>z</w:t>
      </w:r>
      <w:r>
        <w:rPr>
          <w:rFonts w:ascii="Times New Roman" w:hAnsi="Times New Roman"/>
          <w:kern w:val="0"/>
          <w:szCs w:val="24"/>
        </w:rPr>
        <w:t>）底部至3煤组底碎屑岩类承压水（第</w:t>
      </w:r>
      <w:r>
        <w:rPr>
          <w:rFonts w:ascii="Times New Roman" w:hAnsi="Times New Roman"/>
          <w:szCs w:val="24"/>
        </w:rPr>
        <w:t>Ⅲ</w:t>
      </w:r>
      <w:r>
        <w:rPr>
          <w:rFonts w:ascii="Times New Roman" w:hAnsi="Times New Roman"/>
          <w:kern w:val="0"/>
          <w:szCs w:val="24"/>
        </w:rPr>
        <w:t>）含水岩组</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该含水层厚度为0.32～171.86m。主要岩性为灰白色、浅黄色、淡红～紫红色中、细粒砂岩、粉砂岩、局部为含砾粗粒砂岩。钻孔简易水文观测，此层很少有漏水，消耗量较小。</w:t>
      </w:r>
      <w:r>
        <w:rPr>
          <w:rFonts w:ascii="Times New Roman" w:hAnsi="Times New Roman"/>
          <w:szCs w:val="24"/>
        </w:rPr>
        <w:t>该含水岩组富水性中等，为矿床直接充水含水层。</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据壕赖苏详查施工的</w:t>
      </w:r>
      <w:r>
        <w:rPr>
          <w:rFonts w:ascii="Times New Roman" w:hAnsi="Times New Roman"/>
          <w:kern w:val="0"/>
          <w:szCs w:val="24"/>
        </w:rPr>
        <w:t>X39-1和X39-5号钻孔</w:t>
      </w:r>
      <w:r>
        <w:rPr>
          <w:rFonts w:ascii="Times New Roman" w:hAnsi="Times New Roman"/>
          <w:szCs w:val="24"/>
        </w:rPr>
        <w:t>抽水试验结果</w:t>
      </w:r>
      <w:r>
        <w:rPr>
          <w:rFonts w:ascii="Times New Roman" w:hAnsi="Times New Roman"/>
          <w:kern w:val="0"/>
          <w:szCs w:val="24"/>
        </w:rPr>
        <w:t>：X39-1号钻孔揭露该含水岩组19.71m，地下水位标高1315.04m</w:t>
      </w:r>
      <w:r>
        <w:rPr>
          <w:rFonts w:ascii="Times New Roman" w:hAnsi="Times New Roman"/>
          <w:szCs w:val="24"/>
        </w:rPr>
        <w:t>，水位埋深11.30m，单位涌水量q=0.0241L/s.m，</w:t>
      </w:r>
      <w:r>
        <w:rPr>
          <w:rFonts w:ascii="Times New Roman" w:hAnsi="Times New Roman"/>
          <w:kern w:val="0"/>
          <w:szCs w:val="24"/>
        </w:rPr>
        <w:t>渗透系数K=0.17913m/d，属弱富水性含水层。</w:t>
      </w:r>
      <w:r>
        <w:rPr>
          <w:rFonts w:ascii="Times New Roman" w:hAnsi="Times New Roman"/>
          <w:szCs w:val="24"/>
        </w:rPr>
        <w:t>矿化度0.68g/L，PH=8.2，水化学类型为HCO</w:t>
      </w:r>
      <w:r>
        <w:rPr>
          <w:rFonts w:ascii="Times New Roman" w:hAnsi="Times New Roman"/>
          <w:szCs w:val="24"/>
          <w:vertAlign w:val="subscript"/>
        </w:rPr>
        <w:t>3</w:t>
      </w:r>
      <w:r>
        <w:rPr>
          <w:rFonts w:ascii="Times New Roman" w:hAnsi="Times New Roman"/>
          <w:szCs w:val="24"/>
        </w:rPr>
        <w:t>·Cl</w:t>
      </w:r>
      <w:r>
        <w:rPr>
          <w:rFonts w:ascii="Times New Roman" w:hAnsi="Times New Roman"/>
          <w:szCs w:val="24"/>
          <w:vertAlign w:val="subscript"/>
        </w:rPr>
        <w:t xml:space="preserve"> </w:t>
      </w:r>
      <w:r>
        <w:rPr>
          <w:rFonts w:ascii="Times New Roman" w:hAnsi="Times New Roman"/>
          <w:szCs w:val="24"/>
        </w:rPr>
        <w:t>—Na</w:t>
      </w:r>
      <w:r>
        <w:rPr>
          <w:rFonts w:ascii="Times New Roman" w:hAnsi="Times New Roman"/>
          <w:szCs w:val="24"/>
          <w:vertAlign w:val="subscript"/>
        </w:rPr>
        <w:t xml:space="preserve"> </w:t>
      </w:r>
      <w:r>
        <w:rPr>
          <w:rFonts w:ascii="Times New Roman" w:hAnsi="Times New Roman"/>
          <w:szCs w:val="24"/>
        </w:rPr>
        <w:t>型，水质较差。</w:t>
      </w:r>
      <w:r>
        <w:rPr>
          <w:rFonts w:ascii="Times New Roman" w:hAnsi="Times New Roman"/>
          <w:kern w:val="0"/>
          <w:szCs w:val="24"/>
        </w:rPr>
        <w:t>X39-5号钻孔揭露该含水岩组38.34m，地下水位标高1316.2m</w:t>
      </w:r>
      <w:r>
        <w:rPr>
          <w:rFonts w:ascii="Times New Roman" w:hAnsi="Times New Roman"/>
          <w:szCs w:val="24"/>
        </w:rPr>
        <w:t>，水位埋深6.38m，单位涌水量q=0.0230L/s.m，</w:t>
      </w:r>
      <w:r>
        <w:rPr>
          <w:rFonts w:ascii="Times New Roman" w:hAnsi="Times New Roman"/>
          <w:kern w:val="0"/>
          <w:szCs w:val="24"/>
        </w:rPr>
        <w:t>渗透系数K=0.03749m/d，属弱富水性含水层。</w:t>
      </w:r>
      <w:r>
        <w:rPr>
          <w:rFonts w:ascii="Times New Roman" w:hAnsi="Times New Roman"/>
          <w:szCs w:val="24"/>
        </w:rPr>
        <w:t>矿化度0.59g/L，PH=8.7，水化学类型为HCO</w:t>
      </w:r>
      <w:r>
        <w:rPr>
          <w:rFonts w:ascii="Times New Roman" w:hAnsi="Times New Roman"/>
          <w:szCs w:val="24"/>
          <w:vertAlign w:val="subscript"/>
        </w:rPr>
        <w:t>3</w:t>
      </w:r>
      <w:r>
        <w:rPr>
          <w:rFonts w:ascii="Times New Roman" w:hAnsi="Times New Roman"/>
          <w:szCs w:val="24"/>
        </w:rPr>
        <w:t>·Cl</w:t>
      </w:r>
      <w:r>
        <w:rPr>
          <w:rFonts w:ascii="Times New Roman" w:hAnsi="Times New Roman"/>
          <w:szCs w:val="24"/>
          <w:vertAlign w:val="subscript"/>
        </w:rPr>
        <w:t xml:space="preserve"> </w:t>
      </w:r>
      <w:r>
        <w:rPr>
          <w:rFonts w:ascii="Times New Roman" w:hAnsi="Times New Roman"/>
          <w:szCs w:val="24"/>
        </w:rPr>
        <w:t>—Na型，水质较差。</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根据纳林希里详查施工的NX7-2、NX7-6两个钻孔抽水试验资料：含水岩性为中、细粒砂岩。含水层厚度17.91m～82.49m，水头标高1294.533m～1300.649m，水位降深S=9.41m～29.58m，单位涌水量q=0.0161～0.0190</w:t>
      </w:r>
      <w:r>
        <w:rPr>
          <w:rFonts w:ascii="Times New Roman" w:hAnsi="Times New Roman"/>
          <w:i/>
          <w:szCs w:val="24"/>
        </w:rPr>
        <w:t>l</w:t>
      </w:r>
      <w:r>
        <w:rPr>
          <w:rFonts w:ascii="Times New Roman" w:hAnsi="Times New Roman"/>
          <w:szCs w:val="24"/>
        </w:rPr>
        <w:t>/s·m，渗透系数K=0.0140～0.1023m/d，溶解性总固体9582～14049mg/</w:t>
      </w:r>
      <w:r>
        <w:rPr>
          <w:rFonts w:ascii="Times New Roman" w:hAnsi="Times New Roman"/>
          <w:i/>
          <w:szCs w:val="24"/>
        </w:rPr>
        <w:t>l</w:t>
      </w:r>
      <w:r>
        <w:rPr>
          <w:rFonts w:ascii="Times New Roman" w:hAnsi="Times New Roman"/>
          <w:szCs w:val="24"/>
        </w:rPr>
        <w:t>，PH值为7.8～8.6，F含量4.11～7.67mg/</w:t>
      </w:r>
      <w:r>
        <w:rPr>
          <w:rFonts w:ascii="Times New Roman" w:hAnsi="Times New Roman"/>
          <w:i/>
          <w:szCs w:val="24"/>
        </w:rPr>
        <w:t>l</w:t>
      </w:r>
      <w:r>
        <w:rPr>
          <w:rFonts w:ascii="Times New Roman" w:hAnsi="Times New Roman"/>
          <w:szCs w:val="24"/>
        </w:rPr>
        <w:t>，地下水化学类型为Cl·SO</w:t>
      </w:r>
      <w:r>
        <w:rPr>
          <w:rFonts w:ascii="Times New Roman" w:hAnsi="Times New Roman"/>
          <w:szCs w:val="24"/>
          <w:vertAlign w:val="subscript"/>
        </w:rPr>
        <w:t>4</w:t>
      </w:r>
      <w:r>
        <w:rPr>
          <w:rFonts w:ascii="Times New Roman" w:hAnsi="Times New Roman"/>
          <w:szCs w:val="24"/>
        </w:rPr>
        <w:t>—Na～SO</w:t>
      </w:r>
      <w:r>
        <w:rPr>
          <w:rFonts w:ascii="Times New Roman" w:hAnsi="Times New Roman"/>
          <w:szCs w:val="24"/>
          <w:vertAlign w:val="subscript"/>
        </w:rPr>
        <w:t>4</w:t>
      </w:r>
      <w:r>
        <w:rPr>
          <w:rFonts w:ascii="Times New Roman" w:hAnsi="Times New Roman"/>
          <w:szCs w:val="24"/>
        </w:rPr>
        <w:t>—Na型。</w:t>
      </w:r>
    </w:p>
    <w:p>
      <w:pPr>
        <w:autoSpaceDE w:val="0"/>
        <w:autoSpaceDN w:val="0"/>
        <w:adjustRightInd w:val="0"/>
        <w:snapToGrid w:val="0"/>
        <w:spacing w:line="440" w:lineRule="exact"/>
        <w:ind w:firstLine="480" w:firstLineChars="200"/>
        <w:rPr>
          <w:rFonts w:ascii="Times New Roman" w:hAnsi="Times New Roman"/>
          <w:kern w:val="0"/>
          <w:szCs w:val="24"/>
        </w:rPr>
      </w:pPr>
      <w:r>
        <w:rPr>
          <w:rFonts w:hint="eastAsia" w:cs="宋体"/>
          <w:kern w:val="0"/>
          <w:szCs w:val="24"/>
        </w:rPr>
        <w:t>③</w:t>
      </w:r>
      <w:r>
        <w:rPr>
          <w:rFonts w:ascii="Times New Roman" w:hAnsi="Times New Roman"/>
          <w:kern w:val="0"/>
          <w:szCs w:val="24"/>
        </w:rPr>
        <w:t>3煤组底部隔水层</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该隔水层岩性以浅灰色砂质泥岩、粉砂岩、夹有薄煤层、个别地段相变为砂岩、泥岩尖灭，隔水层厚度0.8～74.64m，全区发育，厚度不稳定，隔水性能一般。个别钻孔该隔水层厚度为0。</w:t>
      </w:r>
    </w:p>
    <w:p>
      <w:pPr>
        <w:autoSpaceDE w:val="0"/>
        <w:autoSpaceDN w:val="0"/>
        <w:adjustRightInd w:val="0"/>
        <w:snapToGrid w:val="0"/>
        <w:spacing w:line="440" w:lineRule="exact"/>
        <w:ind w:firstLine="480" w:firstLineChars="200"/>
        <w:rPr>
          <w:rFonts w:ascii="Times New Roman" w:hAnsi="Times New Roman"/>
          <w:kern w:val="0"/>
          <w:szCs w:val="24"/>
        </w:rPr>
      </w:pPr>
      <w:r>
        <w:rPr>
          <w:rFonts w:hint="eastAsia" w:cs="宋体"/>
          <w:kern w:val="0"/>
          <w:szCs w:val="24"/>
        </w:rPr>
        <w:t>④</w:t>
      </w:r>
      <w:r>
        <w:rPr>
          <w:rFonts w:ascii="Times New Roman" w:hAnsi="Times New Roman"/>
          <w:kern w:val="0"/>
          <w:szCs w:val="24"/>
        </w:rPr>
        <w:t>4煤组顶部至6煤组</w:t>
      </w:r>
      <w:r>
        <w:rPr>
          <w:rFonts w:ascii="Times New Roman" w:hAnsi="Times New Roman"/>
          <w:szCs w:val="24"/>
        </w:rPr>
        <w:t>底碎屑岩类承压水（第Ⅳ）</w:t>
      </w:r>
      <w:r>
        <w:rPr>
          <w:rFonts w:ascii="Times New Roman" w:hAnsi="Times New Roman"/>
          <w:kern w:val="0"/>
          <w:szCs w:val="24"/>
        </w:rPr>
        <w:t>含水岩组</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该含水层厚度为1.25～98.82m。岩性主要为中细粒砂岩、粗粒砂岩及煤层。</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据壕赖苏详查施工的</w:t>
      </w:r>
      <w:r>
        <w:rPr>
          <w:rFonts w:ascii="Times New Roman" w:hAnsi="Times New Roman"/>
          <w:kern w:val="0"/>
          <w:szCs w:val="24"/>
        </w:rPr>
        <w:t>X43-1和X43-5号钻孔</w:t>
      </w:r>
      <w:r>
        <w:rPr>
          <w:rFonts w:ascii="Times New Roman" w:hAnsi="Times New Roman"/>
          <w:szCs w:val="24"/>
        </w:rPr>
        <w:t>抽水试验结果</w:t>
      </w:r>
      <w:r>
        <w:rPr>
          <w:rFonts w:ascii="Times New Roman" w:hAnsi="Times New Roman"/>
          <w:kern w:val="0"/>
          <w:szCs w:val="24"/>
        </w:rPr>
        <w:t>：X43-1号钻孔地下水位标高1302.55m</w:t>
      </w:r>
      <w:r>
        <w:rPr>
          <w:rFonts w:ascii="Times New Roman" w:hAnsi="Times New Roman"/>
          <w:szCs w:val="24"/>
        </w:rPr>
        <w:t>，水位埋深22.48m，单位涌水量q=0.0195L/s.m，</w:t>
      </w:r>
      <w:r>
        <w:rPr>
          <w:rFonts w:ascii="Times New Roman" w:hAnsi="Times New Roman"/>
          <w:kern w:val="0"/>
          <w:szCs w:val="24"/>
        </w:rPr>
        <w:t>渗透系数K=0.01851m/d，属弱富水性含水层。</w:t>
      </w:r>
      <w:r>
        <w:rPr>
          <w:rFonts w:ascii="Times New Roman" w:hAnsi="Times New Roman"/>
          <w:szCs w:val="24"/>
        </w:rPr>
        <w:t>矿化度1.68g/L，pH=8.0，水化学类型为Cl</w:t>
      </w:r>
      <w:r>
        <w:rPr>
          <w:rFonts w:ascii="Times New Roman" w:hAnsi="Times New Roman"/>
          <w:szCs w:val="24"/>
          <w:vertAlign w:val="subscript"/>
        </w:rPr>
        <w:t xml:space="preserve"> </w:t>
      </w:r>
      <w:r>
        <w:rPr>
          <w:rFonts w:ascii="Times New Roman" w:hAnsi="Times New Roman"/>
          <w:szCs w:val="24"/>
        </w:rPr>
        <w:t>—Na型，水质较差。</w:t>
      </w:r>
      <w:r>
        <w:rPr>
          <w:rFonts w:ascii="Times New Roman" w:hAnsi="Times New Roman"/>
          <w:kern w:val="0"/>
          <w:szCs w:val="24"/>
        </w:rPr>
        <w:t>X43-5号钻孔地下水位标高1303.18m</w:t>
      </w:r>
      <w:r>
        <w:rPr>
          <w:rFonts w:ascii="Times New Roman" w:hAnsi="Times New Roman"/>
          <w:szCs w:val="24"/>
        </w:rPr>
        <w:t>，水位埋深25.30m，单位涌水量q=0.0203L/s.m，</w:t>
      </w:r>
      <w:r>
        <w:rPr>
          <w:rFonts w:ascii="Times New Roman" w:hAnsi="Times New Roman"/>
          <w:kern w:val="0"/>
          <w:szCs w:val="24"/>
        </w:rPr>
        <w:t>渗透系数K=0.05481m/d，属弱富水性含水层。</w:t>
      </w:r>
      <w:r>
        <w:rPr>
          <w:rFonts w:ascii="Times New Roman" w:hAnsi="Times New Roman"/>
          <w:szCs w:val="24"/>
        </w:rPr>
        <w:t>矿化度3.08g/L，PH=8.8，水化学类型为Cl</w:t>
      </w:r>
      <w:r>
        <w:rPr>
          <w:rFonts w:ascii="Times New Roman" w:hAnsi="Times New Roman"/>
          <w:szCs w:val="24"/>
          <w:vertAlign w:val="subscript"/>
        </w:rPr>
        <w:t xml:space="preserve"> </w:t>
      </w:r>
      <w:r>
        <w:rPr>
          <w:rFonts w:ascii="Times New Roman" w:hAnsi="Times New Roman"/>
          <w:szCs w:val="24"/>
        </w:rPr>
        <w:t>—Na型，水质较差。</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根据纳林希里详查施工的NX3-2、NX3-6两个钻孔抽水试验资料：含水岩性为中、细粒砂岩。含水层厚度48.24m～94.55m，水头标高1295.401m～1295.641m，水位降深S=24.06m～77.05m，单位涌水量q=0.00393～0.00424</w:t>
      </w:r>
      <w:r>
        <w:rPr>
          <w:rFonts w:ascii="Times New Roman" w:hAnsi="Times New Roman"/>
          <w:i/>
          <w:szCs w:val="24"/>
        </w:rPr>
        <w:t>l</w:t>
      </w:r>
      <w:r>
        <w:rPr>
          <w:rFonts w:ascii="Times New Roman" w:hAnsi="Times New Roman"/>
          <w:szCs w:val="24"/>
        </w:rPr>
        <w:t>/s·m，渗透系数K=0.00375～0.00689m/d，溶解性总固体1740～10906mg/</w:t>
      </w:r>
      <w:r>
        <w:rPr>
          <w:rFonts w:ascii="Times New Roman" w:hAnsi="Times New Roman"/>
          <w:i/>
          <w:szCs w:val="24"/>
        </w:rPr>
        <w:t>l</w:t>
      </w:r>
      <w:r>
        <w:rPr>
          <w:rFonts w:ascii="Times New Roman" w:hAnsi="Times New Roman"/>
          <w:szCs w:val="24"/>
        </w:rPr>
        <w:t>，pH值为7.9～8.2，F含量1.83～8.96mg/</w:t>
      </w:r>
      <w:r>
        <w:rPr>
          <w:rFonts w:ascii="Times New Roman" w:hAnsi="Times New Roman"/>
          <w:i/>
          <w:szCs w:val="24"/>
        </w:rPr>
        <w:t>l</w:t>
      </w:r>
      <w:r>
        <w:rPr>
          <w:rFonts w:ascii="Times New Roman" w:hAnsi="Times New Roman"/>
          <w:szCs w:val="24"/>
        </w:rPr>
        <w:t>, 地下水化学类型为SO</w:t>
      </w:r>
      <w:r>
        <w:rPr>
          <w:rFonts w:ascii="Times New Roman" w:hAnsi="Times New Roman"/>
          <w:szCs w:val="24"/>
          <w:vertAlign w:val="subscript"/>
        </w:rPr>
        <w:t>4</w:t>
      </w:r>
      <w:r>
        <w:rPr>
          <w:rFonts w:ascii="Times New Roman" w:hAnsi="Times New Roman"/>
          <w:szCs w:val="24"/>
        </w:rPr>
        <w:t>·Cl—Na型。属弱富水性含水岩组，与上部含水层无水力联系，为矿床的直接充水含水岩组。</w:t>
      </w:r>
    </w:p>
    <w:p>
      <w:pPr>
        <w:autoSpaceDE w:val="0"/>
        <w:autoSpaceDN w:val="0"/>
        <w:adjustRightInd w:val="0"/>
        <w:snapToGrid w:val="0"/>
        <w:spacing w:line="440" w:lineRule="exact"/>
        <w:ind w:firstLine="480" w:firstLineChars="200"/>
        <w:rPr>
          <w:rFonts w:ascii="Times New Roman" w:hAnsi="Times New Roman"/>
          <w:kern w:val="0"/>
          <w:szCs w:val="24"/>
        </w:rPr>
      </w:pPr>
      <w:r>
        <w:rPr>
          <w:rFonts w:hint="eastAsia" w:cs="宋体"/>
          <w:kern w:val="0"/>
          <w:szCs w:val="24"/>
        </w:rPr>
        <w:t>⑤</w:t>
      </w:r>
      <w:r>
        <w:rPr>
          <w:rFonts w:ascii="Times New Roman" w:hAnsi="Times New Roman"/>
          <w:kern w:val="0"/>
          <w:szCs w:val="24"/>
        </w:rPr>
        <w:t>6煤底部隔水层</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岩性主要为</w:t>
      </w:r>
      <w:r>
        <w:rPr>
          <w:rFonts w:ascii="Times New Roman" w:hAnsi="Times New Roman"/>
          <w:szCs w:val="24"/>
        </w:rPr>
        <w:t>深灰色泥岩～灰白色</w:t>
      </w:r>
      <w:r>
        <w:rPr>
          <w:rFonts w:ascii="Times New Roman" w:hAnsi="Times New Roman"/>
          <w:kern w:val="0"/>
          <w:szCs w:val="24"/>
        </w:rPr>
        <w:t>砂质泥岩、粉砂岩及砂质粘土岩，隔水层</w:t>
      </w:r>
      <w:r>
        <w:rPr>
          <w:rFonts w:ascii="Times New Roman" w:hAnsi="Times New Roman"/>
          <w:szCs w:val="24"/>
        </w:rPr>
        <w:t>厚度0.77</w:t>
      </w:r>
      <w:r>
        <w:rPr>
          <w:rFonts w:ascii="Times New Roman" w:hAnsi="Times New Roman"/>
          <w:kern w:val="0"/>
          <w:szCs w:val="24"/>
        </w:rPr>
        <w:t>～</w:t>
      </w:r>
      <w:r>
        <w:rPr>
          <w:rFonts w:ascii="Times New Roman" w:hAnsi="Times New Roman"/>
          <w:szCs w:val="24"/>
        </w:rPr>
        <w:t>64.00m，该隔水层分布不连续，</w:t>
      </w:r>
      <w:r>
        <w:rPr>
          <w:rFonts w:ascii="Times New Roman" w:hAnsi="Times New Roman"/>
          <w:kern w:val="0"/>
          <w:szCs w:val="24"/>
        </w:rPr>
        <w:t>隔水性尚好。</w:t>
      </w:r>
    </w:p>
    <w:p>
      <w:pPr>
        <w:adjustRightInd w:val="0"/>
        <w:snapToGrid w:val="0"/>
        <w:spacing w:line="440" w:lineRule="exact"/>
        <w:ind w:firstLine="480" w:firstLineChars="200"/>
        <w:rPr>
          <w:rFonts w:ascii="Times New Roman" w:hAnsi="Times New Roman"/>
          <w:kern w:val="0"/>
          <w:szCs w:val="24"/>
        </w:rPr>
      </w:pPr>
      <w:r>
        <w:rPr>
          <w:rFonts w:hint="eastAsia" w:cs="宋体"/>
          <w:kern w:val="0"/>
          <w:szCs w:val="24"/>
        </w:rPr>
        <w:t>⑥</w:t>
      </w:r>
      <w:r>
        <w:rPr>
          <w:rFonts w:ascii="Times New Roman" w:hAnsi="Times New Roman"/>
          <w:kern w:val="0"/>
          <w:szCs w:val="24"/>
        </w:rPr>
        <w:t>煤底部</w:t>
      </w:r>
      <w:r>
        <w:rPr>
          <w:rFonts w:ascii="Times New Roman" w:hAnsi="Times New Roman"/>
          <w:szCs w:val="24"/>
        </w:rPr>
        <w:t>碎屑岩类承压水（第Ⅴ）</w:t>
      </w:r>
      <w:r>
        <w:rPr>
          <w:rFonts w:ascii="Times New Roman" w:hAnsi="Times New Roman"/>
          <w:kern w:val="0"/>
          <w:szCs w:val="24"/>
        </w:rPr>
        <w:t>含水岩组</w:t>
      </w:r>
    </w:p>
    <w:p>
      <w:pPr>
        <w:spacing w:line="440" w:lineRule="exact"/>
        <w:ind w:firstLine="480" w:firstLineChars="200"/>
        <w:rPr>
          <w:rFonts w:ascii="Times New Roman" w:hAnsi="Times New Roman"/>
          <w:kern w:val="0"/>
          <w:szCs w:val="24"/>
        </w:rPr>
      </w:pPr>
      <w:r>
        <w:rPr>
          <w:rFonts w:ascii="Times New Roman" w:hAnsi="Times New Roman"/>
          <w:kern w:val="0"/>
          <w:szCs w:val="24"/>
        </w:rPr>
        <w:t>据苏布尔嘎勘探资料，该含水层为煤田底板间接充水含水层，主要岩性为灰白色、浅黄色、淡红～紫红色中、细粒砂岩、粉砂岩，局部为含砾粗粒砂岩。据钻孔简易水文地质观测，此地层严重漏水且难以堵漏，泥浆消耗量大，施工中一直顶水作业。K9-3水文孔对该层水进行了抽水试验。成果显示：该孔揭露含水层厚度152.34m，水位埋深34.9m，水位标高1302.27m，涌水量0.6m</w:t>
      </w:r>
      <w:r>
        <w:rPr>
          <w:rFonts w:ascii="Times New Roman" w:hAnsi="Times New Roman"/>
          <w:kern w:val="0"/>
          <w:szCs w:val="24"/>
          <w:vertAlign w:val="superscript"/>
        </w:rPr>
        <w:t>3</w:t>
      </w:r>
      <w:r>
        <w:rPr>
          <w:rFonts w:ascii="Times New Roman" w:hAnsi="Times New Roman"/>
          <w:kern w:val="0"/>
          <w:szCs w:val="24"/>
        </w:rPr>
        <w:t>/d，单位涌水量q=0.00069L/s·m，因补给有限，含水层弱富水。渗透系数K=0.041m/d，渗透性弱；矿化度5.74g/L，属高矿化度盐水；pH值8.97，属弱碱性水；水化学类型为SO</w:t>
      </w:r>
      <w:r>
        <w:rPr>
          <w:rFonts w:ascii="Times New Roman" w:hAnsi="Times New Roman"/>
          <w:kern w:val="0"/>
          <w:szCs w:val="24"/>
          <w:vertAlign w:val="subscript"/>
        </w:rPr>
        <w:t>4</w:t>
      </w:r>
      <w:r>
        <w:rPr>
          <w:rFonts w:ascii="Times New Roman" w:hAnsi="Times New Roman"/>
          <w:kern w:val="0"/>
          <w:szCs w:val="24"/>
        </w:rPr>
        <w:t>·Cl—Na型水。</w:t>
      </w:r>
    </w:p>
    <w:p>
      <w:pPr>
        <w:spacing w:line="440" w:lineRule="exact"/>
        <w:ind w:firstLine="480" w:firstLineChars="200"/>
        <w:rPr>
          <w:rFonts w:ascii="Times New Roman" w:hAnsi="Times New Roman"/>
          <w:szCs w:val="24"/>
        </w:rPr>
      </w:pPr>
      <w:r>
        <w:rPr>
          <w:rFonts w:ascii="Times New Roman" w:hAnsi="Times New Roman"/>
          <w:szCs w:val="24"/>
        </w:rPr>
        <w:t>（3）地下水的补给、径流及排泄条件</w:t>
      </w:r>
    </w:p>
    <w:p>
      <w:pPr>
        <w:spacing w:line="440" w:lineRule="exact"/>
        <w:ind w:firstLine="480" w:firstLineChars="200"/>
        <w:rPr>
          <w:rFonts w:ascii="Times New Roman" w:hAnsi="Times New Roman"/>
          <w:szCs w:val="24"/>
        </w:rPr>
      </w:pPr>
      <w:r>
        <w:rPr>
          <w:rFonts w:ascii="Times New Roman" w:hAnsi="Times New Roman"/>
          <w:szCs w:val="24"/>
        </w:rPr>
        <w:t>1）第四系潜水</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本区潜水直接接受大气降水补给，冲洪积潜水亦接受上游侧向径流及其它含水层以泉的形式排泄补给；风积沙含水层同时接受沙漠凝结水的补给。</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本区大气降水集中，延续时间短，渗入量少，大气降水落到地表后变成地表径流流失，不利于对潜水的补给，所以潜水的补给量受到了很大的限制。第四系潜水的径流受地形地貌条件的制约，基本向沟谷径流和与沟谷流向一致，沿沟谷向下游方向径流并排泄出区外；风积沙潜水的径流受下伏基岩地形控制，向低洼处径流，一般在沟谷深切地段以泉的形式排泄，强烈的蒸发也是重要的排泄途迳。</w:t>
      </w:r>
    </w:p>
    <w:p>
      <w:pPr>
        <w:spacing w:line="440" w:lineRule="exact"/>
        <w:ind w:firstLine="480" w:firstLineChars="200"/>
        <w:rPr>
          <w:rFonts w:ascii="Times New Roman" w:hAnsi="Times New Roman"/>
          <w:szCs w:val="24"/>
        </w:rPr>
      </w:pPr>
      <w:r>
        <w:rPr>
          <w:rFonts w:ascii="Times New Roman" w:hAnsi="Times New Roman"/>
          <w:szCs w:val="24"/>
        </w:rPr>
        <w:t>2）碎屑岩类孔隙、裂隙潜水～承压水</w:t>
      </w:r>
    </w:p>
    <w:p>
      <w:pPr>
        <w:spacing w:line="440" w:lineRule="exact"/>
        <w:ind w:firstLine="480" w:firstLineChars="200"/>
        <w:rPr>
          <w:rFonts w:ascii="Times New Roman" w:hAnsi="Times New Roman"/>
          <w:szCs w:val="24"/>
        </w:rPr>
      </w:pPr>
      <w:r>
        <w:rPr>
          <w:rFonts w:ascii="Times New Roman" w:hAnsi="Times New Roman"/>
          <w:szCs w:val="24"/>
        </w:rPr>
        <w:t>碎屑岩类孔隙、裂隙潜水～承压水主要以侧向径流补给为主，次为上部潜水的渗入补给，基岩出露处也可直接接受大气降水的垂直渗入补给，在湖泊、河谷等地形低洼地带，承压水位高于潜水水位，承压水又可通过天窗或弱透水层对潜水进行补给，这也是区内承压水排泄方式之一。径流补给受单斜构造控制多沿地层倾向即北西方向径流，其排泄以侧向径流排泄为主，局部亦以泉的形式排泄，补给地表水及冲洪积潜水。深部承压水则以侧向径流排泄为主，次为人工开采排泄。</w:t>
      </w:r>
    </w:p>
    <w:p>
      <w:pPr>
        <w:spacing w:line="440" w:lineRule="exact"/>
        <w:ind w:firstLine="480" w:firstLineChars="200"/>
        <w:rPr>
          <w:rFonts w:ascii="Times New Roman" w:hAnsi="Times New Roman"/>
          <w:szCs w:val="24"/>
        </w:rPr>
      </w:pPr>
      <w:r>
        <w:rPr>
          <w:rFonts w:ascii="Times New Roman" w:hAnsi="Times New Roman"/>
          <w:szCs w:val="24"/>
        </w:rPr>
        <w:t>（4）矿区水文地质勘查类型及复杂程度</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区内构造简单，地层倾角一般小于3度，具有宽缓的波状起伏。未发现有大的褶皱和断层，无岩浆岩侵入。地表大面积被第四系风积沙及松散层覆盖，易于接受大气降水补给，但厚度小，储水条件差，一般为透水层，而含水较少，只有在大的河谷中冲洪积砂砾层较厚地带富水性较强。非煤系地层在上部基岩受剥蚀及风化作用，孔隙、裂隙比较发育，含有孔隙、裂隙潜水。随深度增加孔隙、裂隙减少。煤系地层岩石致密、坚硬，裂隙不发育，富水性弱，地下水补给条件差。主要煤层虽位于当地侵蚀基准面以下，但煤层埋藏较深，煤层上部隔水层的隔水性能较好，构不成矿床的主要充水因素。</w:t>
      </w:r>
    </w:p>
    <w:p>
      <w:pPr>
        <w:spacing w:line="440" w:lineRule="exact"/>
        <w:ind w:firstLine="480" w:firstLineChars="200"/>
        <w:rPr>
          <w:rFonts w:ascii="Times New Roman" w:hAnsi="Times New Roman"/>
          <w:szCs w:val="24"/>
        </w:rPr>
      </w:pPr>
      <w:r>
        <w:rPr>
          <w:rFonts w:ascii="Times New Roman" w:hAnsi="Times New Roman"/>
          <w:szCs w:val="24"/>
        </w:rPr>
        <w:t>综上所述，本区主要充水含水层的储水空间以裂隙为主，孔隙次之，即为孔隙～裂隙充水矿床，单位涌水量</w:t>
      </w:r>
      <w:r>
        <w:rPr>
          <w:rFonts w:ascii="Times New Roman" w:hAnsi="Times New Roman"/>
          <w:kern w:val="0"/>
          <w:szCs w:val="24"/>
        </w:rPr>
        <w:t>＜0.01</w:t>
      </w:r>
      <w:r>
        <w:rPr>
          <w:rFonts w:ascii="Times New Roman" w:hAnsi="Times New Roman"/>
          <w:szCs w:val="24"/>
        </w:rPr>
        <w:t>～1.0</w:t>
      </w:r>
      <w:r>
        <w:rPr>
          <w:rFonts w:ascii="Times New Roman" w:hAnsi="Times New Roman"/>
          <w:i/>
          <w:kern w:val="0"/>
          <w:szCs w:val="24"/>
        </w:rPr>
        <w:t>l</w:t>
      </w:r>
      <w:r>
        <w:rPr>
          <w:rFonts w:ascii="Times New Roman" w:hAnsi="Times New Roman"/>
          <w:kern w:val="0"/>
          <w:szCs w:val="24"/>
        </w:rPr>
        <w:t>/s.m之间，</w:t>
      </w:r>
      <w:r>
        <w:rPr>
          <w:rFonts w:ascii="Times New Roman" w:hAnsi="Times New Roman"/>
          <w:szCs w:val="24"/>
        </w:rPr>
        <w:t>富水性弱</w:t>
      </w:r>
      <w:r>
        <w:rPr>
          <w:rFonts w:ascii="Times New Roman" w:hAnsi="Times New Roman"/>
          <w:kern w:val="0"/>
          <w:szCs w:val="24"/>
        </w:rPr>
        <w:t>～中等</w:t>
      </w:r>
      <w:r>
        <w:rPr>
          <w:rFonts w:ascii="Times New Roman" w:hAnsi="Times New Roman"/>
          <w:szCs w:val="24"/>
        </w:rPr>
        <w:t>，水文地质边界简单，地质构造简单。按照《煤、泥炭地质勘查规范》（DZ/TO215-2002），将本区水文地质勘查类型划分为二类二型，即裂隙充水为主水文地质条件中等的矿床。</w:t>
      </w:r>
    </w:p>
    <w:p>
      <w:pPr>
        <w:spacing w:line="440" w:lineRule="exact"/>
        <w:ind w:firstLine="480" w:firstLineChars="200"/>
        <w:rPr>
          <w:rFonts w:ascii="Times New Roman" w:hAnsi="Times New Roman"/>
          <w:szCs w:val="24"/>
        </w:rPr>
      </w:pPr>
      <w:r>
        <w:rPr>
          <w:rFonts w:ascii="Times New Roman" w:hAnsi="Times New Roman"/>
          <w:szCs w:val="24"/>
        </w:rPr>
        <w:t>（5）矿床充水因素分析</w:t>
      </w:r>
    </w:p>
    <w:p>
      <w:pPr>
        <w:spacing w:line="440" w:lineRule="exact"/>
        <w:ind w:firstLine="480" w:firstLineChars="200"/>
        <w:rPr>
          <w:rFonts w:ascii="Times New Roman" w:hAnsi="Times New Roman"/>
          <w:szCs w:val="24"/>
        </w:rPr>
      </w:pPr>
      <w:r>
        <w:rPr>
          <w:rFonts w:ascii="Times New Roman" w:hAnsi="Times New Roman"/>
          <w:szCs w:val="24"/>
        </w:rPr>
        <w:t>1）大气降水对矿床充水的影响</w:t>
      </w:r>
    </w:p>
    <w:p>
      <w:pPr>
        <w:spacing w:line="440" w:lineRule="exact"/>
        <w:ind w:firstLine="480" w:firstLineChars="200"/>
        <w:rPr>
          <w:rFonts w:ascii="Times New Roman" w:hAnsi="Times New Roman"/>
          <w:szCs w:val="24"/>
        </w:rPr>
      </w:pPr>
      <w:r>
        <w:rPr>
          <w:rFonts w:ascii="Times New Roman" w:hAnsi="Times New Roman"/>
          <w:szCs w:val="24"/>
        </w:rPr>
        <w:t>本区降水比较集中，多为大雨或暴雨，雨后会形成短暂的地表洪水，</w:t>
      </w:r>
      <w:r>
        <w:rPr>
          <w:rFonts w:ascii="Times New Roman" w:hAnsi="Times New Roman"/>
          <w:kern w:val="0"/>
          <w:szCs w:val="24"/>
        </w:rPr>
        <w:t>地表洪水一般会通过井口、风口、封闭不良的钻孔等通道直接向矿井充水</w:t>
      </w:r>
      <w:r>
        <w:rPr>
          <w:rFonts w:ascii="Times New Roman" w:hAnsi="Times New Roman"/>
          <w:szCs w:val="24"/>
        </w:rPr>
        <w:t>。</w:t>
      </w:r>
      <w:r>
        <w:rPr>
          <w:rFonts w:ascii="Times New Roman" w:hAnsi="Times New Roman"/>
          <w:kern w:val="0"/>
          <w:szCs w:val="24"/>
        </w:rPr>
        <w:t>因此，必须做好井口、风口等人工通道的防洪堵水工作，以防地表水对矿井的充水。</w:t>
      </w:r>
    </w:p>
    <w:p>
      <w:pPr>
        <w:spacing w:line="440" w:lineRule="exact"/>
        <w:ind w:firstLine="480" w:firstLineChars="200"/>
        <w:rPr>
          <w:rFonts w:ascii="Times New Roman" w:hAnsi="Times New Roman"/>
          <w:szCs w:val="24"/>
        </w:rPr>
      </w:pPr>
      <w:r>
        <w:rPr>
          <w:rFonts w:ascii="Times New Roman" w:hAnsi="Times New Roman"/>
          <w:szCs w:val="24"/>
        </w:rPr>
        <w:t>2）地下水及地表水对矿床充水的影响</w:t>
      </w:r>
    </w:p>
    <w:p>
      <w:pPr>
        <w:spacing w:line="440" w:lineRule="exact"/>
        <w:ind w:firstLine="480" w:firstLineChars="200"/>
        <w:rPr>
          <w:rFonts w:ascii="Times New Roman" w:hAnsi="Times New Roman"/>
          <w:szCs w:val="24"/>
        </w:rPr>
      </w:pPr>
      <w:r>
        <w:rPr>
          <w:rFonts w:ascii="Times New Roman" w:hAnsi="Times New Roman"/>
          <w:snapToGrid w:val="0"/>
          <w:szCs w:val="24"/>
        </w:rPr>
        <w:t>据本区抽水资料：</w:t>
      </w:r>
      <w:r>
        <w:rPr>
          <w:rFonts w:ascii="Times New Roman" w:hAnsi="Times New Roman"/>
          <w:szCs w:val="24"/>
        </w:rPr>
        <w:t>煤系地层</w:t>
      </w:r>
      <w:r>
        <w:rPr>
          <w:rFonts w:ascii="Times New Roman" w:hAnsi="Times New Roman"/>
          <w:snapToGrid w:val="0"/>
          <w:szCs w:val="24"/>
        </w:rPr>
        <w:t>单位涌水量q=</w:t>
      </w:r>
      <w:r>
        <w:rPr>
          <w:rFonts w:ascii="Times New Roman" w:hAnsi="Times New Roman"/>
          <w:szCs w:val="24"/>
        </w:rPr>
        <w:t>0.0075</w:t>
      </w:r>
      <w:r>
        <w:rPr>
          <w:rFonts w:ascii="Times New Roman" w:hAnsi="Times New Roman"/>
          <w:snapToGrid w:val="0"/>
          <w:szCs w:val="24"/>
        </w:rPr>
        <w:t>～0.02411/s·m，渗透系数K=</w:t>
      </w:r>
      <w:r>
        <w:rPr>
          <w:rFonts w:ascii="Times New Roman" w:hAnsi="Times New Roman"/>
          <w:kern w:val="0"/>
          <w:szCs w:val="24"/>
        </w:rPr>
        <w:t>0.01851</w:t>
      </w:r>
      <w:r>
        <w:rPr>
          <w:rFonts w:ascii="Times New Roman" w:hAnsi="Times New Roman"/>
          <w:snapToGrid w:val="0"/>
          <w:szCs w:val="24"/>
        </w:rPr>
        <w:t>～</w:t>
      </w:r>
      <w:r>
        <w:rPr>
          <w:rFonts w:ascii="Times New Roman" w:hAnsi="Times New Roman"/>
          <w:kern w:val="0"/>
          <w:szCs w:val="24"/>
        </w:rPr>
        <w:t>0.17913</w:t>
      </w:r>
      <w:r>
        <w:rPr>
          <w:rFonts w:ascii="Times New Roman" w:hAnsi="Times New Roman"/>
          <w:snapToGrid w:val="0"/>
          <w:szCs w:val="24"/>
        </w:rPr>
        <w:t>m/d，</w:t>
      </w:r>
      <w:r>
        <w:rPr>
          <w:rFonts w:ascii="Times New Roman" w:hAnsi="Times New Roman"/>
          <w:szCs w:val="24"/>
        </w:rPr>
        <w:t>该成果说明其煤系地层水量较小，补给量贫乏，故对矿床充水一般影响不大</w:t>
      </w:r>
      <w:r>
        <w:rPr>
          <w:rFonts w:ascii="Times New Roman" w:hAnsi="Times New Roman"/>
          <w:snapToGrid w:val="0"/>
          <w:szCs w:val="24"/>
        </w:rPr>
        <w:t>孔抽水试验</w:t>
      </w:r>
      <w:r>
        <w:rPr>
          <w:rFonts w:ascii="Times New Roman" w:hAnsi="Times New Roman"/>
          <w:szCs w:val="24"/>
        </w:rPr>
        <w:t>。</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在矿区的中部和东南部有多个大小不一的咸水湖，其水量受大气降水控制，夏秋季大，冬春季小。以哈塔图淖尔、光明淖尔东、西神海子湖为主的几个大的咸水湖常年有水。区内河流均属内陆水系，只在雨季沟谷中才有溪流，雨季水流较大，因此井口、风口的建设应避开低洼处的河道及湖盆。</w:t>
      </w:r>
    </w:p>
    <w:p>
      <w:pPr>
        <w:spacing w:line="440" w:lineRule="exact"/>
        <w:ind w:firstLine="480" w:firstLineChars="200"/>
        <w:rPr>
          <w:rFonts w:ascii="Times New Roman" w:hAnsi="Times New Roman"/>
          <w:szCs w:val="24"/>
        </w:rPr>
      </w:pPr>
      <w:r>
        <w:rPr>
          <w:rFonts w:ascii="Times New Roman" w:hAnsi="Times New Roman"/>
          <w:szCs w:val="24"/>
        </w:rPr>
        <w:t>3）小窑积水</w:t>
      </w:r>
    </w:p>
    <w:p>
      <w:pPr>
        <w:spacing w:line="440" w:lineRule="exact"/>
        <w:ind w:firstLine="480" w:firstLineChars="200"/>
        <w:rPr>
          <w:rFonts w:ascii="Times New Roman" w:hAnsi="Times New Roman"/>
          <w:szCs w:val="24"/>
        </w:rPr>
      </w:pPr>
      <w:r>
        <w:rPr>
          <w:rFonts w:ascii="Times New Roman" w:hAnsi="Times New Roman"/>
          <w:szCs w:val="24"/>
        </w:rPr>
        <w:t>矿区周边及矿区内没有老窑分布。</w:t>
      </w:r>
    </w:p>
    <w:p>
      <w:pPr>
        <w:spacing w:line="440" w:lineRule="exact"/>
        <w:ind w:firstLine="480" w:firstLineChars="200"/>
        <w:rPr>
          <w:rFonts w:ascii="Times New Roman" w:hAnsi="Times New Roman"/>
          <w:szCs w:val="24"/>
        </w:rPr>
      </w:pPr>
      <w:r>
        <w:rPr>
          <w:rFonts w:ascii="Times New Roman" w:hAnsi="Times New Roman"/>
          <w:szCs w:val="24"/>
        </w:rPr>
        <w:t>上述各类充水因素的水源富水性弱，补给量有限，一般不会发生大的透水事故，但必须加强防范，坚持“有疑必探，先探后掘”的方针，杜绝水害事故的发生。</w:t>
      </w:r>
    </w:p>
    <w:p>
      <w:pPr>
        <w:spacing w:line="440" w:lineRule="exact"/>
        <w:ind w:firstLine="480" w:firstLineChars="200"/>
        <w:rPr>
          <w:rFonts w:ascii="Times New Roman" w:hAnsi="Times New Roman"/>
          <w:szCs w:val="24"/>
        </w:rPr>
      </w:pPr>
      <w:r>
        <w:rPr>
          <w:rFonts w:ascii="Times New Roman" w:hAnsi="Times New Roman"/>
          <w:szCs w:val="24"/>
        </w:rPr>
        <w:t>4）矿床充水水源及充水通道</w:t>
      </w:r>
    </w:p>
    <w:p>
      <w:pPr>
        <w:spacing w:line="440" w:lineRule="exact"/>
        <w:ind w:firstLine="480" w:firstLineChars="200"/>
        <w:rPr>
          <w:rFonts w:ascii="Times New Roman" w:hAnsi="Times New Roman"/>
          <w:szCs w:val="24"/>
        </w:rPr>
      </w:pPr>
      <w:r>
        <w:rPr>
          <w:rFonts w:ascii="Times New Roman" w:hAnsi="Times New Roman"/>
          <w:szCs w:val="24"/>
        </w:rPr>
        <w:t>本区构造简单，为倾向南西的单斜构造，地层倾角一般1°～3°，未见大断层存在，构造对地下水的储存、富集及各含水岩组间的连通基本无影响，在采矿过程中地下水一般不会通过构造导水通道进入矿坑。充水通道为采矿过程中形成的冒裂带及封闭不良的钻孔。充水水源为侏罗系中统直罗组（J</w:t>
      </w:r>
      <w:r>
        <w:rPr>
          <w:rFonts w:ascii="Times New Roman" w:hAnsi="Times New Roman"/>
          <w:szCs w:val="24"/>
          <w:vertAlign w:val="subscript"/>
        </w:rPr>
        <w:t>2</w:t>
      </w:r>
      <w:r>
        <w:rPr>
          <w:rFonts w:ascii="Times New Roman" w:hAnsi="Times New Roman"/>
          <w:szCs w:val="24"/>
        </w:rPr>
        <w:t>z）底部至3煤组底碎屑岩类承压水（第Ⅱ）含水岩组、4煤组顶部至6煤组底碎屑岩类承压水（第Ⅲ）含水岩组。</w:t>
      </w:r>
    </w:p>
    <w:p>
      <w:pPr>
        <w:spacing w:line="440" w:lineRule="exact"/>
        <w:ind w:firstLine="480" w:firstLineChars="200"/>
        <w:rPr>
          <w:rFonts w:ascii="Times New Roman" w:hAnsi="Times New Roman"/>
          <w:szCs w:val="24"/>
        </w:rPr>
      </w:pPr>
      <w:r>
        <w:rPr>
          <w:rFonts w:ascii="Times New Roman" w:hAnsi="Times New Roman"/>
          <w:szCs w:val="24"/>
        </w:rPr>
        <w:t>矿区水文地质图见图5.3-6，典型水文地质剖面见后图5.3-8~图5.3-15，剖面线位置分布见后图5.3-16。</w:t>
      </w:r>
    </w:p>
    <w:p>
      <w:pPr>
        <w:keepNext/>
        <w:keepLines/>
        <w:adjustRightInd w:val="0"/>
        <w:snapToGrid w:val="0"/>
        <w:spacing w:line="440" w:lineRule="exact"/>
        <w:outlineLvl w:val="2"/>
        <w:rPr>
          <w:rFonts w:ascii="Times New Roman" w:hAnsi="Times New Roman"/>
          <w:b/>
          <w:color w:val="FF0000"/>
        </w:rPr>
      </w:pPr>
      <w:r>
        <w:rPr>
          <w:rFonts w:ascii="Times New Roman" w:hAnsi="Times New Roman"/>
          <w:b/>
          <w:color w:val="FF0000"/>
        </w:rPr>
        <w:t>5.3.5 矿区</w:t>
      </w:r>
      <w:r>
        <w:rPr>
          <w:rFonts w:hint="eastAsia" w:ascii="Times New Roman" w:hAnsi="Times New Roman"/>
          <w:b/>
          <w:color w:val="FF0000"/>
        </w:rPr>
        <w:t>工程</w:t>
      </w:r>
      <w:r>
        <w:rPr>
          <w:rFonts w:ascii="Times New Roman" w:hAnsi="Times New Roman"/>
          <w:b/>
          <w:color w:val="FF0000"/>
        </w:rPr>
        <w:t>地质条件</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（1）岩石物理力学性质</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矿区内施工了11个工程地质岩样孔，采岩石物理力学试验样641组，计4653块，采样数量较多，测试项目较全面。根据岩石物理力学性质测试结果，统计岩石物理力学性质概况如下：</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1）粗粒砂岩：真密度2455 kg/m</w:t>
      </w:r>
      <w:r>
        <w:rPr>
          <w:rFonts w:ascii="Times New Roman" w:hAnsi="Times New Roman"/>
          <w:color w:val="FF0000"/>
          <w:szCs w:val="24"/>
          <w:vertAlign w:val="superscript"/>
        </w:rPr>
        <w:t>3</w:t>
      </w:r>
      <w:r>
        <w:rPr>
          <w:rFonts w:ascii="Times New Roman" w:hAnsi="Times New Roman"/>
          <w:color w:val="FF0000"/>
          <w:szCs w:val="24"/>
        </w:rPr>
        <w:t xml:space="preserve"> ～2798 kg/m</w:t>
      </w:r>
      <w:r>
        <w:rPr>
          <w:rFonts w:ascii="Times New Roman" w:hAnsi="Times New Roman"/>
          <w:color w:val="FF0000"/>
          <w:szCs w:val="24"/>
          <w:vertAlign w:val="superscript"/>
        </w:rPr>
        <w:t>3</w:t>
      </w:r>
      <w:r>
        <w:rPr>
          <w:rFonts w:ascii="Times New Roman" w:hAnsi="Times New Roman"/>
          <w:color w:val="FF0000"/>
          <w:szCs w:val="24"/>
        </w:rPr>
        <w:t>，平均2622 kg/m</w:t>
      </w:r>
      <w:r>
        <w:rPr>
          <w:rFonts w:ascii="Times New Roman" w:hAnsi="Times New Roman"/>
          <w:color w:val="FF0000"/>
          <w:szCs w:val="24"/>
          <w:vertAlign w:val="superscript"/>
        </w:rPr>
        <w:t>3</w:t>
      </w:r>
      <w:r>
        <w:rPr>
          <w:rFonts w:ascii="Times New Roman" w:hAnsi="Times New Roman"/>
          <w:color w:val="FF0000"/>
          <w:szCs w:val="24"/>
        </w:rPr>
        <w:t>；视密度2029 kg/m</w:t>
      </w:r>
      <w:r>
        <w:rPr>
          <w:rFonts w:ascii="Times New Roman" w:hAnsi="Times New Roman"/>
          <w:color w:val="FF0000"/>
          <w:szCs w:val="24"/>
          <w:vertAlign w:val="superscript"/>
        </w:rPr>
        <w:t>3</w:t>
      </w:r>
      <w:r>
        <w:rPr>
          <w:rFonts w:ascii="Times New Roman" w:hAnsi="Times New Roman"/>
          <w:color w:val="FF0000"/>
          <w:szCs w:val="24"/>
        </w:rPr>
        <w:t>～2548 kg/m</w:t>
      </w:r>
      <w:r>
        <w:rPr>
          <w:rFonts w:ascii="Times New Roman" w:hAnsi="Times New Roman"/>
          <w:color w:val="FF0000"/>
          <w:szCs w:val="24"/>
          <w:vertAlign w:val="superscript"/>
        </w:rPr>
        <w:t>3</w:t>
      </w:r>
      <w:r>
        <w:rPr>
          <w:rFonts w:ascii="Times New Roman" w:hAnsi="Times New Roman"/>
          <w:color w:val="FF0000"/>
          <w:szCs w:val="24"/>
        </w:rPr>
        <w:t>，平均2215 kg/m</w:t>
      </w:r>
      <w:r>
        <w:rPr>
          <w:rFonts w:ascii="Times New Roman" w:hAnsi="Times New Roman"/>
          <w:color w:val="FF0000"/>
          <w:szCs w:val="24"/>
          <w:vertAlign w:val="superscript"/>
        </w:rPr>
        <w:t>3</w:t>
      </w:r>
      <w:r>
        <w:rPr>
          <w:rFonts w:ascii="Times New Roman" w:hAnsi="Times New Roman"/>
          <w:color w:val="FF0000"/>
          <w:szCs w:val="24"/>
        </w:rPr>
        <w:t>；孔隙率2.71%～23.23%，平均15.50%；含水率0.09%～7.52%，平均2.34%；自然状态单轴抗压强度5.85MPa～58.22Mpa；抗拉强度0.31 MPa～4.15Mpa;软化系数0.17～0.96；普氏系数0.60～5.94；内摩擦角31°8′～40°57′；凝聚力2.8MPa～10.1 Mpa；弹性模量2.86×10</w:t>
      </w:r>
      <w:r>
        <w:rPr>
          <w:rFonts w:ascii="Times New Roman" w:hAnsi="Times New Roman"/>
          <w:color w:val="FF0000"/>
          <w:szCs w:val="24"/>
          <w:vertAlign w:val="superscript"/>
        </w:rPr>
        <w:t>3</w:t>
      </w:r>
      <w:r>
        <w:rPr>
          <w:rFonts w:ascii="Times New Roman" w:hAnsi="Times New Roman"/>
          <w:color w:val="FF0000"/>
          <w:szCs w:val="24"/>
        </w:rPr>
        <w:t>～3.15×10</w:t>
      </w:r>
      <w:r>
        <w:rPr>
          <w:rFonts w:ascii="Times New Roman" w:hAnsi="Times New Roman"/>
          <w:color w:val="FF0000"/>
          <w:szCs w:val="24"/>
          <w:vertAlign w:val="superscript"/>
        </w:rPr>
        <w:t>4</w:t>
      </w:r>
      <w:r>
        <w:rPr>
          <w:rFonts w:ascii="Times New Roman" w:hAnsi="Times New Roman"/>
          <w:color w:val="FF0000"/>
          <w:szCs w:val="24"/>
        </w:rPr>
        <w:t xml:space="preserve"> Et；泊松比0.03～0.63；RQD值15%～73%，平均40%。</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2）中粒砂岩：真密度2494 kg/m</w:t>
      </w:r>
      <w:r>
        <w:rPr>
          <w:rFonts w:ascii="Times New Roman" w:hAnsi="Times New Roman"/>
          <w:color w:val="FF0000"/>
          <w:szCs w:val="24"/>
          <w:vertAlign w:val="superscript"/>
        </w:rPr>
        <w:t>3</w:t>
      </w:r>
      <w:r>
        <w:rPr>
          <w:rFonts w:ascii="Times New Roman" w:hAnsi="Times New Roman"/>
          <w:color w:val="FF0000"/>
          <w:szCs w:val="24"/>
        </w:rPr>
        <w:t xml:space="preserve"> ～2992kg/m</w:t>
      </w:r>
      <w:r>
        <w:rPr>
          <w:rFonts w:ascii="Times New Roman" w:hAnsi="Times New Roman"/>
          <w:color w:val="FF0000"/>
          <w:szCs w:val="24"/>
          <w:vertAlign w:val="superscript"/>
        </w:rPr>
        <w:t>3</w:t>
      </w:r>
      <w:r>
        <w:rPr>
          <w:rFonts w:ascii="Times New Roman" w:hAnsi="Times New Roman"/>
          <w:color w:val="FF0000"/>
          <w:szCs w:val="24"/>
        </w:rPr>
        <w:t>，平均2668 kg/m</w:t>
      </w:r>
      <w:r>
        <w:rPr>
          <w:rFonts w:ascii="Times New Roman" w:hAnsi="Times New Roman"/>
          <w:color w:val="FF0000"/>
          <w:szCs w:val="24"/>
          <w:vertAlign w:val="superscript"/>
        </w:rPr>
        <w:t>3</w:t>
      </w:r>
      <w:r>
        <w:rPr>
          <w:rFonts w:ascii="Times New Roman" w:hAnsi="Times New Roman"/>
          <w:color w:val="FF0000"/>
          <w:szCs w:val="24"/>
        </w:rPr>
        <w:t>；视密度2038 kg/m</w:t>
      </w:r>
      <w:r>
        <w:rPr>
          <w:rFonts w:ascii="Times New Roman" w:hAnsi="Times New Roman"/>
          <w:color w:val="FF0000"/>
          <w:szCs w:val="24"/>
          <w:vertAlign w:val="superscript"/>
        </w:rPr>
        <w:t>3</w:t>
      </w:r>
      <w:r>
        <w:rPr>
          <w:rFonts w:ascii="Times New Roman" w:hAnsi="Times New Roman"/>
          <w:color w:val="FF0000"/>
          <w:szCs w:val="24"/>
        </w:rPr>
        <w:t>～2530 kg/m</w:t>
      </w:r>
      <w:r>
        <w:rPr>
          <w:rFonts w:ascii="Times New Roman" w:hAnsi="Times New Roman"/>
          <w:color w:val="FF0000"/>
          <w:szCs w:val="24"/>
          <w:vertAlign w:val="superscript"/>
        </w:rPr>
        <w:t>3</w:t>
      </w:r>
      <w:r>
        <w:rPr>
          <w:rFonts w:ascii="Times New Roman" w:hAnsi="Times New Roman"/>
          <w:color w:val="FF0000"/>
          <w:szCs w:val="24"/>
        </w:rPr>
        <w:t>，平均2253 kg/m</w:t>
      </w:r>
      <w:r>
        <w:rPr>
          <w:rFonts w:ascii="Times New Roman" w:hAnsi="Times New Roman"/>
          <w:color w:val="FF0000"/>
          <w:szCs w:val="24"/>
          <w:vertAlign w:val="superscript"/>
        </w:rPr>
        <w:t>3</w:t>
      </w:r>
      <w:r>
        <w:rPr>
          <w:rFonts w:ascii="Times New Roman" w:hAnsi="Times New Roman"/>
          <w:color w:val="FF0000"/>
          <w:szCs w:val="24"/>
        </w:rPr>
        <w:t>；孔隙率1.16%～26.67%，平均15.36%；含水率0.28%～5.77%，平均1.95%；自然状态单轴抗压强度13.90MPa～54.90Mpa；抗拉强度0.52 MPa～2.91Mpa;软化系数0.49～0.89；普氏系数1.42～5.60；35°37′～41°07′；凝聚力2.7MPa～18.8 Mpa；弹性模量4.58×10</w:t>
      </w:r>
      <w:r>
        <w:rPr>
          <w:rFonts w:ascii="Times New Roman" w:hAnsi="Times New Roman"/>
          <w:color w:val="FF0000"/>
          <w:szCs w:val="24"/>
          <w:vertAlign w:val="superscript"/>
        </w:rPr>
        <w:t>3</w:t>
      </w:r>
      <w:r>
        <w:rPr>
          <w:rFonts w:ascii="Times New Roman" w:hAnsi="Times New Roman"/>
          <w:color w:val="FF0000"/>
          <w:szCs w:val="24"/>
        </w:rPr>
        <w:t>～5.29×10</w:t>
      </w:r>
      <w:r>
        <w:rPr>
          <w:rFonts w:ascii="Times New Roman" w:hAnsi="Times New Roman"/>
          <w:color w:val="FF0000"/>
          <w:szCs w:val="24"/>
          <w:vertAlign w:val="superscript"/>
        </w:rPr>
        <w:t>4</w:t>
      </w:r>
      <w:r>
        <w:rPr>
          <w:rFonts w:ascii="Times New Roman" w:hAnsi="Times New Roman"/>
          <w:color w:val="FF0000"/>
          <w:szCs w:val="24"/>
        </w:rPr>
        <w:t>Et，泊松比0.04～0.39，RQD值25%～53%，平均39%。</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3）细粒砂岩：真密度2468 kg/m</w:t>
      </w:r>
      <w:r>
        <w:rPr>
          <w:rFonts w:ascii="Times New Roman" w:hAnsi="Times New Roman"/>
          <w:color w:val="FF0000"/>
          <w:szCs w:val="24"/>
          <w:vertAlign w:val="superscript"/>
        </w:rPr>
        <w:t>3</w:t>
      </w:r>
      <w:r>
        <w:rPr>
          <w:rFonts w:ascii="Times New Roman" w:hAnsi="Times New Roman"/>
          <w:color w:val="FF0000"/>
          <w:szCs w:val="24"/>
        </w:rPr>
        <w:t xml:space="preserve"> ～2950 kg/m</w:t>
      </w:r>
      <w:r>
        <w:rPr>
          <w:rFonts w:ascii="Times New Roman" w:hAnsi="Times New Roman"/>
          <w:color w:val="FF0000"/>
          <w:szCs w:val="24"/>
          <w:vertAlign w:val="superscript"/>
        </w:rPr>
        <w:t>3</w:t>
      </w:r>
      <w:r>
        <w:rPr>
          <w:rFonts w:ascii="Times New Roman" w:hAnsi="Times New Roman"/>
          <w:color w:val="FF0000"/>
          <w:szCs w:val="24"/>
        </w:rPr>
        <w:t>，平均2650 kg/m</w:t>
      </w:r>
      <w:r>
        <w:rPr>
          <w:rFonts w:ascii="Times New Roman" w:hAnsi="Times New Roman"/>
          <w:color w:val="FF0000"/>
          <w:szCs w:val="24"/>
          <w:vertAlign w:val="superscript"/>
        </w:rPr>
        <w:t>3</w:t>
      </w:r>
      <w:r>
        <w:rPr>
          <w:rFonts w:ascii="Times New Roman" w:hAnsi="Times New Roman"/>
          <w:color w:val="FF0000"/>
          <w:szCs w:val="24"/>
        </w:rPr>
        <w:t>；视密度2066kg/m</w:t>
      </w:r>
      <w:r>
        <w:rPr>
          <w:rFonts w:ascii="Times New Roman" w:hAnsi="Times New Roman"/>
          <w:color w:val="FF0000"/>
          <w:szCs w:val="24"/>
          <w:vertAlign w:val="superscript"/>
        </w:rPr>
        <w:t>3</w:t>
      </w:r>
      <w:r>
        <w:rPr>
          <w:rFonts w:ascii="Times New Roman" w:hAnsi="Times New Roman"/>
          <w:color w:val="FF0000"/>
          <w:szCs w:val="24"/>
        </w:rPr>
        <w:t>～2643 kg/m</w:t>
      </w:r>
      <w:r>
        <w:rPr>
          <w:rFonts w:ascii="Times New Roman" w:hAnsi="Times New Roman"/>
          <w:color w:val="FF0000"/>
          <w:szCs w:val="24"/>
          <w:vertAlign w:val="superscript"/>
        </w:rPr>
        <w:t>3</w:t>
      </w:r>
      <w:r>
        <w:rPr>
          <w:rFonts w:ascii="Times New Roman" w:hAnsi="Times New Roman"/>
          <w:color w:val="FF0000"/>
          <w:szCs w:val="24"/>
        </w:rPr>
        <w:t>，平均2288 kg/m</w:t>
      </w:r>
      <w:r>
        <w:rPr>
          <w:rFonts w:ascii="Times New Roman" w:hAnsi="Times New Roman"/>
          <w:color w:val="FF0000"/>
          <w:szCs w:val="24"/>
          <w:vertAlign w:val="superscript"/>
        </w:rPr>
        <w:t>3</w:t>
      </w:r>
      <w:r>
        <w:rPr>
          <w:rFonts w:ascii="Times New Roman" w:hAnsi="Times New Roman"/>
          <w:color w:val="FF0000"/>
          <w:szCs w:val="24"/>
        </w:rPr>
        <w:t>；孔隙率1.40%～23.21%，平均13.59%；含水率0.21%～5.90%，平均1.94%；自然状态单轴抗压强度18.59MPa～55.51Mpa；抗拉强度0.21 MPa～3.63Mpa;软化系数0.36～0.97；普氏系数1.90～28.72；内摩擦角31°44′～40°52′；凝聚力2.8MPa～12.3Mpa；弹性模量4.05×10</w:t>
      </w:r>
      <w:r>
        <w:rPr>
          <w:rFonts w:ascii="Times New Roman" w:hAnsi="Times New Roman"/>
          <w:color w:val="FF0000"/>
          <w:szCs w:val="24"/>
          <w:vertAlign w:val="superscript"/>
        </w:rPr>
        <w:t>3</w:t>
      </w:r>
      <w:r>
        <w:rPr>
          <w:rFonts w:ascii="Times New Roman" w:hAnsi="Times New Roman"/>
          <w:color w:val="FF0000"/>
          <w:szCs w:val="24"/>
        </w:rPr>
        <w:t>～6.12×10</w:t>
      </w:r>
      <w:r>
        <w:rPr>
          <w:rFonts w:ascii="Times New Roman" w:hAnsi="Times New Roman"/>
          <w:color w:val="FF0000"/>
          <w:szCs w:val="24"/>
          <w:vertAlign w:val="superscript"/>
        </w:rPr>
        <w:t>4</w:t>
      </w:r>
      <w:r>
        <w:rPr>
          <w:rFonts w:ascii="Times New Roman" w:hAnsi="Times New Roman"/>
          <w:color w:val="FF0000"/>
          <w:szCs w:val="24"/>
        </w:rPr>
        <w:t xml:space="preserve"> Et；泊松比0.02～0.27；RQD值10%～71%，平均41%。</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4）粉砂岩：真密度2494 kg/m</w:t>
      </w:r>
      <w:r>
        <w:rPr>
          <w:rFonts w:ascii="Times New Roman" w:hAnsi="Times New Roman"/>
          <w:color w:val="FF0000"/>
          <w:szCs w:val="24"/>
          <w:vertAlign w:val="superscript"/>
        </w:rPr>
        <w:t>3</w:t>
      </w:r>
      <w:r>
        <w:rPr>
          <w:rFonts w:ascii="Times New Roman" w:hAnsi="Times New Roman"/>
          <w:color w:val="FF0000"/>
          <w:szCs w:val="24"/>
        </w:rPr>
        <w:t xml:space="preserve"> ～2665kg/m</w:t>
      </w:r>
      <w:r>
        <w:rPr>
          <w:rFonts w:ascii="Times New Roman" w:hAnsi="Times New Roman"/>
          <w:color w:val="FF0000"/>
          <w:szCs w:val="24"/>
          <w:vertAlign w:val="superscript"/>
        </w:rPr>
        <w:t>3</w:t>
      </w:r>
      <w:r>
        <w:rPr>
          <w:rFonts w:ascii="Times New Roman" w:hAnsi="Times New Roman"/>
          <w:color w:val="FF0000"/>
          <w:szCs w:val="24"/>
        </w:rPr>
        <w:t>，平均2606 kg/m</w:t>
      </w:r>
      <w:r>
        <w:rPr>
          <w:rFonts w:ascii="Times New Roman" w:hAnsi="Times New Roman"/>
          <w:color w:val="FF0000"/>
          <w:szCs w:val="24"/>
          <w:vertAlign w:val="superscript"/>
        </w:rPr>
        <w:t>3</w:t>
      </w:r>
      <w:r>
        <w:rPr>
          <w:rFonts w:ascii="Times New Roman" w:hAnsi="Times New Roman"/>
          <w:color w:val="FF0000"/>
          <w:szCs w:val="24"/>
        </w:rPr>
        <w:t>；视密度2217kg/m</w:t>
      </w:r>
      <w:r>
        <w:rPr>
          <w:rFonts w:ascii="Times New Roman" w:hAnsi="Times New Roman"/>
          <w:color w:val="FF0000"/>
          <w:szCs w:val="24"/>
          <w:vertAlign w:val="superscript"/>
        </w:rPr>
        <w:t>3</w:t>
      </w:r>
      <w:r>
        <w:rPr>
          <w:rFonts w:ascii="Times New Roman" w:hAnsi="Times New Roman"/>
          <w:color w:val="FF0000"/>
          <w:szCs w:val="24"/>
        </w:rPr>
        <w:t>～2527 kg/m</w:t>
      </w:r>
      <w:r>
        <w:rPr>
          <w:rFonts w:ascii="Times New Roman" w:hAnsi="Times New Roman"/>
          <w:color w:val="FF0000"/>
          <w:szCs w:val="24"/>
          <w:vertAlign w:val="superscript"/>
        </w:rPr>
        <w:t>3</w:t>
      </w:r>
      <w:r>
        <w:rPr>
          <w:rFonts w:ascii="Times New Roman" w:hAnsi="Times New Roman"/>
          <w:color w:val="FF0000"/>
          <w:szCs w:val="24"/>
        </w:rPr>
        <w:t>，平均2392 kg/m</w:t>
      </w:r>
      <w:r>
        <w:rPr>
          <w:rFonts w:ascii="Times New Roman" w:hAnsi="Times New Roman"/>
          <w:color w:val="FF0000"/>
          <w:szCs w:val="24"/>
          <w:vertAlign w:val="superscript"/>
        </w:rPr>
        <w:t>3</w:t>
      </w:r>
      <w:r>
        <w:rPr>
          <w:rFonts w:ascii="Times New Roman" w:hAnsi="Times New Roman"/>
          <w:color w:val="FF0000"/>
          <w:szCs w:val="24"/>
        </w:rPr>
        <w:t>；孔隙率1.48%～14.89%，平均8.18%；含水率0.24%～5.88%，平均2.21%；自然状态单轴抗压强度13.61MPa～46.13Mpa；抗拉强度0.41 MPa～1.56Mpa;软化系数0.32～0.91；普氏系数1.39～4.17；内摩擦角39°16′～40°21′；凝聚力3.3MPa～4.8Mpa；弹性模量6.18×10</w:t>
      </w:r>
      <w:r>
        <w:rPr>
          <w:rFonts w:ascii="Times New Roman" w:hAnsi="Times New Roman"/>
          <w:color w:val="FF0000"/>
          <w:szCs w:val="24"/>
          <w:vertAlign w:val="superscript"/>
        </w:rPr>
        <w:t>3</w:t>
      </w:r>
      <w:r>
        <w:rPr>
          <w:rFonts w:ascii="Times New Roman" w:hAnsi="Times New Roman"/>
          <w:color w:val="FF0000"/>
          <w:szCs w:val="24"/>
        </w:rPr>
        <w:t>～2.60×10</w:t>
      </w:r>
      <w:r>
        <w:rPr>
          <w:rFonts w:ascii="Times New Roman" w:hAnsi="Times New Roman"/>
          <w:color w:val="FF0000"/>
          <w:szCs w:val="24"/>
          <w:vertAlign w:val="superscript"/>
        </w:rPr>
        <w:t>4</w:t>
      </w:r>
      <w:r>
        <w:rPr>
          <w:rFonts w:ascii="Times New Roman" w:hAnsi="Times New Roman"/>
          <w:color w:val="FF0000"/>
          <w:szCs w:val="24"/>
        </w:rPr>
        <w:t xml:space="preserve"> Et；泊松比0.08～0.19。</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5）砂质泥岩：真密度2495 kg/m</w:t>
      </w:r>
      <w:r>
        <w:rPr>
          <w:rFonts w:ascii="Times New Roman" w:hAnsi="Times New Roman"/>
          <w:color w:val="FF0000"/>
          <w:szCs w:val="24"/>
          <w:vertAlign w:val="superscript"/>
        </w:rPr>
        <w:t>3</w:t>
      </w:r>
      <w:r>
        <w:rPr>
          <w:rFonts w:ascii="Times New Roman" w:hAnsi="Times New Roman"/>
          <w:color w:val="FF0000"/>
          <w:szCs w:val="24"/>
        </w:rPr>
        <w:t xml:space="preserve"> ～2973 kg/m</w:t>
      </w:r>
      <w:r>
        <w:rPr>
          <w:rFonts w:ascii="Times New Roman" w:hAnsi="Times New Roman"/>
          <w:color w:val="FF0000"/>
          <w:szCs w:val="24"/>
          <w:vertAlign w:val="superscript"/>
        </w:rPr>
        <w:t>3</w:t>
      </w:r>
      <w:r>
        <w:rPr>
          <w:rFonts w:ascii="Times New Roman" w:hAnsi="Times New Roman"/>
          <w:color w:val="FF0000"/>
          <w:szCs w:val="24"/>
        </w:rPr>
        <w:t>，平均2642 kg/m</w:t>
      </w:r>
      <w:r>
        <w:rPr>
          <w:rFonts w:ascii="Times New Roman" w:hAnsi="Times New Roman"/>
          <w:color w:val="FF0000"/>
          <w:szCs w:val="24"/>
          <w:vertAlign w:val="superscript"/>
        </w:rPr>
        <w:t>3</w:t>
      </w:r>
      <w:r>
        <w:rPr>
          <w:rFonts w:ascii="Times New Roman" w:hAnsi="Times New Roman"/>
          <w:color w:val="FF0000"/>
          <w:szCs w:val="24"/>
        </w:rPr>
        <w:t>；视密度2100kg/m</w:t>
      </w:r>
      <w:r>
        <w:rPr>
          <w:rFonts w:ascii="Times New Roman" w:hAnsi="Times New Roman"/>
          <w:color w:val="FF0000"/>
          <w:szCs w:val="24"/>
          <w:vertAlign w:val="superscript"/>
        </w:rPr>
        <w:t>3</w:t>
      </w:r>
      <w:r>
        <w:rPr>
          <w:rFonts w:ascii="Times New Roman" w:hAnsi="Times New Roman"/>
          <w:color w:val="FF0000"/>
          <w:szCs w:val="24"/>
        </w:rPr>
        <w:t>～2634 kg/m</w:t>
      </w:r>
      <w:r>
        <w:rPr>
          <w:rFonts w:ascii="Times New Roman" w:hAnsi="Times New Roman"/>
          <w:color w:val="FF0000"/>
          <w:szCs w:val="24"/>
          <w:vertAlign w:val="superscript"/>
        </w:rPr>
        <w:t>3</w:t>
      </w:r>
      <w:r>
        <w:rPr>
          <w:rFonts w:ascii="Times New Roman" w:hAnsi="Times New Roman"/>
          <w:color w:val="FF0000"/>
          <w:szCs w:val="24"/>
        </w:rPr>
        <w:t>，平均2431 kg/m</w:t>
      </w:r>
      <w:r>
        <w:rPr>
          <w:rFonts w:ascii="Times New Roman" w:hAnsi="Times New Roman"/>
          <w:color w:val="FF0000"/>
          <w:szCs w:val="24"/>
          <w:vertAlign w:val="superscript"/>
        </w:rPr>
        <w:t>3</w:t>
      </w:r>
      <w:r>
        <w:rPr>
          <w:rFonts w:ascii="Times New Roman" w:hAnsi="Times New Roman"/>
          <w:color w:val="FF0000"/>
          <w:szCs w:val="24"/>
        </w:rPr>
        <w:t>；孔隙率0.48%～21.64%，平均7.94%；含水率0.12%～5.36%，平均2.18%；自然状态单轴抗压强度9.76MPa～61.40Mpa；抗拉强度0.21 MPa～4.16Mpa；软化系数0.18～0.98；普氏系数1.00～6.26；内摩擦角28°33′～40°48′；凝聚力2.8MPa～12.3Mpa；弹性模量6.76×10</w:t>
      </w:r>
      <w:r>
        <w:rPr>
          <w:rFonts w:ascii="Times New Roman" w:hAnsi="Times New Roman"/>
          <w:color w:val="FF0000"/>
          <w:szCs w:val="24"/>
          <w:vertAlign w:val="superscript"/>
        </w:rPr>
        <w:t>3</w:t>
      </w:r>
      <w:r>
        <w:rPr>
          <w:rFonts w:ascii="Times New Roman" w:hAnsi="Times New Roman"/>
          <w:color w:val="FF0000"/>
          <w:szCs w:val="24"/>
        </w:rPr>
        <w:t>～4.13×10</w:t>
      </w:r>
      <w:r>
        <w:rPr>
          <w:rFonts w:ascii="Times New Roman" w:hAnsi="Times New Roman"/>
          <w:color w:val="FF0000"/>
          <w:szCs w:val="24"/>
          <w:vertAlign w:val="superscript"/>
        </w:rPr>
        <w:t>4</w:t>
      </w:r>
      <w:r>
        <w:rPr>
          <w:rFonts w:ascii="Times New Roman" w:hAnsi="Times New Roman"/>
          <w:color w:val="FF0000"/>
          <w:szCs w:val="24"/>
        </w:rPr>
        <w:t xml:space="preserve"> Et；泊松比0.02～0.58；RQD值14%～79%，平均39%。</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6）泥岩：真密度2555 kg/m</w:t>
      </w:r>
      <w:r>
        <w:rPr>
          <w:rFonts w:ascii="Times New Roman" w:hAnsi="Times New Roman"/>
          <w:color w:val="FF0000"/>
          <w:szCs w:val="24"/>
          <w:vertAlign w:val="superscript"/>
        </w:rPr>
        <w:t>3</w:t>
      </w:r>
      <w:r>
        <w:rPr>
          <w:rFonts w:ascii="Times New Roman" w:hAnsi="Times New Roman"/>
          <w:color w:val="FF0000"/>
          <w:szCs w:val="24"/>
        </w:rPr>
        <w:t xml:space="preserve"> ～2940kg/m</w:t>
      </w:r>
      <w:r>
        <w:rPr>
          <w:rFonts w:ascii="Times New Roman" w:hAnsi="Times New Roman"/>
          <w:color w:val="FF0000"/>
          <w:szCs w:val="24"/>
          <w:vertAlign w:val="superscript"/>
        </w:rPr>
        <w:t>3</w:t>
      </w:r>
      <w:r>
        <w:rPr>
          <w:rFonts w:ascii="Times New Roman" w:hAnsi="Times New Roman"/>
          <w:color w:val="FF0000"/>
          <w:szCs w:val="24"/>
        </w:rPr>
        <w:t>，平均2700 kg/m</w:t>
      </w:r>
      <w:r>
        <w:rPr>
          <w:rFonts w:ascii="Times New Roman" w:hAnsi="Times New Roman"/>
          <w:color w:val="FF0000"/>
          <w:szCs w:val="24"/>
          <w:vertAlign w:val="superscript"/>
        </w:rPr>
        <w:t>3</w:t>
      </w:r>
      <w:r>
        <w:rPr>
          <w:rFonts w:ascii="Times New Roman" w:hAnsi="Times New Roman"/>
          <w:color w:val="FF0000"/>
          <w:szCs w:val="24"/>
        </w:rPr>
        <w:t>；视密度2250kg/m</w:t>
      </w:r>
      <w:r>
        <w:rPr>
          <w:rFonts w:ascii="Times New Roman" w:hAnsi="Times New Roman"/>
          <w:color w:val="FF0000"/>
          <w:szCs w:val="24"/>
          <w:vertAlign w:val="superscript"/>
        </w:rPr>
        <w:t>3</w:t>
      </w:r>
      <w:r>
        <w:rPr>
          <w:rFonts w:ascii="Times New Roman" w:hAnsi="Times New Roman"/>
          <w:color w:val="FF0000"/>
          <w:szCs w:val="24"/>
        </w:rPr>
        <w:t>～2634 kg/m</w:t>
      </w:r>
      <w:r>
        <w:rPr>
          <w:rFonts w:ascii="Times New Roman" w:hAnsi="Times New Roman"/>
          <w:color w:val="FF0000"/>
          <w:szCs w:val="24"/>
          <w:vertAlign w:val="superscript"/>
        </w:rPr>
        <w:t>3</w:t>
      </w:r>
      <w:r>
        <w:rPr>
          <w:rFonts w:ascii="Times New Roman" w:hAnsi="Times New Roman"/>
          <w:color w:val="FF0000"/>
          <w:szCs w:val="24"/>
        </w:rPr>
        <w:t>，平均2448 kg/m</w:t>
      </w:r>
      <w:r>
        <w:rPr>
          <w:rFonts w:ascii="Times New Roman" w:hAnsi="Times New Roman"/>
          <w:color w:val="FF0000"/>
          <w:szCs w:val="24"/>
          <w:vertAlign w:val="superscript"/>
        </w:rPr>
        <w:t>3</w:t>
      </w:r>
      <w:r>
        <w:rPr>
          <w:rFonts w:ascii="Times New Roman" w:hAnsi="Times New Roman"/>
          <w:color w:val="FF0000"/>
          <w:szCs w:val="24"/>
        </w:rPr>
        <w:t>；孔隙率0.98%～19.93%，平均9.24%；含水率1.15%～2.75%，平均1.79%；自然状态单轴抗压强度19.16MPa～75.70Mpa；抗拉强度0.73 MPa～2.26Mpa;软化系数0.16～0.93；普氏系数1.95～7.72；内摩擦角33°00′～40°26′；凝聚力3.7MPa～6.2Mpa；弹性模量1.27×10</w:t>
      </w:r>
      <w:r>
        <w:rPr>
          <w:rFonts w:ascii="Times New Roman" w:hAnsi="Times New Roman"/>
          <w:color w:val="FF0000"/>
          <w:szCs w:val="24"/>
          <w:vertAlign w:val="superscript"/>
        </w:rPr>
        <w:t>4</w:t>
      </w:r>
      <w:r>
        <w:rPr>
          <w:rFonts w:ascii="Times New Roman" w:hAnsi="Times New Roman"/>
          <w:color w:val="FF0000"/>
          <w:szCs w:val="24"/>
        </w:rPr>
        <w:t>～2.95×10</w:t>
      </w:r>
      <w:r>
        <w:rPr>
          <w:rFonts w:ascii="Times New Roman" w:hAnsi="Times New Roman"/>
          <w:color w:val="FF0000"/>
          <w:szCs w:val="24"/>
          <w:vertAlign w:val="superscript"/>
        </w:rPr>
        <w:t>4</w:t>
      </w:r>
      <w:r>
        <w:rPr>
          <w:rFonts w:ascii="Times New Roman" w:hAnsi="Times New Roman"/>
          <w:color w:val="FF0000"/>
          <w:szCs w:val="24"/>
        </w:rPr>
        <w:t xml:space="preserve"> Et；泊松比0.10～0.21。</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7）煤：自然状态单轴抗压强度1.50MPa～25.37Mpa，普氏系数0.15～2.59。</w:t>
      </w:r>
    </w:p>
    <w:p>
      <w:pPr>
        <w:adjustRightInd w:val="0"/>
        <w:snapToGrid w:val="0"/>
        <w:spacing w:line="440" w:lineRule="exact"/>
        <w:ind w:firstLine="480" w:firstLineChars="200"/>
        <w:rPr>
          <w:rFonts w:ascii="Times New Roman" w:hAnsi="Times New Roman"/>
          <w:color w:val="FF0000"/>
          <w:szCs w:val="24"/>
        </w:rPr>
      </w:pPr>
      <w:r>
        <w:rPr>
          <w:rFonts w:ascii="Times New Roman" w:hAnsi="Times New Roman"/>
          <w:color w:val="FF0000"/>
          <w:szCs w:val="24"/>
        </w:rPr>
        <w:t>根据GB12719-1991《矿区水文地质工程地质勘探规范》中的标准，按岩石单轴极限抗压强度(R)将岩石强度分为：R≥60Mpa为坚硬岩类； 30 MPa≤R&lt;60Mpa为半坚硬的；R&lt;30Mpa为软弱岩类的。</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本区2-1煤层顶板以上30m至6-2煤层底板以下20m范围内地层的岩性由灰黑色、深灰色砂质泥岩，灰白色细粒砂岩、粗粒砂岩、中粒砂岩等组成。岩石力学强度试验成果表明，本区岩石以半坚硬岩类为主。</w:t>
      </w:r>
    </w:p>
    <w:p>
      <w:pPr>
        <w:spacing w:line="440" w:lineRule="exact"/>
        <w:ind w:firstLine="480" w:firstLineChars="200"/>
        <w:rPr>
          <w:rFonts w:ascii="Times New Roman" w:hAnsi="Times New Roman"/>
          <w:color w:val="FF0000"/>
          <w:szCs w:val="24"/>
        </w:rPr>
      </w:pPr>
      <w:bookmarkStart w:id="230" w:name="_Toc79314345"/>
      <w:r>
        <w:rPr>
          <w:rFonts w:ascii="Times New Roman" w:hAnsi="Times New Roman"/>
          <w:color w:val="FF0000"/>
          <w:szCs w:val="24"/>
        </w:rPr>
        <w:t>（2）煤层围岩的工程地质特征</w:t>
      </w:r>
      <w:bookmarkEnd w:id="230"/>
    </w:p>
    <w:p>
      <w:pPr>
        <w:spacing w:line="440" w:lineRule="exact"/>
        <w:ind w:firstLine="480" w:firstLineChars="200"/>
        <w:rPr>
          <w:rFonts w:ascii="Times New Roman" w:hAnsi="Times New Roman"/>
          <w:color w:val="FF0000"/>
          <w:szCs w:val="24"/>
        </w:rPr>
      </w:pPr>
      <w:r>
        <w:rPr>
          <w:rFonts w:ascii="Times New Roman" w:hAnsi="Times New Roman"/>
          <w:color w:val="FF0000"/>
          <w:szCs w:val="24"/>
        </w:rPr>
        <w:t>根据矿区内的的7个工程地质岩样孔所取得的钻孔岩样物理力学性质测试资料。</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1）最上可采煤层顶30m范围内围岩特征</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最上可采煤层顶30m范围内岩石软弱岩类（R&lt;30Mpa）占58%，半坚硬岩类（30 MPa≤R&lt;60Mpa）占42%，岩性主要为粗粒砂岩、细粒砂岩和砂质泥岩。</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2）最上可采煤层顶至6-2煤底范围内围岩特征</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最上可采煤层顶30m范围内岩石</w:t>
      </w:r>
      <w:r>
        <w:rPr>
          <w:rFonts w:ascii="Times New Roman" w:hAnsi="Times New Roman"/>
          <w:color w:val="FF0000"/>
          <w:kern w:val="0"/>
          <w:szCs w:val="24"/>
        </w:rPr>
        <w:t>软弱岩类</w:t>
      </w:r>
      <w:r>
        <w:rPr>
          <w:rFonts w:ascii="Times New Roman" w:hAnsi="Times New Roman"/>
          <w:color w:val="FF0000"/>
          <w:szCs w:val="24"/>
        </w:rPr>
        <w:t>（R&lt;30Mpa）占47%，半坚硬岩类（30 MPa≤R&lt;60Mpa）占53%，岩性主要为粗粒砂岩、中粒砂岩、细粒砂岩和砂质泥岩。</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3）6-2煤层底20m范围内围岩特征</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最上可采煤层顶30m范围内岩石</w:t>
      </w:r>
      <w:r>
        <w:rPr>
          <w:rFonts w:ascii="Times New Roman" w:hAnsi="Times New Roman"/>
          <w:color w:val="FF0000"/>
          <w:kern w:val="0"/>
          <w:szCs w:val="24"/>
        </w:rPr>
        <w:t>软弱岩类</w:t>
      </w:r>
      <w:r>
        <w:rPr>
          <w:rFonts w:ascii="Times New Roman" w:hAnsi="Times New Roman"/>
          <w:color w:val="FF0000"/>
          <w:szCs w:val="24"/>
        </w:rPr>
        <w:t>（R&lt;30Mpa）占36%，半坚硬岩类（30 MPa≤R&lt;60Mpa）占64%，岩性主要为粗粒砂岩、细粒砂岩和砂质泥岩。</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综上所述，煤层顶、底板围岩强度较低，以半坚硬岩石为主（30MPa≤R&lt;60MPa）占52%。软弱岩次之，（R&lt;30MPa）占48%。煤层顶、底板围岩以砂质泥岩为主，少量砂岩。软化系数以＜0.75为主，大部分属易软化岩石。</w:t>
      </w:r>
    </w:p>
    <w:p>
      <w:pPr>
        <w:tabs>
          <w:tab w:val="left" w:pos="2160"/>
          <w:tab w:val="left" w:pos="5040"/>
        </w:tabs>
        <w:spacing w:line="440" w:lineRule="exact"/>
        <w:ind w:firstLine="480" w:firstLineChars="200"/>
        <w:rPr>
          <w:rFonts w:ascii="Times New Roman" w:hAnsi="Times New Roman"/>
          <w:color w:val="FF0000"/>
          <w:szCs w:val="24"/>
        </w:rPr>
      </w:pPr>
      <w:bookmarkStart w:id="231" w:name="_Toc79314346"/>
      <w:r>
        <w:rPr>
          <w:rFonts w:ascii="Times New Roman" w:hAnsi="Times New Roman"/>
          <w:color w:val="FF0000"/>
          <w:szCs w:val="24"/>
        </w:rPr>
        <w:t>（3）煤层顶底板岩石强度及稳定性评价</w:t>
      </w:r>
      <w:bookmarkEnd w:id="231"/>
    </w:p>
    <w:p>
      <w:pPr>
        <w:spacing w:line="440" w:lineRule="exact"/>
        <w:ind w:firstLine="480" w:firstLineChars="200"/>
        <w:rPr>
          <w:rFonts w:ascii="Times New Roman" w:hAnsi="Times New Roman"/>
          <w:color w:val="FF0000"/>
          <w:szCs w:val="24"/>
        </w:rPr>
      </w:pPr>
      <w:r>
        <w:rPr>
          <w:rFonts w:ascii="Times New Roman" w:hAnsi="Times New Roman"/>
          <w:color w:val="FF0000"/>
          <w:szCs w:val="24"/>
        </w:rPr>
        <w:t>各煤层顶顶底板RQD值在25%～50%范围内居多，均值在 38%～41%范围内，根据《煤矿床水文地质、工程地质及环境地质勘查评价标准》（MT/T1091-2008）中附表C岩石、岩体质量及岩体优略等级表得出，本井田岩石质量等级为Ⅳ级，即岩石质量劣的，岩体完整性差。</w:t>
      </w:r>
    </w:p>
    <w:p>
      <w:pPr>
        <w:tabs>
          <w:tab w:val="left" w:pos="2160"/>
          <w:tab w:val="left" w:pos="5040"/>
        </w:tabs>
        <w:spacing w:line="440" w:lineRule="exact"/>
        <w:ind w:firstLine="480" w:firstLineChars="200"/>
        <w:rPr>
          <w:rFonts w:ascii="Times New Roman" w:hAnsi="Times New Roman"/>
          <w:color w:val="FF0000"/>
          <w:szCs w:val="24"/>
        </w:rPr>
      </w:pPr>
      <w:r>
        <w:rPr>
          <w:rFonts w:ascii="Times New Roman" w:hAnsi="Times New Roman"/>
          <w:color w:val="FF0000"/>
          <w:szCs w:val="24"/>
        </w:rPr>
        <w:t>根据岩体质量系数Z值半定量评价岩体质量以一般为主，但略偏坏。即岩体较稳定，但局部地段可能稳定性较差。</w:t>
      </w:r>
    </w:p>
    <w:p>
      <w:pPr>
        <w:tabs>
          <w:tab w:val="left" w:pos="2160"/>
          <w:tab w:val="left" w:pos="5040"/>
        </w:tabs>
        <w:spacing w:line="440" w:lineRule="exact"/>
        <w:ind w:firstLine="480" w:firstLineChars="200"/>
        <w:rPr>
          <w:rFonts w:ascii="Times New Roman" w:hAnsi="Times New Roman"/>
          <w:color w:val="FF0000"/>
          <w:szCs w:val="24"/>
        </w:rPr>
      </w:pPr>
      <w:r>
        <w:rPr>
          <w:rFonts w:ascii="Times New Roman" w:hAnsi="Times New Roman"/>
          <w:color w:val="FF0000"/>
          <w:szCs w:val="24"/>
        </w:rPr>
        <w:t>根据岩体质量指标M值半定量评价：岩体质量以中等为主，但略偏差。即岩体较稳定，局部地段稳定性较差。</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三种方法的岩体质量评价结果基本一致，即岩体质量以一般中等为主，较稳定，但局部地段的稳定性可能较差。在开采中可能产生冒落、垮塌、底鼓。建议在采矿过程中，加强顶底板管理，监测、预防顶底板事故发生。</w:t>
      </w:r>
    </w:p>
    <w:p>
      <w:pPr>
        <w:tabs>
          <w:tab w:val="left" w:pos="2160"/>
          <w:tab w:val="left" w:pos="5040"/>
        </w:tabs>
        <w:spacing w:line="440" w:lineRule="exact"/>
        <w:ind w:firstLine="480" w:firstLineChars="200"/>
        <w:rPr>
          <w:rFonts w:ascii="Times New Roman" w:hAnsi="Times New Roman"/>
          <w:color w:val="FF0000"/>
          <w:szCs w:val="24"/>
        </w:rPr>
      </w:pPr>
      <w:bookmarkStart w:id="232" w:name="_Toc79314347"/>
      <w:r>
        <w:rPr>
          <w:rFonts w:ascii="Times New Roman" w:hAnsi="Times New Roman"/>
          <w:color w:val="FF0000"/>
          <w:szCs w:val="24"/>
        </w:rPr>
        <w:t>（4）矿区工程地质勘查类型</w:t>
      </w:r>
      <w:bookmarkEnd w:id="232"/>
    </w:p>
    <w:p>
      <w:pPr>
        <w:autoSpaceDE w:val="0"/>
        <w:autoSpaceDN w:val="0"/>
        <w:adjustRightInd w:val="0"/>
        <w:snapToGrid w:val="0"/>
        <w:spacing w:line="440" w:lineRule="exact"/>
        <w:ind w:firstLine="480" w:firstLineChars="200"/>
        <w:rPr>
          <w:rFonts w:ascii="Times New Roman" w:hAnsi="Times New Roman"/>
          <w:color w:val="FF0000"/>
          <w:kern w:val="0"/>
          <w:szCs w:val="24"/>
        </w:rPr>
      </w:pPr>
      <w:r>
        <w:rPr>
          <w:rFonts w:ascii="Times New Roman" w:hAnsi="Times New Roman"/>
          <w:color w:val="FF0000"/>
          <w:kern w:val="0"/>
          <w:szCs w:val="24"/>
        </w:rPr>
        <w:t>矿区岩石以碎屑沉积岩为主，层状结构，岩性单一，煤层顶底板岩石的力学强度低，以软弱岩石为主，稳固性较差。区内基岩出露不多，风化作用相对较弱。未来煤矿开采后，局部易发生煤层顶板冒落等矿山工程地质问题。因此，矿区工程地质勘查类型为第三类第二型：即层状岩类、工程地质条件中等型的矿床。</w:t>
      </w:r>
    </w:p>
    <w:p>
      <w:pPr>
        <w:keepNext/>
        <w:keepLines/>
        <w:adjustRightInd w:val="0"/>
        <w:snapToGrid w:val="0"/>
        <w:spacing w:line="440" w:lineRule="exact"/>
        <w:outlineLvl w:val="2"/>
        <w:rPr>
          <w:rFonts w:ascii="Times New Roman" w:hAnsi="Times New Roman"/>
          <w:b/>
          <w:color w:val="FF0000"/>
        </w:rPr>
      </w:pPr>
      <w:r>
        <w:rPr>
          <w:rFonts w:ascii="Times New Roman" w:hAnsi="Times New Roman"/>
          <w:b/>
          <w:color w:val="FF0000"/>
        </w:rPr>
        <w:t>5.3.6 矿区煤炭开采对地下水影响分析</w:t>
      </w:r>
    </w:p>
    <w:p>
      <w:pPr>
        <w:spacing w:line="440" w:lineRule="exact"/>
        <w:ind w:firstLine="480" w:firstLineChars="200"/>
        <w:rPr>
          <w:rFonts w:ascii="Times New Roman" w:hAnsi="Times New Roman"/>
          <w:szCs w:val="24"/>
        </w:rPr>
      </w:pPr>
      <w:r>
        <w:rPr>
          <w:rFonts w:ascii="Times New Roman" w:hAnsi="Times New Roman"/>
          <w:szCs w:val="24"/>
        </w:rPr>
        <w:t>当煤层采出后，采空区周围的岩层发生位移，变形乃至破坏，上覆岩层根据变形和破坏的程度不同分冒落、裂缝和弯曲三带，其中裂缝带又分为连通和非连通两部分，通常将冒落带和裂缝带的连通部分称为导水裂缝带，进而使含水层遭到破坏，导致地下水漏失，水位下降，并间接对与被破坏含水层存在水力联系的其它含水层产生影响。含水层破坏程度直接取决于覆岩破坏形成的导水裂缝带高度，因此从导水裂缝带的角度分析能够科学而有效地揭示矿区煤炭井工开采对地下含水层的影响。</w:t>
      </w:r>
    </w:p>
    <w:p>
      <w:pPr>
        <w:spacing w:line="440" w:lineRule="exact"/>
        <w:ind w:firstLine="480" w:firstLineChars="200"/>
        <w:rPr>
          <w:rFonts w:ascii="Times New Roman" w:hAnsi="Times New Roman"/>
          <w:bCs/>
          <w:szCs w:val="24"/>
        </w:rPr>
      </w:pPr>
      <w:r>
        <w:rPr>
          <w:rFonts w:ascii="Times New Roman" w:hAnsi="Times New Roman"/>
          <w:bCs/>
          <w:szCs w:val="24"/>
        </w:rPr>
        <w:t>（1）矿区井工开采导水裂缝带高度预测</w:t>
      </w:r>
    </w:p>
    <w:p>
      <w:pPr>
        <w:spacing w:line="440" w:lineRule="exact"/>
        <w:ind w:firstLine="480" w:firstLineChars="200"/>
        <w:rPr>
          <w:rFonts w:ascii="Times New Roman" w:hAnsi="Times New Roman"/>
          <w:szCs w:val="24"/>
        </w:rPr>
      </w:pPr>
      <w:bookmarkStart w:id="233" w:name="_Hlk45721691"/>
      <w:r>
        <w:rPr>
          <w:rFonts w:ascii="Times New Roman" w:hAnsi="Times New Roman"/>
          <w:szCs w:val="24"/>
        </w:rPr>
        <w:t>导水裂缝带发育高度与煤层赋存地质条件、顶板岩性、煤层开采厚度、倾角及开采工艺等均有密切关系。</w:t>
      </w:r>
    </w:p>
    <w:p>
      <w:pPr>
        <w:spacing w:line="440" w:lineRule="exact"/>
        <w:ind w:firstLine="480" w:firstLineChars="200"/>
        <w:rPr>
          <w:rFonts w:ascii="Times New Roman" w:hAnsi="Times New Roman"/>
          <w:szCs w:val="24"/>
        </w:rPr>
      </w:pPr>
      <w:r>
        <w:rPr>
          <w:rFonts w:hint="eastAsia" w:ascii="Times New Roman" w:hAnsi="Times New Roman"/>
          <w:szCs w:val="24"/>
        </w:rPr>
        <w:t>矿区为规划新建，无生产煤矿，</w:t>
      </w:r>
      <w:r>
        <w:rPr>
          <w:rFonts w:ascii="Times New Roman" w:hAnsi="Times New Roman"/>
          <w:szCs w:val="24"/>
        </w:rPr>
        <w:t>邻近高头窑矿区距离其最近的生产煤矿为泊江海子煤矿</w:t>
      </w:r>
      <w:r>
        <w:rPr>
          <w:rFonts w:hint="eastAsia" w:ascii="Times New Roman" w:hAnsi="Times New Roman"/>
          <w:szCs w:val="24"/>
        </w:rPr>
        <w:t>，与矿区距离约1</w:t>
      </w:r>
      <w:r>
        <w:rPr>
          <w:rFonts w:ascii="Times New Roman" w:hAnsi="Times New Roman"/>
          <w:szCs w:val="24"/>
        </w:rPr>
        <w:t>0</w:t>
      </w:r>
      <w:r>
        <w:rPr>
          <w:rFonts w:hint="eastAsia" w:ascii="Times New Roman" w:hAnsi="Times New Roman"/>
          <w:szCs w:val="24"/>
        </w:rPr>
        <w:t>km。</w:t>
      </w:r>
      <w:r>
        <w:rPr>
          <w:rFonts w:ascii="Times New Roman" w:hAnsi="Times New Roman"/>
          <w:szCs w:val="24"/>
        </w:rPr>
        <w:t>根据对其煤层发育特征及煤层赋存条件（表</w:t>
      </w:r>
      <w:r>
        <w:rPr>
          <w:rFonts w:hint="eastAsia" w:ascii="Times New Roman" w:hAnsi="Times New Roman"/>
          <w:szCs w:val="24"/>
        </w:rPr>
        <w:t>5</w:t>
      </w:r>
      <w:r>
        <w:rPr>
          <w:rFonts w:ascii="Times New Roman" w:hAnsi="Times New Roman"/>
          <w:szCs w:val="24"/>
        </w:rPr>
        <w:t>.3-3）对比</w:t>
      </w:r>
      <w:r>
        <w:rPr>
          <w:rFonts w:hint="eastAsia" w:ascii="Times New Roman" w:hAnsi="Times New Roman"/>
          <w:szCs w:val="24"/>
        </w:rPr>
        <w:t>，纳</w:t>
      </w:r>
      <w:r>
        <w:rPr>
          <w:rFonts w:ascii="Times New Roman" w:hAnsi="Times New Roman"/>
          <w:szCs w:val="24"/>
        </w:rPr>
        <w:t>林希里矿区及泊江</w:t>
      </w:r>
      <w:r>
        <w:rPr>
          <w:rFonts w:hint="eastAsia" w:ascii="Times New Roman" w:hAnsi="Times New Roman"/>
          <w:szCs w:val="24"/>
        </w:rPr>
        <w:t>海子煤矿可采煤层均在侏罗系中下统延安组发育，根据2</w:t>
      </w:r>
      <w:r>
        <w:rPr>
          <w:rFonts w:ascii="Times New Roman" w:hAnsi="Times New Roman"/>
          <w:szCs w:val="24"/>
        </w:rPr>
        <w:t>021</w:t>
      </w:r>
      <w:r>
        <w:rPr>
          <w:rFonts w:hint="eastAsia" w:ascii="Times New Roman" w:hAnsi="Times New Roman"/>
          <w:szCs w:val="24"/>
        </w:rPr>
        <w:t>年《内蒙古自治区东胜煤田纳林希里矿区地质勘查成果总结报告》、2</w:t>
      </w:r>
      <w:r>
        <w:rPr>
          <w:rFonts w:ascii="Times New Roman" w:hAnsi="Times New Roman"/>
          <w:szCs w:val="24"/>
        </w:rPr>
        <w:t>020</w:t>
      </w:r>
      <w:r>
        <w:rPr>
          <w:rFonts w:hint="eastAsia" w:ascii="Times New Roman" w:hAnsi="Times New Roman"/>
          <w:szCs w:val="24"/>
        </w:rPr>
        <w:t>年《内蒙古银宏能源开发有限公司泊江海子矿生产地质报告》，其中纳林希里矿区延安组第三岩段赋存可采煤层6层，泊江海子煤矿在该岩段无可采煤层发育；纳林希里矿区延安组第二岩段赋存可采煤层</w:t>
      </w:r>
      <w:r>
        <w:rPr>
          <w:rFonts w:ascii="Times New Roman" w:hAnsi="Times New Roman"/>
          <w:szCs w:val="24"/>
        </w:rPr>
        <w:t>7</w:t>
      </w:r>
      <w:r>
        <w:rPr>
          <w:rFonts w:hint="eastAsia" w:ascii="Times New Roman" w:hAnsi="Times New Roman"/>
          <w:szCs w:val="24"/>
        </w:rPr>
        <w:t>层，最上层煤平均埋藏深度约8</w:t>
      </w:r>
      <w:r>
        <w:rPr>
          <w:rFonts w:ascii="Times New Roman" w:hAnsi="Times New Roman"/>
          <w:szCs w:val="24"/>
        </w:rPr>
        <w:t>87</w:t>
      </w:r>
      <w:r>
        <w:rPr>
          <w:rFonts w:hint="eastAsia" w:ascii="Times New Roman" w:hAnsi="Times New Roman"/>
          <w:szCs w:val="24"/>
        </w:rPr>
        <w:t>m，最下层煤平均埋藏深度约9</w:t>
      </w:r>
      <w:r>
        <w:rPr>
          <w:rFonts w:ascii="Times New Roman" w:hAnsi="Times New Roman"/>
          <w:szCs w:val="24"/>
        </w:rPr>
        <w:t>82</w:t>
      </w:r>
      <w:r>
        <w:rPr>
          <w:rFonts w:hint="eastAsia" w:ascii="Times New Roman" w:hAnsi="Times New Roman"/>
          <w:szCs w:val="24"/>
        </w:rPr>
        <w:t>m，泊江海子煤矿在第二岩段赋存可采煤层4层，最上层煤平均埋藏深度约5</w:t>
      </w:r>
      <w:r>
        <w:rPr>
          <w:rFonts w:ascii="Times New Roman" w:hAnsi="Times New Roman"/>
          <w:szCs w:val="24"/>
        </w:rPr>
        <w:t>68</w:t>
      </w:r>
      <w:r>
        <w:rPr>
          <w:rFonts w:hint="eastAsia" w:ascii="Times New Roman" w:hAnsi="Times New Roman"/>
          <w:szCs w:val="24"/>
        </w:rPr>
        <w:t>m，最下层煤埋藏深度约6</w:t>
      </w:r>
      <w:r>
        <w:rPr>
          <w:rFonts w:ascii="Times New Roman" w:hAnsi="Times New Roman"/>
          <w:szCs w:val="24"/>
        </w:rPr>
        <w:t>02</w:t>
      </w:r>
      <w:r>
        <w:rPr>
          <w:rFonts w:hint="eastAsia" w:ascii="Times New Roman" w:hAnsi="Times New Roman"/>
          <w:szCs w:val="24"/>
        </w:rPr>
        <w:t>m，因此纳林希里矿区第二岩段赋存煤层埋藏深度基本均比泊江海子埋深大于3</w:t>
      </w:r>
      <w:r>
        <w:rPr>
          <w:rFonts w:ascii="Times New Roman" w:hAnsi="Times New Roman"/>
          <w:szCs w:val="24"/>
        </w:rPr>
        <w:t>00</w:t>
      </w:r>
      <w:r>
        <w:rPr>
          <w:rFonts w:hint="eastAsia" w:ascii="Times New Roman" w:hAnsi="Times New Roman"/>
          <w:szCs w:val="24"/>
        </w:rPr>
        <w:t>m，第二岩段煤层埋藏条件差异较大；纳林希里矿区第一岩段赋存可采煤层3层，平均埋藏深度约9</w:t>
      </w:r>
      <w:r>
        <w:rPr>
          <w:rFonts w:ascii="Times New Roman" w:hAnsi="Times New Roman"/>
          <w:szCs w:val="24"/>
        </w:rPr>
        <w:t>83~</w:t>
      </w:r>
      <w:r>
        <w:rPr>
          <w:rFonts w:hint="eastAsia" w:ascii="Times New Roman" w:hAnsi="Times New Roman"/>
          <w:szCs w:val="24"/>
        </w:rPr>
        <w:t>1</w:t>
      </w:r>
      <w:r>
        <w:rPr>
          <w:rFonts w:ascii="Times New Roman" w:hAnsi="Times New Roman"/>
          <w:szCs w:val="24"/>
        </w:rPr>
        <w:t>000</w:t>
      </w:r>
      <w:r>
        <w:rPr>
          <w:rFonts w:hint="eastAsia" w:ascii="Times New Roman" w:hAnsi="Times New Roman"/>
          <w:szCs w:val="24"/>
        </w:rPr>
        <w:t>m，泊江海子煤矿第一岩段可采煤层2层，平均埋藏深度约6</w:t>
      </w:r>
      <w:r>
        <w:rPr>
          <w:rFonts w:ascii="Times New Roman" w:hAnsi="Times New Roman"/>
          <w:szCs w:val="24"/>
        </w:rPr>
        <w:t>11~632</w:t>
      </w:r>
      <w:r>
        <w:rPr>
          <w:rFonts w:hint="eastAsia" w:ascii="Times New Roman" w:hAnsi="Times New Roman"/>
          <w:szCs w:val="24"/>
        </w:rPr>
        <w:t>m，两者第三岩段煤层埋藏深度差别在3</w:t>
      </w:r>
      <w:r>
        <w:rPr>
          <w:rFonts w:ascii="Times New Roman" w:hAnsi="Times New Roman"/>
          <w:szCs w:val="24"/>
        </w:rPr>
        <w:t>00</w:t>
      </w:r>
      <w:r>
        <w:rPr>
          <w:rFonts w:hint="eastAsia" w:ascii="Times New Roman" w:hAnsi="Times New Roman"/>
          <w:szCs w:val="24"/>
        </w:rPr>
        <w:t>以上，煤层埋藏差异较大。</w:t>
      </w:r>
    </w:p>
    <w:p>
      <w:pPr>
        <w:spacing w:line="440" w:lineRule="exact"/>
        <w:ind w:firstLine="480" w:firstLineChars="200"/>
        <w:rPr>
          <w:rFonts w:ascii="Times New Roman" w:hAnsi="Times New Roman"/>
          <w:szCs w:val="24"/>
        </w:rPr>
      </w:pPr>
      <w:r>
        <w:rPr>
          <w:rFonts w:hint="eastAsia" w:ascii="Times New Roman" w:hAnsi="Times New Roman"/>
          <w:szCs w:val="24"/>
        </w:rPr>
        <w:t>因此，根据纳林希里矿区与泊江海子可采煤层发育情况及延安组各岩段煤层埋藏条件，其差异性较大，</w:t>
      </w:r>
      <w:r>
        <w:rPr>
          <w:rFonts w:hint="eastAsia" w:ascii="Times New Roman" w:hAnsi="Times New Roman"/>
          <w:color w:val="FF0000"/>
          <w:szCs w:val="24"/>
        </w:rPr>
        <w:t>同时考虑到纳林希里矿区面积大，可采煤层较多，煤层厚度变化不等，</w:t>
      </w:r>
      <w:r>
        <w:rPr>
          <w:rFonts w:hint="eastAsia" w:ascii="Times New Roman" w:hAnsi="Times New Roman"/>
          <w:szCs w:val="24"/>
        </w:rPr>
        <w:t>因此本次评价采用不同覆岩情况下，随煤层厚度变化导水裂缝带发育高度随之改变的经验公式，对矿区导水裂缝带发育高度进行计算，以此分析矿区各煤层开采对地下水环境的影响。</w:t>
      </w:r>
      <w:r>
        <w:rPr>
          <w:rFonts w:hint="eastAsia" w:ascii="Times New Roman" w:hAnsi="Times New Roman"/>
          <w:color w:val="FF0000"/>
          <w:szCs w:val="24"/>
        </w:rPr>
        <w:t>建议纳林希里矿区在后续开发中开展并加强对本矿区“两带”观测，</w:t>
      </w:r>
      <w:r>
        <w:rPr>
          <w:rFonts w:hint="eastAsia" w:ascii="Times New Roman" w:hAnsi="Times New Roman"/>
          <w:szCs w:val="24"/>
        </w:rPr>
        <w:t>总结本矿区煤层开采导水裂缝带发育规律，为矿区煤炭开发对地下水环境影响提供强有力的数据支撑。</w:t>
      </w:r>
    </w:p>
    <w:p>
      <w:pPr>
        <w:spacing w:line="440" w:lineRule="exact"/>
        <w:jc w:val="center"/>
        <w:rPr>
          <w:rFonts w:ascii="Times New Roman" w:hAnsi="Times New Roman"/>
          <w:b/>
          <w:szCs w:val="24"/>
        </w:rPr>
      </w:pPr>
      <w:r>
        <w:rPr>
          <w:rFonts w:ascii="Times New Roman" w:hAnsi="Times New Roman"/>
          <w:b/>
          <w:szCs w:val="24"/>
        </w:rPr>
        <w:t>纳林希里矿区及泊江海子煤矿煤层发育对比情况</w:t>
      </w:r>
    </w:p>
    <w:p>
      <w:pPr>
        <w:adjustRightInd w:val="0"/>
        <w:snapToGrid w:val="0"/>
        <w:spacing w:line="440" w:lineRule="exact"/>
        <w:ind w:firstLine="240" w:firstLineChars="100"/>
        <w:outlineLvl w:val="4"/>
        <w:rPr>
          <w:rFonts w:ascii="Times New Roman" w:hAnsi="Times New Roman"/>
          <w:bCs/>
          <w:szCs w:val="24"/>
        </w:rPr>
      </w:pPr>
      <w:r>
        <w:rPr>
          <w:rFonts w:ascii="Times New Roman" w:hAnsi="Times New Roman"/>
          <w:bCs/>
          <w:szCs w:val="24"/>
        </w:rPr>
        <w:t>表5.3-3</w:t>
      </w:r>
    </w:p>
    <w:tbl>
      <w:tblPr>
        <w:tblStyle w:val="9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80"/>
        <w:gridCol w:w="1883"/>
        <w:gridCol w:w="1239"/>
        <w:gridCol w:w="1778"/>
        <w:gridCol w:w="2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延安组各岩段</w:t>
            </w:r>
          </w:p>
        </w:tc>
        <w:tc>
          <w:tcPr>
            <w:tcW w:w="103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类别</w:t>
            </w: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可采煤层</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采厚(m)</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埋深(m)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restar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第三岩段</w:t>
            </w:r>
          </w:p>
          <w:p>
            <w:pPr>
              <w:pStyle w:val="2"/>
              <w:jc w:val="center"/>
              <w:rPr>
                <w:rFonts w:ascii="Times New Roman" w:hAnsi="等线" w:eastAsia="宋体"/>
                <w:color w:val="auto"/>
                <w:kern w:val="2"/>
                <w:szCs w:val="22"/>
              </w:rPr>
            </w:pPr>
            <w:r>
              <w:rPr>
                <w:rFonts w:ascii="Times New Roman" w:hAnsi="等线" w:eastAsia="宋体"/>
                <w:color w:val="auto"/>
                <w:kern w:val="2"/>
                <w:szCs w:val="22"/>
              </w:rPr>
              <w:t>J</w:t>
            </w:r>
            <w:r>
              <w:rPr>
                <w:rFonts w:ascii="Times New Roman" w:hAnsi="等线" w:eastAsia="宋体"/>
                <w:color w:val="auto"/>
                <w:kern w:val="2"/>
                <w:szCs w:val="22"/>
                <w:vertAlign w:val="subscript"/>
              </w:rPr>
              <w:t>1-2</w:t>
            </w:r>
            <w:r>
              <w:rPr>
                <w:rFonts w:ascii="Times New Roman" w:hAnsi="等线" w:eastAsia="宋体"/>
                <w:color w:val="auto"/>
                <w:kern w:val="2"/>
                <w:szCs w:val="22"/>
              </w:rPr>
              <w:t>y</w:t>
            </w:r>
            <w:r>
              <w:rPr>
                <w:rFonts w:ascii="Times New Roman" w:hAnsi="等线" w:eastAsia="宋体"/>
                <w:color w:val="auto"/>
                <w:kern w:val="2"/>
                <w:szCs w:val="22"/>
                <w:vertAlign w:val="superscript"/>
              </w:rPr>
              <w:t>3</w:t>
            </w:r>
          </w:p>
        </w:tc>
        <w:tc>
          <w:tcPr>
            <w:tcW w:w="1037" w:type="pct"/>
            <w:vMerge w:val="restar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纳林希里</w:t>
            </w:r>
          </w:p>
          <w:p>
            <w:pPr>
              <w:jc w:val="center"/>
              <w:rPr>
                <w:rFonts w:ascii="Times New Roman" w:hAnsi="Times New Roman" w:eastAsia="等线"/>
                <w:sz w:val="21"/>
                <w:szCs w:val="22"/>
              </w:rPr>
            </w:pPr>
            <w:r>
              <w:rPr>
                <w:rFonts w:ascii="Times New Roman" w:hAnsi="Times New Roman" w:eastAsia="等线"/>
                <w:sz w:val="21"/>
                <w:szCs w:val="22"/>
              </w:rPr>
              <w:t>(6层)</w:t>
            </w: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2-1上煤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0.81~3.57/1.88</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889.65～979.50/929.84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2-1煤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0.8~5.34/2</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720.47～1048.92/840.65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2-1下煤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0.8~5.8/1.83</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737.28～1054.35/870.16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2-2上煤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0.84~3.13/1.41</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728.21～1067.35/866.39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2-2煤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0.85~5.91/2.26</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738.13～1091.28/865.01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2-2下煤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0.8~3.12/1.67</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772.31～1093.56/890.47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tcBorders>
              <w:bottom w:val="single" w:color="auto" w:sz="4" w:space="0"/>
            </w:tcBorders>
            <w:shd w:val="clear" w:color="auto" w:fill="auto"/>
            <w:vAlign w:val="center"/>
          </w:tcPr>
          <w:p>
            <w:pPr>
              <w:jc w:val="center"/>
              <w:rPr>
                <w:rFonts w:ascii="Times New Roman" w:hAnsi="Times New Roman" w:eastAsia="等线"/>
                <w:sz w:val="21"/>
                <w:szCs w:val="22"/>
              </w:rPr>
            </w:pPr>
          </w:p>
        </w:tc>
        <w:tc>
          <w:tcPr>
            <w:tcW w:w="1037" w:type="pct"/>
            <w:tcBorders>
              <w:bottom w:val="single" w:color="auto" w:sz="4" w:space="0"/>
            </w:tcBorders>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泊江海子(0层)</w:t>
            </w:r>
          </w:p>
        </w:tc>
        <w:tc>
          <w:tcPr>
            <w:tcW w:w="682" w:type="pct"/>
            <w:tcBorders>
              <w:bottom w:val="single" w:color="auto" w:sz="4" w:space="0"/>
            </w:tcBorders>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w:t>
            </w:r>
          </w:p>
        </w:tc>
        <w:tc>
          <w:tcPr>
            <w:tcW w:w="979" w:type="pct"/>
            <w:tcBorders>
              <w:bottom w:val="single" w:color="auto" w:sz="4" w:space="0"/>
            </w:tcBorders>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w:t>
            </w:r>
          </w:p>
        </w:tc>
        <w:tc>
          <w:tcPr>
            <w:tcW w:w="1597" w:type="pct"/>
            <w:tcBorders>
              <w:bottom w:val="single" w:color="auto" w:sz="4" w:space="0"/>
            </w:tcBorders>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restar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第二岩段</w:t>
            </w:r>
          </w:p>
          <w:p>
            <w:pPr>
              <w:pStyle w:val="2"/>
              <w:jc w:val="center"/>
              <w:rPr>
                <w:rFonts w:ascii="Times New Roman" w:hAnsi="等线" w:eastAsia="宋体"/>
                <w:color w:val="auto"/>
                <w:kern w:val="2"/>
                <w:szCs w:val="22"/>
              </w:rPr>
            </w:pPr>
            <w:r>
              <w:rPr>
                <w:rFonts w:ascii="Times New Roman" w:hAnsi="等线" w:eastAsia="宋体"/>
                <w:color w:val="auto"/>
                <w:kern w:val="2"/>
                <w:szCs w:val="22"/>
              </w:rPr>
              <w:t>J</w:t>
            </w:r>
            <w:r>
              <w:rPr>
                <w:rFonts w:ascii="Times New Roman" w:hAnsi="等线" w:eastAsia="宋体"/>
                <w:color w:val="auto"/>
                <w:kern w:val="2"/>
                <w:szCs w:val="22"/>
                <w:vertAlign w:val="subscript"/>
              </w:rPr>
              <w:t>1-2</w:t>
            </w:r>
            <w:r>
              <w:rPr>
                <w:rFonts w:ascii="Times New Roman" w:hAnsi="等线" w:eastAsia="宋体"/>
                <w:color w:val="auto"/>
                <w:kern w:val="2"/>
                <w:szCs w:val="22"/>
              </w:rPr>
              <w:t>y</w:t>
            </w:r>
            <w:r>
              <w:rPr>
                <w:rFonts w:ascii="Times New Roman" w:hAnsi="等线" w:eastAsia="宋体"/>
                <w:color w:val="auto"/>
                <w:kern w:val="2"/>
                <w:szCs w:val="22"/>
                <w:vertAlign w:val="superscript"/>
              </w:rPr>
              <w:t>2</w:t>
            </w:r>
          </w:p>
        </w:tc>
        <w:tc>
          <w:tcPr>
            <w:tcW w:w="1037" w:type="pct"/>
            <w:vMerge w:val="restar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纳林希里</w:t>
            </w:r>
          </w:p>
          <w:p>
            <w:pPr>
              <w:jc w:val="center"/>
              <w:rPr>
                <w:rFonts w:ascii="Times New Roman" w:hAnsi="Times New Roman" w:eastAsia="等线"/>
                <w:sz w:val="21"/>
                <w:szCs w:val="22"/>
              </w:rPr>
            </w:pPr>
            <w:r>
              <w:rPr>
                <w:rFonts w:ascii="Times New Roman" w:hAnsi="Times New Roman" w:eastAsia="等线"/>
                <w:sz w:val="21"/>
                <w:szCs w:val="22"/>
              </w:rPr>
              <w:t>(7层)</w:t>
            </w: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pacing w:val="-6"/>
                <w:sz w:val="21"/>
                <w:szCs w:val="18"/>
              </w:rPr>
              <w:t>3-1</w:t>
            </w:r>
            <w:r>
              <w:rPr>
                <w:rFonts w:ascii="Times New Roman" w:hAnsi="Times New Roman" w:eastAsia="等线"/>
                <w:sz w:val="21"/>
                <w:szCs w:val="22"/>
              </w:rPr>
              <w:t>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0.80～8.68/3.03</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784.78～1109.57/887.17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pacing w:val="-6"/>
                <w:sz w:val="21"/>
                <w:szCs w:val="18"/>
              </w:rPr>
              <w:t>3-2</w:t>
            </w:r>
            <w:r>
              <w:rPr>
                <w:rFonts w:ascii="Times New Roman" w:hAnsi="Times New Roman" w:eastAsia="等线"/>
                <w:sz w:val="21"/>
                <w:szCs w:val="22"/>
              </w:rPr>
              <w:t>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0.81～3.31/2.08</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812.68～1144.48/936.11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pacing w:val="-6"/>
                <w:sz w:val="21"/>
                <w:szCs w:val="18"/>
              </w:rPr>
              <w:t>4-1上</w:t>
            </w:r>
            <w:r>
              <w:rPr>
                <w:rFonts w:ascii="Times New Roman" w:hAnsi="Times New Roman" w:eastAsia="等线"/>
                <w:sz w:val="21"/>
                <w:szCs w:val="22"/>
              </w:rPr>
              <w:t>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0.80～3.39/1.56</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835.01～1078.90/912.65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pacing w:val="-6"/>
                <w:sz w:val="21"/>
                <w:szCs w:val="18"/>
              </w:rPr>
              <w:t>4-1</w:t>
            </w:r>
            <w:r>
              <w:rPr>
                <w:rFonts w:ascii="Times New Roman" w:hAnsi="Times New Roman" w:eastAsia="等线"/>
                <w:sz w:val="21"/>
                <w:szCs w:val="22"/>
              </w:rPr>
              <w:t>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0.82～5.93/1.88</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830.68～1164.79/947.07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pacing w:val="-6"/>
                <w:sz w:val="21"/>
                <w:szCs w:val="18"/>
              </w:rPr>
              <w:t>4-1下</w:t>
            </w:r>
            <w:r>
              <w:rPr>
                <w:rFonts w:ascii="Times New Roman" w:hAnsi="Times New Roman" w:eastAsia="等线"/>
                <w:sz w:val="21"/>
                <w:szCs w:val="22"/>
              </w:rPr>
              <w:t>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0.80～1.81/0.97</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843.90～1156.55/977.43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pacing w:val="-6"/>
                <w:sz w:val="21"/>
                <w:szCs w:val="18"/>
              </w:rPr>
              <w:t>4-2上</w:t>
            </w:r>
            <w:r>
              <w:rPr>
                <w:rFonts w:ascii="Times New Roman" w:hAnsi="Times New Roman" w:eastAsia="等线"/>
                <w:sz w:val="21"/>
                <w:szCs w:val="22"/>
              </w:rPr>
              <w:t>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0.81～4.15/1.69</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849.75～1177.38/960.17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pacing w:val="-6"/>
                <w:sz w:val="21"/>
                <w:szCs w:val="18"/>
              </w:rPr>
              <w:t>4-2</w:t>
            </w:r>
            <w:r>
              <w:rPr>
                <w:rFonts w:ascii="Times New Roman" w:hAnsi="Times New Roman" w:eastAsia="等线"/>
                <w:sz w:val="21"/>
                <w:szCs w:val="22"/>
              </w:rPr>
              <w:t>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0.80～5.01/1.73</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873.83～1199.18/981.75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restar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泊江海子</w:t>
            </w:r>
          </w:p>
          <w:p>
            <w:pPr>
              <w:jc w:val="center"/>
              <w:rPr>
                <w:rFonts w:ascii="Times New Roman" w:hAnsi="Times New Roman" w:eastAsia="等线"/>
                <w:sz w:val="21"/>
                <w:szCs w:val="22"/>
              </w:rPr>
            </w:pPr>
            <w:r>
              <w:rPr>
                <w:rFonts w:ascii="Times New Roman" w:hAnsi="Times New Roman" w:eastAsia="等线"/>
                <w:sz w:val="21"/>
                <w:szCs w:val="22"/>
              </w:rPr>
              <w:t>(4层)</w:t>
            </w: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3-1煤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0.86~7.26/4.24</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509~663/568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3-1下煤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0.8~1.3/0.92</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515~665/574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3-2煤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0.8~3.04/1.09</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523~625/583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tcBorders>
              <w:bottom w:val="single" w:color="auto" w:sz="4" w:space="0"/>
            </w:tcBorders>
            <w:shd w:val="clear" w:color="auto" w:fill="auto"/>
            <w:vAlign w:val="center"/>
          </w:tcPr>
          <w:p>
            <w:pPr>
              <w:jc w:val="center"/>
              <w:rPr>
                <w:rFonts w:ascii="Times New Roman" w:hAnsi="Times New Roman" w:eastAsia="等线"/>
                <w:sz w:val="21"/>
                <w:szCs w:val="22"/>
              </w:rPr>
            </w:pPr>
          </w:p>
        </w:tc>
        <w:tc>
          <w:tcPr>
            <w:tcW w:w="1037" w:type="pct"/>
            <w:vMerge w:val="continue"/>
            <w:tcBorders>
              <w:bottom w:val="single" w:color="auto" w:sz="4" w:space="0"/>
            </w:tcBorders>
            <w:shd w:val="clear" w:color="auto" w:fill="auto"/>
            <w:vAlign w:val="center"/>
          </w:tcPr>
          <w:p>
            <w:pPr>
              <w:jc w:val="center"/>
              <w:rPr>
                <w:rFonts w:ascii="Times New Roman" w:hAnsi="Times New Roman" w:eastAsia="等线"/>
                <w:sz w:val="21"/>
                <w:szCs w:val="22"/>
              </w:rPr>
            </w:pPr>
          </w:p>
        </w:tc>
        <w:tc>
          <w:tcPr>
            <w:tcW w:w="682" w:type="pct"/>
            <w:tcBorders>
              <w:bottom w:val="single" w:color="auto" w:sz="4" w:space="0"/>
            </w:tcBorders>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4-1煤</w:t>
            </w:r>
          </w:p>
        </w:tc>
        <w:tc>
          <w:tcPr>
            <w:tcW w:w="979" w:type="pct"/>
            <w:tcBorders>
              <w:bottom w:val="single" w:color="auto" w:sz="4" w:space="0"/>
            </w:tcBorders>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0.8~4.84/1.59</w:t>
            </w:r>
          </w:p>
        </w:tc>
        <w:tc>
          <w:tcPr>
            <w:tcW w:w="1597" w:type="pct"/>
            <w:tcBorders>
              <w:bottom w:val="single" w:color="auto" w:sz="4" w:space="0"/>
            </w:tcBorders>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537~676/602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restar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第一岩段</w:t>
            </w:r>
          </w:p>
          <w:p>
            <w:pPr>
              <w:pStyle w:val="2"/>
              <w:jc w:val="center"/>
              <w:rPr>
                <w:rFonts w:ascii="Times New Roman" w:hAnsi="等线" w:eastAsia="宋体"/>
                <w:color w:val="auto"/>
                <w:kern w:val="2"/>
                <w:szCs w:val="22"/>
              </w:rPr>
            </w:pPr>
            <w:r>
              <w:rPr>
                <w:rFonts w:ascii="Times New Roman" w:hAnsi="等线" w:eastAsia="宋体"/>
                <w:color w:val="auto"/>
                <w:kern w:val="2"/>
                <w:szCs w:val="22"/>
              </w:rPr>
              <w:t>J</w:t>
            </w:r>
            <w:r>
              <w:rPr>
                <w:rFonts w:ascii="Times New Roman" w:hAnsi="等线" w:eastAsia="宋体"/>
                <w:color w:val="auto"/>
                <w:kern w:val="2"/>
                <w:szCs w:val="22"/>
                <w:vertAlign w:val="subscript"/>
              </w:rPr>
              <w:t>1-2</w:t>
            </w:r>
            <w:r>
              <w:rPr>
                <w:rFonts w:ascii="Times New Roman" w:hAnsi="等线" w:eastAsia="宋体"/>
                <w:color w:val="auto"/>
                <w:kern w:val="2"/>
                <w:szCs w:val="22"/>
              </w:rPr>
              <w:t>y</w:t>
            </w:r>
            <w:r>
              <w:rPr>
                <w:rFonts w:ascii="Times New Roman" w:hAnsi="等线" w:eastAsia="宋体"/>
                <w:color w:val="auto"/>
                <w:kern w:val="2"/>
                <w:szCs w:val="22"/>
                <w:vertAlign w:val="superscript"/>
              </w:rPr>
              <w:t>1</w:t>
            </w:r>
          </w:p>
        </w:tc>
        <w:tc>
          <w:tcPr>
            <w:tcW w:w="1037" w:type="pct"/>
            <w:vMerge w:val="restar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纳林希里</w:t>
            </w:r>
          </w:p>
          <w:p>
            <w:pPr>
              <w:jc w:val="center"/>
              <w:rPr>
                <w:rFonts w:ascii="Times New Roman" w:hAnsi="Times New Roman" w:eastAsia="等线"/>
                <w:sz w:val="21"/>
                <w:szCs w:val="22"/>
              </w:rPr>
            </w:pPr>
            <w:r>
              <w:rPr>
                <w:rFonts w:ascii="Times New Roman" w:hAnsi="Times New Roman" w:eastAsia="等线"/>
                <w:sz w:val="21"/>
                <w:szCs w:val="22"/>
              </w:rPr>
              <w:t>(3层)</w:t>
            </w: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5-1</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0.80～6.02/2.41</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894.48～1219.25/1002.81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5-2</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0.80～3.63/1.43</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907.00～1233.55/1011.31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6-2</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0.80～5.30/2.47</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933.28～1138.61/982.82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restar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泊江海子</w:t>
            </w:r>
          </w:p>
          <w:p>
            <w:pPr>
              <w:jc w:val="center"/>
              <w:rPr>
                <w:rFonts w:ascii="Times New Roman" w:hAnsi="Times New Roman" w:eastAsia="等线"/>
                <w:sz w:val="21"/>
                <w:szCs w:val="22"/>
              </w:rPr>
            </w:pPr>
            <w:r>
              <w:rPr>
                <w:rFonts w:ascii="Times New Roman" w:hAnsi="Times New Roman" w:eastAsia="等线"/>
                <w:sz w:val="21"/>
                <w:szCs w:val="22"/>
              </w:rPr>
              <w:t>(2层)</w:t>
            </w: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4-2煤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0.84~2.99/1.77</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543~698/611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705" w:type="pct"/>
            <w:vMerge w:val="continue"/>
            <w:shd w:val="clear" w:color="auto" w:fill="auto"/>
            <w:vAlign w:val="center"/>
          </w:tcPr>
          <w:p>
            <w:pPr>
              <w:jc w:val="center"/>
              <w:rPr>
                <w:rFonts w:ascii="Times New Roman" w:hAnsi="Times New Roman" w:eastAsia="等线"/>
                <w:sz w:val="21"/>
                <w:szCs w:val="22"/>
              </w:rPr>
            </w:pPr>
          </w:p>
        </w:tc>
        <w:tc>
          <w:tcPr>
            <w:tcW w:w="1037" w:type="pct"/>
            <w:vMerge w:val="continue"/>
            <w:shd w:val="clear" w:color="auto" w:fill="auto"/>
            <w:vAlign w:val="center"/>
          </w:tcPr>
          <w:p>
            <w:pPr>
              <w:jc w:val="center"/>
              <w:rPr>
                <w:rFonts w:ascii="Times New Roman" w:hAnsi="Times New Roman" w:eastAsia="等线"/>
                <w:sz w:val="21"/>
                <w:szCs w:val="22"/>
              </w:rPr>
            </w:pPr>
          </w:p>
        </w:tc>
        <w:tc>
          <w:tcPr>
            <w:tcW w:w="682"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5-1煤</w:t>
            </w:r>
          </w:p>
        </w:tc>
        <w:tc>
          <w:tcPr>
            <w:tcW w:w="979"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1.07~4.25/2.86</w:t>
            </w:r>
          </w:p>
        </w:tc>
        <w:tc>
          <w:tcPr>
            <w:tcW w:w="1597" w:type="pct"/>
            <w:shd w:val="clear" w:color="auto" w:fill="auto"/>
            <w:vAlign w:val="center"/>
          </w:tcPr>
          <w:p>
            <w:pPr>
              <w:jc w:val="center"/>
              <w:rPr>
                <w:rFonts w:ascii="Times New Roman" w:hAnsi="Times New Roman" w:eastAsia="等线"/>
                <w:sz w:val="21"/>
                <w:szCs w:val="22"/>
              </w:rPr>
            </w:pPr>
            <w:r>
              <w:rPr>
                <w:rFonts w:ascii="Times New Roman" w:hAnsi="Times New Roman" w:eastAsia="等线"/>
                <w:sz w:val="21"/>
                <w:szCs w:val="22"/>
              </w:rPr>
              <w:t>568~715/632</w:t>
            </w:r>
          </w:p>
        </w:tc>
      </w:tr>
    </w:tbl>
    <w:p>
      <w:pPr>
        <w:spacing w:line="440" w:lineRule="exact"/>
        <w:ind w:firstLine="480" w:firstLineChars="200"/>
        <w:rPr>
          <w:rFonts w:ascii="Times New Roman" w:hAnsi="Times New Roman"/>
          <w:szCs w:val="24"/>
        </w:rPr>
      </w:pPr>
      <w:r>
        <w:rPr>
          <w:rFonts w:ascii="Times New Roman" w:hAnsi="Times New Roman"/>
          <w:szCs w:val="24"/>
        </w:rPr>
        <w:t>根据《内蒙古自治区东胜煤田纳林希里矿区煤炭地质资料汇编报告》，矿区煤层倾角小于15°，且大部分小于3°，为近水平煤层，且煤层覆岩单轴抗压强度小于40MPa</w:t>
      </w:r>
      <w:r>
        <w:rPr>
          <w:rFonts w:hint="eastAsia" w:ascii="Times New Roman" w:hAnsi="Times New Roman"/>
          <w:szCs w:val="24"/>
        </w:rPr>
        <w:t>，</w:t>
      </w:r>
      <w:r>
        <w:rPr>
          <w:rFonts w:ascii="Times New Roman" w:hAnsi="Times New Roman"/>
          <w:szCs w:val="24"/>
        </w:rPr>
        <w:t>本次环评采用中硬覆岩类经验公式。由于矿区开采煤层数较多，煤层间存在压茬现象，当下层煤的垮落带接触到或完全进入上层煤范围内时，上层煤的导水裂缝带最大高度采用本层煤的开采厚度计算，下层煤的导水裂缝带最大高度，则应采用上、下层煤的综合开采厚度计算。上、下层煤的综合开采厚度可按以下公式计算：</w:t>
      </w:r>
    </w:p>
    <w:p>
      <w:pPr>
        <w:spacing w:before="120" w:beforeLines="50" w:after="120" w:afterLines="50" w:line="440" w:lineRule="exact"/>
        <w:ind w:firstLine="480" w:firstLineChars="200"/>
        <w:jc w:val="center"/>
        <w:rPr>
          <w:rFonts w:ascii="Times New Roman" w:hAnsi="Times New Roman"/>
          <w:szCs w:val="24"/>
        </w:rPr>
      </w:pPr>
      <w:r>
        <w:rPr>
          <w:rFonts w:ascii="Times New Roman" w:hAnsi="Times New Roman"/>
          <w:i/>
          <w:iCs/>
          <w:szCs w:val="24"/>
        </w:rPr>
        <w:t>M</w:t>
      </w:r>
      <w:r>
        <w:rPr>
          <w:rFonts w:ascii="Times New Roman" w:hAnsi="Times New Roman"/>
          <w:i/>
          <w:iCs/>
          <w:szCs w:val="24"/>
          <w:vertAlign w:val="subscript"/>
        </w:rPr>
        <w:t>z</w:t>
      </w:r>
      <w:r>
        <w:rPr>
          <w:rFonts w:ascii="Times New Roman" w:hAnsi="Times New Roman"/>
          <w:szCs w:val="24"/>
          <w:vertAlign w:val="subscript"/>
        </w:rPr>
        <w:t>1-2</w:t>
      </w:r>
      <w:r>
        <w:rPr>
          <w:rFonts w:ascii="Times New Roman" w:hAnsi="Times New Roman"/>
          <w:szCs w:val="24"/>
        </w:rPr>
        <w:t>=</w:t>
      </w:r>
      <w:r>
        <w:rPr>
          <w:rFonts w:ascii="Times New Roman" w:hAnsi="Times New Roman"/>
          <w:i/>
          <w:iCs/>
          <w:szCs w:val="24"/>
        </w:rPr>
        <w:t>M</w:t>
      </w:r>
      <w:r>
        <w:rPr>
          <w:rFonts w:ascii="Times New Roman" w:hAnsi="Times New Roman"/>
          <w:szCs w:val="24"/>
          <w:vertAlign w:val="subscript"/>
        </w:rPr>
        <w:t>2</w:t>
      </w:r>
      <w:r>
        <w:rPr>
          <w:rFonts w:ascii="Times New Roman" w:hAnsi="Times New Roman"/>
          <w:szCs w:val="24"/>
        </w:rPr>
        <w:t>+(</w:t>
      </w:r>
      <w:r>
        <w:rPr>
          <w:rFonts w:ascii="Times New Roman" w:hAnsi="Times New Roman"/>
          <w:i/>
          <w:iCs/>
          <w:szCs w:val="24"/>
        </w:rPr>
        <w:t>M</w:t>
      </w:r>
      <w:r>
        <w:rPr>
          <w:rFonts w:ascii="Times New Roman" w:hAnsi="Times New Roman"/>
          <w:szCs w:val="24"/>
          <w:vertAlign w:val="subscript"/>
        </w:rPr>
        <w:t>1</w:t>
      </w:r>
      <w:r>
        <w:rPr>
          <w:rFonts w:ascii="Times New Roman" w:hAnsi="Times New Roman"/>
          <w:szCs w:val="24"/>
        </w:rPr>
        <w:t>-</w:t>
      </w:r>
      <w:r>
        <w:rPr>
          <w:rFonts w:ascii="Times New Roman" w:hAnsi="Times New Roman"/>
          <w:i/>
          <w:iCs/>
          <w:szCs w:val="24"/>
        </w:rPr>
        <w:t>h</w:t>
      </w:r>
      <w:r>
        <w:rPr>
          <w:rFonts w:ascii="Times New Roman" w:hAnsi="Times New Roman"/>
          <w:szCs w:val="24"/>
          <w:vertAlign w:val="subscript"/>
        </w:rPr>
        <w:t>1-2</w:t>
      </w:r>
      <w:r>
        <w:rPr>
          <w:rFonts w:ascii="Times New Roman" w:hAnsi="Times New Roman"/>
          <w:szCs w:val="24"/>
        </w:rPr>
        <w:t>/</w:t>
      </w:r>
      <w:r>
        <w:rPr>
          <w:rFonts w:ascii="Times New Roman" w:hAnsi="Times New Roman"/>
          <w:i/>
          <w:iCs/>
          <w:szCs w:val="24"/>
        </w:rPr>
        <w:t>y</w:t>
      </w:r>
      <w:r>
        <w:rPr>
          <w:rFonts w:ascii="Times New Roman" w:hAnsi="Times New Roman"/>
          <w:szCs w:val="24"/>
          <w:vertAlign w:val="subscript"/>
        </w:rPr>
        <w:t>2</w:t>
      </w:r>
      <w:r>
        <w:rPr>
          <w:rFonts w:ascii="Times New Roman" w:hAnsi="Times New Roman"/>
          <w:szCs w:val="24"/>
        </w:rPr>
        <w:t>)</w:t>
      </w:r>
    </w:p>
    <w:p>
      <w:pPr>
        <w:spacing w:line="440" w:lineRule="exact"/>
        <w:ind w:firstLine="480" w:firstLineChars="200"/>
        <w:rPr>
          <w:rFonts w:ascii="Times New Roman" w:hAnsi="Times New Roman"/>
          <w:szCs w:val="24"/>
        </w:rPr>
      </w:pPr>
      <w:r>
        <w:rPr>
          <w:rFonts w:ascii="Times New Roman" w:hAnsi="Times New Roman"/>
          <w:szCs w:val="24"/>
        </w:rPr>
        <w:t>式中：</w:t>
      </w:r>
      <w:r>
        <w:rPr>
          <w:rFonts w:ascii="Times New Roman" w:hAnsi="Times New Roman"/>
          <w:i/>
          <w:iCs/>
          <w:szCs w:val="24"/>
        </w:rPr>
        <w:t>M</w:t>
      </w:r>
      <w:r>
        <w:rPr>
          <w:rFonts w:ascii="Times New Roman" w:hAnsi="Times New Roman"/>
          <w:szCs w:val="24"/>
          <w:vertAlign w:val="subscript"/>
        </w:rPr>
        <w:t>1</w:t>
      </w:r>
      <w:r>
        <w:rPr>
          <w:rFonts w:ascii="Times New Roman" w:hAnsi="Times New Roman"/>
          <w:szCs w:val="24"/>
        </w:rPr>
        <w:t>为上层煤开采厚度；</w:t>
      </w:r>
    </w:p>
    <w:p>
      <w:pPr>
        <w:spacing w:line="440" w:lineRule="exact"/>
        <w:ind w:firstLine="1200" w:firstLineChars="500"/>
        <w:rPr>
          <w:rFonts w:ascii="Times New Roman" w:hAnsi="Times New Roman"/>
          <w:szCs w:val="24"/>
        </w:rPr>
      </w:pPr>
      <w:r>
        <w:rPr>
          <w:rFonts w:ascii="Times New Roman" w:hAnsi="Times New Roman"/>
          <w:i/>
          <w:iCs/>
          <w:szCs w:val="24"/>
        </w:rPr>
        <w:t>M</w:t>
      </w:r>
      <w:r>
        <w:rPr>
          <w:rFonts w:ascii="Times New Roman" w:hAnsi="Times New Roman"/>
          <w:szCs w:val="24"/>
          <w:vertAlign w:val="subscript"/>
        </w:rPr>
        <w:t>2</w:t>
      </w:r>
      <w:r>
        <w:rPr>
          <w:rFonts w:ascii="Times New Roman" w:hAnsi="Times New Roman"/>
          <w:szCs w:val="24"/>
        </w:rPr>
        <w:t>为下层煤开采厚度；</w:t>
      </w:r>
    </w:p>
    <w:p>
      <w:pPr>
        <w:spacing w:line="440" w:lineRule="exact"/>
        <w:ind w:firstLine="1200" w:firstLineChars="500"/>
        <w:rPr>
          <w:rFonts w:ascii="Times New Roman" w:hAnsi="Times New Roman"/>
          <w:szCs w:val="24"/>
        </w:rPr>
      </w:pPr>
      <w:r>
        <w:rPr>
          <w:rFonts w:ascii="Times New Roman" w:hAnsi="Times New Roman"/>
          <w:i/>
          <w:iCs/>
          <w:szCs w:val="24"/>
        </w:rPr>
        <w:t>h</w:t>
      </w:r>
      <w:r>
        <w:rPr>
          <w:rFonts w:ascii="Times New Roman" w:hAnsi="Times New Roman"/>
          <w:szCs w:val="24"/>
          <w:vertAlign w:val="subscript"/>
        </w:rPr>
        <w:t>1-2</w:t>
      </w:r>
      <w:r>
        <w:rPr>
          <w:rFonts w:ascii="Times New Roman" w:hAnsi="Times New Roman"/>
          <w:szCs w:val="24"/>
        </w:rPr>
        <w:t>为上、下层煤之间法线距离；</w:t>
      </w:r>
    </w:p>
    <w:p>
      <w:pPr>
        <w:spacing w:line="440" w:lineRule="exact"/>
        <w:ind w:firstLine="1200" w:firstLineChars="500"/>
        <w:rPr>
          <w:rFonts w:ascii="Times New Roman" w:hAnsi="Times New Roman"/>
          <w:szCs w:val="24"/>
        </w:rPr>
      </w:pPr>
      <w:r>
        <w:rPr>
          <w:rFonts w:ascii="Times New Roman" w:hAnsi="Times New Roman"/>
          <w:i/>
          <w:iCs/>
          <w:szCs w:val="24"/>
        </w:rPr>
        <w:t>y</w:t>
      </w:r>
      <w:r>
        <w:rPr>
          <w:rFonts w:ascii="Times New Roman" w:hAnsi="Times New Roman"/>
          <w:szCs w:val="24"/>
          <w:vertAlign w:val="subscript"/>
        </w:rPr>
        <w:t>2</w:t>
      </w:r>
      <w:r>
        <w:rPr>
          <w:rFonts w:ascii="Times New Roman" w:hAnsi="Times New Roman"/>
          <w:szCs w:val="24"/>
        </w:rPr>
        <w:t>为上层煤的冒高与采厚之比。</w:t>
      </w:r>
    </w:p>
    <w:p>
      <w:pPr>
        <w:spacing w:line="440" w:lineRule="exact"/>
        <w:ind w:firstLine="480" w:firstLineChars="200"/>
        <w:rPr>
          <w:rFonts w:ascii="Times New Roman" w:hAnsi="Times New Roman"/>
          <w:szCs w:val="24"/>
        </w:rPr>
      </w:pPr>
      <w:r>
        <w:rPr>
          <w:rFonts w:ascii="Times New Roman" w:hAnsi="Times New Roman"/>
          <w:szCs w:val="24"/>
        </w:rPr>
        <w:t>当上、下层煤间距很小时，综合开采厚度为上、下层煤的累计厚度。</w:t>
      </w:r>
    </w:p>
    <w:p>
      <w:pPr>
        <w:spacing w:line="440" w:lineRule="exact"/>
        <w:ind w:firstLine="480" w:firstLineChars="200"/>
        <w:rPr>
          <w:rFonts w:ascii="Times New Roman" w:hAnsi="Times New Roman"/>
          <w:szCs w:val="24"/>
        </w:rPr>
      </w:pPr>
      <w:r>
        <w:rPr>
          <w:rFonts w:ascii="Times New Roman" w:hAnsi="Times New Roman"/>
          <w:szCs w:val="24"/>
        </w:rPr>
        <w:t>矿区各煤层采厚均小于12m，本次评价以下列2种情况分别对垮落带及导水裂缝带发育高度进行计算：</w:t>
      </w:r>
    </w:p>
    <w:p>
      <w:pPr>
        <w:spacing w:line="440" w:lineRule="exact"/>
        <w:ind w:firstLine="480" w:firstLineChars="200"/>
        <w:rPr>
          <w:rFonts w:ascii="Times New Roman" w:hAnsi="Times New Roman"/>
          <w:szCs w:val="24"/>
        </w:rPr>
      </w:pPr>
      <w:r>
        <w:rPr>
          <w:rFonts w:ascii="Times New Roman" w:hAnsi="Times New Roman"/>
          <w:szCs w:val="24"/>
        </w:rPr>
        <w:t>1）小于3.5 m的煤层采用《建筑物、水体、铁路及主要井巷煤柱留设与压煤开采规程》（以下简称“三下采煤”）中垮落带、导水裂缝带计算公式（表5.3-4、表5.3-5）；</w:t>
      </w:r>
    </w:p>
    <w:p>
      <w:pPr>
        <w:spacing w:line="440" w:lineRule="exact"/>
        <w:ind w:firstLine="480" w:firstLineChars="200"/>
        <w:rPr>
          <w:rFonts w:ascii="Times New Roman" w:hAnsi="Times New Roman"/>
          <w:szCs w:val="24"/>
        </w:rPr>
      </w:pPr>
      <w:r>
        <w:rPr>
          <w:rFonts w:ascii="Times New Roman" w:hAnsi="Times New Roman"/>
          <w:szCs w:val="24"/>
        </w:rPr>
        <w:t>2）煤层厚度介于3.5～12 m的导水裂缝带计算采用中国矿业大学（北京）得出的综放开采工作面“两带”高度经验公式（表5.3-6）；</w:t>
      </w:r>
    </w:p>
    <w:p>
      <w:pPr>
        <w:spacing w:line="440" w:lineRule="exact"/>
        <w:jc w:val="center"/>
        <w:rPr>
          <w:rFonts w:ascii="Times New Roman" w:hAnsi="Times New Roman"/>
          <w:b/>
          <w:szCs w:val="24"/>
        </w:rPr>
      </w:pPr>
      <w:bookmarkStart w:id="234" w:name="_Hlk98682466"/>
      <w:r>
        <w:rPr>
          <w:rFonts w:ascii="Times New Roman" w:hAnsi="Times New Roman"/>
          <w:b/>
          <w:szCs w:val="24"/>
        </w:rPr>
        <w:t xml:space="preserve"> “三下采煤”垮落带发育高度计算公式</w:t>
      </w:r>
    </w:p>
    <w:p>
      <w:pPr>
        <w:adjustRightInd w:val="0"/>
        <w:snapToGrid w:val="0"/>
        <w:spacing w:line="440" w:lineRule="exact"/>
        <w:ind w:firstLine="240" w:firstLineChars="100"/>
        <w:outlineLvl w:val="4"/>
        <w:rPr>
          <w:rFonts w:ascii="Times New Roman" w:hAnsi="Times New Roman"/>
          <w:bCs/>
          <w:szCs w:val="24"/>
        </w:rPr>
      </w:pPr>
      <w:r>
        <w:rPr>
          <w:rFonts w:ascii="Times New Roman" w:hAnsi="Times New Roman"/>
          <w:bCs/>
          <w:szCs w:val="24"/>
        </w:rPr>
        <w:t>表5.3-4</w:t>
      </w:r>
    </w:p>
    <w:bookmarkEnd w:id="234"/>
    <w:tbl>
      <w:tblPr>
        <w:tblStyle w:val="59"/>
        <w:tblW w:w="928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37"/>
        <w:gridCol w:w="3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637" w:type="dxa"/>
            <w:vAlign w:val="center"/>
          </w:tcPr>
          <w:p>
            <w:pPr>
              <w:ind w:firstLine="422"/>
              <w:jc w:val="center"/>
              <w:rPr>
                <w:rFonts w:ascii="Times New Roman" w:hAnsi="Times New Roman"/>
                <w:sz w:val="21"/>
                <w:szCs w:val="21"/>
              </w:rPr>
            </w:pPr>
            <w:r>
              <w:rPr>
                <w:rFonts w:ascii="Times New Roman" w:hAnsi="Times New Roman"/>
                <w:sz w:val="21"/>
                <w:szCs w:val="21"/>
              </w:rPr>
              <w:t>覆岩岩性（单向抗压强度及主要岩石名称）（MPa）</w:t>
            </w:r>
          </w:p>
        </w:tc>
        <w:tc>
          <w:tcPr>
            <w:tcW w:w="3650" w:type="dxa"/>
            <w:vAlign w:val="center"/>
          </w:tcPr>
          <w:p>
            <w:pPr>
              <w:ind w:firstLine="422"/>
              <w:jc w:val="center"/>
              <w:rPr>
                <w:rFonts w:ascii="Times New Roman" w:hAnsi="Times New Roman"/>
                <w:sz w:val="21"/>
                <w:szCs w:val="21"/>
              </w:rPr>
            </w:pPr>
            <w:r>
              <w:rPr>
                <w:rFonts w:ascii="Times New Roman" w:hAnsi="Times New Roman"/>
                <w:sz w:val="21"/>
                <w:szCs w:val="21"/>
              </w:rPr>
              <w:t>计算公式（m）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637" w:type="dxa"/>
            <w:vAlign w:val="center"/>
          </w:tcPr>
          <w:p>
            <w:pPr>
              <w:ind w:firstLine="422"/>
              <w:jc w:val="center"/>
              <w:rPr>
                <w:rFonts w:ascii="Times New Roman" w:hAnsi="Times New Roman"/>
                <w:sz w:val="21"/>
                <w:szCs w:val="21"/>
              </w:rPr>
            </w:pPr>
            <w:r>
              <w:rPr>
                <w:rFonts w:ascii="Times New Roman" w:hAnsi="Times New Roman"/>
                <w:sz w:val="21"/>
                <w:szCs w:val="21"/>
              </w:rPr>
              <w:t>坚硬(40~80，石英砂岩、石灰岩、砂质页岩、砾岩)</w:t>
            </w:r>
          </w:p>
        </w:tc>
        <w:tc>
          <w:tcPr>
            <w:tcW w:w="3650"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m</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num>
                  <m:den>
                    <m:r>
                      <m:rPr/>
                      <w:rPr>
                        <w:rFonts w:ascii="Cambria Math" w:hAnsi="Cambria Math"/>
                        <w:sz w:val="21"/>
                        <w:szCs w:val="21"/>
                      </w:rPr>
                      <m:t>2.1</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r>
                      <m:rPr/>
                      <w:rPr>
                        <w:rFonts w:ascii="Cambria Math" w:hAnsi="Cambria Math"/>
                        <w:sz w:val="21"/>
                        <w:szCs w:val="21"/>
                      </w:rPr>
                      <m:t>+16</m:t>
                    </m:r>
                    <m:ctrlPr>
                      <w:rPr>
                        <w:rFonts w:ascii="Cambria Math" w:hAnsi="Cambria Math"/>
                        <w:i/>
                        <w:sz w:val="21"/>
                        <w:szCs w:val="21"/>
                      </w:rPr>
                    </m:ctrlPr>
                  </m:den>
                </m:f>
                <m:r>
                  <m:rPr/>
                  <w:rPr>
                    <w:rFonts w:ascii="Cambria Math" w:hAnsi="Cambria Math"/>
                    <w:sz w:val="21"/>
                    <w:szCs w:val="21"/>
                  </w:rPr>
                  <m:t>±2.5</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637" w:type="dxa"/>
            <w:vAlign w:val="center"/>
          </w:tcPr>
          <w:p>
            <w:pPr>
              <w:ind w:firstLine="422"/>
              <w:jc w:val="center"/>
              <w:rPr>
                <w:rFonts w:ascii="Times New Roman" w:hAnsi="Times New Roman"/>
                <w:sz w:val="21"/>
                <w:szCs w:val="21"/>
              </w:rPr>
            </w:pPr>
            <w:r>
              <w:rPr>
                <w:rFonts w:ascii="Times New Roman" w:hAnsi="Times New Roman"/>
                <w:sz w:val="21"/>
                <w:szCs w:val="21"/>
              </w:rPr>
              <w:t>中硬（20~40，砂岩、泥质灰岩、砂质页岩、页岩）</w:t>
            </w:r>
          </w:p>
        </w:tc>
        <w:tc>
          <w:tcPr>
            <w:tcW w:w="3650"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m</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num>
                  <m:den>
                    <m:r>
                      <m:rPr/>
                      <w:rPr>
                        <w:rFonts w:ascii="Cambria Math" w:hAnsi="Cambria Math"/>
                        <w:sz w:val="21"/>
                        <w:szCs w:val="21"/>
                      </w:rPr>
                      <m:t>4.7</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r>
                      <m:rPr/>
                      <w:rPr>
                        <w:rFonts w:ascii="Cambria Math" w:hAnsi="Cambria Math"/>
                        <w:sz w:val="21"/>
                        <w:szCs w:val="21"/>
                      </w:rPr>
                      <m:t>+19</m:t>
                    </m:r>
                    <m:ctrlPr>
                      <w:rPr>
                        <w:rFonts w:ascii="Cambria Math" w:hAnsi="Cambria Math"/>
                        <w:i/>
                        <w:sz w:val="21"/>
                        <w:szCs w:val="21"/>
                      </w:rPr>
                    </m:ctrlPr>
                  </m:den>
                </m:f>
                <m:r>
                  <m:rPr/>
                  <w:rPr>
                    <w:rFonts w:ascii="Cambria Math" w:hAnsi="Cambria Math"/>
                    <w:sz w:val="21"/>
                    <w:szCs w:val="21"/>
                  </w:rPr>
                  <m:t>±2.2</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637" w:type="dxa"/>
            <w:vAlign w:val="center"/>
          </w:tcPr>
          <w:p>
            <w:pPr>
              <w:ind w:firstLine="422"/>
              <w:jc w:val="center"/>
              <w:rPr>
                <w:rFonts w:ascii="Times New Roman" w:hAnsi="Times New Roman"/>
                <w:sz w:val="21"/>
                <w:szCs w:val="21"/>
              </w:rPr>
            </w:pPr>
            <w:r>
              <w:rPr>
                <w:rFonts w:ascii="Times New Roman" w:hAnsi="Times New Roman"/>
                <w:sz w:val="21"/>
                <w:szCs w:val="21"/>
              </w:rPr>
              <w:t>软弱（10~20，泥岩、泥质砂岩）</w:t>
            </w:r>
          </w:p>
        </w:tc>
        <w:tc>
          <w:tcPr>
            <w:tcW w:w="3650"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m</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num>
                  <m:den>
                    <m:r>
                      <m:rPr/>
                      <w:rPr>
                        <w:rFonts w:ascii="Cambria Math" w:hAnsi="Cambria Math"/>
                        <w:sz w:val="21"/>
                        <w:szCs w:val="21"/>
                      </w:rPr>
                      <m:t>6.2</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r>
                      <m:rPr/>
                      <w:rPr>
                        <w:rFonts w:ascii="Cambria Math" w:hAnsi="Cambria Math"/>
                        <w:sz w:val="21"/>
                        <w:szCs w:val="21"/>
                      </w:rPr>
                      <m:t>+32</m:t>
                    </m:r>
                    <m:ctrlPr>
                      <w:rPr>
                        <w:rFonts w:ascii="Cambria Math" w:hAnsi="Cambria Math"/>
                        <w:i/>
                        <w:sz w:val="21"/>
                        <w:szCs w:val="21"/>
                      </w:rPr>
                    </m:ctrlPr>
                  </m:den>
                </m:f>
                <m:r>
                  <m:rPr/>
                  <w:rPr>
                    <w:rFonts w:ascii="Cambria Math" w:hAnsi="Cambria Math"/>
                    <w:sz w:val="21"/>
                    <w:szCs w:val="21"/>
                  </w:rPr>
                  <m:t>±1.5</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637" w:type="dxa"/>
            <w:vAlign w:val="center"/>
          </w:tcPr>
          <w:p>
            <w:pPr>
              <w:ind w:firstLine="422"/>
              <w:jc w:val="center"/>
              <w:rPr>
                <w:rFonts w:ascii="Times New Roman" w:hAnsi="Times New Roman"/>
                <w:sz w:val="21"/>
                <w:szCs w:val="21"/>
              </w:rPr>
            </w:pPr>
            <w:r>
              <w:rPr>
                <w:rFonts w:ascii="Times New Roman" w:hAnsi="Times New Roman"/>
                <w:sz w:val="21"/>
                <w:szCs w:val="21"/>
              </w:rPr>
              <w:t>极软弱（&lt;10，铝土岩、风化泥岩、粘土、砂质粘土）</w:t>
            </w:r>
          </w:p>
        </w:tc>
        <w:tc>
          <w:tcPr>
            <w:tcW w:w="3650"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m</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num>
                  <m:den>
                    <m:r>
                      <m:rPr/>
                      <w:rPr>
                        <w:rFonts w:ascii="Cambria Math" w:hAnsi="Cambria Math"/>
                        <w:sz w:val="21"/>
                        <w:szCs w:val="21"/>
                      </w:rPr>
                      <m:t>7.0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r>
                      <m:rPr/>
                      <w:rPr>
                        <w:rFonts w:ascii="Cambria Math" w:hAnsi="Cambria Math"/>
                        <w:sz w:val="21"/>
                        <w:szCs w:val="21"/>
                      </w:rPr>
                      <m:t>+63</m:t>
                    </m:r>
                    <m:ctrlPr>
                      <w:rPr>
                        <w:rFonts w:ascii="Cambria Math" w:hAnsi="Cambria Math"/>
                        <w:i/>
                        <w:sz w:val="21"/>
                        <w:szCs w:val="21"/>
                      </w:rPr>
                    </m:ctrlPr>
                  </m:den>
                </m:f>
                <m:r>
                  <m:rPr/>
                  <w:rPr>
                    <w:rFonts w:ascii="Cambria Math" w:hAnsi="Cambria Math"/>
                    <w:sz w:val="21"/>
                    <w:szCs w:val="21"/>
                  </w:rPr>
                  <m:t>±1.2</m:t>
                </m:r>
              </m:oMath>
            </m:oMathPara>
          </w:p>
        </w:tc>
      </w:tr>
    </w:tbl>
    <w:p>
      <w:pPr>
        <w:adjustRightInd w:val="0"/>
        <w:spacing w:line="440" w:lineRule="exact"/>
        <w:jc w:val="left"/>
        <w:textAlignment w:val="baseline"/>
        <w:rPr>
          <w:rFonts w:ascii="Times New Roman" w:hAnsi="Times New Roman"/>
          <w:b/>
          <w:kern w:val="0"/>
          <w:sz w:val="22"/>
        </w:rPr>
      </w:pPr>
      <w:r>
        <w:rPr>
          <w:rFonts w:ascii="Times New Roman" w:hAnsi="Times New Roman"/>
          <w:b/>
          <w:kern w:val="0"/>
          <w:sz w:val="22"/>
        </w:rPr>
        <w:t>注：</w:t>
      </w:r>
      <w:r>
        <w:rPr>
          <w:rFonts w:ascii="Times New Roman" w:hAnsi="Times New Roman"/>
          <w:b/>
          <w:i/>
          <w:iCs/>
          <w:kern w:val="0"/>
          <w:sz w:val="22"/>
        </w:rPr>
        <w:t>H</w:t>
      </w:r>
      <w:r>
        <w:rPr>
          <w:rFonts w:ascii="Times New Roman" w:hAnsi="Times New Roman"/>
          <w:b/>
          <w:i/>
          <w:iCs/>
          <w:kern w:val="0"/>
          <w:sz w:val="22"/>
          <w:vertAlign w:val="subscript"/>
        </w:rPr>
        <w:t>m</w:t>
      </w:r>
      <w:r>
        <w:rPr>
          <w:rFonts w:ascii="Times New Roman" w:hAnsi="Times New Roman"/>
          <w:b/>
          <w:kern w:val="0"/>
          <w:sz w:val="22"/>
        </w:rPr>
        <w:t>为冒落带高度</w:t>
      </w:r>
      <m:oMath>
        <m:r>
          <m:rPr>
            <m:sty m:val="bi"/>
          </m:rPr>
          <w:rPr>
            <w:rFonts w:ascii="Cambria Math" w:hAnsi="Cambria Math"/>
            <w:kern w:val="0"/>
            <w:sz w:val="22"/>
          </w:rPr>
          <m:t>，</m:t>
        </m:r>
        <m:nary>
          <m:naryPr>
            <m:chr m:val="∑"/>
            <m:limLoc m:val="undOvr"/>
            <m:subHide m:val="1"/>
            <m:supHide m:val="1"/>
            <m:ctrlPr>
              <w:rPr>
                <w:rFonts w:ascii="Cambria Math" w:hAnsi="Cambria Math"/>
                <w:b/>
                <w:i/>
                <w:kern w:val="0"/>
                <w:sz w:val="22"/>
              </w:rPr>
            </m:ctrlPr>
          </m:naryPr>
          <m:sub>
            <m:ctrlPr>
              <w:rPr>
                <w:rFonts w:ascii="Cambria Math" w:hAnsi="Cambria Math"/>
                <w:b/>
                <w:i/>
                <w:kern w:val="0"/>
                <w:sz w:val="22"/>
              </w:rPr>
            </m:ctrlPr>
          </m:sub>
          <m:sup>
            <m:ctrlPr>
              <w:rPr>
                <w:rFonts w:ascii="Cambria Math" w:hAnsi="Cambria Math"/>
                <w:b/>
                <w:i/>
                <w:kern w:val="0"/>
                <w:sz w:val="22"/>
              </w:rPr>
            </m:ctrlPr>
          </m:sup>
          <m:e>
            <m:r>
              <m:rPr>
                <m:sty m:val="bi"/>
              </m:rPr>
              <w:rPr>
                <w:rFonts w:ascii="Cambria Math" w:hAnsi="Cambria Math"/>
                <w:kern w:val="0"/>
                <w:sz w:val="22"/>
              </w:rPr>
              <m:t>M</m:t>
            </m:r>
            <m:ctrlPr>
              <w:rPr>
                <w:rFonts w:ascii="Cambria Math" w:hAnsi="Cambria Math"/>
                <w:b/>
                <w:i/>
                <w:kern w:val="0"/>
                <w:sz w:val="22"/>
              </w:rPr>
            </m:ctrlPr>
          </m:e>
        </m:nary>
      </m:oMath>
      <w:r>
        <w:rPr>
          <w:rFonts w:ascii="Times New Roman" w:hAnsi="Times New Roman"/>
          <w:b/>
          <w:kern w:val="0"/>
          <w:sz w:val="22"/>
        </w:rPr>
        <w:t>为累计采厚</w:t>
      </w:r>
    </w:p>
    <w:p>
      <w:pPr>
        <w:spacing w:before="120" w:beforeLines="50" w:line="440" w:lineRule="exact"/>
        <w:jc w:val="center"/>
        <w:rPr>
          <w:rFonts w:ascii="Times New Roman" w:hAnsi="Times New Roman"/>
          <w:b/>
          <w:szCs w:val="24"/>
        </w:rPr>
      </w:pPr>
      <w:r>
        <w:rPr>
          <w:rFonts w:ascii="Times New Roman" w:hAnsi="Times New Roman"/>
          <w:b/>
          <w:szCs w:val="24"/>
        </w:rPr>
        <w:t>“三下采煤”导水裂缝带发育高度计算公式</w:t>
      </w:r>
    </w:p>
    <w:p>
      <w:pPr>
        <w:adjustRightInd w:val="0"/>
        <w:snapToGrid w:val="0"/>
        <w:spacing w:line="440" w:lineRule="exact"/>
        <w:ind w:firstLine="240" w:firstLineChars="100"/>
        <w:outlineLvl w:val="4"/>
        <w:rPr>
          <w:rFonts w:ascii="Times New Roman" w:hAnsi="Times New Roman"/>
          <w:bCs/>
          <w:szCs w:val="24"/>
        </w:rPr>
      </w:pPr>
      <w:r>
        <w:rPr>
          <w:rFonts w:ascii="Times New Roman" w:hAnsi="Times New Roman"/>
          <w:bCs/>
          <w:szCs w:val="24"/>
        </w:rPr>
        <w:t>表5.3-5</w:t>
      </w:r>
    </w:p>
    <w:tbl>
      <w:tblPr>
        <w:tblStyle w:val="59"/>
        <w:tblW w:w="928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9"/>
        <w:gridCol w:w="3653"/>
        <w:gridCol w:w="3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99" w:type="dxa"/>
            <w:vAlign w:val="center"/>
          </w:tcPr>
          <w:p>
            <w:pPr>
              <w:jc w:val="center"/>
              <w:rPr>
                <w:rFonts w:ascii="Times New Roman" w:hAnsi="Times New Roman"/>
                <w:sz w:val="21"/>
                <w:szCs w:val="21"/>
              </w:rPr>
            </w:pPr>
            <w:r>
              <w:rPr>
                <w:rFonts w:ascii="Times New Roman" w:hAnsi="Times New Roman"/>
                <w:sz w:val="21"/>
                <w:szCs w:val="21"/>
              </w:rPr>
              <w:t>覆岩岩性</w:t>
            </w:r>
          </w:p>
        </w:tc>
        <w:tc>
          <w:tcPr>
            <w:tcW w:w="3653" w:type="dxa"/>
            <w:vAlign w:val="center"/>
          </w:tcPr>
          <w:p>
            <w:pPr>
              <w:ind w:firstLine="422"/>
              <w:jc w:val="center"/>
              <w:rPr>
                <w:rFonts w:ascii="Times New Roman" w:hAnsi="Times New Roman"/>
                <w:sz w:val="21"/>
                <w:szCs w:val="21"/>
              </w:rPr>
            </w:pPr>
            <w:r>
              <w:rPr>
                <w:rFonts w:ascii="Times New Roman" w:hAnsi="Times New Roman"/>
                <w:sz w:val="21"/>
                <w:szCs w:val="21"/>
              </w:rPr>
              <w:t>经验公式之一（m）</w:t>
            </w:r>
          </w:p>
        </w:tc>
        <w:tc>
          <w:tcPr>
            <w:tcW w:w="3835" w:type="dxa"/>
            <w:vAlign w:val="center"/>
          </w:tcPr>
          <w:p>
            <w:pPr>
              <w:ind w:firstLine="422"/>
              <w:jc w:val="center"/>
              <w:rPr>
                <w:rFonts w:ascii="Times New Roman" w:hAnsi="Times New Roman"/>
                <w:sz w:val="21"/>
                <w:szCs w:val="21"/>
              </w:rPr>
            </w:pPr>
            <w:r>
              <w:rPr>
                <w:rFonts w:ascii="Times New Roman" w:hAnsi="Times New Roman"/>
                <w:sz w:val="21"/>
                <w:szCs w:val="21"/>
              </w:rPr>
              <w:t>经验公式之二（m）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99" w:type="dxa"/>
            <w:vAlign w:val="center"/>
          </w:tcPr>
          <w:p>
            <w:pPr>
              <w:jc w:val="center"/>
              <w:rPr>
                <w:rFonts w:ascii="Times New Roman" w:hAnsi="Times New Roman"/>
                <w:sz w:val="21"/>
                <w:szCs w:val="21"/>
              </w:rPr>
            </w:pPr>
            <w:r>
              <w:rPr>
                <w:rFonts w:ascii="Times New Roman" w:hAnsi="Times New Roman"/>
                <w:sz w:val="21"/>
                <w:szCs w:val="21"/>
              </w:rPr>
              <w:t>坚硬</w:t>
            </w:r>
          </w:p>
        </w:tc>
        <w:tc>
          <w:tcPr>
            <w:tcW w:w="3653"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num>
                  <m:den>
                    <m:r>
                      <m:rPr/>
                      <w:rPr>
                        <w:rFonts w:ascii="Cambria Math" w:hAnsi="Cambria Math"/>
                        <w:sz w:val="21"/>
                        <w:szCs w:val="21"/>
                      </w:rPr>
                      <m:t>1.2</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r>
                      <m:rPr/>
                      <w:rPr>
                        <w:rFonts w:ascii="Cambria Math" w:hAnsi="Cambria Math"/>
                        <w:sz w:val="21"/>
                        <w:szCs w:val="21"/>
                      </w:rPr>
                      <m:t>+2.0</m:t>
                    </m:r>
                    <m:ctrlPr>
                      <w:rPr>
                        <w:rFonts w:ascii="Cambria Math" w:hAnsi="Cambria Math"/>
                        <w:i/>
                        <w:sz w:val="21"/>
                        <w:szCs w:val="21"/>
                      </w:rPr>
                    </m:ctrlPr>
                  </m:den>
                </m:f>
                <m:r>
                  <m:rPr/>
                  <w:rPr>
                    <w:rFonts w:ascii="Cambria Math" w:hAnsi="Cambria Math"/>
                    <w:sz w:val="21"/>
                    <w:szCs w:val="21"/>
                  </w:rPr>
                  <m:t>±8.9</m:t>
                </m:r>
              </m:oMath>
            </m:oMathPara>
          </w:p>
        </w:tc>
        <w:tc>
          <w:tcPr>
            <w:tcW w:w="3835"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=30</m:t>
                </m:r>
                <m:rad>
                  <m:radPr>
                    <m:degHide m:val="1"/>
                    <m:ctrlPr>
                      <w:rPr>
                        <w:rFonts w:ascii="Cambria Math" w:hAnsi="Cambria Math"/>
                        <w:i/>
                        <w:sz w:val="21"/>
                        <w:szCs w:val="21"/>
                      </w:rPr>
                    </m:ctrlPr>
                  </m:radPr>
                  <m:deg>
                    <m:ctrlPr>
                      <w:rPr>
                        <w:rFonts w:ascii="Cambria Math" w:hAnsi="Cambria Math"/>
                        <w:i/>
                        <w:sz w:val="21"/>
                        <w:szCs w:val="21"/>
                      </w:rPr>
                    </m:ctrlPr>
                  </m:deg>
                  <m:e>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e>
                </m:rad>
                <m:r>
                  <m:rPr/>
                  <w:rPr>
                    <w:rFonts w:ascii="Cambria Math" w:hAnsi="Cambria Math"/>
                    <w:sz w:val="21"/>
                    <w:szCs w:val="21"/>
                  </w:rPr>
                  <m:t>+10</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99" w:type="dxa"/>
            <w:vAlign w:val="center"/>
          </w:tcPr>
          <w:p>
            <w:pPr>
              <w:jc w:val="center"/>
              <w:rPr>
                <w:rFonts w:ascii="Times New Roman" w:hAnsi="Times New Roman"/>
                <w:sz w:val="21"/>
                <w:szCs w:val="21"/>
              </w:rPr>
            </w:pPr>
            <w:r>
              <w:rPr>
                <w:rFonts w:ascii="Times New Roman" w:hAnsi="Times New Roman"/>
                <w:sz w:val="21"/>
                <w:szCs w:val="21"/>
              </w:rPr>
              <w:t>中硬</w:t>
            </w:r>
          </w:p>
        </w:tc>
        <w:tc>
          <w:tcPr>
            <w:tcW w:w="3653"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num>
                  <m:den>
                    <m:r>
                      <m:rPr/>
                      <w:rPr>
                        <w:rFonts w:ascii="Cambria Math" w:hAnsi="Cambria Math"/>
                        <w:sz w:val="21"/>
                        <w:szCs w:val="21"/>
                      </w:rPr>
                      <m:t>1.6</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r>
                      <m:rPr/>
                      <w:rPr>
                        <w:rFonts w:ascii="Cambria Math" w:hAnsi="Cambria Math"/>
                        <w:sz w:val="21"/>
                        <w:szCs w:val="21"/>
                      </w:rPr>
                      <m:t>+3.6</m:t>
                    </m:r>
                    <m:ctrlPr>
                      <w:rPr>
                        <w:rFonts w:ascii="Cambria Math" w:hAnsi="Cambria Math"/>
                        <w:i/>
                        <w:sz w:val="21"/>
                        <w:szCs w:val="21"/>
                      </w:rPr>
                    </m:ctrlPr>
                  </m:den>
                </m:f>
                <m:r>
                  <m:rPr/>
                  <w:rPr>
                    <w:rFonts w:ascii="Cambria Math" w:hAnsi="Cambria Math"/>
                    <w:sz w:val="21"/>
                    <w:szCs w:val="21"/>
                  </w:rPr>
                  <m:t>±5.6</m:t>
                </m:r>
              </m:oMath>
            </m:oMathPara>
          </w:p>
        </w:tc>
        <w:tc>
          <w:tcPr>
            <w:tcW w:w="3835"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=20</m:t>
                </m:r>
                <m:rad>
                  <m:radPr>
                    <m:degHide m:val="1"/>
                    <m:ctrlPr>
                      <w:rPr>
                        <w:rFonts w:ascii="Cambria Math" w:hAnsi="Cambria Math"/>
                        <w:i/>
                        <w:sz w:val="21"/>
                        <w:szCs w:val="21"/>
                      </w:rPr>
                    </m:ctrlPr>
                  </m:radPr>
                  <m:deg>
                    <m:ctrlPr>
                      <w:rPr>
                        <w:rFonts w:ascii="Cambria Math" w:hAnsi="Cambria Math"/>
                        <w:i/>
                        <w:sz w:val="21"/>
                        <w:szCs w:val="21"/>
                      </w:rPr>
                    </m:ctrlPr>
                  </m:deg>
                  <m:e>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e>
                </m:rad>
                <m:r>
                  <m:rPr/>
                  <w:rPr>
                    <w:rFonts w:ascii="Cambria Math" w:hAnsi="Cambria Math"/>
                    <w:sz w:val="21"/>
                    <w:szCs w:val="21"/>
                  </w:rPr>
                  <m:t>+10</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99" w:type="dxa"/>
            <w:vAlign w:val="center"/>
          </w:tcPr>
          <w:p>
            <w:pPr>
              <w:jc w:val="center"/>
              <w:rPr>
                <w:rFonts w:ascii="Times New Roman" w:hAnsi="Times New Roman"/>
                <w:sz w:val="21"/>
                <w:szCs w:val="21"/>
              </w:rPr>
            </w:pPr>
            <w:r>
              <w:rPr>
                <w:rFonts w:ascii="Times New Roman" w:hAnsi="Times New Roman"/>
                <w:sz w:val="21"/>
                <w:szCs w:val="21"/>
              </w:rPr>
              <w:t>软弱</w:t>
            </w:r>
          </w:p>
        </w:tc>
        <w:tc>
          <w:tcPr>
            <w:tcW w:w="3653"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num>
                  <m:den>
                    <m:r>
                      <m:rPr/>
                      <w:rPr>
                        <w:rFonts w:ascii="Cambria Math" w:hAnsi="Cambria Math"/>
                        <w:sz w:val="21"/>
                        <w:szCs w:val="21"/>
                      </w:rPr>
                      <m:t>3.1</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r>
                      <m:rPr/>
                      <w:rPr>
                        <w:rFonts w:ascii="Cambria Math" w:hAnsi="Cambria Math"/>
                        <w:sz w:val="21"/>
                        <w:szCs w:val="21"/>
                      </w:rPr>
                      <m:t>+5.0</m:t>
                    </m:r>
                    <m:ctrlPr>
                      <w:rPr>
                        <w:rFonts w:ascii="Cambria Math" w:hAnsi="Cambria Math"/>
                        <w:i/>
                        <w:sz w:val="21"/>
                        <w:szCs w:val="21"/>
                      </w:rPr>
                    </m:ctrlPr>
                  </m:den>
                </m:f>
                <m:r>
                  <m:rPr/>
                  <w:rPr>
                    <w:rFonts w:ascii="Cambria Math" w:hAnsi="Cambria Math"/>
                    <w:sz w:val="21"/>
                    <w:szCs w:val="21"/>
                  </w:rPr>
                  <m:t>±4.0</m:t>
                </m:r>
              </m:oMath>
            </m:oMathPara>
          </w:p>
        </w:tc>
        <w:tc>
          <w:tcPr>
            <w:tcW w:w="3835"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=10</m:t>
                </m:r>
                <m:rad>
                  <m:radPr>
                    <m:degHide m:val="1"/>
                    <m:ctrlPr>
                      <w:rPr>
                        <w:rFonts w:ascii="Cambria Math" w:hAnsi="Cambria Math"/>
                        <w:i/>
                        <w:sz w:val="21"/>
                        <w:szCs w:val="21"/>
                      </w:rPr>
                    </m:ctrlPr>
                  </m:radPr>
                  <m:deg>
                    <m:ctrlPr>
                      <w:rPr>
                        <w:rFonts w:ascii="Cambria Math" w:hAnsi="Cambria Math"/>
                        <w:i/>
                        <w:sz w:val="21"/>
                        <w:szCs w:val="21"/>
                      </w:rPr>
                    </m:ctrlPr>
                  </m:deg>
                  <m:e>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e>
                </m:rad>
                <m:r>
                  <m:rPr/>
                  <w:rPr>
                    <w:rFonts w:ascii="Cambria Math" w:hAnsi="Cambria Math"/>
                    <w:sz w:val="21"/>
                    <w:szCs w:val="21"/>
                  </w:rPr>
                  <m:t>+5</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99" w:type="dxa"/>
            <w:vAlign w:val="center"/>
          </w:tcPr>
          <w:p>
            <w:pPr>
              <w:jc w:val="center"/>
              <w:rPr>
                <w:rFonts w:ascii="Times New Roman" w:hAnsi="Times New Roman"/>
                <w:sz w:val="21"/>
                <w:szCs w:val="21"/>
              </w:rPr>
            </w:pPr>
            <w:r>
              <w:rPr>
                <w:rFonts w:ascii="Times New Roman" w:hAnsi="Times New Roman"/>
                <w:sz w:val="21"/>
                <w:szCs w:val="21"/>
              </w:rPr>
              <w:t>极软弱</w:t>
            </w:r>
          </w:p>
        </w:tc>
        <w:tc>
          <w:tcPr>
            <w:tcW w:w="3653" w:type="dxa"/>
            <w:vAlign w:val="center"/>
          </w:tcPr>
          <w:p>
            <w:pPr>
              <w:ind w:firstLine="422"/>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ctrlPr>
                      <w:rPr>
                        <w:rFonts w:ascii="Cambria Math" w:hAnsi="Cambria Math"/>
                        <w:i/>
                        <w:sz w:val="21"/>
                        <w:szCs w:val="21"/>
                      </w:rPr>
                    </m:ctrlPr>
                  </m:num>
                  <m:den>
                    <m:r>
                      <m:rPr/>
                      <w:rPr>
                        <w:rFonts w:ascii="Cambria Math" w:hAnsi="Cambria Math"/>
                        <w:sz w:val="21"/>
                        <w:szCs w:val="21"/>
                      </w:rPr>
                      <m:t>5.0</m:t>
                    </m:r>
                    <m:nary>
                      <m:naryPr>
                        <m:chr m:val="∑"/>
                        <m:limLoc m:val="undOvr"/>
                        <m:subHide m:val="1"/>
                        <m:supHide m:val="1"/>
                        <m:ctrlPr>
                          <w:rPr>
                            <w:rFonts w:ascii="Cambria Math" w:hAnsi="Cambria Math"/>
                            <w:i/>
                            <w:sz w:val="21"/>
                            <w:szCs w:val="21"/>
                          </w:rPr>
                        </m:ctrlPr>
                      </m:naryPr>
                      <m:sub>
                        <m:ctrlPr>
                          <w:rPr>
                            <w:rFonts w:ascii="Cambria Math" w:hAnsi="Cambria Math"/>
                            <w:i/>
                            <w:sz w:val="21"/>
                            <w:szCs w:val="21"/>
                          </w:rPr>
                        </m:ctrlPr>
                      </m:sub>
                      <m:sup>
                        <m:ctrlPr>
                          <w:rPr>
                            <w:rFonts w:ascii="Cambria Math" w:hAnsi="Cambria Math"/>
                            <w:i/>
                            <w:sz w:val="21"/>
                            <w:szCs w:val="21"/>
                          </w:rPr>
                        </m:ctrlPr>
                      </m:sup>
                      <m:e>
                        <m:r>
                          <m:rPr/>
                          <w:rPr>
                            <w:rFonts w:ascii="Cambria Math" w:hAnsi="Cambria Math"/>
                            <w:sz w:val="21"/>
                            <w:szCs w:val="21"/>
                          </w:rPr>
                          <m:t>M</m:t>
                        </m:r>
                        <m:ctrlPr>
                          <w:rPr>
                            <w:rFonts w:ascii="Cambria Math" w:hAnsi="Cambria Math"/>
                            <w:i/>
                            <w:sz w:val="21"/>
                            <w:szCs w:val="21"/>
                          </w:rPr>
                        </m:ctrlPr>
                      </m:e>
                    </m:nary>
                    <m:r>
                      <m:rPr/>
                      <w:rPr>
                        <w:rFonts w:ascii="Cambria Math" w:hAnsi="Cambria Math"/>
                        <w:sz w:val="21"/>
                        <w:szCs w:val="21"/>
                      </w:rPr>
                      <m:t>+8.0</m:t>
                    </m:r>
                    <m:ctrlPr>
                      <w:rPr>
                        <w:rFonts w:ascii="Cambria Math" w:hAnsi="Cambria Math"/>
                        <w:i/>
                        <w:sz w:val="21"/>
                        <w:szCs w:val="21"/>
                      </w:rPr>
                    </m:ctrlPr>
                  </m:den>
                </m:f>
                <m:r>
                  <m:rPr/>
                  <w:rPr>
                    <w:rFonts w:ascii="Cambria Math" w:hAnsi="Cambria Math"/>
                    <w:sz w:val="21"/>
                    <w:szCs w:val="21"/>
                  </w:rPr>
                  <m:t>±3.0</m:t>
                </m:r>
              </m:oMath>
            </m:oMathPara>
          </w:p>
        </w:tc>
        <w:tc>
          <w:tcPr>
            <w:tcW w:w="3835" w:type="dxa"/>
            <w:vAlign w:val="center"/>
          </w:tcPr>
          <w:p>
            <w:pPr>
              <w:ind w:firstLine="422"/>
              <w:jc w:val="center"/>
              <w:rPr>
                <w:rFonts w:ascii="Times New Roman" w:hAnsi="Times New Roman"/>
                <w:sz w:val="21"/>
                <w:szCs w:val="21"/>
              </w:rPr>
            </w:pPr>
          </w:p>
        </w:tc>
      </w:tr>
    </w:tbl>
    <w:p>
      <w:pPr>
        <w:adjustRightInd w:val="0"/>
        <w:spacing w:line="440" w:lineRule="exact"/>
        <w:jc w:val="left"/>
        <w:textAlignment w:val="baseline"/>
        <w:rPr>
          <w:rFonts w:ascii="Times New Roman" w:hAnsi="Times New Roman"/>
          <w:b/>
          <w:kern w:val="0"/>
          <w:sz w:val="22"/>
        </w:rPr>
      </w:pPr>
      <w:r>
        <w:rPr>
          <w:rFonts w:ascii="Times New Roman" w:hAnsi="Times New Roman"/>
          <w:b/>
          <w:kern w:val="0"/>
          <w:sz w:val="22"/>
        </w:rPr>
        <w:t>注：</w:t>
      </w:r>
      <w:r>
        <w:rPr>
          <w:rFonts w:ascii="Times New Roman" w:hAnsi="Times New Roman"/>
          <w:b/>
          <w:i/>
          <w:iCs/>
          <w:kern w:val="0"/>
          <w:sz w:val="22"/>
        </w:rPr>
        <w:t>H</w:t>
      </w:r>
      <w:r>
        <w:rPr>
          <w:rFonts w:ascii="Times New Roman" w:hAnsi="Times New Roman"/>
          <w:b/>
          <w:i/>
          <w:iCs/>
          <w:kern w:val="0"/>
          <w:sz w:val="22"/>
          <w:vertAlign w:val="subscript"/>
        </w:rPr>
        <w:t>li</w:t>
      </w:r>
      <w:r>
        <w:rPr>
          <w:rFonts w:ascii="Times New Roman" w:hAnsi="Times New Roman"/>
          <w:b/>
          <w:kern w:val="0"/>
          <w:sz w:val="22"/>
        </w:rPr>
        <w:t>为导水裂缝带高度</w:t>
      </w:r>
      <m:oMath>
        <m:r>
          <m:rPr>
            <m:sty m:val="bi"/>
          </m:rPr>
          <w:rPr>
            <w:rFonts w:ascii="Cambria Math" w:hAnsi="Cambria Math"/>
            <w:kern w:val="0"/>
            <w:sz w:val="22"/>
          </w:rPr>
          <m:t>，</m:t>
        </m:r>
        <m:nary>
          <m:naryPr>
            <m:chr m:val="∑"/>
            <m:limLoc m:val="undOvr"/>
            <m:subHide m:val="1"/>
            <m:supHide m:val="1"/>
            <m:ctrlPr>
              <w:rPr>
                <w:rFonts w:ascii="Cambria Math" w:hAnsi="Cambria Math"/>
                <w:b/>
                <w:i/>
                <w:kern w:val="0"/>
                <w:sz w:val="22"/>
              </w:rPr>
            </m:ctrlPr>
          </m:naryPr>
          <m:sub>
            <m:ctrlPr>
              <w:rPr>
                <w:rFonts w:ascii="Cambria Math" w:hAnsi="Cambria Math"/>
                <w:b/>
                <w:i/>
                <w:kern w:val="0"/>
                <w:sz w:val="22"/>
              </w:rPr>
            </m:ctrlPr>
          </m:sub>
          <m:sup>
            <m:ctrlPr>
              <w:rPr>
                <w:rFonts w:ascii="Cambria Math" w:hAnsi="Cambria Math"/>
                <w:b/>
                <w:i/>
                <w:kern w:val="0"/>
                <w:sz w:val="22"/>
              </w:rPr>
            </m:ctrlPr>
          </m:sup>
          <m:e>
            <m:r>
              <m:rPr>
                <m:sty m:val="bi"/>
              </m:rPr>
              <w:rPr>
                <w:rFonts w:ascii="Cambria Math" w:hAnsi="Cambria Math"/>
                <w:kern w:val="0"/>
                <w:sz w:val="22"/>
              </w:rPr>
              <m:t>M</m:t>
            </m:r>
            <m:ctrlPr>
              <w:rPr>
                <w:rFonts w:ascii="Cambria Math" w:hAnsi="Cambria Math"/>
                <w:b/>
                <w:i/>
                <w:kern w:val="0"/>
                <w:sz w:val="22"/>
              </w:rPr>
            </m:ctrlPr>
          </m:e>
        </m:nary>
      </m:oMath>
      <w:r>
        <w:rPr>
          <w:rFonts w:ascii="Times New Roman" w:hAnsi="Times New Roman"/>
          <w:b/>
          <w:kern w:val="0"/>
          <w:sz w:val="22"/>
        </w:rPr>
        <w:t>为累计采厚</w:t>
      </w:r>
    </w:p>
    <w:p>
      <w:pPr>
        <w:spacing w:before="120" w:beforeLines="50" w:line="440" w:lineRule="exact"/>
        <w:jc w:val="center"/>
        <w:rPr>
          <w:rFonts w:ascii="Times New Roman" w:hAnsi="Times New Roman"/>
          <w:b/>
          <w:szCs w:val="24"/>
        </w:rPr>
      </w:pPr>
      <w:r>
        <w:rPr>
          <w:rFonts w:ascii="Times New Roman" w:hAnsi="Times New Roman"/>
          <w:b/>
          <w:szCs w:val="24"/>
        </w:rPr>
        <w:t>综放开采垮落带、导水裂缝带发育高度计算公式</w:t>
      </w:r>
    </w:p>
    <w:p>
      <w:pPr>
        <w:adjustRightInd w:val="0"/>
        <w:snapToGrid w:val="0"/>
        <w:spacing w:line="440" w:lineRule="exact"/>
        <w:ind w:firstLine="240" w:firstLineChars="100"/>
        <w:outlineLvl w:val="4"/>
        <w:rPr>
          <w:rFonts w:ascii="Times New Roman" w:hAnsi="Times New Roman"/>
          <w:bCs/>
          <w:szCs w:val="24"/>
        </w:rPr>
      </w:pPr>
      <w:r>
        <w:rPr>
          <w:rFonts w:ascii="Times New Roman" w:hAnsi="Times New Roman"/>
          <w:bCs/>
          <w:szCs w:val="24"/>
        </w:rPr>
        <w:t>表5.3-6</w:t>
      </w:r>
    </w:p>
    <w:tbl>
      <w:tblPr>
        <w:tblStyle w:val="59"/>
        <w:tblW w:w="928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3"/>
        <w:gridCol w:w="1963"/>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926" w:type="dxa"/>
            <w:gridSpan w:val="2"/>
            <w:vAlign w:val="center"/>
          </w:tcPr>
          <w:p>
            <w:pPr>
              <w:jc w:val="center"/>
              <w:rPr>
                <w:rFonts w:ascii="Times New Roman" w:hAnsi="Times New Roman"/>
                <w:sz w:val="21"/>
                <w:szCs w:val="21"/>
              </w:rPr>
            </w:pPr>
            <w:r>
              <w:rPr>
                <w:rFonts w:ascii="Times New Roman" w:hAnsi="Times New Roman"/>
                <w:sz w:val="21"/>
                <w:szCs w:val="21"/>
              </w:rPr>
              <w:t>覆岩岩性</w:t>
            </w:r>
          </w:p>
        </w:tc>
        <w:tc>
          <w:tcPr>
            <w:tcW w:w="5361" w:type="dxa"/>
            <w:vAlign w:val="center"/>
          </w:tcPr>
          <w:p>
            <w:pPr>
              <w:jc w:val="center"/>
              <w:rPr>
                <w:rFonts w:ascii="Times New Roman" w:hAnsi="Times New Roman"/>
                <w:sz w:val="21"/>
                <w:szCs w:val="21"/>
              </w:rPr>
            </w:pPr>
            <w:r>
              <w:rPr>
                <w:rFonts w:ascii="Times New Roman" w:hAnsi="Times New Roman"/>
                <w:sz w:val="21"/>
                <w:szCs w:val="21"/>
              </w:rPr>
              <w:t>计算公式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63" w:type="dxa"/>
            <w:vMerge w:val="restart"/>
            <w:vAlign w:val="center"/>
          </w:tcPr>
          <w:p>
            <w:pPr>
              <w:spacing w:line="276" w:lineRule="auto"/>
              <w:jc w:val="center"/>
              <w:rPr>
                <w:rFonts w:ascii="Times New Roman" w:hAnsi="Times New Roman"/>
                <w:sz w:val="21"/>
                <w:szCs w:val="21"/>
              </w:rPr>
            </w:pPr>
            <w:r>
              <w:rPr>
                <w:rFonts w:ascii="Times New Roman" w:hAnsi="Times New Roman"/>
                <w:sz w:val="21"/>
                <w:szCs w:val="21"/>
              </w:rPr>
              <w:t>垮落带高度</w:t>
            </w:r>
          </w:p>
        </w:tc>
        <w:tc>
          <w:tcPr>
            <w:tcW w:w="1963" w:type="dxa"/>
            <w:vAlign w:val="center"/>
          </w:tcPr>
          <w:p>
            <w:pPr>
              <w:spacing w:line="276" w:lineRule="auto"/>
              <w:jc w:val="center"/>
              <w:rPr>
                <w:rFonts w:ascii="Times New Roman" w:hAnsi="Times New Roman"/>
                <w:sz w:val="21"/>
                <w:szCs w:val="21"/>
              </w:rPr>
            </w:pPr>
            <w:r>
              <w:rPr>
                <w:rFonts w:ascii="Times New Roman" w:hAnsi="Times New Roman"/>
                <w:sz w:val="21"/>
                <w:szCs w:val="21"/>
              </w:rPr>
              <w:t>中硬</w:t>
            </w:r>
          </w:p>
        </w:tc>
        <w:tc>
          <w:tcPr>
            <w:tcW w:w="5361" w:type="dxa"/>
            <w:vAlign w:val="center"/>
          </w:tcPr>
          <w:p>
            <w:pPr>
              <w:spacing w:line="276" w:lineRule="auto"/>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m:t>
                    </m:r>
                    <m:ctrlPr>
                      <w:rPr>
                        <w:rFonts w:ascii="Cambria Math" w:hAnsi="Cambria Math"/>
                        <w:i/>
                        <w:sz w:val="21"/>
                        <w:szCs w:val="21"/>
                      </w:rPr>
                    </m:ctrlPr>
                  </m:num>
                  <m:den>
                    <m:r>
                      <m:rPr/>
                      <w:rPr>
                        <w:rFonts w:ascii="Cambria Math" w:hAnsi="Cambria Math"/>
                        <w:sz w:val="21"/>
                        <w:szCs w:val="21"/>
                      </w:rPr>
                      <m:t>0.49M+19.12</m:t>
                    </m:r>
                    <m:ctrlPr>
                      <w:rPr>
                        <w:rFonts w:ascii="Cambria Math" w:hAnsi="Cambria Math"/>
                        <w:i/>
                        <w:sz w:val="21"/>
                        <w:szCs w:val="21"/>
                      </w:rPr>
                    </m:ctrlPr>
                  </m:den>
                </m:f>
                <m:r>
                  <m:rPr/>
                  <w:rPr>
                    <w:rFonts w:ascii="Cambria Math" w:hAnsi="Cambria Math"/>
                    <w:sz w:val="21"/>
                    <w:szCs w:val="21"/>
                  </w:rPr>
                  <m:t>±4.71</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63" w:type="dxa"/>
            <w:vMerge w:val="continue"/>
            <w:vAlign w:val="center"/>
          </w:tcPr>
          <w:p>
            <w:pPr>
              <w:spacing w:line="276" w:lineRule="auto"/>
              <w:jc w:val="center"/>
              <w:rPr>
                <w:rFonts w:ascii="Times New Roman" w:hAnsi="Times New Roman"/>
                <w:sz w:val="21"/>
                <w:szCs w:val="21"/>
              </w:rPr>
            </w:pPr>
          </w:p>
        </w:tc>
        <w:tc>
          <w:tcPr>
            <w:tcW w:w="1963" w:type="dxa"/>
            <w:vAlign w:val="center"/>
          </w:tcPr>
          <w:p>
            <w:pPr>
              <w:spacing w:line="276" w:lineRule="auto"/>
              <w:jc w:val="center"/>
              <w:rPr>
                <w:rFonts w:ascii="Times New Roman" w:hAnsi="Times New Roman"/>
                <w:sz w:val="21"/>
                <w:szCs w:val="21"/>
              </w:rPr>
            </w:pPr>
            <w:r>
              <w:rPr>
                <w:rFonts w:ascii="Times New Roman" w:hAnsi="Times New Roman"/>
                <w:sz w:val="21"/>
                <w:szCs w:val="21"/>
              </w:rPr>
              <w:t>软弱</w:t>
            </w:r>
          </w:p>
        </w:tc>
        <w:tc>
          <w:tcPr>
            <w:tcW w:w="5361" w:type="dxa"/>
            <w:vAlign w:val="center"/>
          </w:tcPr>
          <w:p>
            <w:pPr>
              <w:spacing w:line="276" w:lineRule="auto"/>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m:t>
                    </m:r>
                    <m:ctrlPr>
                      <w:rPr>
                        <w:rFonts w:ascii="Cambria Math" w:hAnsi="Cambria Math"/>
                        <w:i/>
                        <w:sz w:val="21"/>
                        <w:szCs w:val="21"/>
                      </w:rPr>
                    </m:ctrlPr>
                  </m:num>
                  <m:den>
                    <m:r>
                      <m:rPr/>
                      <w:rPr>
                        <w:rFonts w:ascii="Cambria Math" w:hAnsi="Cambria Math"/>
                        <w:sz w:val="21"/>
                        <w:szCs w:val="21"/>
                      </w:rPr>
                      <m:t>−1.19M+28.57</m:t>
                    </m:r>
                    <m:ctrlPr>
                      <w:rPr>
                        <w:rFonts w:ascii="Cambria Math" w:hAnsi="Cambria Math"/>
                        <w:i/>
                        <w:sz w:val="21"/>
                        <w:szCs w:val="21"/>
                      </w:rPr>
                    </m:ctrlPr>
                  </m:den>
                </m:f>
                <m:r>
                  <m:rPr/>
                  <w:rPr>
                    <w:rFonts w:ascii="Cambria Math" w:hAnsi="Cambria Math"/>
                    <w:sz w:val="21"/>
                    <w:szCs w:val="21"/>
                  </w:rPr>
                  <m:t>±4.76</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63" w:type="dxa"/>
            <w:vMerge w:val="restart"/>
            <w:vAlign w:val="center"/>
          </w:tcPr>
          <w:p>
            <w:pPr>
              <w:spacing w:line="276" w:lineRule="auto"/>
              <w:jc w:val="center"/>
              <w:rPr>
                <w:rFonts w:ascii="Times New Roman" w:hAnsi="Times New Roman"/>
                <w:sz w:val="21"/>
                <w:szCs w:val="21"/>
              </w:rPr>
            </w:pPr>
            <w:r>
              <w:rPr>
                <w:rFonts w:ascii="Times New Roman" w:hAnsi="Times New Roman"/>
                <w:sz w:val="21"/>
                <w:szCs w:val="21"/>
              </w:rPr>
              <w:t>导水裂缝带高度</w:t>
            </w:r>
          </w:p>
        </w:tc>
        <w:tc>
          <w:tcPr>
            <w:tcW w:w="1963" w:type="dxa"/>
            <w:vAlign w:val="center"/>
          </w:tcPr>
          <w:p>
            <w:pPr>
              <w:spacing w:line="276" w:lineRule="auto"/>
              <w:jc w:val="center"/>
              <w:rPr>
                <w:rFonts w:ascii="Times New Roman" w:hAnsi="Times New Roman"/>
                <w:sz w:val="21"/>
                <w:szCs w:val="21"/>
              </w:rPr>
            </w:pPr>
            <w:r>
              <w:rPr>
                <w:rFonts w:ascii="Times New Roman" w:hAnsi="Times New Roman"/>
                <w:sz w:val="21"/>
                <w:szCs w:val="21"/>
              </w:rPr>
              <w:t>中硬</w:t>
            </w:r>
          </w:p>
        </w:tc>
        <w:tc>
          <w:tcPr>
            <w:tcW w:w="5361" w:type="dxa"/>
            <w:vAlign w:val="center"/>
          </w:tcPr>
          <w:p>
            <w:pPr>
              <w:spacing w:line="276" w:lineRule="auto"/>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m:t>
                    </m:r>
                    <m:ctrlPr>
                      <w:rPr>
                        <w:rFonts w:ascii="Cambria Math" w:hAnsi="Cambria Math"/>
                        <w:i/>
                        <w:sz w:val="21"/>
                        <w:szCs w:val="21"/>
                      </w:rPr>
                    </m:ctrlPr>
                  </m:num>
                  <m:den>
                    <m:r>
                      <m:rPr/>
                      <w:rPr>
                        <w:rFonts w:ascii="Cambria Math" w:hAnsi="Cambria Math"/>
                        <w:sz w:val="21"/>
                        <w:szCs w:val="21"/>
                      </w:rPr>
                      <m:t>0.26M+6.88</m:t>
                    </m:r>
                    <m:ctrlPr>
                      <w:rPr>
                        <w:rFonts w:ascii="Cambria Math" w:hAnsi="Cambria Math"/>
                        <w:i/>
                        <w:sz w:val="21"/>
                        <w:szCs w:val="21"/>
                      </w:rPr>
                    </m:ctrlPr>
                  </m:den>
                </m:f>
                <m:r>
                  <m:rPr/>
                  <w:rPr>
                    <w:rFonts w:ascii="Cambria Math" w:hAnsi="Cambria Math"/>
                    <w:sz w:val="21"/>
                    <w:szCs w:val="21"/>
                  </w:rPr>
                  <m:t>±11.49</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63" w:type="dxa"/>
            <w:vMerge w:val="continue"/>
            <w:vAlign w:val="center"/>
          </w:tcPr>
          <w:p>
            <w:pPr>
              <w:spacing w:line="276" w:lineRule="auto"/>
              <w:jc w:val="center"/>
              <w:rPr>
                <w:rFonts w:ascii="Times New Roman" w:hAnsi="Times New Roman"/>
                <w:sz w:val="21"/>
                <w:szCs w:val="21"/>
              </w:rPr>
            </w:pPr>
          </w:p>
        </w:tc>
        <w:tc>
          <w:tcPr>
            <w:tcW w:w="1963" w:type="dxa"/>
            <w:vAlign w:val="center"/>
          </w:tcPr>
          <w:p>
            <w:pPr>
              <w:spacing w:line="276" w:lineRule="auto"/>
              <w:jc w:val="center"/>
              <w:rPr>
                <w:rFonts w:ascii="Times New Roman" w:hAnsi="Times New Roman"/>
                <w:sz w:val="21"/>
                <w:szCs w:val="21"/>
              </w:rPr>
            </w:pPr>
            <w:r>
              <w:rPr>
                <w:rFonts w:ascii="Times New Roman" w:hAnsi="Times New Roman"/>
                <w:sz w:val="21"/>
                <w:szCs w:val="21"/>
              </w:rPr>
              <w:t>软弱</w:t>
            </w:r>
          </w:p>
        </w:tc>
        <w:tc>
          <w:tcPr>
            <w:tcW w:w="5361" w:type="dxa"/>
            <w:vAlign w:val="center"/>
          </w:tcPr>
          <w:p>
            <w:pPr>
              <w:spacing w:line="276" w:lineRule="auto"/>
              <w:jc w:val="center"/>
              <w:rPr>
                <w:rFonts w:ascii="Times New Roman" w:hAnsi="Times New Roman"/>
                <w:sz w:val="21"/>
                <w:szCs w:val="21"/>
              </w:rPr>
            </w:pPr>
            <m:oMathPara>
              <m:oMath>
                <m:sSub>
                  <m:sSubPr>
                    <m:ctrlPr>
                      <w:rPr>
                        <w:rFonts w:ascii="Cambria Math" w:hAnsi="Cambria Math"/>
                        <w:i/>
                        <w:sz w:val="21"/>
                        <w:szCs w:val="21"/>
                      </w:rPr>
                    </m:ctrlPr>
                  </m:sSubPr>
                  <m:e>
                    <m:r>
                      <m:rPr/>
                      <w:rPr>
                        <w:rFonts w:ascii="Cambria Math" w:hAnsi="Cambria Math"/>
                        <w:sz w:val="21"/>
                        <w:szCs w:val="21"/>
                      </w:rPr>
                      <m:t>H</m:t>
                    </m:r>
                    <m:ctrlPr>
                      <w:rPr>
                        <w:rFonts w:ascii="Cambria Math" w:hAnsi="Cambria Math"/>
                        <w:i/>
                        <w:sz w:val="21"/>
                        <w:szCs w:val="21"/>
                      </w:rPr>
                    </m:ctrlPr>
                  </m:e>
                  <m:sub>
                    <m:r>
                      <m:rPr/>
                      <w:rPr>
                        <w:rFonts w:ascii="Cambria Math" w:hAnsi="Cambria Math"/>
                        <w:sz w:val="21"/>
                        <w:szCs w:val="21"/>
                      </w:rPr>
                      <m:t>li</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i/>
                        <w:sz w:val="21"/>
                        <w:szCs w:val="21"/>
                      </w:rPr>
                    </m:ctrlPr>
                  </m:fPr>
                  <m:num>
                    <m:r>
                      <m:rPr/>
                      <w:rPr>
                        <w:rFonts w:ascii="Cambria Math" w:hAnsi="Cambria Math"/>
                        <w:sz w:val="21"/>
                        <w:szCs w:val="21"/>
                      </w:rPr>
                      <m:t>100M</m:t>
                    </m:r>
                    <m:ctrlPr>
                      <w:rPr>
                        <w:rFonts w:ascii="Cambria Math" w:hAnsi="Cambria Math"/>
                        <w:i/>
                        <w:sz w:val="21"/>
                        <w:szCs w:val="21"/>
                      </w:rPr>
                    </m:ctrlPr>
                  </m:num>
                  <m:den>
                    <m:r>
                      <m:rPr/>
                      <w:rPr>
                        <w:rFonts w:ascii="Cambria Math" w:hAnsi="Cambria Math"/>
                        <w:sz w:val="21"/>
                        <w:szCs w:val="21"/>
                      </w:rPr>
                      <m:t>−0.33M+10.81</m:t>
                    </m:r>
                    <m:ctrlPr>
                      <w:rPr>
                        <w:rFonts w:ascii="Cambria Math" w:hAnsi="Cambria Math"/>
                        <w:i/>
                        <w:sz w:val="21"/>
                        <w:szCs w:val="21"/>
                      </w:rPr>
                    </m:ctrlPr>
                  </m:den>
                </m:f>
                <m:r>
                  <m:rPr/>
                  <w:rPr>
                    <w:rFonts w:ascii="Cambria Math" w:hAnsi="Cambria Math"/>
                    <w:sz w:val="21"/>
                    <w:szCs w:val="21"/>
                  </w:rPr>
                  <m:t>±6.99</m:t>
                </m:r>
              </m:oMath>
            </m:oMathPara>
          </w:p>
        </w:tc>
      </w:tr>
    </w:tbl>
    <w:p>
      <w:pPr>
        <w:spacing w:before="120" w:beforeLines="50" w:line="440" w:lineRule="exact"/>
        <w:ind w:firstLine="480" w:firstLineChars="200"/>
        <w:rPr>
          <w:rFonts w:ascii="Times New Roman" w:hAnsi="Times New Roman"/>
          <w:szCs w:val="24"/>
        </w:rPr>
      </w:pPr>
      <w:r>
        <w:rPr>
          <w:rFonts w:ascii="Times New Roman" w:hAnsi="Times New Roman"/>
          <w:szCs w:val="24"/>
        </w:rPr>
        <w:t>根据“三下采煤”、综放开采中推荐导水裂缝带计算公式，计算得到矿区各煤层开采时导水裂缝带发育高度，计算结果见表5.3-7。</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sectPr>
          <w:pgSz w:w="11907" w:h="16840"/>
          <w:pgMar w:top="1701" w:right="1418" w:bottom="1134" w:left="1418" w:header="1134" w:footer="851" w:gutter="0"/>
          <w:cols w:space="720" w:num="1"/>
          <w:docGrid w:linePitch="360" w:charSpace="0"/>
        </w:sectPr>
      </w:pPr>
    </w:p>
    <w:bookmarkEnd w:id="233"/>
    <w:p>
      <w:pPr>
        <w:adjustRightInd w:val="0"/>
        <w:spacing w:line="440" w:lineRule="exact"/>
        <w:jc w:val="center"/>
        <w:textAlignment w:val="baseline"/>
        <w:rPr>
          <w:rFonts w:ascii="Times New Roman" w:hAnsi="Times New Roman"/>
          <w:b/>
          <w:kern w:val="0"/>
          <w:szCs w:val="24"/>
        </w:rPr>
      </w:pPr>
      <w:r>
        <w:rPr>
          <w:rFonts w:ascii="Times New Roman" w:hAnsi="Times New Roman"/>
          <w:b/>
          <w:kern w:val="0"/>
          <w:szCs w:val="24"/>
        </w:rPr>
        <w:t>各煤层导水裂缝带发育高度</w:t>
      </w:r>
    </w:p>
    <w:p>
      <w:pPr>
        <w:adjustRightInd w:val="0"/>
        <w:snapToGrid w:val="0"/>
        <w:spacing w:line="440" w:lineRule="exact"/>
        <w:jc w:val="left"/>
        <w:outlineLvl w:val="4"/>
        <w:rPr>
          <w:rFonts w:ascii="Times New Roman" w:hAnsi="Times New Roman"/>
          <w:bCs/>
          <w:szCs w:val="24"/>
        </w:rPr>
      </w:pPr>
      <w:r>
        <w:rPr>
          <w:rFonts w:ascii="Times New Roman" w:hAnsi="Times New Roman"/>
          <w:bCs/>
          <w:szCs w:val="24"/>
        </w:rPr>
        <w:t>表5.3-7</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2227"/>
        <w:gridCol w:w="1789"/>
        <w:gridCol w:w="1872"/>
        <w:gridCol w:w="2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120" w:type="dxa"/>
            <w:vMerge w:val="restart"/>
            <w:shd w:val="clear" w:color="auto" w:fill="auto"/>
            <w:vAlign w:val="center"/>
          </w:tcPr>
          <w:p>
            <w:pPr>
              <w:widowControl/>
              <w:ind w:left="-122" w:leftChars="-51" w:right="-106" w:rightChars="-44"/>
              <w:jc w:val="center"/>
              <w:rPr>
                <w:rFonts w:ascii="Times New Roman" w:hAnsi="Times New Roman"/>
                <w:spacing w:val="-6"/>
                <w:kern w:val="0"/>
                <w:sz w:val="21"/>
                <w:szCs w:val="21"/>
              </w:rPr>
            </w:pPr>
            <w:r>
              <w:rPr>
                <w:rFonts w:ascii="Times New Roman" w:hAnsi="Times New Roman"/>
                <w:spacing w:val="-6"/>
                <w:kern w:val="0"/>
                <w:sz w:val="21"/>
                <w:szCs w:val="21"/>
                <w:lang w:bidi="ar"/>
              </w:rPr>
              <w:t>煤层</w:t>
            </w:r>
          </w:p>
          <w:p>
            <w:pPr>
              <w:widowControl/>
              <w:ind w:left="-122" w:leftChars="-51" w:right="-106" w:rightChars="-44"/>
              <w:jc w:val="center"/>
              <w:rPr>
                <w:rFonts w:ascii="Times New Roman" w:hAnsi="Times New Roman"/>
                <w:spacing w:val="-6"/>
                <w:kern w:val="0"/>
                <w:sz w:val="21"/>
                <w:szCs w:val="21"/>
              </w:rPr>
            </w:pPr>
            <w:r>
              <w:rPr>
                <w:rFonts w:ascii="Times New Roman" w:hAnsi="Times New Roman"/>
                <w:spacing w:val="-6"/>
                <w:kern w:val="0"/>
                <w:sz w:val="21"/>
                <w:szCs w:val="21"/>
                <w:lang w:bidi="ar"/>
              </w:rPr>
              <w:t>编号</w:t>
            </w:r>
          </w:p>
        </w:tc>
        <w:tc>
          <w:tcPr>
            <w:tcW w:w="2227" w:type="dxa"/>
            <w:shd w:val="clear" w:color="auto" w:fill="auto"/>
            <w:vAlign w:val="center"/>
          </w:tcPr>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埋藏深度</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(m)</w:t>
            </w:r>
          </w:p>
        </w:tc>
        <w:tc>
          <w:tcPr>
            <w:tcW w:w="1789" w:type="dxa"/>
            <w:shd w:val="clear" w:color="auto" w:fill="auto"/>
            <w:vAlign w:val="center"/>
          </w:tcPr>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可采厚度</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(m)</w:t>
            </w:r>
          </w:p>
        </w:tc>
        <w:tc>
          <w:tcPr>
            <w:tcW w:w="1872" w:type="dxa"/>
            <w:shd w:val="clear" w:color="auto" w:fill="auto"/>
            <w:vAlign w:val="center"/>
          </w:tcPr>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层间距</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(m)</w:t>
            </w:r>
          </w:p>
        </w:tc>
        <w:tc>
          <w:tcPr>
            <w:tcW w:w="2279" w:type="dxa"/>
            <w:shd w:val="clear" w:color="auto" w:fill="auto"/>
            <w:vAlign w:val="center"/>
          </w:tcPr>
          <w:p>
            <w:pPr>
              <w:widowControl/>
              <w:ind w:left="-122" w:leftChars="-51" w:right="-127" w:rightChars="-53"/>
              <w:jc w:val="center"/>
              <w:rPr>
                <w:rFonts w:ascii="Times New Roman" w:hAnsi="Times New Roman"/>
                <w:spacing w:val="-6"/>
                <w:sz w:val="21"/>
                <w:szCs w:val="21"/>
                <w:lang w:bidi="ar"/>
              </w:rPr>
            </w:pPr>
            <w:r>
              <w:rPr>
                <w:rFonts w:ascii="Times New Roman" w:hAnsi="Times New Roman"/>
                <w:spacing w:val="-6"/>
                <w:sz w:val="21"/>
                <w:szCs w:val="21"/>
                <w:lang w:bidi="ar"/>
              </w:rPr>
              <w:t>导裂带发育高度</w:t>
            </w:r>
          </w:p>
          <w:p>
            <w:pPr>
              <w:widowControl/>
              <w:ind w:left="-122" w:leftChars="-51" w:right="-127" w:rightChars="-53"/>
              <w:jc w:val="center"/>
              <w:rPr>
                <w:rFonts w:ascii="Times New Roman" w:hAnsi="Times New Roman"/>
                <w:spacing w:val="-6"/>
                <w:kern w:val="0"/>
                <w:sz w:val="21"/>
                <w:szCs w:val="21"/>
              </w:rPr>
            </w:pPr>
            <w:r>
              <w:rPr>
                <w:rFonts w:ascii="Times New Roman" w:hAnsi="Times New Roman"/>
                <w:spacing w:val="-6"/>
                <w:sz w:val="21"/>
                <w:szCs w:val="21"/>
                <w:lang w:bidi="ar"/>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最小～最大</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平均（点数）</w:t>
            </w:r>
          </w:p>
        </w:tc>
        <w:tc>
          <w:tcPr>
            <w:tcW w:w="1789" w:type="dxa"/>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最小～最大</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平均（点数）</w:t>
            </w:r>
          </w:p>
        </w:tc>
        <w:tc>
          <w:tcPr>
            <w:tcW w:w="1872" w:type="dxa"/>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最小～最大</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平均（点数）</w:t>
            </w:r>
          </w:p>
        </w:tc>
        <w:tc>
          <w:tcPr>
            <w:tcW w:w="2279" w:type="dxa"/>
            <w:shd w:val="clear" w:color="auto" w:fill="auto"/>
            <w:vAlign w:val="center"/>
          </w:tcPr>
          <w:p>
            <w:pPr>
              <w:ind w:left="-122" w:leftChars="-51" w:right="-79" w:rightChars="-33"/>
              <w:jc w:val="center"/>
              <w:rPr>
                <w:rFonts w:ascii="Times New Roman" w:hAnsi="Times New Roman"/>
                <w:spacing w:val="-6"/>
                <w:sz w:val="21"/>
                <w:szCs w:val="21"/>
                <w:u w:val="single"/>
              </w:rPr>
            </w:pPr>
            <w:r>
              <w:rPr>
                <w:rFonts w:ascii="Times New Roman" w:hAnsi="Times New Roman"/>
                <w:spacing w:val="-6"/>
                <w:sz w:val="21"/>
                <w:szCs w:val="21"/>
                <w:u w:val="single"/>
                <w:lang w:bidi="ar"/>
              </w:rPr>
              <w:t>最小～最大</w:t>
            </w:r>
          </w:p>
          <w:p>
            <w:pPr>
              <w:widowControl/>
              <w:ind w:left="-122" w:leftChars="-51" w:right="-127" w:rightChars="-53"/>
              <w:jc w:val="center"/>
              <w:rPr>
                <w:rFonts w:ascii="Times New Roman" w:hAnsi="Times New Roman"/>
                <w:spacing w:val="-6"/>
                <w:kern w:val="0"/>
                <w:sz w:val="21"/>
                <w:szCs w:val="21"/>
              </w:rPr>
            </w:pPr>
            <w:r>
              <w:rPr>
                <w:rFonts w:ascii="Times New Roman" w:hAnsi="Times New Roman"/>
                <w:spacing w:val="-6"/>
                <w:sz w:val="21"/>
                <w:szCs w:val="21"/>
                <w:lang w:bidi="ar"/>
              </w:rPr>
              <w:t>平均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120" w:type="dxa"/>
            <w:shd w:val="clear" w:color="auto" w:fill="auto"/>
            <w:vAlign w:val="center"/>
          </w:tcPr>
          <w:p>
            <w:pPr>
              <w:widowControl/>
              <w:jc w:val="center"/>
              <w:rPr>
                <w:rFonts w:ascii="Times New Roman" w:hAnsi="Times New Roman"/>
                <w:spacing w:val="-6"/>
                <w:kern w:val="0"/>
                <w:sz w:val="21"/>
                <w:szCs w:val="21"/>
              </w:rPr>
            </w:pPr>
            <w:r>
              <w:rPr>
                <w:rFonts w:ascii="Times New Roman" w:hAnsi="Times New Roman"/>
                <w:spacing w:val="-6"/>
                <w:kern w:val="0"/>
                <w:sz w:val="21"/>
                <w:szCs w:val="21"/>
                <w:lang w:bidi="ar"/>
              </w:rPr>
              <w:t>2-1上</w:t>
            </w:r>
          </w:p>
        </w:tc>
        <w:tc>
          <w:tcPr>
            <w:tcW w:w="2227" w:type="dxa"/>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889.65～979.50</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929.84（89）</w:t>
            </w:r>
          </w:p>
        </w:tc>
        <w:tc>
          <w:tcPr>
            <w:tcW w:w="1789" w:type="dxa"/>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0.81～3.57</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1.88（59）</w:t>
            </w: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0.90～10.98</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4.67（80）</w:t>
            </w:r>
          </w:p>
        </w:tc>
        <w:tc>
          <w:tcPr>
            <w:tcW w:w="2279" w:type="dxa"/>
            <w:shd w:val="clear" w:color="auto" w:fill="auto"/>
            <w:vAlign w:val="center"/>
          </w:tcPr>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28~57.21</w:t>
            </w:r>
            <w:r>
              <w:rPr>
                <w:rFonts w:ascii="Times New Roman" w:hAnsi="Times New Roman"/>
                <w:sz w:val="21"/>
                <w:szCs w:val="22"/>
              </w:rPr>
              <w:br w:type="textWrapping"/>
            </w:r>
            <w:r>
              <w:rPr>
                <w:rFonts w:ascii="Times New Roman" w:hAnsi="Times New Roman"/>
                <w:sz w:val="21"/>
                <w:szCs w:val="22"/>
              </w:rPr>
              <w:t>37.42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2-1</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720.47～1048.92</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840.65（237）</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0.80～5.34</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2.00（171）</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27.89~76.07</w:t>
            </w:r>
            <w:r>
              <w:rPr>
                <w:rFonts w:ascii="Times New Roman" w:hAnsi="Times New Roman"/>
                <w:sz w:val="21"/>
                <w:szCs w:val="22"/>
              </w:rPr>
              <w:br w:type="textWrapping"/>
            </w:r>
            <w:r>
              <w:rPr>
                <w:rFonts w:ascii="Times New Roman" w:hAnsi="Times New Roman"/>
                <w:sz w:val="21"/>
                <w:szCs w:val="22"/>
              </w:rPr>
              <w:t>38.28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0.23～26.45</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10.26（194）</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2-1下</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737.28～1054.35</w:t>
            </w:r>
          </w:p>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lang w:bidi="ar"/>
              </w:rPr>
              <w:t>870.16（279）</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0.80～5.80</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1.83（183）</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27.89~80.64</w:t>
            </w:r>
            <w:r>
              <w:rPr>
                <w:rFonts w:ascii="Times New Roman" w:hAnsi="Times New Roman"/>
                <w:sz w:val="21"/>
                <w:szCs w:val="22"/>
                <w:u w:val="single"/>
              </w:rPr>
              <w:br w:type="textWrapping"/>
            </w:r>
            <w:r>
              <w:rPr>
                <w:rFonts w:ascii="Times New Roman" w:hAnsi="Times New Roman"/>
                <w:sz w:val="21"/>
                <w:szCs w:val="22"/>
              </w:rPr>
              <w:t>37.06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3.63～27.48</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14.19（75）</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2-2上</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728.21～1067.35</w:t>
            </w:r>
          </w:p>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lang w:bidi="ar"/>
              </w:rPr>
              <w:t>866.39（96）</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0.84～3.13</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1.41（29）</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28.33~45.38</w:t>
            </w:r>
            <w:r>
              <w:rPr>
                <w:rFonts w:ascii="Times New Roman" w:hAnsi="Times New Roman"/>
                <w:sz w:val="21"/>
                <w:szCs w:val="22"/>
              </w:rPr>
              <w:br w:type="textWrapping"/>
            </w:r>
            <w:r>
              <w:rPr>
                <w:rFonts w:ascii="Times New Roman" w:hAnsi="Times New Roman"/>
                <w:sz w:val="21"/>
                <w:szCs w:val="22"/>
              </w:rPr>
              <w:t>33.75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adjustRightInd w:val="0"/>
              <w:snapToGrid w:val="0"/>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0.49～29.52</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13.59（81）</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2-2</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738.13～1091.28</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865.01（400）</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0.85～5.91</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2.26（354）</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28.44~81.71</w:t>
            </w:r>
            <w:r>
              <w:rPr>
                <w:rFonts w:ascii="Times New Roman" w:hAnsi="Times New Roman"/>
                <w:sz w:val="21"/>
                <w:szCs w:val="22"/>
              </w:rPr>
              <w:br w:type="textWrapping"/>
            </w:r>
            <w:r>
              <w:rPr>
                <w:rFonts w:ascii="Times New Roman" w:hAnsi="Times New Roman"/>
                <w:sz w:val="21"/>
                <w:szCs w:val="22"/>
              </w:rPr>
              <w:t>40.07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adjustRightInd w:val="0"/>
              <w:snapToGrid w:val="0"/>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0.45～28.94</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8.68（245）</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2-2下</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772.31～1093.56</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890.47（272）</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0.80～3.12</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1.67（128）</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27.89~45.33</w:t>
            </w:r>
            <w:r>
              <w:rPr>
                <w:rFonts w:ascii="Times New Roman" w:hAnsi="Times New Roman"/>
                <w:sz w:val="21"/>
                <w:szCs w:val="22"/>
              </w:rPr>
              <w:br w:type="textWrapping"/>
            </w:r>
            <w:r>
              <w:rPr>
                <w:rFonts w:ascii="Times New Roman" w:hAnsi="Times New Roman"/>
                <w:sz w:val="21"/>
                <w:szCs w:val="22"/>
              </w:rPr>
              <w:t>35.85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6.04～33.95</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19.16（260）</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3-1</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784.78～1109.57</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887.17（421）</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0.80～8.68</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3.03（350）</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27.89~106.49</w:t>
            </w:r>
            <w:r>
              <w:rPr>
                <w:rFonts w:ascii="Times New Roman" w:hAnsi="Times New Roman"/>
                <w:sz w:val="21"/>
                <w:szCs w:val="22"/>
                <w:u w:val="single"/>
              </w:rPr>
              <w:br w:type="textWrapping"/>
            </w:r>
            <w:r>
              <w:rPr>
                <w:rFonts w:ascii="Times New Roman" w:hAnsi="Times New Roman"/>
                <w:sz w:val="21"/>
                <w:szCs w:val="22"/>
              </w:rPr>
              <w:t>44.81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1.45～38.60</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23.12（251）</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3-2</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812.68～1144.48</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936.11（255）</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0.81～3.31</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2.08（203）</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28~46.39</w:t>
            </w:r>
            <w:r>
              <w:rPr>
                <w:rFonts w:ascii="Times New Roman" w:hAnsi="Times New Roman"/>
                <w:sz w:val="21"/>
                <w:szCs w:val="22"/>
                <w:u w:val="single"/>
              </w:rPr>
              <w:br w:type="textWrapping"/>
            </w:r>
            <w:r>
              <w:rPr>
                <w:rFonts w:ascii="Times New Roman" w:hAnsi="Times New Roman"/>
                <w:sz w:val="21"/>
                <w:szCs w:val="22"/>
              </w:rPr>
              <w:t>38.84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6.77～45.74</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20.39（215）</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4-1上</w:t>
            </w:r>
          </w:p>
        </w:tc>
        <w:tc>
          <w:tcPr>
            <w:tcW w:w="2227" w:type="dxa"/>
            <w:vMerge w:val="restart"/>
            <w:shd w:val="clear" w:color="auto" w:fill="auto"/>
            <w:vAlign w:val="center"/>
          </w:tcPr>
          <w:p>
            <w:pPr>
              <w:widowControl/>
              <w:kinsoku w:val="0"/>
              <w:overflowPunct w:val="0"/>
              <w:adjustRightInd w:val="0"/>
              <w:snapToGrid w:val="0"/>
              <w:ind w:left="-120" w:leftChars="-50" w:right="-120" w:rightChars="-50"/>
              <w:jc w:val="center"/>
              <w:rPr>
                <w:rFonts w:ascii="Times New Roman" w:hAnsi="Times New Roman"/>
                <w:kern w:val="0"/>
                <w:sz w:val="21"/>
                <w:szCs w:val="21"/>
                <w:u w:val="single"/>
              </w:rPr>
            </w:pPr>
            <w:r>
              <w:rPr>
                <w:rFonts w:ascii="Times New Roman" w:hAnsi="Times New Roman"/>
                <w:kern w:val="0"/>
                <w:sz w:val="21"/>
                <w:szCs w:val="21"/>
                <w:u w:val="single"/>
                <w:lang w:bidi="ar"/>
              </w:rPr>
              <w:t>835.01～1078.90</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912.65（293）</w:t>
            </w:r>
          </w:p>
        </w:tc>
        <w:tc>
          <w:tcPr>
            <w:tcW w:w="1789" w:type="dxa"/>
            <w:vMerge w:val="restart"/>
            <w:shd w:val="clear" w:color="auto" w:fill="auto"/>
            <w:vAlign w:val="center"/>
          </w:tcPr>
          <w:p>
            <w:pPr>
              <w:widowControl/>
              <w:kinsoku w:val="0"/>
              <w:overflowPunct w:val="0"/>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0.80～3.39</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1.56（204）</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27.89~46.82</w:t>
            </w:r>
            <w:r>
              <w:rPr>
                <w:rFonts w:ascii="Times New Roman" w:hAnsi="Times New Roman"/>
                <w:sz w:val="21"/>
                <w:szCs w:val="22"/>
                <w:u w:val="single"/>
              </w:rPr>
              <w:br w:type="textWrapping"/>
            </w:r>
            <w:r>
              <w:rPr>
                <w:rFonts w:ascii="Times New Roman" w:hAnsi="Times New Roman"/>
                <w:sz w:val="21"/>
                <w:szCs w:val="22"/>
              </w:rPr>
              <w:t>34.98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0.86～37.66</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13.20（278）</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4-1</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830.68～1164.79</w:t>
            </w:r>
          </w:p>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lang w:bidi="ar"/>
              </w:rPr>
              <w:t>947.07（432）</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0.82～5.93</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1.88（359）</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28.11~81.9</w:t>
            </w:r>
            <w:r>
              <w:rPr>
                <w:rFonts w:ascii="Times New Roman" w:hAnsi="Times New Roman"/>
                <w:sz w:val="21"/>
                <w:szCs w:val="22"/>
              </w:rPr>
              <w:br w:type="textWrapping"/>
            </w:r>
            <w:r>
              <w:rPr>
                <w:rFonts w:ascii="Times New Roman" w:hAnsi="Times New Roman"/>
                <w:sz w:val="21"/>
                <w:szCs w:val="22"/>
              </w:rPr>
              <w:t>37.42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kern w:val="0"/>
                <w:sz w:val="21"/>
                <w:szCs w:val="21"/>
                <w:u w:val="single"/>
              </w:rPr>
            </w:pPr>
            <w:r>
              <w:rPr>
                <w:rFonts w:ascii="Times New Roman" w:hAnsi="Times New Roman"/>
                <w:kern w:val="0"/>
                <w:sz w:val="21"/>
                <w:szCs w:val="21"/>
                <w:u w:val="single"/>
                <w:lang w:bidi="ar"/>
              </w:rPr>
              <w:t>0.58～20.07</w:t>
            </w:r>
          </w:p>
          <w:p>
            <w:pPr>
              <w:widowControl/>
              <w:ind w:left="-122" w:leftChars="-51" w:right="-79" w:rightChars="-33"/>
              <w:jc w:val="center"/>
              <w:rPr>
                <w:rFonts w:ascii="Times New Roman" w:hAnsi="Times New Roman"/>
                <w:kern w:val="0"/>
                <w:sz w:val="21"/>
                <w:szCs w:val="21"/>
              </w:rPr>
            </w:pPr>
            <w:r>
              <w:rPr>
                <w:rFonts w:ascii="Times New Roman" w:hAnsi="Times New Roman"/>
                <w:kern w:val="0"/>
                <w:sz w:val="21"/>
                <w:szCs w:val="21"/>
                <w:lang w:bidi="ar"/>
              </w:rPr>
              <w:t>8.19（177）</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4-1下</w:t>
            </w:r>
          </w:p>
        </w:tc>
        <w:tc>
          <w:tcPr>
            <w:tcW w:w="2227" w:type="dxa"/>
            <w:vMerge w:val="restart"/>
            <w:shd w:val="clear" w:color="auto" w:fill="auto"/>
            <w:vAlign w:val="center"/>
          </w:tcPr>
          <w:p>
            <w:pPr>
              <w:widowControl/>
              <w:kinsoku w:val="0"/>
              <w:overflowPunct w:val="0"/>
              <w:adjustRightInd w:val="0"/>
              <w:snapToGrid w:val="0"/>
              <w:ind w:left="-120" w:leftChars="-50" w:right="-120" w:rightChars="-50"/>
              <w:jc w:val="center"/>
              <w:rPr>
                <w:rFonts w:ascii="Times New Roman" w:hAnsi="Times New Roman"/>
                <w:kern w:val="0"/>
                <w:sz w:val="21"/>
                <w:szCs w:val="21"/>
                <w:u w:val="single"/>
              </w:rPr>
            </w:pPr>
            <w:r>
              <w:rPr>
                <w:rFonts w:ascii="Times New Roman" w:hAnsi="Times New Roman"/>
                <w:kern w:val="0"/>
                <w:sz w:val="21"/>
                <w:szCs w:val="21"/>
                <w:u w:val="single"/>
                <w:lang w:bidi="ar"/>
              </w:rPr>
              <w:t>843.90～1156.55</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977.43（204）</w:t>
            </w:r>
          </w:p>
        </w:tc>
        <w:tc>
          <w:tcPr>
            <w:tcW w:w="1789" w:type="dxa"/>
            <w:vMerge w:val="restart"/>
            <w:shd w:val="clear" w:color="auto" w:fill="auto"/>
            <w:vAlign w:val="center"/>
          </w:tcPr>
          <w:p>
            <w:pPr>
              <w:widowControl/>
              <w:kinsoku w:val="0"/>
              <w:overflowPunct w:val="0"/>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0.80～1.81</w:t>
            </w:r>
          </w:p>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kern w:val="0"/>
                <w:sz w:val="21"/>
                <w:szCs w:val="21"/>
                <w:lang w:bidi="ar"/>
              </w:rPr>
              <w:t>0.97（76）</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27.89~36.91</w:t>
            </w:r>
            <w:r>
              <w:rPr>
                <w:rFonts w:ascii="Times New Roman" w:hAnsi="Times New Roman"/>
                <w:sz w:val="21"/>
                <w:szCs w:val="22"/>
              </w:rPr>
              <w:br w:type="textWrapping"/>
            </w:r>
            <w:r>
              <w:rPr>
                <w:rFonts w:ascii="Times New Roman" w:hAnsi="Times New Roman"/>
                <w:sz w:val="21"/>
                <w:szCs w:val="22"/>
              </w:rPr>
              <w:t>29.7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0.60～18.28</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5.56（194）</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4-2上</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849.75～1177.38</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960.17（430）</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0.81～4.15</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1.69（353）</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28~63.63</w:t>
            </w:r>
            <w:r>
              <w:rPr>
                <w:rFonts w:ascii="Times New Roman" w:hAnsi="Times New Roman"/>
                <w:sz w:val="21"/>
                <w:szCs w:val="22"/>
              </w:rPr>
              <w:br w:type="textWrapping"/>
            </w:r>
            <w:r>
              <w:rPr>
                <w:rFonts w:ascii="Times New Roman" w:hAnsi="Times New Roman"/>
                <w:sz w:val="21"/>
                <w:szCs w:val="22"/>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2.34～40.15</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17.65（411）</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4-2</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873.83～1199.18</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981.75（444）</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0.80～5.01</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1.73（401）</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27.89~72.72</w:t>
            </w:r>
            <w:r>
              <w:rPr>
                <w:rFonts w:ascii="Times New Roman" w:hAnsi="Times New Roman"/>
                <w:sz w:val="21"/>
                <w:szCs w:val="22"/>
              </w:rPr>
              <w:br w:type="textWrapping"/>
            </w:r>
            <w:r>
              <w:rPr>
                <w:rFonts w:ascii="Times New Roman" w:hAnsi="Times New Roman"/>
                <w:sz w:val="21"/>
                <w:szCs w:val="22"/>
              </w:rPr>
              <w:t>36.31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0.97～42.85</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22.45（420）</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5-1</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894.48～1219.25</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1002.81（435）</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0.80～6.02</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2.41（394）</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27.89~82.77</w:t>
            </w:r>
            <w:r>
              <w:rPr>
                <w:rFonts w:ascii="Times New Roman" w:hAnsi="Times New Roman"/>
                <w:sz w:val="21"/>
                <w:szCs w:val="22"/>
              </w:rPr>
              <w:br w:type="textWrapping"/>
            </w:r>
            <w:r>
              <w:rPr>
                <w:rFonts w:ascii="Times New Roman" w:hAnsi="Times New Roman"/>
                <w:sz w:val="21"/>
                <w:szCs w:val="22"/>
              </w:rPr>
              <w:t>41.05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0.85～35.78</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11.70（288）</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restart"/>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5-2</w:t>
            </w:r>
          </w:p>
        </w:tc>
        <w:tc>
          <w:tcPr>
            <w:tcW w:w="2227"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907.00～1233.55</w:t>
            </w:r>
          </w:p>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lang w:bidi="ar"/>
              </w:rPr>
              <w:t>1011.31（300）</w:t>
            </w:r>
          </w:p>
        </w:tc>
        <w:tc>
          <w:tcPr>
            <w:tcW w:w="1789" w:type="dxa"/>
            <w:vMerge w:val="restart"/>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0.80～3.63</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1.43（179）</w:t>
            </w:r>
          </w:p>
        </w:tc>
        <w:tc>
          <w:tcPr>
            <w:tcW w:w="1872" w:type="dxa"/>
            <w:vMerge w:val="continue"/>
            <w:shd w:val="clear" w:color="auto" w:fill="auto"/>
            <w:vAlign w:val="center"/>
          </w:tcPr>
          <w:p>
            <w:pPr>
              <w:jc w:val="center"/>
              <w:rPr>
                <w:rFonts w:ascii="Times New Roman" w:hAnsi="Times New Roman"/>
                <w:sz w:val="21"/>
              </w:rPr>
            </w:pPr>
          </w:p>
        </w:tc>
        <w:tc>
          <w:tcPr>
            <w:tcW w:w="2279" w:type="dxa"/>
            <w:vMerge w:val="restart"/>
            <w:shd w:val="clear" w:color="auto" w:fill="auto"/>
            <w:vAlign w:val="center"/>
          </w:tcPr>
          <w:p>
            <w:pPr>
              <w:widowControl/>
              <w:ind w:left="-122" w:leftChars="-51" w:right="-125" w:rightChars="-52"/>
              <w:jc w:val="center"/>
              <w:rPr>
                <w:rFonts w:ascii="Times New Roman" w:hAnsi="Times New Roman"/>
                <w:spacing w:val="-6"/>
                <w:kern w:val="0"/>
                <w:sz w:val="21"/>
                <w:szCs w:val="21"/>
              </w:rPr>
            </w:pPr>
          </w:p>
          <w:p>
            <w:pPr>
              <w:widowControl/>
              <w:ind w:left="-122" w:leftChars="-51" w:right="-125" w:rightChars="-52"/>
              <w:jc w:val="center"/>
              <w:rPr>
                <w:rFonts w:ascii="Times New Roman" w:hAnsi="Times New Roman"/>
                <w:spacing w:val="-6"/>
                <w:kern w:val="0"/>
                <w:sz w:val="21"/>
                <w:szCs w:val="21"/>
              </w:rPr>
            </w:pPr>
            <w:r>
              <w:rPr>
                <w:rFonts w:ascii="Times New Roman" w:hAnsi="Times New Roman"/>
                <w:sz w:val="21"/>
                <w:szCs w:val="22"/>
                <w:u w:val="single"/>
              </w:rPr>
              <w:t>27.89~57.89</w:t>
            </w:r>
            <w:r>
              <w:rPr>
                <w:rFonts w:ascii="Times New Roman" w:hAnsi="Times New Roman"/>
                <w:sz w:val="21"/>
                <w:szCs w:val="22"/>
              </w:rPr>
              <w:br w:type="textWrapping"/>
            </w:r>
            <w:r>
              <w:rPr>
                <w:rFonts w:ascii="Times New Roman" w:hAnsi="Times New Roman"/>
                <w:sz w:val="21"/>
                <w:szCs w:val="22"/>
              </w:rPr>
              <w:t>33.92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jc w:val="center"/>
        </w:trPr>
        <w:tc>
          <w:tcPr>
            <w:tcW w:w="1120" w:type="dxa"/>
            <w:vMerge w:val="continue"/>
            <w:shd w:val="clear" w:color="auto" w:fill="auto"/>
            <w:vAlign w:val="center"/>
          </w:tcPr>
          <w:p>
            <w:pPr>
              <w:jc w:val="center"/>
              <w:rPr>
                <w:rFonts w:ascii="Times New Roman" w:hAnsi="Times New Roman"/>
                <w:sz w:val="21"/>
              </w:rPr>
            </w:pPr>
          </w:p>
        </w:tc>
        <w:tc>
          <w:tcPr>
            <w:tcW w:w="2227" w:type="dxa"/>
            <w:vMerge w:val="continue"/>
            <w:shd w:val="clear" w:color="auto" w:fill="auto"/>
            <w:vAlign w:val="center"/>
          </w:tcPr>
          <w:p>
            <w:pPr>
              <w:jc w:val="center"/>
              <w:rPr>
                <w:rFonts w:ascii="Times New Roman" w:hAnsi="Times New Roman"/>
                <w:sz w:val="21"/>
              </w:rPr>
            </w:pPr>
          </w:p>
        </w:tc>
        <w:tc>
          <w:tcPr>
            <w:tcW w:w="1789" w:type="dxa"/>
            <w:vMerge w:val="continue"/>
            <w:shd w:val="clear" w:color="auto" w:fill="auto"/>
            <w:vAlign w:val="center"/>
          </w:tcPr>
          <w:p>
            <w:pPr>
              <w:jc w:val="center"/>
              <w:rPr>
                <w:rFonts w:ascii="Times New Roman" w:hAnsi="Times New Roman"/>
                <w:sz w:val="21"/>
              </w:rPr>
            </w:pPr>
          </w:p>
        </w:tc>
        <w:tc>
          <w:tcPr>
            <w:tcW w:w="1872" w:type="dxa"/>
            <w:vMerge w:val="restart"/>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2.88～54.93</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20.87（274）</w:t>
            </w:r>
          </w:p>
        </w:tc>
        <w:tc>
          <w:tcPr>
            <w:tcW w:w="2279" w:type="dxa"/>
            <w:vMerge w:val="continue"/>
            <w:shd w:val="clear" w:color="auto" w:fill="auto"/>
            <w:vAlign w:val="center"/>
          </w:tcPr>
          <w:p>
            <w:pPr>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120" w:type="dxa"/>
            <w:shd w:val="clear" w:color="auto" w:fill="auto"/>
            <w:vAlign w:val="center"/>
          </w:tcPr>
          <w:p>
            <w:pPr>
              <w:widowControl/>
              <w:ind w:left="-134" w:leftChars="-56"/>
              <w:jc w:val="center"/>
              <w:rPr>
                <w:rFonts w:ascii="Times New Roman" w:hAnsi="Times New Roman"/>
                <w:spacing w:val="-6"/>
                <w:kern w:val="0"/>
                <w:sz w:val="21"/>
                <w:szCs w:val="21"/>
              </w:rPr>
            </w:pPr>
            <w:r>
              <w:rPr>
                <w:rFonts w:ascii="Times New Roman" w:hAnsi="Times New Roman"/>
                <w:spacing w:val="-6"/>
                <w:kern w:val="0"/>
                <w:sz w:val="21"/>
                <w:szCs w:val="21"/>
                <w:lang w:bidi="ar"/>
              </w:rPr>
              <w:t>6-2</w:t>
            </w:r>
          </w:p>
        </w:tc>
        <w:tc>
          <w:tcPr>
            <w:tcW w:w="2227" w:type="dxa"/>
            <w:shd w:val="clear" w:color="auto" w:fill="auto"/>
            <w:vAlign w:val="center"/>
          </w:tcPr>
          <w:p>
            <w:pPr>
              <w:widowControl/>
              <w:ind w:left="-122" w:leftChars="-51" w:right="-79" w:rightChars="-33"/>
              <w:jc w:val="center"/>
              <w:rPr>
                <w:rFonts w:ascii="Times New Roman" w:hAnsi="Times New Roman"/>
                <w:spacing w:val="-6"/>
                <w:kern w:val="0"/>
                <w:sz w:val="21"/>
                <w:szCs w:val="21"/>
                <w:u w:val="single"/>
              </w:rPr>
            </w:pPr>
            <w:r>
              <w:rPr>
                <w:rFonts w:ascii="Times New Roman" w:hAnsi="Times New Roman"/>
                <w:spacing w:val="-6"/>
                <w:kern w:val="0"/>
                <w:sz w:val="21"/>
                <w:szCs w:val="21"/>
                <w:u w:val="single"/>
                <w:lang w:bidi="ar"/>
              </w:rPr>
              <w:t>933.28～1138.61</w:t>
            </w:r>
          </w:p>
          <w:p>
            <w:pPr>
              <w:widowControl/>
              <w:ind w:left="-122" w:leftChars="-51" w:right="-79" w:rightChars="-33"/>
              <w:jc w:val="center"/>
              <w:rPr>
                <w:rFonts w:ascii="Times New Roman" w:hAnsi="Times New Roman"/>
                <w:spacing w:val="-6"/>
                <w:kern w:val="0"/>
                <w:sz w:val="21"/>
                <w:szCs w:val="21"/>
              </w:rPr>
            </w:pPr>
            <w:r>
              <w:rPr>
                <w:rFonts w:ascii="Times New Roman" w:hAnsi="Times New Roman"/>
                <w:spacing w:val="-6"/>
                <w:kern w:val="0"/>
                <w:sz w:val="21"/>
                <w:szCs w:val="21"/>
                <w:lang w:bidi="ar"/>
              </w:rPr>
              <w:t>982.82（324）</w:t>
            </w:r>
          </w:p>
        </w:tc>
        <w:tc>
          <w:tcPr>
            <w:tcW w:w="1789" w:type="dxa"/>
            <w:shd w:val="clear" w:color="auto" w:fill="auto"/>
            <w:vAlign w:val="center"/>
          </w:tcPr>
          <w:p>
            <w:pPr>
              <w:widowControl/>
              <w:adjustRightInd w:val="0"/>
              <w:snapToGrid w:val="0"/>
              <w:jc w:val="center"/>
              <w:rPr>
                <w:rFonts w:ascii="Times New Roman" w:hAnsi="Times New Roman"/>
                <w:kern w:val="0"/>
                <w:sz w:val="21"/>
                <w:szCs w:val="21"/>
                <w:u w:val="single"/>
              </w:rPr>
            </w:pPr>
            <w:r>
              <w:rPr>
                <w:rFonts w:ascii="Times New Roman" w:hAnsi="Times New Roman"/>
                <w:kern w:val="0"/>
                <w:sz w:val="21"/>
                <w:szCs w:val="21"/>
                <w:u w:val="single"/>
                <w:lang w:bidi="ar"/>
              </w:rPr>
              <w:t>0.80～5.30</w:t>
            </w:r>
          </w:p>
          <w:p>
            <w:pPr>
              <w:widowControl/>
              <w:adjustRightInd w:val="0"/>
              <w:snapToGrid w:val="0"/>
              <w:jc w:val="center"/>
              <w:rPr>
                <w:rFonts w:ascii="Times New Roman" w:hAnsi="Times New Roman"/>
                <w:kern w:val="0"/>
                <w:sz w:val="21"/>
                <w:szCs w:val="21"/>
              </w:rPr>
            </w:pPr>
            <w:r>
              <w:rPr>
                <w:rFonts w:ascii="Times New Roman" w:hAnsi="Times New Roman"/>
                <w:kern w:val="0"/>
                <w:sz w:val="21"/>
                <w:szCs w:val="21"/>
                <w:lang w:bidi="ar"/>
              </w:rPr>
              <w:t>2.47（256）</w:t>
            </w:r>
          </w:p>
        </w:tc>
        <w:tc>
          <w:tcPr>
            <w:tcW w:w="1872" w:type="dxa"/>
            <w:vMerge w:val="continue"/>
            <w:shd w:val="clear" w:color="auto" w:fill="auto"/>
            <w:vAlign w:val="center"/>
          </w:tcPr>
          <w:p>
            <w:pPr>
              <w:jc w:val="center"/>
              <w:rPr>
                <w:rFonts w:ascii="Times New Roman" w:hAnsi="Times New Roman"/>
                <w:sz w:val="21"/>
              </w:rPr>
            </w:pPr>
          </w:p>
        </w:tc>
        <w:tc>
          <w:tcPr>
            <w:tcW w:w="2279" w:type="dxa"/>
            <w:shd w:val="clear" w:color="auto" w:fill="auto"/>
            <w:vAlign w:val="center"/>
          </w:tcPr>
          <w:p>
            <w:pPr>
              <w:widowControl/>
              <w:ind w:left="-122" w:leftChars="-51" w:right="-125" w:rightChars="-52"/>
              <w:jc w:val="center"/>
              <w:rPr>
                <w:rFonts w:ascii="Times New Roman" w:hAnsi="Times New Roman"/>
                <w:spacing w:val="-6"/>
                <w:kern w:val="0"/>
                <w:sz w:val="21"/>
                <w:szCs w:val="21"/>
              </w:rPr>
            </w:pPr>
            <w:r>
              <w:rPr>
                <w:rFonts w:ascii="Times New Roman" w:hAnsi="Times New Roman"/>
                <w:spacing w:val="-6"/>
                <w:kern w:val="0"/>
                <w:sz w:val="21"/>
                <w:szCs w:val="21"/>
                <w:u w:val="single"/>
              </w:rPr>
              <w:t>27.89~75.67</w:t>
            </w:r>
            <w:r>
              <w:rPr>
                <w:rFonts w:ascii="Times New Roman" w:hAnsi="Times New Roman"/>
                <w:spacing w:val="-6"/>
                <w:kern w:val="0"/>
                <w:sz w:val="21"/>
                <w:szCs w:val="21"/>
              </w:rPr>
              <w:br w:type="textWrapping"/>
            </w:r>
            <w:r>
              <w:rPr>
                <w:rFonts w:ascii="Times New Roman" w:hAnsi="Times New Roman"/>
                <w:spacing w:val="-6"/>
                <w:kern w:val="0"/>
                <w:sz w:val="21"/>
                <w:szCs w:val="21"/>
              </w:rPr>
              <w:t>41.43</w:t>
            </w:r>
          </w:p>
        </w:tc>
      </w:tr>
    </w:tbl>
    <w:p>
      <w:pPr>
        <w:snapToGrid w:val="0"/>
        <w:spacing w:line="440" w:lineRule="exact"/>
        <w:ind w:firstLine="480" w:firstLineChars="200"/>
        <w:rPr>
          <w:rFonts w:ascii="Times New Roman" w:hAnsi="Times New Roman"/>
          <w:szCs w:val="24"/>
        </w:rPr>
      </w:pPr>
    </w:p>
    <w:p>
      <w:pPr>
        <w:snapToGrid w:val="0"/>
        <w:spacing w:line="440" w:lineRule="exact"/>
        <w:ind w:firstLine="480" w:firstLineChars="200"/>
        <w:rPr>
          <w:rFonts w:ascii="Times New Roman" w:hAnsi="Times New Roman"/>
          <w:szCs w:val="24"/>
        </w:rPr>
        <w:sectPr>
          <w:pgSz w:w="11907" w:h="16840"/>
          <w:pgMar w:top="1701" w:right="1418" w:bottom="1134" w:left="1418" w:header="1134" w:footer="851" w:gutter="0"/>
          <w:cols w:space="720" w:num="1"/>
          <w:docGrid w:linePitch="360" w:charSpace="0"/>
        </w:sectPr>
      </w:pPr>
      <w:r>
        <w:rPr>
          <w:rFonts w:ascii="Times New Roman" w:hAnsi="Times New Roman"/>
          <w:szCs w:val="24"/>
        </w:rPr>
        <w:t>同时统计了矿区各矿钻孔信息，进一步分析煤炭开采对地下水环境的影响，本次对各钻孔各煤层的导水裂缝带发育高度进行了计算，导水裂缝带发育高度27.89~118.35m。本次通过对矿区各井田钻孔煤层及各地层进行统计，由于数据量较多，报告中只列出了各钻孔导水裂缝带最大发育高度所对应煤层的相关数据（本文导水裂缝带最大发育高度指的是：对比各钻孔各煤层开采导致的导裂带，其发育高度距离地表最近），计算结果见表5.3-8。矿区导水裂缝带最大发育高度见图5.3-7，</w:t>
      </w:r>
      <w:bookmarkStart w:id="235" w:name="_Hlk98944037"/>
      <w:r>
        <w:rPr>
          <w:rFonts w:ascii="Times New Roman" w:hAnsi="Times New Roman"/>
          <w:szCs w:val="24"/>
        </w:rPr>
        <w:t>典型水文地质剖面及导水裂缝带最大发育高度见图5.3-8~图5.3-15，剖面线位置分布见图5.3-16</w:t>
      </w:r>
      <w:bookmarkEnd w:id="235"/>
      <w:r>
        <w:rPr>
          <w:rFonts w:ascii="Times New Roman" w:hAnsi="Times New Roman"/>
          <w:szCs w:val="24"/>
        </w:rPr>
        <w:t>。</w:t>
      </w:r>
    </w:p>
    <w:p>
      <w:pPr>
        <w:adjustRightInd w:val="0"/>
        <w:spacing w:line="440" w:lineRule="exact"/>
        <w:jc w:val="center"/>
        <w:textAlignment w:val="baseline"/>
        <w:rPr>
          <w:rFonts w:ascii="Times New Roman" w:hAnsi="Times New Roman"/>
          <w:b/>
          <w:kern w:val="0"/>
          <w:szCs w:val="24"/>
        </w:rPr>
      </w:pPr>
      <w:r>
        <w:rPr>
          <w:rFonts w:ascii="Times New Roman" w:hAnsi="Times New Roman"/>
          <w:b/>
          <w:kern w:val="0"/>
          <w:szCs w:val="24"/>
        </w:rPr>
        <w:t>导水裂缝带发育高度一览表</w:t>
      </w:r>
    </w:p>
    <w:p>
      <w:pPr>
        <w:tabs>
          <w:tab w:val="left" w:pos="12735"/>
        </w:tabs>
        <w:adjustRightInd w:val="0"/>
        <w:snapToGrid w:val="0"/>
        <w:spacing w:line="440" w:lineRule="exact"/>
        <w:jc w:val="left"/>
        <w:outlineLvl w:val="4"/>
        <w:rPr>
          <w:rFonts w:ascii="Times New Roman" w:hAnsi="Times New Roman"/>
          <w:bCs/>
          <w:szCs w:val="24"/>
        </w:rPr>
      </w:pPr>
      <w:r>
        <w:rPr>
          <w:rFonts w:ascii="Times New Roman" w:hAnsi="Times New Roman"/>
          <w:bCs/>
          <w:szCs w:val="24"/>
        </w:rPr>
        <w:t>表5.3-8</w:t>
      </w:r>
      <w:r>
        <w:rPr>
          <w:rFonts w:ascii="Times New Roman" w:hAnsi="Times New Roman"/>
          <w:bCs/>
          <w:szCs w:val="24"/>
        </w:rPr>
        <w:tab/>
      </w:r>
      <w:r>
        <w:rPr>
          <w:rFonts w:ascii="Times New Roman" w:hAnsi="Times New Roman"/>
          <w:bCs/>
          <w:szCs w:val="24"/>
        </w:rPr>
        <w:t>单位：m</w:t>
      </w:r>
    </w:p>
    <w:tbl>
      <w:tblPr>
        <w:tblStyle w:val="59"/>
        <w:tblW w:w="137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71"/>
        <w:gridCol w:w="1418"/>
        <w:gridCol w:w="567"/>
        <w:gridCol w:w="1134"/>
        <w:gridCol w:w="992"/>
        <w:gridCol w:w="992"/>
        <w:gridCol w:w="851"/>
        <w:gridCol w:w="1134"/>
        <w:gridCol w:w="1134"/>
        <w:gridCol w:w="1275"/>
        <w:gridCol w:w="1134"/>
        <w:gridCol w:w="1144"/>
        <w:gridCol w:w="6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blHeader/>
          <w:jc w:val="center"/>
        </w:trPr>
        <w:tc>
          <w:tcPr>
            <w:tcW w:w="1271" w:type="dxa"/>
            <w:shd w:val="clear" w:color="auto" w:fill="auto"/>
            <w:noWrap/>
            <w:vAlign w:val="center"/>
          </w:tcPr>
          <w:p>
            <w:pPr>
              <w:widowControl/>
              <w:jc w:val="center"/>
              <w:rPr>
                <w:rFonts w:ascii="Times New Roman" w:hAnsi="Times New Roman"/>
                <w:kern w:val="0"/>
                <w:sz w:val="21"/>
                <w:szCs w:val="22"/>
              </w:rPr>
            </w:pPr>
            <w:bookmarkStart w:id="236" w:name="_Hlk65744016"/>
            <w:r>
              <w:rPr>
                <w:rFonts w:ascii="Times New Roman" w:hAnsi="Times New Roman"/>
                <w:kern w:val="0"/>
                <w:sz w:val="21"/>
                <w:szCs w:val="22"/>
              </w:rPr>
              <w:t>钻孔</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煤层</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计算采厚</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底板埋深</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垮落带发育高度</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导裂带发育高度</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保护带高度</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防水煤岩柱高度</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导裂带与第四系距离</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导裂带与白垩系距离</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导裂带与安定组距离</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导裂带与直罗组距离</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导入层位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NK3-6号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808.38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771.04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136.79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77.18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20.14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X34-2号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866.75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794.10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-34.35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X35-2号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2-1下&amp;2-2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875.55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21.64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56.76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810.28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127.92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26.50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747.97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46.82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696.51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50.69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-27.04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744.92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47.26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690.44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36.31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-27.08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753.84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39.53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710.36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23.78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-37.35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1062.15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46.11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1006.71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184.25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84.66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955.55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110.39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137.87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825.01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140.50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44.67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924.18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157.04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65.58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888.05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28.97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847.70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166.98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83.99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18.70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847.65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73.64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756.35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161.62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-69.05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844.55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61.56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768.16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115.80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-43.74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45.78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805.76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160.06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54.60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27.89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731.56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124.21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67.63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-15.44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905.4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47.15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842.91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187.50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125.93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26.27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760.15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685.70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39.80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-23.88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42.56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713.51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52.79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-31.56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K10-1号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881.09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783.49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154.49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36.10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-41.17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K10-2号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880.65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93.94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771.71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143.87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25.51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-61.41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K10-3号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879.23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113.55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769.85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148.05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-60.25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K10-4号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870.64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86.11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766.23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150.57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37.75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-57.01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K10-5号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862.68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96.96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133.65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21.66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-69.91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K10-6号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864.41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33.12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85.55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765.02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147.38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33.09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-54.74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K10-7号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879.28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764.93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21.06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-65.31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K10-8号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887.97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96.96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777.90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145.56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19.54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-66.42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K10-9号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908.34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97.22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799.17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163.71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31.89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-54.67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872.63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95.19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759.19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134.65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32.07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-57.47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K11-2号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880.17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39.22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100.26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124.08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762.18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138.90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36.35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-48.95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869.29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98.44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755.35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31.78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-47.08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K11-4号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892.9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40.01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102.14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126.62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777.55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145.18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38.24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K11-5号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891.45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40.08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102.31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126.85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776.85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21.88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-58.21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K11-6号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905.71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38.24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97.92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795.88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156.07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31.80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-49.79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K12-1号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865.95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90.58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758.80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33.42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-47.20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K12-2号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769.30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137.53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41.05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-36.12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K12-3号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872.92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95.45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763.33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128.65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33.91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-39.27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K12-4号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36.13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92.86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781.05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142.96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48.52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-21.37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K12-5号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39.07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99.92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792.09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149.69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49.03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-23.39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K12-6号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809.18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164.28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54.22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-22.26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K13-1号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33.66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86.87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769.11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33.61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-37.00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K13-2号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879.51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88.55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779.54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128.63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35.52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-34.97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K13-3号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898.91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33.16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85.64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803.61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150.08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44.44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-30.42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K13-4号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874.56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96.78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764.53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24.97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-45.36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K13-5号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881.55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85.83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785.63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34.51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-37.72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K3-1号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855.22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11.28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793.82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178.46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60.81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K4-1号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860.8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47.36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800.25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169.57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-16.39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K4-2号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853.45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46.88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790.86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165.48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14.71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-31.43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K4-3号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851.94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788.98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162.02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35.38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-26.88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K4-4号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797.91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171.23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68.96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K4-5号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2-2&amp;3-1上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871.72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29.88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77.58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778.29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46.76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-42.15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K5-1号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851.46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46.22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792.52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160.48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-34.77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K5-2号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845.2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790.34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152.83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15.69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-38.12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K5-3号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872.73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772.81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134.57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33.75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-60.29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K6-1号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817.43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179.05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52.92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K6-2号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877.35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792.17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160.94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18.50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-35.73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K6-3号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878.07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29.52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76.68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786.54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157.75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-41.35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K6-4号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868.33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88.36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764.76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-63.33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K6-5号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875.26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33.27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85.92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775.23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20.60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-56.24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K6-6号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869.46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33.12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85.55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768.30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23.69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-67.98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K6-7号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867.77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107.39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133.76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741.60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0.07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-99.78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K6-8号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862.63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41.07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104.67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741.81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-106.88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K7-1号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865.34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34.58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823.25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184.54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72.61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K7-2(Q3)号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872.26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774.96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147.19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23.81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-52.32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K7-3号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866.81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90.03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763.01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135.96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K7-4号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867.89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111.11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741.16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-95.16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K7-5(Q2)</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39.47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100.86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124.89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755.78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133.88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-98.91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890.69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813.46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179.45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58.25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-17.32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K8-10号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880.7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93.76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776.15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152.15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-88.43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880.12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35.98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113.67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776.10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145.45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25.80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-58.67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866.85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88.18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764.97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141.29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18.46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-69.59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862.93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83.06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763.33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146.20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21.56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-69.24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860.89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96.16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748.81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-82.26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861.22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86.96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761.20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141.31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19.99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-72.26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41.88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106.57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745.82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-96.41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868.14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106.16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746.63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-105.62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K8-9号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876.08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41.36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757.13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-102.32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K9-1号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881.76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88.36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779.85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149.20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20.15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-52.29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K9-2号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876.36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32.03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82.87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778.88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157.65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32.20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-60.41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K9-3号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858.29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35.86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92.22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113.31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748.04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137.41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-84.43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K9-4号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869.97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758.28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136.06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-86.26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K9-5号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885.66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97.48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776.05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144.72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-84.70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829.86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42.68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780.32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43.72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0.49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NK1-2号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789.59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36.91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749.03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23.18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-31.60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801.24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45.21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745.97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-34.10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NK2-1号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836.17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23.04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60.34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765.99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51.04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NK2-2号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745.61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45.25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NK2-3号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804.67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28.22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770.13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59.88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NK2-4号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38.35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751.47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45.09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NK2-5号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780.14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732.95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44.33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NK2-6号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817.59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740.94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55.83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NK2-7号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33.75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724.64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37.00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NK3-1号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800.55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763.55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141.68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57.93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-17.38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NK3-2号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45.61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743.99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128.01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47.26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NK3-3号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747.52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129.30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52.64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-17.11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NK3-4号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815.06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31.35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766.32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134.80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67.84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NK3-5号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825.21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41.18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776.70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140.00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25.31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NK3-7号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815.54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765.68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130.50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71.77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21.75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NK3-8号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796.67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41.05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750.57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60.89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26.26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NK4-0号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835.59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40.92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784.31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176.56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108.46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36.21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NK4-1号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778.39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157.23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83.32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23.41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NK4-2号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823.22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774.99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164.57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97.13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27.52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NK4-3号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824.17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39.39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152.51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68.66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28.94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NK4-4号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800.58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26.97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769.04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108.60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80.69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21.84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NK4-5号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803.53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35.53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764.33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134.07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40.83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NK4-6号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753.72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710.02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31.48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NK4-7号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747.42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30.59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710.34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47.66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NK4-8号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830.1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40.13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777.32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92.55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44.79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NK5-0号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45.16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733.07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114.80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56.62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NK5-1号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780.75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742.29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127.15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49.59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NK5-2号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32.09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744.34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NK5-3号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748.59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141.74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80.27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12.68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NK5-4号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42.86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696.41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42.62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-20.60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NK5-5号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738.53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681.87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30.79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NK5-6号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42.31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679.66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39.97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NK5-7号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809.97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35.38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761.76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NK5-8号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38.77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740.38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60.90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NK6-0号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783.88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30.88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80.05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693.06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21.44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-52.21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NK6-1号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782.63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44.64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728.71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69.54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NK6-2号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813.51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764.86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179.87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132.53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29.37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NK6-3号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748.57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36.23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707.30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57.47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-17.84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NK6-4号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726.17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10.92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43.53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676.81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35.11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-19.99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NK6-5号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81.61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685.99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-27.55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NK6-6号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29.84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77.48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695.65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-50.38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NX2-3号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843.21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42.43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790.96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124.51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67.85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-14.31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NX2-4号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860.06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36.91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812.90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158.60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84.98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18.76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NX2-5号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831.51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37.13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786.66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156.07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NX3-2号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770.28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33.58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726.18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59.26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-22.25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NX3-4号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854.84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38.98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804.86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159.61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85.40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16.20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NX3-6号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804.6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33.15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767.03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50.77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NX4-1号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772.41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727.13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149.77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93.09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NX4-2号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771.71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44.29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716.35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48.71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-31.49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NX4-3号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826.78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30.59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783.94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157.82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87.15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NX4-4号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824.51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41.62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768.69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155.97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68.55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NX4-5号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57.55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740.14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18.01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-29.57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NX4-6号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802.55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766.08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67.87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0.43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NX4-7号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785.94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727.82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113.09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46.40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NX4-8号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807.54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61.23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731.71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52.25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NX4-9号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757.21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703.54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21.53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-19.04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NX5-2号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778.16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46.61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718.91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49.89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NX5-4号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824.05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790.10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166.89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89.22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NX5-6号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773.50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139.45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78.78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NX5-8号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792.03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42.56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737.61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61.01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20.69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NX6-1号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737.14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84.91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34.82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NX6-2号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809.67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56.42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742.03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133.67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80.62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20.20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NX6-3号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815.78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772.66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169.13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101.75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36.45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NX6-4号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795.6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23.34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726.75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110.30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46.66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-20.23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NX6-5号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787.75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27.32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749.19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70.65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NX6-6号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762.38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716.65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51.92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NX6-7号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42.19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694.56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35.45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NX6-8号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722.06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35.22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680.28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36.91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NX6-9号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764.99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722.38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12.47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NX7-2号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809.58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56.42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742.47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94.33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12.47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NX7-4号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793.03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25.52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66.65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717.93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38.04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-35.12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NX7-6号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729.92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86.49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26.66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NX8-2号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 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775.81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58.34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702.85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43.81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-19.22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NX8-3号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784.31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75.67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690.73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-40.31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NX8-4号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781.71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695.38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31.51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-30.12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NX8-5号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757.4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41.75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700.17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42.63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-19.69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NX8-6号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38.28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684.74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35.06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-19.18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NXK10-1号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759.81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46.44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707.99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-36.70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NXK10-2号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783.89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47.09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723.44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18.53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-27.79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NXK10-3号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787.46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46.72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726.22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23.36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-37.01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NXK10-4号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753.52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40.46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700.60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31.77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-29.20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NXK10-5号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762.86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26.48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69.08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680.49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25.53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-42.26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NXK10-6号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761.09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64.61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684.08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39.81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-29.25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NXK10-7号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737.8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40.72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685.81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43.72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-21.47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NXK10-8号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730.64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688.56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112.20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61.99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18.33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758.06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706.04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59.45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-17.44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NXK11-2号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741.34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41.87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680.08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32.66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-32.05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835.91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787.19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68.91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NXK2-1号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811.55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41.62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763.00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19.38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-21.43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NXK3-1号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810.7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758.23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82.44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NXK3-2号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785.2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28.44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740.45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54.27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NXK3-3号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821.58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46.82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765.17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63.80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NXK4-1号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40.27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793.40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165.49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87.40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22.00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NXK4-2号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826.47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39.46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773.26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141.37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76.50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23.47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NXK4-3号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780.91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733.31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41.95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NXK4-4号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28.44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728.78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39.04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NXK5-1号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842.49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41.05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175.33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127.89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34.13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NXK5-2号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798.51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760.94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155.24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67.29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NXK5-3号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821.35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41.24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774.72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135.22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77.49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18.40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NXK5-4号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807.22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40.79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762.40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127.93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56.21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NXK6-0号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794.01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33.07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747.61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142.19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73.66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25.44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NXK6-1号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774.05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23.64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61.89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702.49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47.52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NXK6-2号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786.76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30.88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745.06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160.61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18.52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NXK6-3号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770.41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735.86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66.09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27.44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NXK7-0号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786.51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42.25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735.32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70.47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-20.95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NXK7-1号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784.85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40.59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736.08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69.67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-12.79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NXK7-2号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783.29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33.41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742.17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144.23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65.53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NXK7-3号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780.81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32.09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707.63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82.20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29.58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NXK8-0号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787.13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31.32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695.16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24.65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-61.96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NXK8-1号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773.64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74.96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686.21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23.71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-54.00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NXK8-2号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39.93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692.42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50.03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-13.64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NXK8-3号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751.42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28.76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707.23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80.29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NXK8-4号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765.55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722.07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137.32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87.27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NXK9-1号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22.43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58.78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714.24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63.99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-17.46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NXK9-2号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769.54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24.37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63.74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692.33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34.38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NXK9-3号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736.79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40.46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687.95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39.19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NXK9-5号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788.4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750.35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108.21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54.92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P10-2号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1020.97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30.69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985.31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158.51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47.48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-22.01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P10-3号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1022.87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65.47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949.47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123.50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41.86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-32.29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P10-4号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969.61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33.41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931.38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185.98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75.10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P10-5号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961.15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108.37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837.28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-49.74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P10-6号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937.27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34.39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88.64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840.39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163.84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57.81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-57.12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P10-7号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888.44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46.28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834.21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183.86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83.39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-29.79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P10-8号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876.25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26.97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841.07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222.82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145.58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31.42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P11-4号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978.7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46.06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925.08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187.19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74.05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-0.55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P11-5号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931.12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44.35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872.32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181.48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79.45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P11-6号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909.15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44.06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850.36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175.25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75.11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P11-7号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879.93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834.85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187.63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96.23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P11-8号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896.15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57.58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836.40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237.93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112.83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13.79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P11-9号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935.85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42.68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880.29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293.93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167.45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73.26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P12-3号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956.42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41.43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907.38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193.00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P12-4号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903.2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38.28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851.99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170.53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85.47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P12-5号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889.65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846.14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190.32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101.29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P12-6号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860.75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24.54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64.17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777.93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159.64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53.46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-33.85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P12-7号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856.2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21.86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57.32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781.69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208.61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57.03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-22.59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P13-2号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974.19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42.31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921.92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191.73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93.45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P13-3号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23.99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62.76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807.35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195.41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79.52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P13-4号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831.58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31.45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776.27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203.40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36.90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-34.12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P14-2号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986.93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28.22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957.28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178.74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96.51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25.06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P14-3号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902.45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43.76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850.28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171.24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104.93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24.97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P14-4号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2-2 </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859.55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43.94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52.58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805.81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170.90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90.30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25.64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P14-5号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2-2 </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853.4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43.17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793.11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189.83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105.79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19.22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P14-6号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858.9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778.84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166.91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64.14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P15-2号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842.47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810.49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-72.25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P15-3号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902.95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36.53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861.94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149.21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66.14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P15-5号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883.7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35.69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841.15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172.47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89.34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P15-6号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848.3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812.75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180.06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83.67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P15-7号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34.04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768.15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136.80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27.46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-50.73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P15-8号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40.79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761.14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144.17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-98.95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P16-1号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2-1 </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854.19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21.99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788.69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-46.97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P16-2号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848.13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800.87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60.12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-15.84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P16-3号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884.45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74.35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801.61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65.61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-26.60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P16-4号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34.04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773.26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147.20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51.16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-42.88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P16-5号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872.8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765.08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139.22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44.47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-24.17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P17-2号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885.63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30.08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78.07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799.63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35.42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-27.67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P17-3号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839.38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23.99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62.76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766.40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102.10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23.76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-17.29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P17-4号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837.48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62.32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768.17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139.38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73.27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25.78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P17-5号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82.19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777.99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146.78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33.34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-15.23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P17-6号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895.95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88.27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797.41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118.70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-40.95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P18-1号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824.75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28.22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789.00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-18.21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P18-2号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815.17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64.71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738.00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106.00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14.65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-51.13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P18-3号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839.22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22.43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58.78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772.72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54.00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-34.98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P18-4号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875.05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33.08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85.45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782.33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140.10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-25.29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P19-3号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30.69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751.96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25.49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-21.60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P19-4号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823.63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73.13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739.02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113.41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30.32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P19-5号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41.18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727.15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115.30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-32.19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P19-6号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849.97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75.27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765.27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143.71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34.12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-35.03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P19-7号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796.87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57.94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-22.10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P20-1号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875.84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62.32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804.74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39.31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P20-2号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835.49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34.16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88.08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739.12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29.88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-58.07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P20-3号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771.65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39.05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724.56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41.67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P20-4号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788.15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81.32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694.61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-66.30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P20-5号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2-2 </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815.45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70.23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735.16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18.01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-67.65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P21-2号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759.69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35.85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717.72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46.28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-18.67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841.67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42.25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789.88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124.96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61.08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P21-4号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777.12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742.62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144.73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69.27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P21-5号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35.53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720.25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19.58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-35.55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P21-6号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741.32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158.02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105.24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19.60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P22-1号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39.87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718.53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P22-2号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38.28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785.90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64.48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P22-3号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835.17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43.94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52.58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784.82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134.82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62.71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17.42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P22-4号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37.71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746.43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30.08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-17.98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P22-5号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754.76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40.07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711.66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26.84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-17.33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P22-6号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2-1下 </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738.42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31.35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700.13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126.96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61.47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P22-7号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29.39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737.31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142.16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68.12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0.24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P23-2号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27.55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739.50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66.92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P23-3号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775.82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738.93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81.76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41.57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P23-4号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839.26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37.78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796.59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168.45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109.87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32.67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P23-5号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771.06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36.98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725.56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27.72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-28.49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P23-6号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 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750.35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38.28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705.13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40.25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P23-7号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760.24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36.68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715.63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67.58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P23-8号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766.63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35.38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726.73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156.49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83.21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-19.46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P24-1号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786.95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44.06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727.65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91.25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P24-2号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790.95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45.94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729.20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62.92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-17.53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P24-3号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790.19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36.53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748.42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81.98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-19.46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P24-4号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733.53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694.05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37.54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P24-5号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757.8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708.27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50.95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P24-6号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  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38.64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736.96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82.14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P25-1号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760.68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27.89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721.42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144.06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94.11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P25-2号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781.67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25.09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65.58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707.76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32.46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-27.26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P25-3号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725.77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32.72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685.11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68.38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-13.34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P25-4号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742.63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702.96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134.69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67.47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P25-5号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820.45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45.27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754.18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178.31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94.51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P26-1号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783.59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58.34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713.35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75.70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44.63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-22.37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P26-2号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43.76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700.81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48.16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-32.81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P26-3号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2-1中&amp;2-1中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766.38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61.67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73.58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694.89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32.61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P26-4号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729.85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682.71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54.36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P26-5号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748.13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36.46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706.32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147.73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83.80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P27-5号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728.95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688.82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46.36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P27-6号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31.82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693.96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59.43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P7-4号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1041.32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34.08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996.60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208.84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101.01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P7-5号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1043.7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995.14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236.18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142.12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32.72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P7-6号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36.83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968.98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222.93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129.63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16.90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P8-2号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1063.15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37.78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1014.93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208.68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107.65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P8-3号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1058.51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36.38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1009.28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131.22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30.10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P8-4号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1015.4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26.27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68.55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928.87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193.18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90.37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-21.11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P8-5号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1075.39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96.87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956.98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252.42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148.37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P8-6号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967.96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42.72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108.54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26.79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135.33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838.09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150.06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56.57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-68.71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P8-7号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886.06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47.26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825.03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154.05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69.34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-57.87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P9-3号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1093.56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42.62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1042.69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210.35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104.29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P9-5号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1053.88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42.92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999.40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206.72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111.41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15.31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P9-6号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2-2上&amp;2-2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1020.07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32.85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84.88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914.25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183.08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82.25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-30.03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P9-7号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974.3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41.43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913.40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214.34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111.11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0.58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P9-8号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879.74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46.17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821.59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161.63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75.16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-53.01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Q1号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911.14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42.19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857.84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208.55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93.85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Q4号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935.81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26.73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904.38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213.24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122.71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51.37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Q5号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866.25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81.71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770.90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135.17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38.61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-31.23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X34-1号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868.65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814.41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150.06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45.06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X35-1号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843.85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28.79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760.50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27.55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-57.14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X35-3号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857.3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46.06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800.89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121.90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78.98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X35-4号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57.55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764.31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107.10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56.68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-34.63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X35-5号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44.64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763.65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56.00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X36-1号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838.55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59.79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772.02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133.14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57.09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X36-2号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57.55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793.34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126.99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71.20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-23.94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X36-3号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791.25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751.71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-23.25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X37-1号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33.24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754.58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40.96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-21.21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X37-2号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28.44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759.17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43.33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-14.80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X37-3号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856.65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70.13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775.08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-18.81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X37-4号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745.41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51.42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X38-1号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38.98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798.55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159.43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-22.61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X38-2号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841.3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760.91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128.81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33.98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X38-3号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2-1下&amp;2-2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25.48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66.54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720.27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109.91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X39-1号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829.8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73.03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746.85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113.90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26.32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-18.46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X39-2号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27.73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737.10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42.14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X39-3号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2-1下&amp;2-2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815.25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28.18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731.19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-52.72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X39-5号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778.65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31.32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685.11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46.90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-15.86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-48.27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X40-1号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821.85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31.32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728.64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99.30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-47.43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X40-2号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800.17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70.75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719.37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117.20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51.34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X40-3号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838.05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792.13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105.70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31.48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-49.33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2-1下&amp;2-2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829.3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748.48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27.05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X41-2号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790.45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743.10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37.16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727.72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81.97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49.36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X41-5号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786.45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68.45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710.75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18.79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-21.40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X43-1号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712.93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87.58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42.69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-25.01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X43-4号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787.25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746.77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128.22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67.77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15.58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X43-5号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772.4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27.89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741.63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148.24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83.61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27.16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X44-1号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37.93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723.65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46.14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X44-3号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795.6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757.89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116.00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84.10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879.68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833.50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149.85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43.68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-20.96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X1-2号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914.42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41.43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862.69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219.73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115.28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43.46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X18-7号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1029.65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22.08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57.89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956.66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194.65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97.27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X19-10号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965.36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98.44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121.63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845.41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142.46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36.09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-54.05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X19-6号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1053.39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997.67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193.56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102.36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13.05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X19-7号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1008.96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23.43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61.34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935.03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171.51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75.59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-27.66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X19-8号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991.21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11.33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44.87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930.59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201.18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99.39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X19-9号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952.14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901.03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217.43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110.88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X20-11号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929.39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106.41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802.78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-12.78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-85.80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X20-13号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882.71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236.73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151.30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X20-7号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2-1&amp;2-1下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978.7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46.06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921.64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183.48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85.16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-26.83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X20-9号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945.22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886.32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146.96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63.32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920.19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42.06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859.87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183.90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68.45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58.87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X21-10号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926.96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58.11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855.15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171.65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61.29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926.3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879.42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194.53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92.57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X21-12号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923.75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884.88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221.53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123.22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15.09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925.15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11.28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868.38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228.21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129.74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X21-14号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887.25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845.92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221.32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114.55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987.69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941.69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164.40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64.37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963.97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45.44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909.65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175.43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70.33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-16.77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944.61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906.06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202.93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91.00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X21-9号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925.94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27.56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71.79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840.21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195.54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62.65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-27.71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2-2 </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886.05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34.08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835.28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195.83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54.35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20.69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X22-11号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940.13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892.80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220.13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131.93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40.23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X22-13号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881.22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841.79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214.11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111.67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X22-7号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2-1上&amp;2-1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939.61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41.62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888.65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184.92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71.42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X22-9号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912.97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41.37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850.93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176.82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89.13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X23-10号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917.94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33.32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879.28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195.09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91.38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X23-11号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892.95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844.50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163.75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102.72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X23-12号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881.82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23.34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798.64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187.20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89.67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X23-13号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865.05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818.84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182.91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90.88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-16.63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X23-14号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871.9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58.11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798.08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240.05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-0.02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X23-7号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44.53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849.32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189.19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57.87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X23-8号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914.38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33.07</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868.78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154.35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73.57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X23-9号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909.25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32.45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864.50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231.64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80.28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892.82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21.77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823.26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193.42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43.61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-22.56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X24-11号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862.48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817.00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171.91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81.22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X24-13号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847.89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66.22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765.56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164.57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40.02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-47.22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X24-9号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903.21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858.16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195.48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128.90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39.51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874.03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47.04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815.77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177.69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50.74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 &amp;2-2下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867.72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787.84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186.88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25.02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-25.45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X25-10号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915.83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16.26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93.14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824.99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188.71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92.97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X25-11号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873.53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45.72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55.29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813.51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192.66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76.77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X25-12号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854.28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26.57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69.29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14.04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766.59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161.68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29.30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-50.23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X25-13号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842.28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26.98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70.34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84.68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751.20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162.48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16.19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-61.52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X25-14号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839.28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780.96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207.72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49.40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-25.50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X26-11号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860.11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73.23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773.84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169.08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24.42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-45.46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X26-13号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838.47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27.64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741.89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159.85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860.78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81.81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767.24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164.39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0.23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-53.46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X2-7号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859.25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74.25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15.48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769.52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176.76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-4.56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-69.83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837.08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183.49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74.87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15.30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2-2 </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852.89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11.16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44.29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793.21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171.46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32.25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-32.95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849.5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46.93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57.16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798.16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173.20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29.13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-42.34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25.77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67.28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13.47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80.75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761.45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184.90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33.12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-39.59</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X37-5号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794.9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42.86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745.43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144.51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21.37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-20.35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X39-4号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723.68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145.42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X41-4号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11.92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46.88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57.08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727.97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107.52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32.12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864.98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35.53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40.42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823.48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153.00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5.03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-27.62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X42-1号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47.23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718.64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96.71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37.24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-10.28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X42-2号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777.9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34.28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738.23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103.66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36.31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-15.84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2-2上 </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847.15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33.24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805.77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151.39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26.42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-33.07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X43-2号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752.5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28.44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712.03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91.10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39.85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-0.41</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X43-3号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745.9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35.69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4.95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701.18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87.11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8.57</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-16.72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861.93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35.38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40.21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818.15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174.00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28.00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-16.13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X44-2号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770.45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33.24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731.26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126.31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60.31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21.78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848.31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40.13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6.81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793.08</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168.59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-34.03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 xml:space="preserve">3-1 </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873.53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23.04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60.34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71.89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797.53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36.78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-43.65</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863.97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36.61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41.92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811.46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191.69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86.72</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-19.88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867.45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43.23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109.75</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27.24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136.99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744.36</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144.58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-14.93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-106.03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X4-8号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870.51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46.97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118.42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30.57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148.99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734.63</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-74.71</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-116.17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X5-1号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859.73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33.24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37.29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818.29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173.88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56.95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X5-2号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5.85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872.41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31.32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81.12</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98.67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776.65</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20.83</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-51.83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X5-3号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866.08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39.22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100.26</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23.82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124.08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750.37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123.83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-96.92</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X6-1号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2-2&amp;3-1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886.14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46.39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830.17</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178.20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59.84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9.60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X6-2号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896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36.31</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844.34</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215.64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79.09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22.64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X6-3号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6.41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878.44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105.72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784.20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151.01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-66.43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X6-4号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872</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34.04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19.65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107.45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761.91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153.61</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32.44</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-71.96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X6-5号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877.17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33.16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85.64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18.96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104.6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776.72</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166.05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35.69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-67.16</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X6-6号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880.87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38.05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97.48</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22.86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120.34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768.10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137.29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3.05</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-86.90</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X6-7号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3-1</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7.22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884.68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36.58</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93.94</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21.66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115.6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781.89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151.05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6.00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-86.07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走1-5号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2-1中</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3.06</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763.99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11.37</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44.99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9.18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54.17</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706.71</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66.19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46.88</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-28.27</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走-5号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2-2下</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884.3</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11.76</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9.9</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56.23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829.90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173.38</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52.69</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6.68</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走-6号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2-2</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829.55</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8.1</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34.9</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4.65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39.55</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788.50</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176.90</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105.26</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25.93</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27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走-7号</w:t>
            </w:r>
          </w:p>
        </w:tc>
        <w:tc>
          <w:tcPr>
            <w:tcW w:w="1418"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2-1上</w:t>
            </w:r>
          </w:p>
        </w:tc>
        <w:tc>
          <w:tcPr>
            <w:tcW w:w="567"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4.4</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752.4</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25.39</w:t>
            </w:r>
          </w:p>
        </w:tc>
        <w:tc>
          <w:tcPr>
            <w:tcW w:w="992"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66.33</w:t>
            </w:r>
          </w:p>
        </w:tc>
        <w:tc>
          <w:tcPr>
            <w:tcW w:w="851"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13.2</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79.53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675.39</w:t>
            </w:r>
          </w:p>
        </w:tc>
        <w:tc>
          <w:tcPr>
            <w:tcW w:w="1275"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41.03</w:t>
            </w:r>
          </w:p>
        </w:tc>
        <w:tc>
          <w:tcPr>
            <w:tcW w:w="113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13.80</w:t>
            </w:r>
          </w:p>
        </w:tc>
        <w:tc>
          <w:tcPr>
            <w:tcW w:w="1144"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-59.54</w:t>
            </w:r>
          </w:p>
        </w:tc>
        <w:tc>
          <w:tcPr>
            <w:tcW w:w="666" w:type="dxa"/>
            <w:shd w:val="clear" w:color="auto" w:fill="auto"/>
            <w:noWrap/>
            <w:vAlign w:val="center"/>
          </w:tcPr>
          <w:p>
            <w:pPr>
              <w:widowControl/>
              <w:jc w:val="center"/>
              <w:rPr>
                <w:rFonts w:ascii="Times New Roman" w:hAnsi="Times New Roman"/>
                <w:kern w:val="0"/>
                <w:sz w:val="21"/>
                <w:szCs w:val="22"/>
              </w:rPr>
            </w:pPr>
            <w:r>
              <w:rPr>
                <w:rFonts w:ascii="Times New Roman" w:hAnsi="Times New Roman"/>
                <w:kern w:val="0"/>
                <w:sz w:val="21"/>
                <w:szCs w:val="22"/>
              </w:rPr>
              <w:t>J</w:t>
            </w:r>
            <w:r>
              <w:rPr>
                <w:rFonts w:ascii="Times New Roman" w:hAnsi="Times New Roman"/>
                <w:kern w:val="0"/>
                <w:sz w:val="21"/>
                <w:szCs w:val="22"/>
                <w:vertAlign w:val="subscript"/>
              </w:rPr>
              <w:t>2</w:t>
            </w:r>
            <w:r>
              <w:rPr>
                <w:rFonts w:ascii="Times New Roman" w:hAnsi="Times New Roman"/>
                <w:kern w:val="0"/>
                <w:sz w:val="21"/>
                <w:szCs w:val="22"/>
              </w:rPr>
              <w:t>z</w:t>
            </w:r>
          </w:p>
        </w:tc>
      </w:tr>
    </w:tbl>
    <w:p>
      <w:pPr>
        <w:snapToGrid w:val="0"/>
        <w:spacing w:before="240" w:beforeLines="100" w:line="440" w:lineRule="exact"/>
        <w:ind w:firstLine="480" w:firstLineChars="200"/>
        <w:rPr>
          <w:rFonts w:ascii="Times New Roman" w:hAnsi="Times New Roman"/>
          <w:szCs w:val="24"/>
        </w:rPr>
      </w:pPr>
    </w:p>
    <w:p>
      <w:pPr>
        <w:snapToGrid w:val="0"/>
        <w:spacing w:before="240" w:beforeLines="100" w:line="440" w:lineRule="exact"/>
        <w:ind w:firstLine="480" w:firstLineChars="200"/>
        <w:rPr>
          <w:rFonts w:ascii="Times New Roman" w:hAnsi="Times New Roman"/>
          <w:szCs w:val="24"/>
        </w:rPr>
      </w:pPr>
    </w:p>
    <w:p>
      <w:pPr>
        <w:snapToGrid w:val="0"/>
        <w:spacing w:before="240" w:beforeLines="100" w:line="440" w:lineRule="exact"/>
        <w:ind w:firstLine="480" w:firstLineChars="200"/>
        <w:rPr>
          <w:rFonts w:ascii="Times New Roman" w:hAnsi="Times New Roman"/>
          <w:szCs w:val="24"/>
        </w:rPr>
        <w:sectPr>
          <w:headerReference r:id="rId26" w:type="default"/>
          <w:pgSz w:w="16840" w:h="11907" w:orient="landscape"/>
          <w:pgMar w:top="1644" w:right="1588" w:bottom="1418" w:left="1418" w:header="1134" w:footer="851" w:gutter="0"/>
          <w:cols w:space="720" w:num="1"/>
          <w:docGrid w:linePitch="360" w:charSpace="0"/>
        </w:sectPr>
      </w:pPr>
    </w:p>
    <w:p>
      <w:pPr>
        <w:snapToGrid w:val="0"/>
        <w:spacing w:line="440" w:lineRule="exact"/>
        <w:ind w:firstLine="480" w:firstLineChars="200"/>
        <w:rPr>
          <w:rFonts w:ascii="Times New Roman" w:hAnsi="Times New Roman"/>
          <w:szCs w:val="24"/>
        </w:rPr>
      </w:pPr>
      <w:r>
        <w:rPr>
          <w:rFonts w:ascii="Times New Roman" w:hAnsi="Times New Roman"/>
          <w:szCs w:val="24"/>
        </w:rPr>
        <w:t>（1）煤炭开采对含水层的影响</w:t>
      </w:r>
    </w:p>
    <w:p>
      <w:pPr>
        <w:autoSpaceDE w:val="0"/>
        <w:autoSpaceDN w:val="0"/>
        <w:adjustRightInd w:val="0"/>
        <w:snapToGrid w:val="0"/>
        <w:spacing w:line="440" w:lineRule="exact"/>
        <w:ind w:firstLine="480" w:firstLineChars="200"/>
        <w:rPr>
          <w:rFonts w:ascii="Times New Roman" w:hAnsi="Times New Roman"/>
          <w:szCs w:val="24"/>
        </w:rPr>
      </w:pPr>
      <w:bookmarkStart w:id="237" w:name="_Hlk62647911"/>
      <w:r>
        <w:rPr>
          <w:rFonts w:ascii="Times New Roman" w:hAnsi="Times New Roman"/>
          <w:szCs w:val="24"/>
        </w:rPr>
        <w:t>1）煤炭开采对第四系含水层的影响</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第四系含水岩层富水性极不均一，属弱～强富水性含水岩组。上部主要是透水不含水的是风积砂层及残坡积物，分布面积较广，但厚度小；下部为含水微弱的马兰黄土。冲洪积物和冲淤积物分布于各沟谷中及地形低洼处，由砂砾石、细粉砂和砂粘土组成，构成松散层潜水的主要含水层，水质较好，水位埋藏浅，一般在0.2～36.24m，主要为大气降水补给。</w:t>
      </w:r>
    </w:p>
    <w:p>
      <w:pPr>
        <w:adjustRightInd w:val="0"/>
        <w:snapToGrid w:val="0"/>
        <w:spacing w:line="440" w:lineRule="exact"/>
        <w:ind w:firstLine="480" w:firstLineChars="200"/>
        <w:rPr>
          <w:rFonts w:ascii="Times New Roman" w:hAnsi="Times New Roman"/>
          <w:color w:val="FF0000"/>
          <w:kern w:val="0"/>
          <w:szCs w:val="24"/>
        </w:rPr>
      </w:pPr>
      <w:bookmarkStart w:id="238" w:name="_Hlk65498788"/>
      <w:r>
        <w:rPr>
          <w:rFonts w:ascii="Times New Roman" w:hAnsi="Times New Roman"/>
          <w:kern w:val="0"/>
          <w:szCs w:val="24"/>
        </w:rPr>
        <w:t>项目区煤层埋藏较深，可采煤层埋藏深度普遍大于700m。根据本次统计钻孔导水裂缝带最大发育高度计算结果，导裂带距第四系</w:t>
      </w:r>
      <w:bookmarkStart w:id="239" w:name="_Hlk98685657"/>
      <w:r>
        <w:rPr>
          <w:rFonts w:ascii="Times New Roman" w:hAnsi="Times New Roman"/>
          <w:kern w:val="0"/>
          <w:szCs w:val="24"/>
        </w:rPr>
        <w:t>675.9~1042.89m，平均798.88m</w:t>
      </w:r>
      <w:bookmarkEnd w:id="239"/>
      <w:r>
        <w:rPr>
          <w:rFonts w:ascii="Times New Roman" w:hAnsi="Times New Roman"/>
          <w:kern w:val="0"/>
          <w:szCs w:val="24"/>
        </w:rPr>
        <w:t>，导裂带远未波及第四系含水层，且有安定组隔水层阻隔，隔水层岩性主要为紫红色、棕色及杂色砂质泥岩和泥岩，</w:t>
      </w:r>
      <w:bookmarkEnd w:id="237"/>
      <w:bookmarkEnd w:id="238"/>
      <w:bookmarkStart w:id="240" w:name="_Hlk62648017"/>
      <w:r>
        <w:rPr>
          <w:rFonts w:hint="eastAsia" w:ascii="Times New Roman" w:hAnsi="Times New Roman"/>
          <w:color w:val="FF0000"/>
          <w:kern w:val="0"/>
          <w:szCs w:val="24"/>
        </w:rPr>
        <w:t>少量中、粗砂岩，据本次钻孔统计，地层厚度</w:t>
      </w:r>
      <w:r>
        <w:rPr>
          <w:rFonts w:ascii="Times New Roman" w:hAnsi="Times New Roman"/>
          <w:color w:val="FF0000"/>
          <w:kern w:val="0"/>
          <w:szCs w:val="24"/>
        </w:rPr>
        <w:t>18m～213m，平均86m，全区发育，根据导裂带发育情况，局部导入安定组，未贯通，导入区安定组剩余厚度约46.9~178m，仍具有较厚隔水层段，同时对安定组厚度小于30m的区域（局部分布于纳林希里井田南部）进行进一步分析，该区域导裂带发育顶界面距离安定组底板约22.6~116m，能极大程度保证安定组不被破坏，因此，评价煤炭开采对第四系含水层影响小。</w:t>
      </w:r>
    </w:p>
    <w:p>
      <w:pPr>
        <w:adjustRightInd w:val="0"/>
        <w:snapToGrid w:val="0"/>
        <w:spacing w:line="440" w:lineRule="exact"/>
        <w:ind w:firstLine="480" w:firstLineChars="200"/>
        <w:rPr>
          <w:rFonts w:ascii="Times New Roman" w:hAnsi="Times New Roman"/>
          <w:color w:val="FF0000"/>
          <w:kern w:val="0"/>
          <w:szCs w:val="24"/>
        </w:rPr>
      </w:pPr>
      <w:r>
        <w:rPr>
          <w:rFonts w:ascii="Times New Roman" w:hAnsi="Times New Roman"/>
          <w:color w:val="FF0000"/>
          <w:kern w:val="0"/>
          <w:szCs w:val="24"/>
        </w:rPr>
        <w:t>导水裂缝带发育高度与第四系距离等值线见图5.3-17。</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2）煤炭开采对白垩系下统志丹群（K</w:t>
      </w:r>
      <w:r>
        <w:rPr>
          <w:rFonts w:ascii="Times New Roman" w:hAnsi="Times New Roman"/>
          <w:szCs w:val="24"/>
          <w:vertAlign w:val="subscript"/>
        </w:rPr>
        <w:t>1</w:t>
      </w:r>
      <w:r>
        <w:rPr>
          <w:rFonts w:ascii="Times New Roman" w:hAnsi="Times New Roman"/>
          <w:szCs w:val="24"/>
        </w:rPr>
        <w:t>zh）孔隙潜水～裂隙承压水含水岩组的影响</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全区发育。志丹群含水岩组就其水力性质可分为潜水和承压水。由于砂岩胶结程度不同，致使砂岩中的透水性能，含水空间均存在很大差异性。胶结好、致密坚硬的砂岩即为良好的隔水层；疏松、孔隙发育的砂岩，成为赋存地下水或运移的通道，此外，还有介于二者之间的弱透水层。由于含水层与隔水层及弱透水层间变化复杂，故潜水与承压水通过弱透水层越流相互补给，相互渗透，水力联系相对比较密切，含水岩组属弱~中等富水性含水岩组。</w:t>
      </w:r>
    </w:p>
    <w:p>
      <w:pPr>
        <w:tabs>
          <w:tab w:val="center" w:pos="1680"/>
        </w:tabs>
        <w:adjustRightInd w:val="0"/>
        <w:snapToGrid w:val="0"/>
        <w:spacing w:line="440" w:lineRule="exact"/>
        <w:ind w:firstLine="480" w:firstLineChars="200"/>
        <w:rPr>
          <w:rFonts w:ascii="Times New Roman" w:hAnsi="Times New Roman"/>
          <w:color w:val="FF0000"/>
          <w:szCs w:val="24"/>
        </w:rPr>
      </w:pPr>
      <w:r>
        <w:rPr>
          <w:rFonts w:ascii="Times New Roman" w:hAnsi="Times New Roman"/>
          <w:color w:val="FF0000"/>
          <w:szCs w:val="24"/>
        </w:rPr>
        <w:t>根据矿区各钻孔导水裂缝带最大发育高度计算结果，导水裂缝带距离</w:t>
      </w:r>
      <w:r>
        <w:rPr>
          <w:rFonts w:hint="eastAsia" w:ascii="Times New Roman" w:hAnsi="Times New Roman"/>
          <w:color w:val="FF0000"/>
          <w:szCs w:val="24"/>
        </w:rPr>
        <w:t>白垩系</w:t>
      </w:r>
      <w:r>
        <w:rPr>
          <w:rFonts w:ascii="Times New Roman" w:hAnsi="Times New Roman"/>
          <w:color w:val="FF0000"/>
          <w:szCs w:val="24"/>
        </w:rPr>
        <w:t>含水岩组</w:t>
      </w:r>
      <w:bookmarkStart w:id="241" w:name="_Hlk98685708"/>
      <w:r>
        <w:rPr>
          <w:rFonts w:ascii="Times New Roman" w:hAnsi="Times New Roman"/>
          <w:color w:val="FF0000"/>
          <w:szCs w:val="24"/>
        </w:rPr>
        <w:t>46.9~294.19m，平均147.66m</w:t>
      </w:r>
      <w:bookmarkEnd w:id="241"/>
      <w:r>
        <w:rPr>
          <w:rFonts w:ascii="Times New Roman" w:hAnsi="Times New Roman"/>
          <w:color w:val="FF0000"/>
          <w:szCs w:val="24"/>
        </w:rPr>
        <w:t>，导水裂缝带未波及该含水岩组，且含水岩组下部存在</w:t>
      </w:r>
      <w:bookmarkStart w:id="242" w:name="_Hlk98685758"/>
      <w:r>
        <w:rPr>
          <w:rFonts w:ascii="Times New Roman" w:hAnsi="Times New Roman"/>
          <w:color w:val="FF0000"/>
          <w:szCs w:val="24"/>
        </w:rPr>
        <w:t>分布</w:t>
      </w:r>
      <w:r>
        <w:rPr>
          <w:rFonts w:hint="eastAsia" w:ascii="Times New Roman" w:hAnsi="Times New Roman"/>
          <w:color w:val="FF0000"/>
          <w:szCs w:val="24"/>
        </w:rPr>
        <w:t>较</w:t>
      </w:r>
      <w:r>
        <w:rPr>
          <w:rFonts w:ascii="Times New Roman" w:hAnsi="Times New Roman"/>
          <w:color w:val="FF0000"/>
          <w:szCs w:val="24"/>
        </w:rPr>
        <w:t>连续</w:t>
      </w:r>
      <w:r>
        <w:rPr>
          <w:rFonts w:hint="eastAsia" w:ascii="Times New Roman" w:hAnsi="Times New Roman"/>
          <w:color w:val="FF0000"/>
          <w:szCs w:val="24"/>
        </w:rPr>
        <w:t>且</w:t>
      </w:r>
      <w:r>
        <w:rPr>
          <w:rFonts w:ascii="Times New Roman" w:hAnsi="Times New Roman"/>
          <w:color w:val="FF0000"/>
          <w:szCs w:val="24"/>
        </w:rPr>
        <w:t>隔水性能较好侏罗系中统安定组隔水层</w:t>
      </w:r>
      <w:bookmarkEnd w:id="242"/>
      <w:r>
        <w:rPr>
          <w:rFonts w:hint="eastAsia" w:ascii="Times New Roman" w:hAnsi="Times New Roman"/>
          <w:color w:val="FF0000"/>
          <w:szCs w:val="24"/>
        </w:rPr>
        <w:t>（安定组厚度1</w:t>
      </w:r>
      <w:r>
        <w:rPr>
          <w:rFonts w:ascii="Times New Roman" w:hAnsi="Times New Roman"/>
          <w:color w:val="FF0000"/>
          <w:szCs w:val="24"/>
        </w:rPr>
        <w:t>8~213</w:t>
      </w:r>
      <w:r>
        <w:rPr>
          <w:rFonts w:hint="eastAsia" w:ascii="Times New Roman" w:hAnsi="Times New Roman"/>
          <w:color w:val="FF0000"/>
          <w:szCs w:val="24"/>
        </w:rPr>
        <w:t>m）</w:t>
      </w:r>
      <w:r>
        <w:rPr>
          <w:rFonts w:ascii="Times New Roman" w:hAnsi="Times New Roman"/>
          <w:color w:val="FF0000"/>
          <w:szCs w:val="24"/>
        </w:rPr>
        <w:t>，根据导裂带发育情况，</w:t>
      </w:r>
      <w:bookmarkStart w:id="243" w:name="_Hlk98946260"/>
      <w:r>
        <w:rPr>
          <w:rFonts w:ascii="Times New Roman" w:hAnsi="Times New Roman"/>
          <w:color w:val="FF0000"/>
          <w:szCs w:val="24"/>
        </w:rPr>
        <w:t>矿区大部分区域未波及到安定组，仅矿区局部会导入安定组（导入面积约7.3km</w:t>
      </w:r>
      <w:r>
        <w:rPr>
          <w:rFonts w:ascii="Times New Roman" w:hAnsi="Times New Roman"/>
          <w:color w:val="FF0000"/>
          <w:szCs w:val="24"/>
          <w:vertAlign w:val="superscript"/>
        </w:rPr>
        <w:t>2</w:t>
      </w:r>
      <w:r>
        <w:rPr>
          <w:rFonts w:ascii="Times New Roman" w:hAnsi="Times New Roman"/>
          <w:color w:val="FF0000"/>
          <w:szCs w:val="24"/>
        </w:rPr>
        <w:t>），并未贯通</w:t>
      </w:r>
      <w:r>
        <w:rPr>
          <w:rFonts w:hint="eastAsia" w:ascii="Times New Roman" w:hAnsi="Times New Roman"/>
          <w:color w:val="FF0000"/>
          <w:szCs w:val="24"/>
        </w:rPr>
        <w:t>安定组</w:t>
      </w:r>
      <w:r>
        <w:rPr>
          <w:rFonts w:ascii="Times New Roman" w:hAnsi="Times New Roman"/>
          <w:color w:val="FF0000"/>
          <w:szCs w:val="24"/>
        </w:rPr>
        <w:t>隔水层，</w:t>
      </w:r>
      <w:bookmarkStart w:id="244" w:name="_Hlk98945288"/>
      <w:r>
        <w:rPr>
          <w:rFonts w:ascii="Times New Roman" w:hAnsi="Times New Roman"/>
          <w:color w:val="FF0000"/>
          <w:szCs w:val="24"/>
        </w:rPr>
        <w:t>导入区安定组剩余厚度约46.9~178m，导入区安定组仍具有较厚的隔水层段，</w:t>
      </w:r>
      <w:r>
        <w:rPr>
          <w:rFonts w:hint="eastAsia" w:ascii="Times New Roman" w:hAnsi="Times New Roman"/>
          <w:color w:val="FF0000"/>
          <w:szCs w:val="24"/>
        </w:rPr>
        <w:t>且安定组厚度小于</w:t>
      </w:r>
      <w:r>
        <w:rPr>
          <w:rFonts w:ascii="Times New Roman" w:hAnsi="Times New Roman"/>
          <w:color w:val="FF0000"/>
          <w:szCs w:val="24"/>
        </w:rPr>
        <w:t>30m的区域（局部分布于纳林希里井田南部）导裂带发育顶界面距离安定组底板约22.6~116m，能极大程度保证安定组不被破坏，隔水性能良好。</w:t>
      </w:r>
    </w:p>
    <w:bookmarkEnd w:id="243"/>
    <w:bookmarkEnd w:id="244"/>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综上，导水裂缝带发育高度未直接影响到白垩系含水层，导水裂缝带会导入安定组隔水层局部区域，但未贯通，安定组仍具有较好隔水性能，因此评价认为矿区煤炭开采对白垩系含水层影响较小。</w:t>
      </w:r>
    </w:p>
    <w:bookmarkEnd w:id="240"/>
    <w:p>
      <w:pPr>
        <w:adjustRightInd w:val="0"/>
        <w:snapToGrid w:val="0"/>
        <w:spacing w:line="440" w:lineRule="exact"/>
        <w:ind w:firstLine="480" w:firstLineChars="200"/>
        <w:rPr>
          <w:rFonts w:ascii="Times New Roman" w:hAnsi="Times New Roman"/>
          <w:szCs w:val="24"/>
        </w:rPr>
      </w:pPr>
      <w:bookmarkStart w:id="245" w:name="_Hlk62648947"/>
      <w:r>
        <w:rPr>
          <w:rFonts w:hint="eastAsia" w:ascii="Times New Roman" w:hAnsi="Times New Roman"/>
          <w:szCs w:val="24"/>
        </w:rPr>
        <w:t>矿区导水裂缝带发育高度与白垩系距离等值线图见图</w:t>
      </w:r>
      <w:r>
        <w:rPr>
          <w:rFonts w:ascii="Times New Roman" w:hAnsi="Times New Roman"/>
          <w:szCs w:val="24"/>
        </w:rPr>
        <w:t>5.3-18，导水裂缝带发育顶界面距离白垩系立体效果示意图见图5.3-19，导水裂缝带与侏罗系安定组距离等值线图见图5.3-20，安定组导入区及导水裂缝带发育顶界面关系立体效果示意图见图5.3-21。</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3）煤炭开采对</w:t>
      </w:r>
      <w:bookmarkStart w:id="246" w:name="_Hlk62640145"/>
      <w:r>
        <w:rPr>
          <w:rFonts w:ascii="Times New Roman" w:hAnsi="Times New Roman"/>
          <w:szCs w:val="24"/>
        </w:rPr>
        <w:t>侏罗系中统直罗组(J</w:t>
      </w:r>
      <w:r>
        <w:rPr>
          <w:rFonts w:ascii="Times New Roman" w:hAnsi="Times New Roman"/>
          <w:szCs w:val="24"/>
          <w:vertAlign w:val="subscript"/>
        </w:rPr>
        <w:t>2</w:t>
      </w:r>
      <w:r>
        <w:rPr>
          <w:rFonts w:ascii="Times New Roman" w:hAnsi="Times New Roman"/>
          <w:szCs w:val="24"/>
        </w:rPr>
        <w:t>z)碎屑岩类承压水含水岩组的影响</w:t>
      </w:r>
      <w:bookmarkEnd w:id="246"/>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该含水岩组是矿床的间接充水含水岩组。该含水层岩性以灰白色、灰绿色厚层状中、粗粒砂岩为主，中夹一层灰绿色砂质泥岩。含水层厚度为5.80～91.10m，平均为48.65m。由钻孔X6-3、X6-6、X3-3抽水试验，单位涌水量0.0093~0.0648</w:t>
      </w:r>
      <w:r>
        <w:rPr>
          <w:rFonts w:ascii="Times New Roman" w:hAnsi="Times New Roman"/>
        </w:rPr>
        <w:t xml:space="preserve"> </w:t>
      </w:r>
      <w:r>
        <w:rPr>
          <w:rFonts w:ascii="Times New Roman" w:hAnsi="Times New Roman"/>
          <w:kern w:val="0"/>
          <w:szCs w:val="24"/>
        </w:rPr>
        <w:t>L/s·m，弱富水性。</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根据导水裂缝带最大发育高度情况，矿区上部煤层开采大多均导入直罗组，导入面积约299km</w:t>
      </w:r>
      <w:r>
        <w:rPr>
          <w:rFonts w:ascii="Times New Roman" w:hAnsi="Times New Roman"/>
          <w:kern w:val="0"/>
          <w:szCs w:val="24"/>
          <w:vertAlign w:val="superscript"/>
        </w:rPr>
        <w:t>2</w:t>
      </w:r>
      <w:r>
        <w:rPr>
          <w:rFonts w:ascii="Times New Roman" w:hAnsi="Times New Roman"/>
          <w:kern w:val="0"/>
          <w:szCs w:val="24"/>
        </w:rPr>
        <w:t>，直接对该含水岩组产生影响。含水岩组与上部含水层之间有侏罗系安定组隔水层阻隔，水力联系较弱，矿区煤炭开采对该含水岩组造成破坏时，对上部含水层影响不大。</w:t>
      </w:r>
      <w:bookmarkStart w:id="247" w:name="_Hlk62648661"/>
      <w:r>
        <w:rPr>
          <w:rFonts w:ascii="Times New Roman" w:hAnsi="Times New Roman"/>
          <w:kern w:val="0"/>
          <w:szCs w:val="24"/>
        </w:rPr>
        <w:t>煤炭开采直接破坏</w:t>
      </w:r>
      <w:r>
        <w:rPr>
          <w:rFonts w:ascii="Times New Roman" w:hAnsi="Times New Roman"/>
          <w:szCs w:val="24"/>
        </w:rPr>
        <w:t>侏罗系中统直罗组(J</w:t>
      </w:r>
      <w:r>
        <w:rPr>
          <w:rFonts w:ascii="Times New Roman" w:hAnsi="Times New Roman"/>
          <w:szCs w:val="24"/>
          <w:vertAlign w:val="subscript"/>
        </w:rPr>
        <w:t>2</w:t>
      </w:r>
      <w:r>
        <w:rPr>
          <w:rFonts w:ascii="Times New Roman" w:hAnsi="Times New Roman"/>
          <w:szCs w:val="24"/>
        </w:rPr>
        <w:t>z)碎屑岩类承压水含水岩组</w:t>
      </w:r>
      <w:r>
        <w:rPr>
          <w:rFonts w:ascii="Times New Roman" w:hAnsi="Times New Roman"/>
          <w:kern w:val="0"/>
          <w:szCs w:val="24"/>
        </w:rPr>
        <w:t>，含水层中地下水被疏排</w:t>
      </w:r>
      <w:bookmarkEnd w:id="247"/>
      <w:r>
        <w:rPr>
          <w:rFonts w:ascii="Times New Roman" w:hAnsi="Times New Roman"/>
          <w:kern w:val="0"/>
          <w:szCs w:val="24"/>
        </w:rPr>
        <w:t>。因此，评价认为煤矿开采对直罗组含水层的影响较大。</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szCs w:val="24"/>
        </w:rPr>
        <w:t>导水裂缝带发育高度与直罗组距离等值线图见图5.3-22。</w:t>
      </w:r>
    </w:p>
    <w:bookmarkEnd w:id="245"/>
    <w:p>
      <w:pPr>
        <w:adjustRightInd w:val="0"/>
        <w:snapToGrid w:val="0"/>
        <w:spacing w:line="440" w:lineRule="exact"/>
        <w:ind w:firstLine="480" w:firstLineChars="200"/>
        <w:rPr>
          <w:rFonts w:ascii="Times New Roman" w:hAnsi="Times New Roman"/>
          <w:kern w:val="0"/>
          <w:szCs w:val="24"/>
        </w:rPr>
      </w:pPr>
      <w:bookmarkStart w:id="248" w:name="_Hlk62648922"/>
      <w:r>
        <w:rPr>
          <w:rFonts w:ascii="Times New Roman" w:hAnsi="Times New Roman"/>
          <w:kern w:val="0"/>
          <w:szCs w:val="24"/>
        </w:rPr>
        <w:t>4）煤炭开采对煤系含水层的影响</w:t>
      </w:r>
    </w:p>
    <w:bookmarkEnd w:id="248"/>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煤系含水层是煤炭开采直接充水含水层，包括：侏罗系中统直罗组(J</w:t>
      </w:r>
      <w:r>
        <w:rPr>
          <w:rFonts w:ascii="Times New Roman" w:hAnsi="Times New Roman"/>
          <w:kern w:val="0"/>
          <w:szCs w:val="24"/>
          <w:vertAlign w:val="subscript"/>
        </w:rPr>
        <w:t>2</w:t>
      </w:r>
      <w:r>
        <w:rPr>
          <w:rFonts w:ascii="Times New Roman" w:hAnsi="Times New Roman"/>
          <w:kern w:val="0"/>
          <w:szCs w:val="24"/>
        </w:rPr>
        <w:t>z)底部至3煤组底碎屑岩类承压水含水岩组、4煤组顶部至6煤组底碎屑岩类承压水含水岩组</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侏罗系中统直罗组(J</w:t>
      </w:r>
      <w:r>
        <w:rPr>
          <w:rFonts w:ascii="Times New Roman" w:hAnsi="Times New Roman"/>
          <w:kern w:val="0"/>
          <w:szCs w:val="24"/>
          <w:vertAlign w:val="subscript"/>
        </w:rPr>
        <w:t>2</w:t>
      </w:r>
      <w:r>
        <w:rPr>
          <w:rFonts w:ascii="Times New Roman" w:hAnsi="Times New Roman"/>
          <w:kern w:val="0"/>
          <w:szCs w:val="24"/>
        </w:rPr>
        <w:t>z)底部至3煤组底碎屑岩类承压水)含水岩组厚度为0.32～171.86m。主要岩性为灰白色、浅黄色、淡红～紫红色中、细粒砂岩、粉砂岩、局部为含砾粗粒砂岩。据X39-1、X39-5、NX7-2、NX7-6号钻孔抽水试验结果，单位涌水量0.0161~0.0241L/s·m，属弱富水性含水岩组。</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4煤组顶部至6煤组底碎屑岩类承压水含水岩组厚度为1.25～98.82m。岩性主要为中细粒砂岩、粗粒砂岩及煤层。据X43-1、X43-5、NX3-2、NX3-6号钻孔抽水试验结果，单位涌水量0.00393~0.0203L/s·m，属弱富水性含水岩组。</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煤炭开采直接对煤系含水层造成破坏，赋存于含水层中的地下水随着煤炭开采而疏排。随着煤炭开采含水层中的承压水排泄方式将由原天然排泄方式变为以人工开采排泄为主，含水层内地下水随着煤层开采被疏干。</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煤炭开采直接破坏含水层结构，含水层中地下水基本会被疏干，煤炭开采对煤系含水层影响较大。</w:t>
      </w:r>
    </w:p>
    <w:p>
      <w:pPr>
        <w:snapToGrid w:val="0"/>
        <w:spacing w:line="440" w:lineRule="exact"/>
        <w:ind w:firstLine="480" w:firstLineChars="200"/>
        <w:rPr>
          <w:rFonts w:ascii="Times New Roman" w:hAnsi="Times New Roman"/>
          <w:szCs w:val="24"/>
        </w:rPr>
      </w:pPr>
      <w:r>
        <w:rPr>
          <w:rFonts w:ascii="Times New Roman" w:hAnsi="Times New Roman"/>
          <w:szCs w:val="24"/>
        </w:rPr>
        <w:t>（2）煤炭开采对地下水水位的影响</w:t>
      </w:r>
    </w:p>
    <w:p>
      <w:pPr>
        <w:snapToGrid w:val="0"/>
        <w:spacing w:line="440" w:lineRule="exact"/>
        <w:ind w:firstLine="480" w:firstLineChars="200"/>
        <w:rPr>
          <w:rFonts w:ascii="Times New Roman" w:hAnsi="Times New Roman"/>
          <w:szCs w:val="24"/>
        </w:rPr>
      </w:pPr>
      <w:r>
        <w:rPr>
          <w:rFonts w:ascii="Times New Roman" w:hAnsi="Times New Roman"/>
          <w:szCs w:val="24"/>
        </w:rPr>
        <w:t>1）疏干影响半径计算</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szCs w:val="24"/>
        </w:rPr>
        <w:t>煤矿开采将直接影响的含水层有煤系上覆侏罗系中统直罗组(J</w:t>
      </w:r>
      <w:r>
        <w:rPr>
          <w:rFonts w:ascii="Times New Roman" w:hAnsi="Times New Roman"/>
          <w:szCs w:val="24"/>
          <w:vertAlign w:val="subscript"/>
        </w:rPr>
        <w:t>2</w:t>
      </w:r>
      <w:r>
        <w:rPr>
          <w:rFonts w:ascii="Times New Roman" w:hAnsi="Times New Roman"/>
          <w:szCs w:val="24"/>
        </w:rPr>
        <w:t>z)碎屑岩类承压水含水岩组、</w:t>
      </w:r>
      <w:r>
        <w:rPr>
          <w:rFonts w:ascii="Times New Roman" w:hAnsi="Times New Roman"/>
          <w:kern w:val="0"/>
          <w:szCs w:val="24"/>
        </w:rPr>
        <w:t>煤系含水层（侏罗系中统直罗组底部至3煤组底碎屑岩类承压水含水岩组、4煤组顶部至6煤组底碎屑岩类承压水含水岩组）。本次评价主要对以上受煤炭开采影响的含水层疏干影响半径进行计算。根据抽水试验及钻孔等地质、水文地质资料，结果见下表：</w:t>
      </w:r>
    </w:p>
    <w:p>
      <w:pPr>
        <w:spacing w:line="440" w:lineRule="exact"/>
        <w:jc w:val="center"/>
        <w:rPr>
          <w:rFonts w:ascii="Times New Roman" w:hAnsi="Times New Roman"/>
          <w:b/>
          <w:bCs/>
          <w:szCs w:val="24"/>
        </w:rPr>
      </w:pPr>
      <w:r>
        <w:rPr>
          <w:rFonts w:ascii="Times New Roman" w:hAnsi="Times New Roman"/>
          <w:b/>
          <w:bCs/>
          <w:szCs w:val="24"/>
        </w:rPr>
        <w:t>疏干影响半径计算结果一览表</w:t>
      </w:r>
    </w:p>
    <w:p>
      <w:pPr>
        <w:adjustRightInd w:val="0"/>
        <w:snapToGrid w:val="0"/>
        <w:spacing w:line="440" w:lineRule="exact"/>
        <w:outlineLvl w:val="4"/>
        <w:rPr>
          <w:rFonts w:ascii="Times New Roman" w:hAnsi="Times New Roman"/>
          <w:bCs/>
          <w:szCs w:val="24"/>
        </w:rPr>
      </w:pPr>
      <w:r>
        <w:rPr>
          <w:rFonts w:ascii="Times New Roman" w:hAnsi="Times New Roman"/>
          <w:bCs/>
          <w:szCs w:val="24"/>
        </w:rPr>
        <w:t>表5.3-9</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1241"/>
        <w:gridCol w:w="1079"/>
        <w:gridCol w:w="1698"/>
        <w:gridCol w:w="2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9" w:type="dxa"/>
            <w:shd w:val="clear" w:color="auto" w:fill="auto"/>
            <w:vAlign w:val="center"/>
          </w:tcPr>
          <w:p>
            <w:pPr>
              <w:jc w:val="center"/>
              <w:rPr>
                <w:rFonts w:ascii="Times New Roman" w:hAnsi="Times New Roman"/>
                <w:sz w:val="21"/>
                <w:szCs w:val="21"/>
              </w:rPr>
            </w:pPr>
            <w:r>
              <w:rPr>
                <w:rFonts w:ascii="Times New Roman" w:hAnsi="Times New Roman"/>
                <w:sz w:val="21"/>
                <w:szCs w:val="21"/>
              </w:rPr>
              <w:t>含水层</w:t>
            </w:r>
          </w:p>
        </w:tc>
        <w:tc>
          <w:tcPr>
            <w:tcW w:w="1241" w:type="dxa"/>
            <w:shd w:val="clear" w:color="auto" w:fill="auto"/>
            <w:vAlign w:val="center"/>
          </w:tcPr>
          <w:p>
            <w:pPr>
              <w:jc w:val="center"/>
              <w:rPr>
                <w:rFonts w:ascii="Times New Roman" w:hAnsi="Times New Roman"/>
                <w:sz w:val="21"/>
                <w:szCs w:val="21"/>
              </w:rPr>
            </w:pPr>
            <w:r>
              <w:rPr>
                <w:rFonts w:ascii="Times New Roman" w:hAnsi="Times New Roman"/>
                <w:sz w:val="21"/>
                <w:szCs w:val="21"/>
              </w:rPr>
              <w:t>渗透系数（m/d）</w:t>
            </w:r>
          </w:p>
        </w:tc>
        <w:tc>
          <w:tcPr>
            <w:tcW w:w="1079" w:type="dxa"/>
            <w:shd w:val="clear" w:color="auto" w:fill="auto"/>
            <w:vAlign w:val="center"/>
          </w:tcPr>
          <w:p>
            <w:pPr>
              <w:jc w:val="center"/>
              <w:rPr>
                <w:rFonts w:ascii="Times New Roman" w:hAnsi="Times New Roman"/>
                <w:sz w:val="21"/>
                <w:szCs w:val="21"/>
              </w:rPr>
            </w:pPr>
            <w:r>
              <w:rPr>
                <w:rFonts w:ascii="Times New Roman" w:hAnsi="Times New Roman"/>
                <w:sz w:val="21"/>
                <w:szCs w:val="21"/>
              </w:rPr>
              <w:t>水柱高度(m)</w:t>
            </w:r>
          </w:p>
        </w:tc>
        <w:tc>
          <w:tcPr>
            <w:tcW w:w="1698" w:type="dxa"/>
            <w:shd w:val="clear" w:color="auto" w:fill="auto"/>
            <w:vAlign w:val="center"/>
          </w:tcPr>
          <w:p>
            <w:pPr>
              <w:jc w:val="center"/>
              <w:rPr>
                <w:rFonts w:ascii="Times New Roman" w:hAnsi="Times New Roman"/>
                <w:sz w:val="21"/>
                <w:szCs w:val="21"/>
              </w:rPr>
            </w:pPr>
            <w:r>
              <w:rPr>
                <w:rFonts w:ascii="Times New Roman" w:hAnsi="Times New Roman"/>
                <w:sz w:val="21"/>
                <w:szCs w:val="21"/>
              </w:rPr>
              <w:t>影响半径(m)</w:t>
            </w:r>
          </w:p>
        </w:tc>
        <w:tc>
          <w:tcPr>
            <w:tcW w:w="2990" w:type="dxa"/>
            <w:shd w:val="clear" w:color="auto" w:fill="auto"/>
            <w:vAlign w:val="center"/>
          </w:tcPr>
          <w:p>
            <w:pPr>
              <w:jc w:val="center"/>
              <w:rPr>
                <w:rFonts w:ascii="Times New Roman" w:hAnsi="Times New Roman"/>
                <w:sz w:val="21"/>
                <w:szCs w:val="21"/>
              </w:rPr>
            </w:pPr>
            <w:r>
              <w:rPr>
                <w:rFonts w:ascii="Times New Roman" w:hAnsi="Times New Roman"/>
                <w:sz w:val="21"/>
                <w:szCs w:val="21"/>
              </w:rPr>
              <w:t>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9" w:type="dxa"/>
            <w:vAlign w:val="center"/>
          </w:tcPr>
          <w:p>
            <w:pPr>
              <w:jc w:val="center"/>
              <w:rPr>
                <w:rFonts w:ascii="Times New Roman" w:hAnsi="Times New Roman"/>
                <w:sz w:val="21"/>
                <w:szCs w:val="21"/>
              </w:rPr>
            </w:pPr>
            <w:bookmarkStart w:id="249" w:name="_Hlk65487981"/>
            <w:r>
              <w:rPr>
                <w:rFonts w:ascii="Times New Roman" w:hAnsi="Times New Roman"/>
                <w:sz w:val="21"/>
                <w:szCs w:val="21"/>
              </w:rPr>
              <w:t>侏罗系中统直罗组(J</w:t>
            </w:r>
            <w:r>
              <w:rPr>
                <w:rFonts w:ascii="Times New Roman" w:hAnsi="Times New Roman"/>
                <w:sz w:val="21"/>
                <w:szCs w:val="21"/>
                <w:vertAlign w:val="subscript"/>
              </w:rPr>
              <w:t>2</w:t>
            </w:r>
            <w:r>
              <w:rPr>
                <w:rFonts w:ascii="Times New Roman" w:hAnsi="Times New Roman"/>
                <w:sz w:val="21"/>
                <w:szCs w:val="21"/>
              </w:rPr>
              <w:t>z)碎屑岩类承压水含水岩组</w:t>
            </w:r>
            <w:bookmarkEnd w:id="249"/>
          </w:p>
        </w:tc>
        <w:tc>
          <w:tcPr>
            <w:tcW w:w="1241" w:type="dxa"/>
            <w:vAlign w:val="center"/>
          </w:tcPr>
          <w:p>
            <w:pPr>
              <w:jc w:val="center"/>
              <w:rPr>
                <w:rFonts w:ascii="Times New Roman" w:hAnsi="Times New Roman"/>
                <w:sz w:val="21"/>
                <w:szCs w:val="21"/>
              </w:rPr>
            </w:pPr>
            <w:r>
              <w:rPr>
                <w:rFonts w:ascii="Times New Roman" w:hAnsi="Times New Roman"/>
                <w:sz w:val="21"/>
                <w:szCs w:val="21"/>
              </w:rPr>
              <w:t>0.0303</w:t>
            </w:r>
          </w:p>
        </w:tc>
        <w:tc>
          <w:tcPr>
            <w:tcW w:w="1079" w:type="dxa"/>
            <w:vAlign w:val="center"/>
          </w:tcPr>
          <w:p>
            <w:pPr>
              <w:jc w:val="center"/>
              <w:rPr>
                <w:rFonts w:ascii="Times New Roman" w:hAnsi="Times New Roman"/>
                <w:sz w:val="21"/>
                <w:szCs w:val="21"/>
              </w:rPr>
            </w:pPr>
            <w:r>
              <w:rPr>
                <w:rFonts w:ascii="Times New Roman" w:hAnsi="Times New Roman"/>
                <w:sz w:val="21"/>
                <w:szCs w:val="21"/>
              </w:rPr>
              <w:t>819.11</w:t>
            </w:r>
          </w:p>
        </w:tc>
        <w:tc>
          <w:tcPr>
            <w:tcW w:w="1698" w:type="dxa"/>
            <w:vAlign w:val="center"/>
          </w:tcPr>
          <w:p>
            <w:pPr>
              <w:jc w:val="center"/>
              <w:rPr>
                <w:rFonts w:ascii="Times New Roman" w:hAnsi="Times New Roman"/>
                <w:sz w:val="21"/>
                <w:szCs w:val="21"/>
              </w:rPr>
            </w:pPr>
            <w:r>
              <w:rPr>
                <w:rFonts w:ascii="Times New Roman" w:hAnsi="Times New Roman"/>
                <w:sz w:val="21"/>
                <w:szCs w:val="21"/>
              </w:rPr>
              <w:t>1425.82</w:t>
            </w:r>
          </w:p>
        </w:tc>
        <w:tc>
          <w:tcPr>
            <w:tcW w:w="2990" w:type="dxa"/>
            <w:vAlign w:val="center"/>
          </w:tcPr>
          <w:p>
            <w:pPr>
              <w:jc w:val="center"/>
              <w:rPr>
                <w:rFonts w:ascii="Times New Roman" w:hAnsi="Times New Roman"/>
                <w:sz w:val="21"/>
                <w:szCs w:val="21"/>
              </w:rPr>
            </w:pPr>
            <w:r>
              <w:rPr>
                <w:rFonts w:ascii="Times New Roman" w:hAnsi="Times New Roman"/>
                <w:sz w:val="21"/>
                <w:szCs w:val="21"/>
              </w:rPr>
              <w:t>X3-3、X6-3、X6-6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9" w:type="dxa"/>
            <w:vAlign w:val="center"/>
          </w:tcPr>
          <w:p>
            <w:pPr>
              <w:jc w:val="center"/>
              <w:rPr>
                <w:rFonts w:ascii="Times New Roman" w:hAnsi="Times New Roman"/>
                <w:sz w:val="21"/>
                <w:szCs w:val="21"/>
              </w:rPr>
            </w:pPr>
            <w:bookmarkStart w:id="250" w:name="_Hlk65488027"/>
            <w:bookmarkStart w:id="251" w:name="_Hlk65509308"/>
            <w:r>
              <w:rPr>
                <w:rFonts w:ascii="Times New Roman" w:hAnsi="Times New Roman"/>
                <w:kern w:val="0"/>
                <w:sz w:val="21"/>
                <w:szCs w:val="21"/>
              </w:rPr>
              <w:t>直罗组底部至3煤组底碎屑岩类承压水含水岩组</w:t>
            </w:r>
            <w:bookmarkEnd w:id="250"/>
          </w:p>
        </w:tc>
        <w:tc>
          <w:tcPr>
            <w:tcW w:w="1241" w:type="dxa"/>
            <w:vAlign w:val="center"/>
          </w:tcPr>
          <w:p>
            <w:pPr>
              <w:jc w:val="center"/>
              <w:rPr>
                <w:rFonts w:ascii="Times New Roman" w:hAnsi="Times New Roman"/>
                <w:sz w:val="21"/>
                <w:szCs w:val="21"/>
              </w:rPr>
            </w:pPr>
            <w:r>
              <w:rPr>
                <w:rFonts w:ascii="Times New Roman" w:hAnsi="Times New Roman"/>
                <w:sz w:val="21"/>
                <w:szCs w:val="21"/>
              </w:rPr>
              <w:t>0.0862</w:t>
            </w:r>
          </w:p>
        </w:tc>
        <w:tc>
          <w:tcPr>
            <w:tcW w:w="1079" w:type="dxa"/>
            <w:vAlign w:val="center"/>
          </w:tcPr>
          <w:p>
            <w:pPr>
              <w:jc w:val="center"/>
              <w:rPr>
                <w:rFonts w:ascii="Times New Roman" w:hAnsi="Times New Roman"/>
                <w:sz w:val="21"/>
                <w:szCs w:val="21"/>
              </w:rPr>
            </w:pPr>
            <w:r>
              <w:rPr>
                <w:rFonts w:ascii="Times New Roman" w:hAnsi="Times New Roman"/>
                <w:sz w:val="21"/>
                <w:szCs w:val="21"/>
              </w:rPr>
              <w:t>826.56</w:t>
            </w:r>
          </w:p>
        </w:tc>
        <w:tc>
          <w:tcPr>
            <w:tcW w:w="1698" w:type="dxa"/>
            <w:vAlign w:val="center"/>
          </w:tcPr>
          <w:p>
            <w:pPr>
              <w:jc w:val="center"/>
              <w:rPr>
                <w:rFonts w:ascii="Times New Roman" w:hAnsi="Times New Roman"/>
                <w:sz w:val="21"/>
                <w:szCs w:val="21"/>
              </w:rPr>
            </w:pPr>
            <w:r>
              <w:rPr>
                <w:rFonts w:ascii="Times New Roman" w:hAnsi="Times New Roman"/>
                <w:sz w:val="21"/>
                <w:szCs w:val="21"/>
              </w:rPr>
              <w:t>2426.77</w:t>
            </w:r>
          </w:p>
        </w:tc>
        <w:tc>
          <w:tcPr>
            <w:tcW w:w="2990" w:type="dxa"/>
            <w:vAlign w:val="center"/>
          </w:tcPr>
          <w:p>
            <w:pPr>
              <w:jc w:val="center"/>
              <w:rPr>
                <w:rFonts w:ascii="Times New Roman" w:hAnsi="Times New Roman"/>
                <w:sz w:val="21"/>
                <w:szCs w:val="21"/>
              </w:rPr>
            </w:pPr>
            <w:r>
              <w:rPr>
                <w:rFonts w:ascii="Times New Roman" w:hAnsi="Times New Roman"/>
                <w:sz w:val="21"/>
                <w:szCs w:val="21"/>
              </w:rPr>
              <w:t>X39-1、X39-5、NX7-2、NX7-6</w:t>
            </w:r>
          </w:p>
        </w:tc>
      </w:tr>
      <w:bookmarkEnd w:id="25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9" w:type="dxa"/>
            <w:vAlign w:val="center"/>
          </w:tcPr>
          <w:p>
            <w:pPr>
              <w:jc w:val="center"/>
              <w:rPr>
                <w:rFonts w:ascii="Times New Roman" w:hAnsi="Times New Roman"/>
                <w:sz w:val="21"/>
                <w:szCs w:val="21"/>
              </w:rPr>
            </w:pPr>
            <w:bookmarkStart w:id="252" w:name="_Hlk65488067"/>
            <w:r>
              <w:rPr>
                <w:rFonts w:ascii="Times New Roman" w:hAnsi="Times New Roman"/>
                <w:kern w:val="0"/>
                <w:sz w:val="21"/>
                <w:szCs w:val="21"/>
              </w:rPr>
              <w:t>4煤组顶部至6煤组底碎屑岩类承压水含水岩组</w:t>
            </w:r>
            <w:bookmarkEnd w:id="252"/>
          </w:p>
        </w:tc>
        <w:tc>
          <w:tcPr>
            <w:tcW w:w="1241" w:type="dxa"/>
            <w:vAlign w:val="center"/>
          </w:tcPr>
          <w:p>
            <w:pPr>
              <w:jc w:val="center"/>
              <w:rPr>
                <w:rFonts w:ascii="Times New Roman" w:hAnsi="Times New Roman"/>
                <w:sz w:val="21"/>
                <w:szCs w:val="21"/>
              </w:rPr>
            </w:pPr>
            <w:r>
              <w:rPr>
                <w:rFonts w:ascii="Times New Roman" w:hAnsi="Times New Roman"/>
                <w:sz w:val="21"/>
                <w:szCs w:val="21"/>
              </w:rPr>
              <w:t>0.012</w:t>
            </w:r>
          </w:p>
        </w:tc>
        <w:tc>
          <w:tcPr>
            <w:tcW w:w="1079" w:type="dxa"/>
            <w:vAlign w:val="center"/>
          </w:tcPr>
          <w:p>
            <w:pPr>
              <w:jc w:val="center"/>
              <w:rPr>
                <w:rFonts w:ascii="Times New Roman" w:hAnsi="Times New Roman"/>
                <w:sz w:val="21"/>
                <w:szCs w:val="21"/>
              </w:rPr>
            </w:pPr>
            <w:r>
              <w:rPr>
                <w:rFonts w:ascii="Times New Roman" w:hAnsi="Times New Roman"/>
                <w:sz w:val="21"/>
                <w:szCs w:val="21"/>
              </w:rPr>
              <w:t>1002.41</w:t>
            </w:r>
          </w:p>
        </w:tc>
        <w:tc>
          <w:tcPr>
            <w:tcW w:w="1698" w:type="dxa"/>
            <w:vAlign w:val="center"/>
          </w:tcPr>
          <w:p>
            <w:pPr>
              <w:jc w:val="center"/>
              <w:rPr>
                <w:rFonts w:ascii="Times New Roman" w:hAnsi="Times New Roman"/>
                <w:sz w:val="21"/>
                <w:szCs w:val="21"/>
              </w:rPr>
            </w:pPr>
            <w:r>
              <w:rPr>
                <w:rFonts w:ascii="Times New Roman" w:hAnsi="Times New Roman"/>
                <w:sz w:val="21"/>
                <w:szCs w:val="21"/>
              </w:rPr>
              <w:t>1098.09</w:t>
            </w:r>
          </w:p>
        </w:tc>
        <w:tc>
          <w:tcPr>
            <w:tcW w:w="2990" w:type="dxa"/>
            <w:vAlign w:val="center"/>
          </w:tcPr>
          <w:p>
            <w:pPr>
              <w:jc w:val="center"/>
              <w:rPr>
                <w:rFonts w:ascii="Times New Roman" w:hAnsi="Times New Roman"/>
                <w:sz w:val="21"/>
                <w:szCs w:val="21"/>
              </w:rPr>
            </w:pPr>
            <w:r>
              <w:rPr>
                <w:rFonts w:ascii="Times New Roman" w:hAnsi="Times New Roman"/>
                <w:sz w:val="21"/>
                <w:szCs w:val="21"/>
              </w:rPr>
              <w:t>X43-1、X43-5、NX3-2、NX3-6</w:t>
            </w:r>
          </w:p>
        </w:tc>
      </w:tr>
    </w:tbl>
    <w:p>
      <w:pPr>
        <w:autoSpaceDE w:val="0"/>
        <w:autoSpaceDN w:val="0"/>
        <w:adjustRightInd w:val="0"/>
        <w:snapToGrid w:val="0"/>
        <w:spacing w:before="120" w:beforeLines="50" w:line="440" w:lineRule="exact"/>
        <w:ind w:firstLine="480" w:firstLineChars="200"/>
        <w:rPr>
          <w:rFonts w:ascii="Times New Roman" w:hAnsi="Times New Roman"/>
          <w:szCs w:val="24"/>
        </w:rPr>
      </w:pPr>
      <w:r>
        <w:rPr>
          <w:rFonts w:ascii="Times New Roman" w:hAnsi="Times New Roman"/>
        </w:rPr>
        <w:t>由上表计算结果可知，侏罗系中统直罗组碎屑岩类承压水含水岩组疏干影响半径约为1425.82m；直罗组底部至3煤组底碎屑岩类承压水含水岩组疏干影响半径约为2426.77m；4煤组顶部至6煤组底碎屑岩类承压水含水岩组疏干影响半径约为1098.09m。</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2）煤炭开采对第四系含水层水位的影响</w:t>
      </w:r>
    </w:p>
    <w:p>
      <w:pPr>
        <w:autoSpaceDE w:val="0"/>
        <w:autoSpaceDN w:val="0"/>
        <w:adjustRightInd w:val="0"/>
        <w:snapToGrid w:val="0"/>
        <w:spacing w:line="440" w:lineRule="exact"/>
        <w:ind w:firstLine="480" w:firstLineChars="200"/>
        <w:rPr>
          <w:rFonts w:ascii="Times New Roman" w:hAnsi="Times New Roman"/>
          <w:color w:val="FF0000"/>
          <w:kern w:val="0"/>
          <w:szCs w:val="24"/>
        </w:rPr>
      </w:pPr>
      <w:r>
        <w:rPr>
          <w:rFonts w:ascii="Times New Roman" w:hAnsi="Times New Roman"/>
          <w:szCs w:val="24"/>
        </w:rPr>
        <w:t>第四系含水层地下水主要由大气降水补给</w:t>
      </w:r>
      <w:bookmarkStart w:id="253" w:name="_Hlk65739786"/>
      <w:r>
        <w:rPr>
          <w:rFonts w:ascii="Times New Roman" w:hAnsi="Times New Roman"/>
          <w:szCs w:val="24"/>
        </w:rPr>
        <w:t>，</w:t>
      </w:r>
      <w:r>
        <w:rPr>
          <w:rFonts w:ascii="Times New Roman" w:hAnsi="Times New Roman"/>
          <w:kern w:val="0"/>
          <w:szCs w:val="24"/>
        </w:rPr>
        <w:t>导裂带距第四系</w:t>
      </w:r>
      <w:bookmarkEnd w:id="253"/>
      <w:r>
        <w:rPr>
          <w:rFonts w:ascii="Times New Roman" w:hAnsi="Times New Roman"/>
          <w:kern w:val="0"/>
          <w:szCs w:val="24"/>
        </w:rPr>
        <w:t>675.9~1042.89m，平均798.88m，导裂带远未波及第四系含水层，且有隔水性能较好的安定组隔水层阻隔，煤炭开采对第四系含水层水位影响较小。</w:t>
      </w:r>
      <w:r>
        <w:rPr>
          <w:rFonts w:hint="eastAsia" w:ascii="Times New Roman" w:hAnsi="Times New Roman"/>
          <w:color w:val="FF0000"/>
          <w:kern w:val="0"/>
          <w:szCs w:val="24"/>
        </w:rPr>
        <w:t>主要可能由于开采沉陷导致地形发生变化，地下水流场可能会受到沉陷影响而重新分布，总体影响较小。</w:t>
      </w:r>
    </w:p>
    <w:p>
      <w:pPr>
        <w:snapToGrid w:val="0"/>
        <w:spacing w:line="440" w:lineRule="exact"/>
        <w:ind w:firstLine="480" w:firstLineChars="200"/>
        <w:rPr>
          <w:rFonts w:ascii="Times New Roman" w:hAnsi="Times New Roman"/>
          <w:szCs w:val="24"/>
        </w:rPr>
      </w:pPr>
      <w:r>
        <w:rPr>
          <w:rFonts w:ascii="Times New Roman" w:hAnsi="Times New Roman"/>
          <w:szCs w:val="24"/>
        </w:rPr>
        <w:t>3）煤炭开采对白垩系下统志丹群（K</w:t>
      </w:r>
      <w:r>
        <w:rPr>
          <w:rFonts w:ascii="Times New Roman" w:hAnsi="Times New Roman"/>
          <w:szCs w:val="24"/>
          <w:vertAlign w:val="subscript"/>
        </w:rPr>
        <w:t>1</w:t>
      </w:r>
      <w:r>
        <w:rPr>
          <w:rFonts w:ascii="Times New Roman" w:hAnsi="Times New Roman"/>
          <w:szCs w:val="24"/>
        </w:rPr>
        <w:t>zh）孔隙潜水～裂隙承压水含水岩组水位的影响</w:t>
      </w:r>
    </w:p>
    <w:p>
      <w:pPr>
        <w:tabs>
          <w:tab w:val="center" w:pos="1680"/>
        </w:tabs>
        <w:adjustRightInd w:val="0"/>
        <w:snapToGrid w:val="0"/>
        <w:spacing w:line="440" w:lineRule="exact"/>
        <w:ind w:firstLine="480" w:firstLineChars="200"/>
        <w:rPr>
          <w:rFonts w:ascii="Times New Roman" w:hAnsi="Times New Roman"/>
          <w:color w:val="FF0000"/>
          <w:szCs w:val="24"/>
        </w:rPr>
      </w:pPr>
      <w:r>
        <w:rPr>
          <w:rFonts w:ascii="Times New Roman" w:hAnsi="Times New Roman"/>
          <w:color w:val="FF0000"/>
          <w:szCs w:val="24"/>
        </w:rPr>
        <w:t>含水岩组全区发育</w:t>
      </w:r>
      <w:bookmarkStart w:id="254" w:name="_Hlk65499871"/>
      <w:r>
        <w:rPr>
          <w:rFonts w:ascii="Times New Roman" w:hAnsi="Times New Roman"/>
          <w:color w:val="FF0000"/>
          <w:szCs w:val="24"/>
        </w:rPr>
        <w:t>，导水裂缝带距离含水岩组46.9~294.19m，平均147.66m，未波及到该含水岩组，根据前面分析，下部</w:t>
      </w:r>
      <w:r>
        <w:rPr>
          <w:rFonts w:hint="eastAsia" w:ascii="Times New Roman" w:hAnsi="Times New Roman"/>
          <w:color w:val="FF0000"/>
          <w:szCs w:val="24"/>
        </w:rPr>
        <w:t>存在</w:t>
      </w:r>
      <w:r>
        <w:rPr>
          <w:rFonts w:ascii="Times New Roman" w:hAnsi="Times New Roman"/>
          <w:color w:val="FF0000"/>
          <w:szCs w:val="24"/>
        </w:rPr>
        <w:t>矿区</w:t>
      </w:r>
      <w:r>
        <w:rPr>
          <w:rFonts w:hint="eastAsia" w:ascii="Times New Roman" w:hAnsi="Times New Roman"/>
          <w:color w:val="FF0000"/>
          <w:szCs w:val="24"/>
        </w:rPr>
        <w:t>广泛分布</w:t>
      </w:r>
      <w:r>
        <w:rPr>
          <w:rFonts w:ascii="Times New Roman" w:hAnsi="Times New Roman"/>
          <w:color w:val="FF0000"/>
          <w:szCs w:val="24"/>
        </w:rPr>
        <w:t>，隔水性能较好侏罗系中统安定组隔水层，局部会导入安定组，但导入区仍具有较厚的隔水层段</w:t>
      </w:r>
      <w:r>
        <w:rPr>
          <w:rFonts w:hint="eastAsia" w:ascii="Times New Roman" w:hAnsi="Times New Roman"/>
          <w:color w:val="FF0000"/>
          <w:szCs w:val="24"/>
        </w:rPr>
        <w:t>（</w:t>
      </w:r>
      <w:r>
        <w:rPr>
          <w:rFonts w:ascii="Times New Roman" w:hAnsi="Times New Roman"/>
          <w:color w:val="FF0000"/>
          <w:szCs w:val="24"/>
        </w:rPr>
        <w:t>46.9~178</w:t>
      </w:r>
      <w:r>
        <w:rPr>
          <w:rFonts w:hint="eastAsia" w:ascii="Times New Roman" w:hAnsi="Times New Roman"/>
          <w:color w:val="FF0000"/>
          <w:szCs w:val="24"/>
        </w:rPr>
        <w:t>m）</w:t>
      </w:r>
      <w:r>
        <w:rPr>
          <w:rFonts w:ascii="Times New Roman" w:hAnsi="Times New Roman"/>
          <w:color w:val="FF0000"/>
          <w:szCs w:val="24"/>
        </w:rPr>
        <w:t>，</w:t>
      </w:r>
      <w:r>
        <w:rPr>
          <w:rFonts w:hint="eastAsia" w:ascii="Times New Roman" w:hAnsi="Times New Roman"/>
          <w:color w:val="FF0000"/>
          <w:szCs w:val="24"/>
        </w:rPr>
        <w:t>且</w:t>
      </w:r>
      <w:r>
        <w:rPr>
          <w:rFonts w:hint="eastAsia" w:ascii="Times New Roman" w:hAnsi="Times New Roman"/>
          <w:color w:val="FF0000"/>
          <w:kern w:val="0"/>
          <w:szCs w:val="24"/>
        </w:rPr>
        <w:t>安定组厚度小于3</w:t>
      </w:r>
      <w:r>
        <w:rPr>
          <w:rFonts w:ascii="Times New Roman" w:hAnsi="Times New Roman"/>
          <w:color w:val="FF0000"/>
          <w:kern w:val="0"/>
          <w:szCs w:val="24"/>
        </w:rPr>
        <w:t>0</w:t>
      </w:r>
      <w:r>
        <w:rPr>
          <w:rFonts w:hint="eastAsia" w:ascii="Times New Roman" w:hAnsi="Times New Roman"/>
          <w:color w:val="FF0000"/>
          <w:kern w:val="0"/>
          <w:szCs w:val="24"/>
        </w:rPr>
        <w:t>m的区域（局部分布于纳林希里井田南部）导裂带发育顶界面距离安定组底板约2</w:t>
      </w:r>
      <w:r>
        <w:rPr>
          <w:rFonts w:ascii="Times New Roman" w:hAnsi="Times New Roman"/>
          <w:color w:val="FF0000"/>
          <w:kern w:val="0"/>
          <w:szCs w:val="24"/>
        </w:rPr>
        <w:t>2.6~116</w:t>
      </w:r>
      <w:r>
        <w:rPr>
          <w:rFonts w:hint="eastAsia" w:ascii="Times New Roman" w:hAnsi="Times New Roman"/>
          <w:color w:val="FF0000"/>
          <w:kern w:val="0"/>
          <w:szCs w:val="24"/>
        </w:rPr>
        <w:t>m，能极大程度保证安定组不被破坏，</w:t>
      </w:r>
      <w:r>
        <w:rPr>
          <w:rFonts w:ascii="Times New Roman" w:hAnsi="Times New Roman"/>
          <w:color w:val="FF0000"/>
          <w:szCs w:val="24"/>
        </w:rPr>
        <w:t>白垩系含水层与下部含水层水力联系</w:t>
      </w:r>
      <w:r>
        <w:rPr>
          <w:rFonts w:hint="eastAsia" w:ascii="Times New Roman" w:hAnsi="Times New Roman"/>
          <w:color w:val="FF0000"/>
          <w:szCs w:val="24"/>
        </w:rPr>
        <w:t>较</w:t>
      </w:r>
      <w:r>
        <w:rPr>
          <w:rFonts w:ascii="Times New Roman" w:hAnsi="Times New Roman"/>
          <w:color w:val="FF0000"/>
          <w:szCs w:val="24"/>
        </w:rPr>
        <w:t>弱，当煤炭开采对下部含水层产生影响时，对该含水层影响不大。</w:t>
      </w:r>
      <w:bookmarkEnd w:id="254"/>
      <w:r>
        <w:rPr>
          <w:rFonts w:hint="eastAsia" w:ascii="Times New Roman" w:hAnsi="Times New Roman"/>
          <w:color w:val="FF0000"/>
          <w:szCs w:val="24"/>
        </w:rPr>
        <w:t>主要可能由于开采沉陷导致地形发生变化，地下水流场可能会受到沉陷影响而重新分布，总体影响较小。</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综上，评价认为煤炭开采对志丹群（K</w:t>
      </w:r>
      <w:r>
        <w:rPr>
          <w:rFonts w:ascii="Times New Roman" w:hAnsi="Times New Roman"/>
          <w:szCs w:val="24"/>
          <w:vertAlign w:val="subscript"/>
        </w:rPr>
        <w:t>1</w:t>
      </w:r>
      <w:r>
        <w:rPr>
          <w:rFonts w:ascii="Times New Roman" w:hAnsi="Times New Roman"/>
          <w:szCs w:val="24"/>
        </w:rPr>
        <w:t>zh）孔隙潜水～裂隙承压水含水岩组地下水水位影响不大。</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4）煤炭开采对侏罗系中统直罗组(J</w:t>
      </w:r>
      <w:r>
        <w:rPr>
          <w:rFonts w:ascii="Times New Roman" w:hAnsi="Times New Roman"/>
          <w:szCs w:val="24"/>
          <w:vertAlign w:val="subscript"/>
        </w:rPr>
        <w:t>2</w:t>
      </w:r>
      <w:r>
        <w:rPr>
          <w:rFonts w:ascii="Times New Roman" w:hAnsi="Times New Roman"/>
          <w:szCs w:val="24"/>
        </w:rPr>
        <w:t>z)碎屑岩类承压水含水岩组、煤系含水岩组水位的影响</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根据前面分析，煤炭开采直接破坏煤系含水岩组，导水裂缝带发育高度大多导入直罗组。随着煤炭开采时间越长，形成的以开采区为中心的不规则水位降落漏斗的深度和面积越大，漏斗中心含水层地下水将随着煤炭的开采而以矿井水的形式排出地表，随着矿井水的排出，深层地下水位逐年下降，直到降至开采煤层底板标高以下。根据对主要影响含水层疏干影响半径计算，侏罗系中统直罗组(J</w:t>
      </w:r>
      <w:r>
        <w:rPr>
          <w:rFonts w:ascii="Times New Roman" w:hAnsi="Times New Roman"/>
          <w:szCs w:val="24"/>
          <w:vertAlign w:val="subscript"/>
        </w:rPr>
        <w:t>2</w:t>
      </w:r>
      <w:r>
        <w:rPr>
          <w:rFonts w:ascii="Times New Roman" w:hAnsi="Times New Roman"/>
          <w:szCs w:val="24"/>
        </w:rPr>
        <w:t>z)碎屑岩类承压水含水岩组疏干影响半径约1425.82m，直罗组底部至3煤组底碎屑岩类承压水含水岩组疏干影响半径约2426.77m，4煤组顶部至6煤组底碎屑岩类承压水含水岩组疏干影响半径约1098.09m。</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评价认为煤炭开采对侏罗系中统直罗组(J</w:t>
      </w:r>
      <w:r>
        <w:rPr>
          <w:rFonts w:ascii="Times New Roman" w:hAnsi="Times New Roman"/>
          <w:szCs w:val="24"/>
          <w:vertAlign w:val="subscript"/>
        </w:rPr>
        <w:t>2</w:t>
      </w:r>
      <w:r>
        <w:rPr>
          <w:rFonts w:ascii="Times New Roman" w:hAnsi="Times New Roman"/>
          <w:szCs w:val="24"/>
        </w:rPr>
        <w:t>z)碎屑岩类承压水含水岩组、煤系含水岩组水位的影响较大。</w:t>
      </w:r>
    </w:p>
    <w:p>
      <w:pPr>
        <w:spacing w:line="440" w:lineRule="exact"/>
        <w:ind w:firstLine="480" w:firstLineChars="200"/>
        <w:rPr>
          <w:rFonts w:ascii="Times New Roman" w:hAnsi="Times New Roman"/>
          <w:szCs w:val="24"/>
        </w:rPr>
      </w:pPr>
      <w:r>
        <w:rPr>
          <w:rFonts w:ascii="Times New Roman" w:hAnsi="Times New Roman"/>
          <w:szCs w:val="24"/>
        </w:rPr>
        <w:t>（4）煤炭开采对地下水水质的影响分析</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1）煤炭开采对第四系含水层地下水水质的影响</w:t>
      </w:r>
    </w:p>
    <w:p>
      <w:pPr>
        <w:spacing w:line="440" w:lineRule="exact"/>
        <w:ind w:firstLine="480" w:firstLineChars="200"/>
        <w:rPr>
          <w:rFonts w:ascii="Times New Roman" w:hAnsi="Times New Roman"/>
          <w:szCs w:val="24"/>
        </w:rPr>
      </w:pPr>
      <w:r>
        <w:rPr>
          <w:rFonts w:ascii="Times New Roman" w:hAnsi="Times New Roman"/>
          <w:szCs w:val="24"/>
        </w:rPr>
        <w:t>根据上面对第四系含水层影响分析，导水裂缝带发育高度距第四系大于650m，远未影响到第四系含水层。第四系含水层与受煤炭开采影响含水层间存在全区发育且隔水性能较好侏罗系中统安定组隔水层，与煤系上覆侏罗系中统直罗组碎屑岩类承压水含水岩组、煤系含水岩组水力联系弱，煤矿开采疏排下部含水层对第四系含水层水质影响不大。</w:t>
      </w:r>
    </w:p>
    <w:p>
      <w:pPr>
        <w:spacing w:line="440" w:lineRule="exact"/>
        <w:ind w:firstLine="480" w:firstLineChars="200"/>
        <w:rPr>
          <w:rFonts w:ascii="Times New Roman" w:hAnsi="Times New Roman"/>
          <w:szCs w:val="24"/>
        </w:rPr>
      </w:pPr>
      <w:r>
        <w:rPr>
          <w:rFonts w:ascii="Times New Roman" w:hAnsi="Times New Roman"/>
          <w:szCs w:val="24"/>
        </w:rPr>
        <w:t>规划矿井各建1座井下水处理站及生活污水处理站。各矿井生活污水经处理站处理后全部回用，作为场地绿化浇洒冲洗用水和选煤生产补充水。井下排水分别排入各矿井水处理站经分质处理后回用于矿井井下消防洒水、选煤厂生产补充水、辅助企业生产用水，后期经深度处理可用于矿井生活用水；</w:t>
      </w:r>
      <w:r>
        <w:rPr>
          <w:rFonts w:ascii="Times New Roman" w:hAnsi="Times New Roman"/>
        </w:rPr>
        <w:t>剩余部分可处理达到地表水III类水水质标准后，</w:t>
      </w:r>
      <w:r>
        <w:rPr>
          <w:rFonts w:hint="eastAsia" w:ascii="Times New Roman" w:hAnsi="Times New Roman"/>
        </w:rPr>
        <w:t>送至临近的蒙苏经济开发区及纳林希里4×1000MW煤电一体化电厂项目</w:t>
      </w:r>
      <w:r>
        <w:rPr>
          <w:rFonts w:ascii="Times New Roman" w:hAnsi="Times New Roman"/>
        </w:rPr>
        <w:t>作为生产、生活及</w:t>
      </w:r>
      <w:r>
        <w:rPr>
          <w:rFonts w:hint="eastAsia" w:ascii="Times New Roman" w:hAnsi="Times New Roman"/>
        </w:rPr>
        <w:t>开发区</w:t>
      </w:r>
      <w:r>
        <w:rPr>
          <w:rFonts w:ascii="Times New Roman" w:hAnsi="Times New Roman"/>
        </w:rPr>
        <w:t>绿化用水等综合利用。</w:t>
      </w:r>
      <w:r>
        <w:rPr>
          <w:rFonts w:hint="eastAsia" w:ascii="Times New Roman" w:hAnsi="Times New Roman"/>
        </w:rPr>
        <w:t>如有多余可</w:t>
      </w:r>
      <w:r>
        <w:rPr>
          <w:rFonts w:ascii="Times New Roman" w:hAnsi="Times New Roman"/>
        </w:rPr>
        <w:t>就近排入井田内地势低洼的淖尔，增加淖尔水量，改善淖尔水质及周边生态。</w:t>
      </w:r>
      <w:r>
        <w:rPr>
          <w:rFonts w:ascii="Times New Roman" w:hAnsi="Times New Roman"/>
          <w:szCs w:val="24"/>
        </w:rPr>
        <w:t>因此本项目生产生活废水、矿井水对含水层水质影响较小。</w:t>
      </w:r>
    </w:p>
    <w:p>
      <w:pPr>
        <w:spacing w:line="440" w:lineRule="exact"/>
        <w:ind w:firstLine="480" w:firstLineChars="200"/>
        <w:rPr>
          <w:rFonts w:ascii="Times New Roman" w:hAnsi="Times New Roman"/>
          <w:szCs w:val="24"/>
        </w:rPr>
      </w:pPr>
      <w:r>
        <w:rPr>
          <w:rFonts w:ascii="Times New Roman" w:hAnsi="Times New Roman"/>
          <w:szCs w:val="24"/>
        </w:rPr>
        <w:t>综上，评价认为煤炭开采对第四系含水层水质影响较小。</w:t>
      </w:r>
    </w:p>
    <w:p>
      <w:pPr>
        <w:snapToGrid w:val="0"/>
        <w:spacing w:line="440" w:lineRule="exact"/>
        <w:ind w:firstLine="480" w:firstLineChars="200"/>
        <w:rPr>
          <w:rFonts w:ascii="Times New Roman" w:hAnsi="Times New Roman"/>
          <w:szCs w:val="24"/>
        </w:rPr>
      </w:pPr>
      <w:r>
        <w:rPr>
          <w:rFonts w:ascii="Times New Roman" w:hAnsi="Times New Roman"/>
          <w:szCs w:val="24"/>
        </w:rPr>
        <w:t>2）煤炭开采对白垩系下统志丹群（K</w:t>
      </w:r>
      <w:r>
        <w:rPr>
          <w:rFonts w:ascii="Times New Roman" w:hAnsi="Times New Roman"/>
          <w:szCs w:val="24"/>
          <w:vertAlign w:val="subscript"/>
        </w:rPr>
        <w:t>1</w:t>
      </w:r>
      <w:r>
        <w:rPr>
          <w:rFonts w:ascii="Times New Roman" w:hAnsi="Times New Roman"/>
          <w:szCs w:val="24"/>
        </w:rPr>
        <w:t>zh）孔隙潜水～裂隙承压水含水岩组地下水水质的影响</w:t>
      </w:r>
    </w:p>
    <w:p>
      <w:pPr>
        <w:spacing w:line="440" w:lineRule="exact"/>
        <w:ind w:firstLine="480" w:firstLineChars="200"/>
        <w:rPr>
          <w:rFonts w:ascii="Times New Roman" w:hAnsi="Times New Roman"/>
          <w:szCs w:val="24"/>
        </w:rPr>
      </w:pPr>
      <w:r>
        <w:rPr>
          <w:rFonts w:ascii="Times New Roman" w:hAnsi="Times New Roman"/>
          <w:szCs w:val="24"/>
        </w:rPr>
        <w:t>根据上面对含水层影响分析，导水裂缝带未扰动含水岩组，下部有全区发育、隔水性能较好侏罗系中统安定组隔水层阻隔，该含水岩组与下部受影响含水层水力联系弱，当煤炭开采对下部含水层地下水水质产生影响时，对该含水层影响不大。上部第四系含水层水质较好且水质受煤炭开采影响较小。综上，评价认为煤炭开采对白垩系下统志丹群（K</w:t>
      </w:r>
      <w:r>
        <w:rPr>
          <w:rFonts w:ascii="Times New Roman" w:hAnsi="Times New Roman"/>
          <w:szCs w:val="24"/>
          <w:vertAlign w:val="subscript"/>
        </w:rPr>
        <w:t>1</w:t>
      </w:r>
      <w:r>
        <w:rPr>
          <w:rFonts w:ascii="Times New Roman" w:hAnsi="Times New Roman"/>
          <w:szCs w:val="24"/>
        </w:rPr>
        <w:t>zh）孔隙潜水～裂隙承压水含水岩组地下水水质影响较小。</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3）煤炭开采对侏罗系中统直罗组(J</w:t>
      </w:r>
      <w:r>
        <w:rPr>
          <w:rFonts w:ascii="Times New Roman" w:hAnsi="Times New Roman"/>
          <w:szCs w:val="24"/>
          <w:vertAlign w:val="subscript"/>
        </w:rPr>
        <w:t>2</w:t>
      </w:r>
      <w:r>
        <w:rPr>
          <w:rFonts w:ascii="Times New Roman" w:hAnsi="Times New Roman"/>
          <w:szCs w:val="24"/>
        </w:rPr>
        <w:t>z)碎屑岩类承压水含水岩组、煤系含水岩组水质的影响</w:t>
      </w:r>
    </w:p>
    <w:p>
      <w:pPr>
        <w:spacing w:line="440" w:lineRule="exact"/>
        <w:ind w:firstLine="480" w:firstLineChars="200"/>
        <w:rPr>
          <w:rFonts w:ascii="Times New Roman" w:hAnsi="Times New Roman"/>
        </w:rPr>
      </w:pPr>
      <w:bookmarkStart w:id="255" w:name="_Hlk65508310"/>
      <w:r>
        <w:rPr>
          <w:rFonts w:ascii="Times New Roman" w:hAnsi="Times New Roman"/>
          <w:szCs w:val="24"/>
        </w:rPr>
        <w:t>煤系上覆侏罗系中统直罗组(J</w:t>
      </w:r>
      <w:r>
        <w:rPr>
          <w:rFonts w:ascii="Times New Roman" w:hAnsi="Times New Roman"/>
          <w:szCs w:val="24"/>
          <w:vertAlign w:val="subscript"/>
        </w:rPr>
        <w:t>2</w:t>
      </w:r>
      <w:r>
        <w:rPr>
          <w:rFonts w:ascii="Times New Roman" w:hAnsi="Times New Roman"/>
          <w:szCs w:val="24"/>
        </w:rPr>
        <w:t>z)碎屑岩类承压水含水岩组及煤系含水岩组</w:t>
      </w:r>
      <w:bookmarkEnd w:id="255"/>
      <w:r>
        <w:rPr>
          <w:rFonts w:ascii="Times New Roman" w:hAnsi="Times New Roman"/>
          <w:szCs w:val="24"/>
        </w:rPr>
        <w:t>中的地下水通过导水裂缝带、掘进巷道流入开采区而被疏排，以矿井水的形式排出。井下排水分别排入各矿井水处理站经分质处理后回用于矿井井下消防洒水、选煤厂生产补充水、辅助企业生产用水，后期经深度处理可用于矿井生活用水；</w:t>
      </w:r>
      <w:r>
        <w:rPr>
          <w:rFonts w:ascii="Times New Roman" w:hAnsi="Times New Roman"/>
        </w:rPr>
        <w:t>剩余部分可处理达到地表水III类水水质标准后，就近排入井田内地势低洼的淖尔，增加淖尔水量，改善淖尔水质及周边生态，也可根据临近的鄂尔多斯江苏工业园区用水需求，送到该工业园区作为生产、生活及园区绿化用水等综合利用。</w:t>
      </w:r>
    </w:p>
    <w:p>
      <w:pPr>
        <w:spacing w:line="440" w:lineRule="exact"/>
        <w:ind w:firstLine="480" w:firstLineChars="200"/>
        <w:rPr>
          <w:rFonts w:ascii="Times New Roman" w:hAnsi="Times New Roman"/>
          <w:szCs w:val="24"/>
        </w:rPr>
      </w:pPr>
      <w:r>
        <w:rPr>
          <w:rFonts w:ascii="Times New Roman" w:hAnsi="Times New Roman"/>
          <w:szCs w:val="24"/>
        </w:rPr>
        <w:t>（5）煤炭开采对地下水资源量的影响分析</w:t>
      </w:r>
    </w:p>
    <w:p>
      <w:pPr>
        <w:spacing w:line="440" w:lineRule="exact"/>
        <w:ind w:firstLine="480" w:firstLineChars="200"/>
        <w:rPr>
          <w:rFonts w:ascii="Times New Roman" w:hAnsi="Times New Roman"/>
          <w:szCs w:val="24"/>
        </w:rPr>
      </w:pPr>
      <w:r>
        <w:rPr>
          <w:rFonts w:ascii="Times New Roman" w:hAnsi="Times New Roman"/>
          <w:szCs w:val="24"/>
        </w:rPr>
        <w:t>煤矿开采对地下水资源的影响主要表现为随着煤层开采后形成的采空区顶板岩石（层）的冒落，致使采空区上覆含水层遭到破坏，原来赋存于含水层中的地下水在短时间内疏干而造成地下水资源的损失。本项目直接影响煤系上覆侏罗系中统直罗组碎屑岩类承压水含水岩组及煤系含水岩组的地下水资源量。根据地质、水文地质资料，矿区内煤系上覆侏罗系直罗组含水层、煤系含水层水质较差，不具供水意义。</w:t>
      </w:r>
    </w:p>
    <w:p>
      <w:pPr>
        <w:spacing w:line="440" w:lineRule="exact"/>
        <w:ind w:firstLine="480" w:firstLineChars="200"/>
        <w:rPr>
          <w:rFonts w:ascii="Times New Roman" w:hAnsi="Times New Roman"/>
          <w:color w:val="FF0000"/>
          <w:szCs w:val="24"/>
        </w:rPr>
      </w:pPr>
      <w:r>
        <w:rPr>
          <w:rFonts w:ascii="Times New Roman" w:hAnsi="Times New Roman"/>
          <w:color w:val="FF0000"/>
          <w:szCs w:val="24"/>
        </w:rPr>
        <w:t>煤系上覆含水层、煤系含水层中承压水沿导水裂缝带、巷道进入井内，</w:t>
      </w:r>
      <w:r>
        <w:rPr>
          <w:rFonts w:hint="eastAsia" w:ascii="Times New Roman" w:hAnsi="Times New Roman"/>
          <w:color w:val="FF0000"/>
          <w:szCs w:val="24"/>
        </w:rPr>
        <w:t>矿区总体规划根据矿区地质勘查成果总结报告中对苏布尔嘎矿及纳林希里井田涌水量预测结果，并结合相邻南部呼吉尔特矿区生产矿井及待开发矿井水文勘探报告涌水量，同时根据本矿区规划</w:t>
      </w:r>
      <w:r>
        <w:rPr>
          <w:rFonts w:ascii="Times New Roman" w:hAnsi="Times New Roman"/>
          <w:color w:val="FF0000"/>
          <w:szCs w:val="24"/>
        </w:rPr>
        <w:t>4个井田煤层的开采深度，</w:t>
      </w:r>
      <w:r>
        <w:rPr>
          <w:rFonts w:hint="eastAsia" w:ascii="Times New Roman" w:hAnsi="Times New Roman"/>
          <w:color w:val="FF0000"/>
          <w:szCs w:val="24"/>
        </w:rPr>
        <w:t>以及</w:t>
      </w:r>
      <w:r>
        <w:rPr>
          <w:rFonts w:ascii="Times New Roman" w:hAnsi="Times New Roman"/>
          <w:color w:val="FF0000"/>
          <w:szCs w:val="24"/>
        </w:rPr>
        <w:t>考虑井下灌浆用水、消防洒水等因素，规划</w:t>
      </w:r>
      <w:r>
        <w:rPr>
          <w:rFonts w:hint="eastAsia" w:ascii="Times New Roman" w:hAnsi="Times New Roman"/>
          <w:color w:val="FF0000"/>
          <w:szCs w:val="24"/>
        </w:rPr>
        <w:t>矿区矿井正常</w:t>
      </w:r>
      <w:r>
        <w:rPr>
          <w:rFonts w:ascii="Times New Roman" w:hAnsi="Times New Roman"/>
          <w:color w:val="FF0000"/>
          <w:szCs w:val="24"/>
        </w:rPr>
        <w:t>涌水量</w:t>
      </w:r>
      <w:r>
        <w:rPr>
          <w:rFonts w:hint="eastAsia" w:ascii="Times New Roman" w:hAnsi="Times New Roman"/>
          <w:color w:val="FF0000"/>
          <w:szCs w:val="24"/>
        </w:rPr>
        <w:t>为7</w:t>
      </w:r>
      <w:r>
        <w:rPr>
          <w:rFonts w:ascii="Times New Roman" w:hAnsi="Times New Roman"/>
          <w:color w:val="FF0000"/>
          <w:szCs w:val="24"/>
        </w:rPr>
        <w:t>9200</w:t>
      </w:r>
      <w:r>
        <w:rPr>
          <w:rFonts w:hint="eastAsia" w:ascii="Times New Roman" w:hAnsi="Times New Roman"/>
          <w:color w:val="FF0000"/>
          <w:szCs w:val="24"/>
        </w:rPr>
        <w:t>m</w:t>
      </w:r>
      <w:r>
        <w:rPr>
          <w:rFonts w:ascii="Times New Roman" w:hAnsi="Times New Roman"/>
          <w:color w:val="FF0000"/>
          <w:szCs w:val="24"/>
          <w:vertAlign w:val="superscript"/>
        </w:rPr>
        <w:t>3</w:t>
      </w:r>
      <w:r>
        <w:rPr>
          <w:rFonts w:ascii="Times New Roman" w:hAnsi="Times New Roman"/>
          <w:color w:val="FF0000"/>
          <w:szCs w:val="24"/>
        </w:rPr>
        <w:t>/d。规划井下排水分别排入各矿井水处理站经分质处理后回用于矿井井下消防洒水、选煤厂生产补充水、辅助企业生产用水，后期经深度处理可用于矿井生活用水；</w:t>
      </w:r>
      <w:r>
        <w:rPr>
          <w:rFonts w:ascii="Times New Roman" w:hAnsi="Times New Roman"/>
          <w:color w:val="FF0000"/>
        </w:rPr>
        <w:t>剩余部分可处理达到地表水III类水水质标准后，</w:t>
      </w:r>
      <w:r>
        <w:rPr>
          <w:rFonts w:hint="eastAsia" w:ascii="Times New Roman" w:hAnsi="Times New Roman"/>
          <w:color w:val="FF0000"/>
        </w:rPr>
        <w:t>送至临近的蒙苏经济开发区及纳林希里4×1000MW煤电一体化电厂项目</w:t>
      </w:r>
      <w:r>
        <w:rPr>
          <w:rFonts w:ascii="Times New Roman" w:hAnsi="Times New Roman"/>
          <w:color w:val="FF0000"/>
        </w:rPr>
        <w:t>作为生产、生活及</w:t>
      </w:r>
      <w:r>
        <w:rPr>
          <w:rFonts w:hint="eastAsia" w:ascii="Times New Roman" w:hAnsi="Times New Roman"/>
          <w:color w:val="FF0000"/>
        </w:rPr>
        <w:t>开发</w:t>
      </w:r>
      <w:r>
        <w:rPr>
          <w:rFonts w:ascii="Times New Roman" w:hAnsi="Times New Roman"/>
          <w:color w:val="FF0000"/>
        </w:rPr>
        <w:t>区绿化用水等综合利用。</w:t>
      </w:r>
      <w:r>
        <w:rPr>
          <w:rFonts w:hint="eastAsia" w:ascii="Times New Roman" w:hAnsi="Times New Roman"/>
          <w:color w:val="FF0000"/>
        </w:rPr>
        <w:t>如有多余可</w:t>
      </w:r>
      <w:r>
        <w:rPr>
          <w:rFonts w:ascii="Times New Roman" w:hAnsi="Times New Roman"/>
          <w:color w:val="FF0000"/>
        </w:rPr>
        <w:t>就近排入井田内地势低洼的淖尔，增加淖尔水量，改善淖尔水质及周边生态。</w:t>
      </w:r>
    </w:p>
    <w:p>
      <w:pPr>
        <w:spacing w:line="440" w:lineRule="exact"/>
        <w:ind w:firstLine="480" w:firstLineChars="200"/>
        <w:rPr>
          <w:rFonts w:ascii="Times New Roman" w:hAnsi="Times New Roman"/>
          <w:szCs w:val="24"/>
        </w:rPr>
      </w:pPr>
      <w:r>
        <w:rPr>
          <w:rFonts w:ascii="Times New Roman" w:hAnsi="Times New Roman"/>
          <w:szCs w:val="24"/>
        </w:rPr>
        <w:t>因此，矿区各矿井下疏排水能得到合理利用，不会造成大量地下水资源的浪费和损失。</w:t>
      </w:r>
    </w:p>
    <w:p>
      <w:pPr>
        <w:keepNext/>
        <w:keepLines/>
        <w:adjustRightInd w:val="0"/>
        <w:snapToGrid w:val="0"/>
        <w:spacing w:line="440" w:lineRule="exact"/>
        <w:outlineLvl w:val="2"/>
        <w:rPr>
          <w:rFonts w:ascii="Times New Roman" w:hAnsi="Times New Roman"/>
          <w:b/>
        </w:rPr>
      </w:pPr>
      <w:r>
        <w:rPr>
          <w:rFonts w:ascii="Times New Roman" w:hAnsi="Times New Roman"/>
          <w:b/>
        </w:rPr>
        <w:t>5.3.7 矿区煤炭开采对水源地及居民水井影响分析</w:t>
      </w:r>
    </w:p>
    <w:p>
      <w:pPr>
        <w:spacing w:line="440" w:lineRule="exact"/>
        <w:ind w:firstLine="480" w:firstLineChars="200"/>
        <w:rPr>
          <w:rFonts w:ascii="Times New Roman" w:hAnsi="Times New Roman"/>
          <w:szCs w:val="24"/>
        </w:rPr>
      </w:pPr>
      <w:r>
        <w:rPr>
          <w:rFonts w:hint="eastAsia" w:ascii="Times New Roman" w:hAnsi="Times New Roman"/>
          <w:szCs w:val="24"/>
        </w:rPr>
        <w:t>矿区涉及</w:t>
      </w:r>
      <w:r>
        <w:rPr>
          <w:rFonts w:ascii="Times New Roman" w:hAnsi="Times New Roman"/>
          <w:szCs w:val="24"/>
        </w:rPr>
        <w:t>2个水源地，分别是伊金霍洛旗红庆河镇乌兰淖水源地、伊金霍洛旗红庆河镇哈达图淖尔水源地。水源地类型均为白垩系碎屑岩类裂隙孔隙承压水型水源地，白垩系含水层厚达数百米，根据2021年《内蒙古自治区东胜煤田纳林希里矿区纳林希里井田煤炭勘探报告》，2个水源地所处区域白垩系含水层厚度约400~500m，含水层补给主要以侧向径流补给为主，次为上部潜水的渗入补给，基岩出露处也可直接接受大气降水的垂直渗入补给，多沿地层倾向径流，以侧向径流排泄为主，次为人工开采排泄。水源地在矿区位置分布见图5.3-23。</w:t>
      </w:r>
    </w:p>
    <w:p>
      <w:pPr>
        <w:spacing w:line="440" w:lineRule="exact"/>
        <w:ind w:firstLine="480" w:firstLineChars="200"/>
        <w:rPr>
          <w:rFonts w:ascii="Times New Roman" w:hAnsi="Times New Roman"/>
          <w:szCs w:val="24"/>
        </w:rPr>
      </w:pPr>
      <w:r>
        <w:rPr>
          <w:rFonts w:ascii="Times New Roman" w:hAnsi="Times New Roman"/>
          <w:szCs w:val="24"/>
        </w:rPr>
        <w:t>伊金霍洛旗红庆河镇乌兰淖水源地为碎屑岩类裂隙孔隙承压水型水源地，地下水主要赋存于白垩系下统环河组碎屑岩类裂隙孔隙砂岩中。水源地已建成水源井13眼，其中12眼位于勘查区，1眼位于纳林希里井田内。该水源地拟服务区域为红庆河镇，用水结构为生活用水和其他用水。设计取水量365万m</w:t>
      </w:r>
      <w:r>
        <w:rPr>
          <w:rFonts w:ascii="Times New Roman" w:hAnsi="Times New Roman"/>
          <w:szCs w:val="24"/>
          <w:vertAlign w:val="superscript"/>
        </w:rPr>
        <w:t>3</w:t>
      </w:r>
      <w:r>
        <w:rPr>
          <w:rFonts w:ascii="Times New Roman" w:hAnsi="Times New Roman"/>
          <w:szCs w:val="24"/>
        </w:rPr>
        <w:t>/a，供水量为1万m</w:t>
      </w:r>
      <w:r>
        <w:rPr>
          <w:rFonts w:ascii="Times New Roman" w:hAnsi="Times New Roman"/>
          <w:szCs w:val="24"/>
          <w:vertAlign w:val="superscript"/>
        </w:rPr>
        <w:t>3</w:t>
      </w:r>
      <w:r>
        <w:rPr>
          <w:rFonts w:ascii="Times New Roman" w:hAnsi="Times New Roman"/>
          <w:szCs w:val="24"/>
        </w:rPr>
        <w:t>/d，工程规模为中型，设计服务人口约3000人。分别以水源井为圆心，50m为半径的圆的外切线所形成的13个正方形区域划分一级保护区（根据《规范》仅划分一级保护区），保护区总面积0.13km</w:t>
      </w:r>
      <w:r>
        <w:rPr>
          <w:rFonts w:ascii="Times New Roman" w:hAnsi="Times New Roman"/>
          <w:szCs w:val="24"/>
          <w:vertAlign w:val="superscript"/>
        </w:rPr>
        <w:t>2</w:t>
      </w:r>
      <w:r>
        <w:rPr>
          <w:rFonts w:ascii="Times New Roman" w:hAnsi="Times New Roman"/>
          <w:szCs w:val="24"/>
        </w:rPr>
        <w:t>。</w:t>
      </w:r>
    </w:p>
    <w:p>
      <w:pPr>
        <w:spacing w:line="440" w:lineRule="exact"/>
        <w:ind w:firstLine="480" w:firstLineChars="200"/>
        <w:rPr>
          <w:rFonts w:ascii="Times New Roman" w:hAnsi="Times New Roman"/>
          <w:szCs w:val="24"/>
        </w:rPr>
      </w:pPr>
      <w:r>
        <w:rPr>
          <w:rFonts w:ascii="Times New Roman" w:hAnsi="Times New Roman"/>
          <w:szCs w:val="24"/>
        </w:rPr>
        <w:t>伊金霍洛旗红庆河镇哈达图淖尔水源地主要取水层位为白垩系下统志丹群碎屑岩类第二、三、四岩段碎屑岩裂隙孔隙承压水含水层。已建成2眼水源井，均位于纳林希里井田内。目前水源地供水人口约2000人，主要为红庆河镇集镇区、黑炭淖尔村、乌兰淖尔村供水，采用潜水泵进行提水，通过地下管网输送到各用户。根据《规范》，采用单井保护区经验值法，根据孔隙裂隙水潜水型水源保护区划分方法，仅设一级保护区，不设二级保护区和准保护区。采用保护区经验值法，一级保护区半径取30m，保护区面积为0.0072km</w:t>
      </w:r>
      <w:r>
        <w:rPr>
          <w:rFonts w:ascii="Times New Roman" w:hAnsi="Times New Roman"/>
          <w:szCs w:val="24"/>
          <w:vertAlign w:val="superscript"/>
        </w:rPr>
        <w:t>2</w:t>
      </w:r>
      <w:r>
        <w:rPr>
          <w:rFonts w:ascii="Times New Roman" w:hAnsi="Times New Roman"/>
          <w:szCs w:val="24"/>
        </w:rPr>
        <w:t>。</w:t>
      </w:r>
    </w:p>
    <w:p>
      <w:pPr>
        <w:spacing w:line="440" w:lineRule="exact"/>
        <w:ind w:firstLine="480" w:firstLineChars="200"/>
        <w:rPr>
          <w:rFonts w:ascii="Times New Roman" w:hAnsi="Times New Roman"/>
          <w:szCs w:val="24"/>
        </w:rPr>
      </w:pPr>
      <w:r>
        <w:rPr>
          <w:rFonts w:hint="eastAsia" w:ascii="Times New Roman" w:hAnsi="Times New Roman"/>
          <w:szCs w:val="24"/>
        </w:rPr>
        <w:t>矿区内居民饮用水主要</w:t>
      </w:r>
      <w:r>
        <w:rPr>
          <w:rFonts w:ascii="Times New Roman" w:hAnsi="Times New Roman"/>
          <w:szCs w:val="24"/>
        </w:rPr>
        <w:t>取自2个水源地及居民分散水井，水源地水源井及居民分散水井取水层位均为第四系及白垩系志丹群组含水层，根据上面煤炭开采对第四系潜水含水层、白垩系志丹群含水岩组影响分析，矿区导水裂缝带距离第四系675.9~1042.89m，距志丹群含水岩组46.9~294.19m，其中2个水源地及周边导水裂缝带顶部距离白垩系含水层大于110m（图5.3-23），均不会扰动第四系潜水、白垩系含水层。</w:t>
      </w:r>
      <w:r>
        <w:rPr>
          <w:rFonts w:ascii="Times New Roman" w:hAnsi="Times New Roman"/>
          <w:color w:val="FF0000"/>
          <w:szCs w:val="24"/>
        </w:rPr>
        <w:t>下部</w:t>
      </w:r>
      <w:r>
        <w:rPr>
          <w:rFonts w:hint="eastAsia" w:ascii="Times New Roman" w:hAnsi="Times New Roman"/>
          <w:color w:val="FF0000"/>
          <w:szCs w:val="24"/>
        </w:rPr>
        <w:t>存在广泛分布</w:t>
      </w:r>
      <w:r>
        <w:rPr>
          <w:rFonts w:ascii="Times New Roman" w:hAnsi="Times New Roman"/>
          <w:color w:val="FF0000"/>
          <w:szCs w:val="24"/>
        </w:rPr>
        <w:t>且隔水性能较好侏罗系中统安定组隔水层</w:t>
      </w:r>
      <w:r>
        <w:rPr>
          <w:rFonts w:ascii="Times New Roman" w:hAnsi="Times New Roman"/>
          <w:szCs w:val="24"/>
        </w:rPr>
        <w:t>（见各剖面及图5.3-21）。根据分析，矿区大部分区域未波及到安定组，仅矿区部分区域会导入安定组（导入面积约7.3km</w:t>
      </w:r>
      <w:r>
        <w:rPr>
          <w:rFonts w:ascii="Times New Roman" w:hAnsi="Times New Roman"/>
          <w:szCs w:val="24"/>
          <w:vertAlign w:val="superscript"/>
        </w:rPr>
        <w:t>2</w:t>
      </w:r>
      <w:r>
        <w:rPr>
          <w:rFonts w:ascii="Times New Roman" w:hAnsi="Times New Roman"/>
          <w:szCs w:val="24"/>
        </w:rPr>
        <w:t>），并未贯通，导入区安定组剩余厚度约46.9~178m，安定组仍具有较厚的隔水层段，隔水性能良好。第四系及白垩系含水层与下部含水层水力联系弱，当下部含水层受煤炭开采时影响时，第四系潜水、志丹群含水岩组所受影响较小，因此对水源地及居民水井取水水源影响较小。</w:t>
      </w:r>
    </w:p>
    <w:p>
      <w:pPr>
        <w:spacing w:line="440" w:lineRule="exact"/>
        <w:ind w:firstLine="480" w:firstLineChars="200"/>
        <w:rPr>
          <w:rFonts w:ascii="Times New Roman" w:hAnsi="Times New Roman"/>
          <w:szCs w:val="24"/>
        </w:rPr>
      </w:pPr>
      <w:r>
        <w:rPr>
          <w:rFonts w:ascii="Times New Roman" w:hAnsi="Times New Roman"/>
          <w:szCs w:val="24"/>
        </w:rPr>
        <w:t>同时，根据上面对含水岩组水质分析，</w:t>
      </w:r>
      <w:bookmarkStart w:id="256" w:name="_Hlk98953848"/>
      <w:r>
        <w:rPr>
          <w:rFonts w:ascii="Times New Roman" w:hAnsi="Times New Roman"/>
          <w:szCs w:val="24"/>
        </w:rPr>
        <w:t>煤矿开采的生产生活废水及矿井水经处理站处理达标后，进行妥善处置，因此煤炭开采对第四系潜水含水层及白垩系志丹群组含水岩组地下水水质影响较小。</w:t>
      </w:r>
    </w:p>
    <w:bookmarkEnd w:id="256"/>
    <w:p>
      <w:pPr>
        <w:spacing w:line="440" w:lineRule="exact"/>
        <w:ind w:firstLine="480" w:firstLineChars="200"/>
        <w:rPr>
          <w:rFonts w:ascii="Times New Roman" w:hAnsi="Times New Roman"/>
          <w:szCs w:val="24"/>
        </w:rPr>
      </w:pPr>
      <w:r>
        <w:rPr>
          <w:rFonts w:hint="eastAsia" w:ascii="Times New Roman" w:hAnsi="Times New Roman"/>
          <w:szCs w:val="24"/>
        </w:rPr>
        <w:t>综上，评价认为煤炭开采对水源地及居民水井取水水源影响较小。同时矿区在开发过程中，应密切关注居民水井供水情况，一旦出现水位降低、干涸或者开采沉陷导致水井功能丧失而影响其供水时，应及时为其延深水井或新建水井，并经过当地卫生部门检验合格后方可使用，保证矿区居民生活用水不受影响。</w:t>
      </w:r>
    </w:p>
    <w:p>
      <w:pPr>
        <w:keepNext/>
        <w:keepLines/>
        <w:adjustRightInd w:val="0"/>
        <w:snapToGrid w:val="0"/>
        <w:spacing w:line="440" w:lineRule="exact"/>
        <w:outlineLvl w:val="2"/>
        <w:rPr>
          <w:rFonts w:ascii="Times New Roman" w:hAnsi="Times New Roman"/>
          <w:b/>
        </w:rPr>
      </w:pPr>
      <w:r>
        <w:rPr>
          <w:rFonts w:ascii="Times New Roman" w:hAnsi="Times New Roman"/>
          <w:b/>
        </w:rPr>
        <w:t>5.3.8 矿区煤炭开采对遗鸥国家级自然保护区影响分析</w:t>
      </w:r>
    </w:p>
    <w:p>
      <w:pPr>
        <w:spacing w:line="440" w:lineRule="exact"/>
        <w:ind w:firstLine="480" w:firstLineChars="200"/>
        <w:rPr>
          <w:rFonts w:ascii="Times New Roman" w:hAnsi="Times New Roman"/>
          <w:bCs/>
          <w:color w:val="FF0000"/>
          <w:kern w:val="0"/>
          <w:szCs w:val="24"/>
        </w:rPr>
      </w:pPr>
      <w:r>
        <w:rPr>
          <w:rFonts w:hint="eastAsia" w:ascii="Times New Roman" w:hAnsi="Times New Roman"/>
          <w:bCs/>
          <w:color w:val="FF0000"/>
          <w:kern w:val="0"/>
          <w:szCs w:val="24"/>
        </w:rPr>
        <w:t>鄂尔多斯遗鸥国家级自然保护区，占地面积</w:t>
      </w:r>
      <w:r>
        <w:rPr>
          <w:rFonts w:ascii="Times New Roman" w:hAnsi="Times New Roman"/>
          <w:bCs/>
          <w:color w:val="FF0000"/>
          <w:kern w:val="0"/>
          <w:szCs w:val="24"/>
        </w:rPr>
        <w:t>147.7km</w:t>
      </w:r>
      <w:r>
        <w:rPr>
          <w:rFonts w:ascii="Times New Roman" w:hAnsi="Times New Roman"/>
          <w:bCs/>
          <w:color w:val="FF0000"/>
          <w:kern w:val="0"/>
          <w:szCs w:val="24"/>
          <w:vertAlign w:val="superscript"/>
        </w:rPr>
        <w:t>2</w:t>
      </w:r>
      <w:r>
        <w:rPr>
          <w:rFonts w:hint="eastAsia" w:ascii="Times New Roman" w:hAnsi="Times New Roman"/>
          <w:bCs/>
          <w:color w:val="FF0000"/>
          <w:kern w:val="0"/>
          <w:szCs w:val="24"/>
        </w:rPr>
        <w:t>，湖面面积</w:t>
      </w:r>
      <w:r>
        <w:rPr>
          <w:rFonts w:ascii="Times New Roman" w:hAnsi="Times New Roman"/>
          <w:bCs/>
          <w:color w:val="FF0000"/>
          <w:kern w:val="0"/>
          <w:szCs w:val="24"/>
        </w:rPr>
        <w:t>10.2km</w:t>
      </w:r>
      <w:r>
        <w:rPr>
          <w:rFonts w:ascii="Times New Roman" w:hAnsi="Times New Roman"/>
          <w:bCs/>
          <w:color w:val="FF0000"/>
          <w:kern w:val="0"/>
          <w:szCs w:val="24"/>
          <w:vertAlign w:val="superscript"/>
        </w:rPr>
        <w:t>2</w:t>
      </w:r>
      <w:r>
        <w:rPr>
          <w:rFonts w:hint="eastAsia" w:ascii="Times New Roman" w:hAnsi="Times New Roman"/>
          <w:bCs/>
          <w:color w:val="FF0000"/>
          <w:kern w:val="0"/>
          <w:szCs w:val="24"/>
        </w:rPr>
        <w:t>，保护区位于纳林希里矿区北侧，与奎腾沟井田北侧边界相接。保护区内桃</w:t>
      </w:r>
      <w:r>
        <w:rPr>
          <w:rFonts w:ascii="Times New Roman" w:hAnsi="Times New Roman"/>
          <w:bCs/>
          <w:color w:val="FF0000"/>
          <w:kern w:val="0"/>
          <w:szCs w:val="24"/>
        </w:rPr>
        <w:t>-阿海子（保护区内最大的湖泊）接受的地表水补给主要来自雨季鸡沟河、乌尔图河。保护区境内浅层地下水的动态受大气降水控制，常随大气降水的年变化以及季节变化而改变，深层地下水则受大地构造、地貌条件、气候特征而控制。</w:t>
      </w:r>
    </w:p>
    <w:p>
      <w:pPr>
        <w:spacing w:line="440" w:lineRule="exact"/>
        <w:ind w:firstLine="480" w:firstLineChars="200"/>
        <w:rPr>
          <w:rFonts w:ascii="Times New Roman" w:hAnsi="Times New Roman"/>
          <w:bCs/>
          <w:kern w:val="0"/>
          <w:szCs w:val="24"/>
        </w:rPr>
      </w:pPr>
      <w:r>
        <w:rPr>
          <w:rFonts w:hint="eastAsia" w:ascii="Times New Roman" w:hAnsi="Times New Roman"/>
          <w:bCs/>
          <w:kern w:val="0"/>
          <w:szCs w:val="24"/>
        </w:rPr>
        <w:t>根据地下水环境影响分析，矿区煤层埋藏深，煤层开采导水裂缝带不会波及浅层第四系含水层、白垩系含水层，且保护区位于矿区外，因此从地下水角度，矿区开发不会因导水裂缝带影响，而发生保护区地下水水位下降的现象。</w:t>
      </w:r>
    </w:p>
    <w:p>
      <w:pPr>
        <w:spacing w:line="440" w:lineRule="exact"/>
        <w:ind w:firstLine="480" w:firstLineChars="200"/>
        <w:rPr>
          <w:rFonts w:ascii="Times New Roman" w:hAnsi="Times New Roman"/>
          <w:bCs/>
          <w:kern w:val="0"/>
          <w:szCs w:val="24"/>
        </w:rPr>
      </w:pPr>
      <w:r>
        <w:rPr>
          <w:rFonts w:hint="eastAsia" w:ascii="Times New Roman" w:hAnsi="Times New Roman"/>
          <w:bCs/>
          <w:kern w:val="0"/>
          <w:szCs w:val="24"/>
        </w:rPr>
        <w:t>本次评价主要分析矿区煤炭开采对自然保护区汇流的影响，遗鸥国家级自然保护区汇水面积约665km</w:t>
      </w:r>
      <w:r>
        <w:rPr>
          <w:rFonts w:ascii="Times New Roman" w:hAnsi="Times New Roman"/>
          <w:bCs/>
          <w:kern w:val="0"/>
          <w:szCs w:val="24"/>
          <w:vertAlign w:val="superscript"/>
        </w:rPr>
        <w:t>2</w:t>
      </w:r>
      <w:r>
        <w:rPr>
          <w:rFonts w:hint="eastAsia" w:ascii="Times New Roman" w:hAnsi="Times New Roman"/>
          <w:bCs/>
          <w:kern w:val="0"/>
          <w:szCs w:val="24"/>
        </w:rPr>
        <w:t>（图5.3-2</w:t>
      </w:r>
      <w:r>
        <w:rPr>
          <w:rFonts w:ascii="Times New Roman" w:hAnsi="Times New Roman"/>
          <w:bCs/>
          <w:kern w:val="0"/>
          <w:szCs w:val="24"/>
        </w:rPr>
        <w:t>4</w:t>
      </w:r>
      <w:r>
        <w:rPr>
          <w:rFonts w:hint="eastAsia" w:ascii="Times New Roman" w:hAnsi="Times New Roman"/>
          <w:bCs/>
          <w:kern w:val="0"/>
          <w:szCs w:val="24"/>
        </w:rPr>
        <w:t>）。根据矿区及保护区地形地貌，奎腾沟煤矿与保护区汇水区域联系密切的分界线（分水岭）为西北-东南方向展布（图5.3-2</w:t>
      </w:r>
      <w:r>
        <w:rPr>
          <w:rFonts w:ascii="Times New Roman" w:hAnsi="Times New Roman"/>
          <w:bCs/>
          <w:kern w:val="0"/>
          <w:szCs w:val="24"/>
        </w:rPr>
        <w:t>4</w:t>
      </w:r>
      <w:r>
        <w:rPr>
          <w:rFonts w:hint="eastAsia" w:ascii="Times New Roman" w:hAnsi="Times New Roman"/>
          <w:bCs/>
          <w:kern w:val="0"/>
          <w:szCs w:val="24"/>
        </w:rPr>
        <w:t>），分水岭以北为保护区的部分地表汇水来源，其地表汇流由西南、东南向保护区汇流，分水岭以南地表汇流主要流入矿区内。</w:t>
      </w:r>
    </w:p>
    <w:p>
      <w:pPr>
        <w:spacing w:line="440" w:lineRule="exact"/>
        <w:ind w:firstLine="480" w:firstLineChars="200"/>
        <w:rPr>
          <w:rFonts w:ascii="Times New Roman" w:hAnsi="Times New Roman"/>
          <w:bCs/>
          <w:color w:val="FF0000"/>
          <w:kern w:val="0"/>
          <w:szCs w:val="24"/>
        </w:rPr>
      </w:pPr>
      <w:r>
        <w:rPr>
          <w:rFonts w:hint="eastAsia" w:ascii="Times New Roman" w:hAnsi="Times New Roman"/>
          <w:bCs/>
          <w:color w:val="FF0000"/>
          <w:kern w:val="0"/>
          <w:szCs w:val="24"/>
        </w:rPr>
        <w:t>自然保护区在矿区奎腾沟井田内汇水面积约23.58km</w:t>
      </w:r>
      <w:r>
        <w:rPr>
          <w:rFonts w:ascii="Times New Roman" w:hAnsi="Times New Roman"/>
          <w:bCs/>
          <w:color w:val="FF0000"/>
          <w:kern w:val="0"/>
          <w:szCs w:val="24"/>
          <w:vertAlign w:val="superscript"/>
        </w:rPr>
        <w:t>2</w:t>
      </w:r>
      <w:r>
        <w:rPr>
          <w:rFonts w:hint="eastAsia" w:ascii="Times New Roman" w:hAnsi="Times New Roman"/>
          <w:bCs/>
          <w:color w:val="FF0000"/>
          <w:kern w:val="0"/>
          <w:szCs w:val="24"/>
        </w:rPr>
        <w:t>，占自然保护区汇水面积的3.55%，因此对保护区地表汇流的影响主要表现在奎腾沟煤层开采沉陷对分水岭以北汇水的影响。根据本次沉陷影响预测，汇水区沉陷最大值约21m，通过与初始地形叠加，沉陷后汇水区地形总体变化趋势与原地形基本一致，地势较低的中部区域，局部地段分水岭向北移动，沉陷后分水岭展布情况见图5.3-2</w:t>
      </w:r>
      <w:r>
        <w:rPr>
          <w:rFonts w:ascii="Times New Roman" w:hAnsi="Times New Roman"/>
          <w:bCs/>
          <w:color w:val="FF0000"/>
          <w:kern w:val="0"/>
          <w:szCs w:val="24"/>
        </w:rPr>
        <w:t>4</w:t>
      </w:r>
      <w:r>
        <w:rPr>
          <w:rFonts w:hint="eastAsia" w:ascii="Times New Roman" w:hAnsi="Times New Roman"/>
          <w:bCs/>
          <w:color w:val="FF0000"/>
          <w:kern w:val="0"/>
          <w:szCs w:val="24"/>
        </w:rPr>
        <w:t>。通过与原分水岭进行对比分析，可知：奎腾沟煤层开采导致局部地段分水岭向北移动，汇水影响区域面积约0.71km</w:t>
      </w:r>
      <w:r>
        <w:rPr>
          <w:rFonts w:hint="eastAsia" w:ascii="Times New Roman" w:hAnsi="Times New Roman"/>
          <w:bCs/>
          <w:color w:val="FF0000"/>
          <w:kern w:val="0"/>
          <w:szCs w:val="24"/>
          <w:vertAlign w:val="superscript"/>
        </w:rPr>
        <w:t>2</w:t>
      </w:r>
      <w:r>
        <w:rPr>
          <w:rFonts w:hint="eastAsia" w:ascii="Times New Roman" w:hAnsi="Times New Roman"/>
          <w:bCs/>
          <w:color w:val="FF0000"/>
          <w:kern w:val="0"/>
          <w:szCs w:val="24"/>
        </w:rPr>
        <w:t>，自然保护区地表汇流量损失约14.7万立方米/年，遗鸥国家级自然保护区汇水面积约665km</w:t>
      </w:r>
      <w:r>
        <w:rPr>
          <w:rFonts w:ascii="Times New Roman" w:hAnsi="Times New Roman"/>
          <w:bCs/>
          <w:color w:val="FF0000"/>
          <w:kern w:val="0"/>
          <w:szCs w:val="24"/>
          <w:vertAlign w:val="superscript"/>
        </w:rPr>
        <w:t>2</w:t>
      </w:r>
      <w:r>
        <w:rPr>
          <w:rFonts w:hint="eastAsia" w:ascii="Times New Roman" w:hAnsi="Times New Roman"/>
          <w:bCs/>
          <w:color w:val="FF0000"/>
          <w:kern w:val="0"/>
          <w:szCs w:val="24"/>
        </w:rPr>
        <w:t>，总汇水量约1.38亿立方米/年（降水量为207mm），汇水影响区域及损失水量仅占自然保护区的0.107%，因此矿区煤层开采总体对遗鸥国家级自然保护区汇水影响较小。</w:t>
      </w:r>
    </w:p>
    <w:p>
      <w:pPr>
        <w:spacing w:line="440" w:lineRule="exact"/>
        <w:ind w:firstLine="480" w:firstLineChars="200"/>
        <w:rPr>
          <w:rFonts w:ascii="Times New Roman" w:hAnsi="Times New Roman"/>
          <w:bCs/>
          <w:kern w:val="0"/>
          <w:szCs w:val="24"/>
        </w:rPr>
      </w:pPr>
      <w:r>
        <w:rPr>
          <w:rFonts w:hint="eastAsia" w:ascii="Times New Roman" w:hAnsi="Times New Roman"/>
          <w:bCs/>
          <w:kern w:val="0"/>
          <w:szCs w:val="24"/>
        </w:rPr>
        <w:t>综上，从地下水及地表汇流方面，矿区煤炭开发对遗鸥国家级自然保护区影响较小，开采沉陷对保护区影响情况具体见沉陷章节。</w:t>
      </w:r>
    </w:p>
    <w:bookmarkEnd w:id="236"/>
    <w:p>
      <w:pPr>
        <w:keepNext/>
        <w:keepLines/>
        <w:adjustRightInd w:val="0"/>
        <w:snapToGrid w:val="0"/>
        <w:spacing w:before="260" w:after="260" w:line="440" w:lineRule="exact"/>
        <w:jc w:val="left"/>
        <w:outlineLvl w:val="1"/>
        <w:rPr>
          <w:rFonts w:ascii="Times New Roman" w:hAnsi="Times New Roman"/>
          <w:b/>
          <w:sz w:val="28"/>
        </w:rPr>
      </w:pPr>
      <w:bookmarkStart w:id="257" w:name="_Toc25234"/>
      <w:bookmarkStart w:id="258" w:name="_Toc18838454"/>
      <w:bookmarkStart w:id="259" w:name="_Toc307823647"/>
      <w:bookmarkStart w:id="260" w:name="_Toc328056844"/>
      <w:bookmarkStart w:id="261" w:name="_Toc329695982"/>
      <w:r>
        <w:rPr>
          <w:rFonts w:ascii="Times New Roman" w:hAnsi="Times New Roman"/>
          <w:b/>
          <w:sz w:val="28"/>
        </w:rPr>
        <w:t>5.4地表水环境影响评价</w:t>
      </w:r>
      <w:bookmarkEnd w:id="257"/>
      <w:bookmarkEnd w:id="258"/>
    </w:p>
    <w:p>
      <w:pPr>
        <w:keepNext/>
        <w:keepLines/>
        <w:adjustRightInd w:val="0"/>
        <w:snapToGrid w:val="0"/>
        <w:spacing w:line="440" w:lineRule="exact"/>
        <w:outlineLvl w:val="2"/>
        <w:rPr>
          <w:rFonts w:ascii="Times New Roman" w:hAnsi="Times New Roman"/>
          <w:b/>
        </w:rPr>
      </w:pPr>
      <w:r>
        <w:rPr>
          <w:rFonts w:ascii="Times New Roman" w:hAnsi="Times New Roman"/>
          <w:b/>
        </w:rPr>
        <w:t>5.4.1 地表水系</w:t>
      </w:r>
      <w:bookmarkEnd w:id="259"/>
      <w:bookmarkEnd w:id="260"/>
      <w:bookmarkEnd w:id="261"/>
    </w:p>
    <w:p>
      <w:pPr>
        <w:spacing w:line="440" w:lineRule="exact"/>
        <w:ind w:firstLine="480" w:firstLineChars="200"/>
        <w:rPr>
          <w:rFonts w:ascii="Times New Roman" w:hAnsi="Times New Roman"/>
        </w:rPr>
      </w:pPr>
      <w:r>
        <w:rPr>
          <w:rFonts w:ascii="Times New Roman" w:hAnsi="Times New Roman"/>
        </w:rPr>
        <w:t>区内地表水为内陆水系，属于乌兰淖尔-赤盖淖流域，流域内地形北部高、南部低，东部、西部高，中部低。乌兰淖、赤盖淖流域已地表分水岭与北部的桃日庙海子、东部的乌兰木伦河、东南部的红碱淖、南部的巴汗淖分开，自成一个封闭的内陆湖淖水系。大气降水由四周地形高处向中部低洼地带汇积，区内西部有木呼尔沟自西北向南汇入乌兰淖，中部有昆都仑沟从北向南贯穿神海子，哈塔图淖尔、光明海子、黑炭淖尔、赤盖淖尔，形成一个串珠状的湖泊群，东部有艾力盖沟、通格郎沟自东北向西南或自东向西汇入赤盖淖和巴汗淖。汇水面积1889.43km</w:t>
      </w:r>
      <w:r>
        <w:rPr>
          <w:rFonts w:ascii="Times New Roman" w:hAnsi="Times New Roman"/>
          <w:vertAlign w:val="superscript"/>
        </w:rPr>
        <w:t>2</w:t>
      </w:r>
      <w:r>
        <w:rPr>
          <w:rFonts w:ascii="Times New Roman" w:hAnsi="Times New Roman"/>
        </w:rPr>
        <w:t>，地下水系统属鄂尔多斯白垩系自流水盆地东部区。</w:t>
      </w:r>
    </w:p>
    <w:p>
      <w:pPr>
        <w:spacing w:line="440" w:lineRule="exact"/>
        <w:ind w:firstLine="480" w:firstLineChars="200"/>
        <w:rPr>
          <w:rFonts w:ascii="Times New Roman" w:hAnsi="Times New Roman"/>
        </w:rPr>
      </w:pPr>
      <w:r>
        <w:rPr>
          <w:rFonts w:ascii="Times New Roman" w:hAnsi="Times New Roman"/>
        </w:rPr>
        <w:t>矿区位于阿尔胡德沟和昆都仑沟的中上游，发源于西北部的阿尔胡德沟与发源于北部的昆都仑沟均属季节性河流，其水量主要受大气降水控制，夏秋季大，冬春季小。两条河流在井田中南部相汇，流入南部的神海子湖。神海子湖分为东、西两湖，均属微咸水湖，水域面积分别为0.93、1.76km</w:t>
      </w:r>
      <w:r>
        <w:rPr>
          <w:rFonts w:ascii="Times New Roman" w:hAnsi="Times New Roman"/>
          <w:vertAlign w:val="superscript"/>
        </w:rPr>
        <w:t>2</w:t>
      </w:r>
      <w:r>
        <w:rPr>
          <w:rFonts w:ascii="Times New Roman" w:hAnsi="Times New Roman"/>
        </w:rPr>
        <w:t>，最大水深1.76m。在丰水年的丰水期，东、西两湖北部连为一体。</w:t>
      </w:r>
    </w:p>
    <w:p>
      <w:pPr>
        <w:keepNext/>
        <w:keepLines/>
        <w:adjustRightInd w:val="0"/>
        <w:snapToGrid w:val="0"/>
        <w:spacing w:line="440" w:lineRule="exact"/>
        <w:outlineLvl w:val="2"/>
        <w:rPr>
          <w:rFonts w:ascii="Times New Roman" w:hAnsi="Times New Roman"/>
          <w:b/>
        </w:rPr>
      </w:pPr>
      <w:r>
        <w:rPr>
          <w:rFonts w:ascii="Times New Roman" w:hAnsi="Times New Roman"/>
          <w:b/>
        </w:rPr>
        <w:t>5.4.2 建设期水环境影响分析</w:t>
      </w:r>
    </w:p>
    <w:p>
      <w:pPr>
        <w:adjustRightInd w:val="0"/>
        <w:snapToGrid w:val="0"/>
        <w:spacing w:line="440" w:lineRule="exact"/>
        <w:ind w:firstLine="482"/>
        <w:rPr>
          <w:rFonts w:ascii="Times New Roman" w:hAnsi="Times New Roman"/>
        </w:rPr>
      </w:pPr>
      <w:r>
        <w:rPr>
          <w:rFonts w:ascii="Times New Roman" w:hAnsi="Times New Roman"/>
        </w:rPr>
        <w:t>矿区规划涉及新建矿井</w:t>
      </w:r>
      <w:r>
        <w:rPr>
          <w:rFonts w:ascii="Times New Roman" w:hAnsi="Times New Roman"/>
          <w:snapToGrid w:val="0"/>
          <w:kern w:val="0"/>
        </w:rPr>
        <w:t>，</w:t>
      </w:r>
      <w:r>
        <w:rPr>
          <w:rFonts w:ascii="Times New Roman" w:hAnsi="Times New Roman"/>
        </w:rPr>
        <w:t>其建设周期较长，施工过程中产生的水污染源主要是施工人员的生活污水及施工现场的废水。生活污水主要污染物为COD、BOD、氨氮、动植物油等。施工废水主要是清洗车辆清洗、设备维修等带来的一定量的含油废水，施工建筑材料在雨水冲刷下产生污水，施工废水主要污染物为悬浮物（SS）和极少量的油类等。此外，井筒施工在穿越地下含水层时若不采取措施将会产生一定量的含水层疏干水，其主要污染物为SS。</w:t>
      </w:r>
    </w:p>
    <w:p>
      <w:pPr>
        <w:adjustRightInd w:val="0"/>
        <w:snapToGrid w:val="0"/>
        <w:spacing w:line="440" w:lineRule="exact"/>
        <w:ind w:firstLine="480" w:firstLineChars="200"/>
        <w:rPr>
          <w:rFonts w:ascii="Times New Roman" w:hAnsi="Times New Roman"/>
        </w:rPr>
      </w:pPr>
      <w:r>
        <w:rPr>
          <w:rFonts w:ascii="Times New Roman" w:hAnsi="Times New Roman"/>
        </w:rPr>
        <w:t>以上产生的水污染物，若不对其采取措施而直接外排，会对土壤环境产生一定的影响。评价提出：</w:t>
      </w:r>
    </w:p>
    <w:p>
      <w:pPr>
        <w:adjustRightInd w:val="0"/>
        <w:snapToGrid w:val="0"/>
        <w:spacing w:line="440" w:lineRule="exact"/>
        <w:ind w:firstLine="480" w:firstLineChars="200"/>
        <w:rPr>
          <w:rFonts w:ascii="Times New Roman" w:hAnsi="Times New Roman"/>
        </w:rPr>
      </w:pPr>
      <w:r>
        <w:rPr>
          <w:rFonts w:ascii="Times New Roman" w:hAnsi="Times New Roman"/>
        </w:rPr>
        <w:t>（1）各工业场地污水处理设施应先期建设并投运，施工人员生活污水排入处理站处理后回用。矿井水处理设施应先期建设并投运，将建设过程中产生的矿井水进行处理后回用于建设过程中用水。在矿井水处理站建成以前，在工业场地建设临时沉淀池，建设过程中产生的矿井水排入临时沉淀池沉淀处理后回用于施工用水。回用后剩余部分应满足达标排放要求后外排。</w:t>
      </w:r>
    </w:p>
    <w:p>
      <w:pPr>
        <w:adjustRightInd w:val="0"/>
        <w:snapToGrid w:val="0"/>
        <w:spacing w:line="440" w:lineRule="exact"/>
        <w:ind w:firstLine="480" w:firstLineChars="200"/>
        <w:rPr>
          <w:rFonts w:ascii="Times New Roman" w:hAnsi="Times New Roman"/>
        </w:rPr>
      </w:pPr>
      <w:r>
        <w:rPr>
          <w:rFonts w:ascii="Times New Roman" w:hAnsi="Times New Roman"/>
        </w:rPr>
        <w:t>（2）在降雨时对建筑材料及时遮盖以减少雨水冲刷产生污水，对污染较重的废污水应设临时储存及处理装置。</w:t>
      </w:r>
    </w:p>
    <w:p>
      <w:pPr>
        <w:adjustRightInd w:val="0"/>
        <w:snapToGrid w:val="0"/>
        <w:spacing w:line="440" w:lineRule="exact"/>
        <w:ind w:firstLine="480" w:firstLineChars="200"/>
        <w:rPr>
          <w:rFonts w:ascii="Times New Roman" w:hAnsi="Times New Roman"/>
        </w:rPr>
      </w:pPr>
      <w:r>
        <w:rPr>
          <w:rFonts w:ascii="Times New Roman" w:hAnsi="Times New Roman"/>
        </w:rPr>
        <w:t>（3）在施工现场设置固定的冲洗场，设备及车辆定期冲洗，不允许将冲洗水随时随地排放，在冲洗场设废水隔油沉淀池，沉淀后的废水复用于施工用水或排入工业场地污水处理站处理。</w:t>
      </w:r>
    </w:p>
    <w:p>
      <w:pPr>
        <w:adjustRightInd w:val="0"/>
        <w:snapToGrid w:val="0"/>
        <w:spacing w:line="440" w:lineRule="exact"/>
        <w:ind w:firstLine="480" w:firstLineChars="200"/>
        <w:rPr>
          <w:rFonts w:ascii="Times New Roman" w:hAnsi="Times New Roman"/>
        </w:rPr>
      </w:pPr>
      <w:r>
        <w:rPr>
          <w:rFonts w:ascii="Times New Roman" w:hAnsi="Times New Roman"/>
        </w:rPr>
        <w:t>（4）建设期间生活污水的水量较小，评价提出在施工人员集中生活区要设移动式或其他简易生活污水处理装置，集中处理生活污水，处理后水质达到污水综合排放一级标准，回用于周围草地绿化洒水等。</w:t>
      </w:r>
    </w:p>
    <w:p>
      <w:pPr>
        <w:adjustRightInd w:val="0"/>
        <w:snapToGrid w:val="0"/>
        <w:spacing w:line="440" w:lineRule="exact"/>
        <w:ind w:firstLine="480" w:firstLineChars="200"/>
        <w:rPr>
          <w:rFonts w:ascii="Times New Roman" w:hAnsi="Times New Roman"/>
        </w:rPr>
      </w:pPr>
      <w:r>
        <w:rPr>
          <w:rFonts w:ascii="Times New Roman" w:hAnsi="Times New Roman"/>
        </w:rPr>
        <w:t>采用上述环评提出的治理措施后，矿区建设期对地表水的影响轻微。</w:t>
      </w:r>
    </w:p>
    <w:p>
      <w:pPr>
        <w:keepNext/>
        <w:keepLines/>
        <w:adjustRightInd w:val="0"/>
        <w:snapToGrid w:val="0"/>
        <w:spacing w:line="440" w:lineRule="exact"/>
        <w:outlineLvl w:val="2"/>
        <w:rPr>
          <w:rFonts w:ascii="Times New Roman" w:hAnsi="Times New Roman"/>
          <w:b/>
        </w:rPr>
      </w:pPr>
      <w:r>
        <w:rPr>
          <w:rFonts w:ascii="Times New Roman" w:hAnsi="Times New Roman"/>
          <w:b/>
        </w:rPr>
        <w:t>5.4.3 运营期地表水环境影响分析</w:t>
      </w:r>
    </w:p>
    <w:p>
      <w:pPr>
        <w:spacing w:line="440" w:lineRule="exact"/>
        <w:ind w:firstLine="480" w:firstLineChars="200"/>
        <w:rPr>
          <w:rFonts w:ascii="Times New Roman" w:hAnsi="Times New Roman"/>
        </w:rPr>
      </w:pPr>
      <w:bookmarkStart w:id="262" w:name="_Toc163441004"/>
      <w:bookmarkStart w:id="263" w:name="_Toc18838455"/>
      <w:r>
        <w:rPr>
          <w:rFonts w:ascii="Times New Roman" w:hAnsi="Times New Roman"/>
        </w:rPr>
        <w:t>（1）地表水体分布情况</w:t>
      </w:r>
    </w:p>
    <w:p>
      <w:pPr>
        <w:spacing w:line="440" w:lineRule="exact"/>
        <w:ind w:firstLine="480" w:firstLineChars="200"/>
        <w:rPr>
          <w:rFonts w:ascii="Times New Roman" w:hAnsi="Times New Roman"/>
        </w:rPr>
      </w:pPr>
      <w:r>
        <w:rPr>
          <w:rFonts w:ascii="Times New Roman" w:hAnsi="Times New Roman"/>
        </w:rPr>
        <w:t>矿区内河川属地表内陆水系，在矿区内有多个大小不一咸水湖，以哈塔图淖尔为主的两个大的咸水湖常年有水，水域面积一般1.5～2km</w:t>
      </w:r>
      <w:r>
        <w:rPr>
          <w:rFonts w:ascii="Times New Roman" w:hAnsi="Times New Roman"/>
          <w:vertAlign w:val="superscript"/>
        </w:rPr>
        <w:t>2</w:t>
      </w:r>
      <w:r>
        <w:rPr>
          <w:rFonts w:ascii="Times New Roman" w:hAnsi="Times New Roman"/>
        </w:rPr>
        <w:t>，丰水期达2～3km</w:t>
      </w:r>
      <w:r>
        <w:rPr>
          <w:rFonts w:ascii="Times New Roman" w:hAnsi="Times New Roman"/>
          <w:vertAlign w:val="superscript"/>
        </w:rPr>
        <w:t>2</w:t>
      </w:r>
      <w:r>
        <w:rPr>
          <w:rFonts w:ascii="Times New Roman" w:hAnsi="Times New Roman"/>
        </w:rPr>
        <w:t>。区内地形起伏不大，呈西北高、东南低的斜坡状地形，海拔标高一般在1300～1500m之间，最低海拔为1277m（巴嘎淖尔湖畔）。</w:t>
      </w:r>
    </w:p>
    <w:p>
      <w:pPr>
        <w:spacing w:line="440" w:lineRule="exact"/>
        <w:ind w:firstLine="480" w:firstLineChars="200"/>
        <w:rPr>
          <w:rFonts w:ascii="Times New Roman" w:hAnsi="Times New Roman"/>
        </w:rPr>
      </w:pPr>
      <w:r>
        <w:rPr>
          <w:rFonts w:ascii="Times New Roman" w:hAnsi="Times New Roman"/>
        </w:rPr>
        <w:t>（2）污废水产生、处理及回用情况</w:t>
      </w:r>
    </w:p>
    <w:p>
      <w:pPr>
        <w:pStyle w:val="36"/>
        <w:adjustRightInd w:val="0"/>
        <w:snapToGrid w:val="0"/>
        <w:spacing w:after="0" w:line="440" w:lineRule="exact"/>
        <w:ind w:left="0" w:leftChars="0" w:firstLine="480" w:firstLineChars="200"/>
        <w:rPr>
          <w:sz w:val="24"/>
        </w:rPr>
      </w:pPr>
      <w:r>
        <w:rPr>
          <w:sz w:val="24"/>
        </w:rPr>
        <w:t>矿区排水系统包括雨水、污水以及井下排水。规划矿区最高日污水量4370m</w:t>
      </w:r>
      <w:r>
        <w:rPr>
          <w:sz w:val="24"/>
          <w:vertAlign w:val="superscript"/>
        </w:rPr>
        <w:t>3</w:t>
      </w:r>
      <w:r>
        <w:rPr>
          <w:sz w:val="24"/>
        </w:rPr>
        <w:t>/d，年最大污水量144.21×10</w:t>
      </w:r>
      <w:r>
        <w:rPr>
          <w:sz w:val="24"/>
          <w:vertAlign w:val="superscript"/>
        </w:rPr>
        <w:t>4</w:t>
      </w:r>
      <w:r>
        <w:rPr>
          <w:sz w:val="24"/>
        </w:rPr>
        <w:t>m</w:t>
      </w:r>
      <w:r>
        <w:rPr>
          <w:sz w:val="24"/>
          <w:vertAlign w:val="superscript"/>
        </w:rPr>
        <w:t>3</w:t>
      </w:r>
      <w:r>
        <w:rPr>
          <w:sz w:val="24"/>
        </w:rPr>
        <w:t>/a；</w:t>
      </w:r>
      <w:bookmarkStart w:id="264" w:name="_Hlk118469843"/>
      <w:r>
        <w:rPr>
          <w:sz w:val="24"/>
        </w:rPr>
        <w:t>矿区达产时正常涌水量为79200m</w:t>
      </w:r>
      <w:r>
        <w:rPr>
          <w:sz w:val="24"/>
          <w:vertAlign w:val="superscript"/>
        </w:rPr>
        <w:t>3</w:t>
      </w:r>
      <w:r>
        <w:rPr>
          <w:sz w:val="24"/>
        </w:rPr>
        <w:t>/d（最大涌水量为118800m</w:t>
      </w:r>
      <w:r>
        <w:rPr>
          <w:sz w:val="24"/>
          <w:vertAlign w:val="superscript"/>
        </w:rPr>
        <w:t>3</w:t>
      </w:r>
      <w:r>
        <w:rPr>
          <w:sz w:val="24"/>
        </w:rPr>
        <w:t>/d），年正常涌水量为2613.6×10</w:t>
      </w:r>
      <w:r>
        <w:rPr>
          <w:sz w:val="24"/>
          <w:vertAlign w:val="superscript"/>
        </w:rPr>
        <w:t>4</w:t>
      </w:r>
      <w:r>
        <w:rPr>
          <w:sz w:val="24"/>
        </w:rPr>
        <w:t>m</w:t>
      </w:r>
      <w:r>
        <w:rPr>
          <w:sz w:val="24"/>
          <w:vertAlign w:val="superscript"/>
        </w:rPr>
        <w:t>3</w:t>
      </w:r>
      <w:r>
        <w:rPr>
          <w:sz w:val="24"/>
        </w:rPr>
        <w:t>/a（最大涌水量为3920.4×10</w:t>
      </w:r>
      <w:r>
        <w:rPr>
          <w:sz w:val="24"/>
          <w:vertAlign w:val="superscript"/>
        </w:rPr>
        <w:t>4</w:t>
      </w:r>
      <w:r>
        <w:rPr>
          <w:sz w:val="24"/>
        </w:rPr>
        <w:t>m</w:t>
      </w:r>
      <w:r>
        <w:rPr>
          <w:sz w:val="24"/>
          <w:vertAlign w:val="superscript"/>
        </w:rPr>
        <w:t>3</w:t>
      </w:r>
      <w:r>
        <w:rPr>
          <w:sz w:val="24"/>
        </w:rPr>
        <w:t>/a）。</w:t>
      </w:r>
      <w:bookmarkEnd w:id="264"/>
      <w:r>
        <w:rPr>
          <w:sz w:val="24"/>
        </w:rPr>
        <w:t>生产生活污水产生量为4370m</w:t>
      </w:r>
      <w:r>
        <w:rPr>
          <w:sz w:val="24"/>
          <w:vertAlign w:val="superscript"/>
        </w:rPr>
        <w:t>3</w:t>
      </w:r>
      <w:r>
        <w:rPr>
          <w:sz w:val="24"/>
        </w:rPr>
        <w:t>/d。各工业场地污废水经管网收集后排入矿井污水处理站处理后回用。</w:t>
      </w:r>
    </w:p>
    <w:p>
      <w:pPr>
        <w:spacing w:line="440" w:lineRule="exact"/>
        <w:ind w:firstLine="480" w:firstLineChars="200"/>
        <w:rPr>
          <w:rFonts w:ascii="Times New Roman" w:hAnsi="Times New Roman"/>
          <w:color w:val="FF0000"/>
        </w:rPr>
      </w:pPr>
      <w:bookmarkStart w:id="265" w:name="_Hlk118469819"/>
      <w:r>
        <w:rPr>
          <w:rFonts w:ascii="Times New Roman" w:hAnsi="Times New Roman"/>
          <w:color w:val="FF0000"/>
        </w:rPr>
        <w:t>矿井水主要是悬浮物含量较高，在工业场地建设矿井水处理站，处理后作为生产生活供水水源，可采用混凝沉淀+过滤经处理后主要用于井下消防洒水、选煤厂洗煤用水、防火灌浆用水等。部分井下排水经深度处理后，回用于矿井作为生产生活用水综合利用，剩余部分可处理达到地表水III类水水质标准后，</w:t>
      </w:r>
      <w:r>
        <w:rPr>
          <w:rFonts w:hint="eastAsia" w:ascii="Times New Roman" w:hAnsi="Times New Roman"/>
          <w:color w:val="FF0000"/>
        </w:rPr>
        <w:t>送至临近的蒙苏经济开发区及纳林希里4×1000MW煤电一体化电厂项目</w:t>
      </w:r>
      <w:r>
        <w:rPr>
          <w:rFonts w:ascii="Times New Roman" w:hAnsi="Times New Roman"/>
          <w:color w:val="FF0000"/>
        </w:rPr>
        <w:t>作为生产、生活及</w:t>
      </w:r>
      <w:r>
        <w:rPr>
          <w:rFonts w:hint="eastAsia" w:ascii="Times New Roman" w:hAnsi="Times New Roman"/>
          <w:color w:val="FF0000"/>
        </w:rPr>
        <w:t>开发</w:t>
      </w:r>
      <w:r>
        <w:rPr>
          <w:rFonts w:ascii="Times New Roman" w:hAnsi="Times New Roman"/>
          <w:color w:val="FF0000"/>
        </w:rPr>
        <w:t>区绿化用水等综合利用。</w:t>
      </w:r>
      <w:r>
        <w:rPr>
          <w:rFonts w:hint="eastAsia" w:ascii="Times New Roman" w:hAnsi="Times New Roman"/>
          <w:color w:val="FF0000"/>
        </w:rPr>
        <w:t>如有多余可</w:t>
      </w:r>
      <w:r>
        <w:rPr>
          <w:rFonts w:ascii="Times New Roman" w:hAnsi="Times New Roman"/>
          <w:color w:val="FF0000"/>
        </w:rPr>
        <w:t>就近排入井田内地势低洼的淖尔，增加淖尔水量，改善淖尔水质及周边生态。</w:t>
      </w:r>
      <w:r>
        <w:rPr>
          <w:rFonts w:hint="eastAsia" w:ascii="Times New Roman" w:hAnsi="Times New Roman"/>
          <w:color w:val="FF0000"/>
        </w:rPr>
        <w:t>具体去向见图5</w:t>
      </w:r>
      <w:r>
        <w:rPr>
          <w:rFonts w:ascii="Times New Roman" w:hAnsi="Times New Roman"/>
          <w:color w:val="FF0000"/>
        </w:rPr>
        <w:t>.4-1</w:t>
      </w:r>
      <w:r>
        <w:rPr>
          <w:rFonts w:hint="eastAsia" w:ascii="Times New Roman" w:hAnsi="Times New Roman"/>
          <w:color w:val="FF0000"/>
        </w:rPr>
        <w:t>。</w:t>
      </w:r>
    </w:p>
    <w:bookmarkEnd w:id="265"/>
    <w:p>
      <w:pPr>
        <w:pStyle w:val="417"/>
        <w:ind w:firstLine="480"/>
        <w:rPr>
          <w:rFonts w:ascii="Times New Roman" w:hAnsi="Times New Roman" w:eastAsia="宋体" w:cs="Times New Roman"/>
          <w:color w:val="FF0000"/>
          <w:sz w:val="24"/>
          <w:szCs w:val="20"/>
        </w:rPr>
      </w:pPr>
      <w:r>
        <w:rPr>
          <w:rFonts w:hint="eastAsia" w:ascii="Times New Roman" w:hAnsi="Times New Roman" w:eastAsia="宋体" w:cs="Times New Roman"/>
          <w:color w:val="FF0000"/>
          <w:sz w:val="24"/>
          <w:szCs w:val="20"/>
        </w:rPr>
        <w:t>1）蒙苏经济开发区</w:t>
      </w:r>
    </w:p>
    <w:p>
      <w:pPr>
        <w:pStyle w:val="417"/>
        <w:ind w:firstLine="480"/>
        <w:rPr>
          <w:rFonts w:ascii="Times New Roman" w:hAnsi="Times New Roman" w:eastAsia="宋体" w:cs="Times New Roman"/>
          <w:color w:val="FF0000"/>
          <w:sz w:val="24"/>
          <w:szCs w:val="20"/>
        </w:rPr>
      </w:pPr>
      <w:r>
        <w:rPr>
          <w:rFonts w:hint="eastAsia" w:ascii="宋体" w:hAnsi="宋体" w:eastAsia="宋体" w:cs="Times New Roman"/>
          <w:color w:val="FF0000"/>
          <w:sz w:val="24"/>
          <w:szCs w:val="20"/>
        </w:rPr>
        <w:t>①用水量</w:t>
      </w:r>
    </w:p>
    <w:p>
      <w:pPr>
        <w:pStyle w:val="417"/>
        <w:ind w:firstLine="480"/>
        <w:rPr>
          <w:rFonts w:ascii="Times New Roman" w:hAnsi="Times New Roman" w:eastAsia="宋体" w:cs="Times New Roman"/>
          <w:color w:val="FF0000"/>
          <w:sz w:val="24"/>
          <w:szCs w:val="20"/>
        </w:rPr>
      </w:pPr>
      <w:r>
        <w:rPr>
          <w:rFonts w:hint="eastAsia" w:ascii="Times New Roman" w:hAnsi="Times New Roman" w:eastAsia="宋体" w:cs="Times New Roman"/>
          <w:color w:val="FF0000"/>
          <w:sz w:val="24"/>
          <w:szCs w:val="20"/>
        </w:rPr>
        <w:t>根据《鄂尔多斯市建设国家现代煤化工产业示范区总体规划》（2</w:t>
      </w:r>
      <w:r>
        <w:rPr>
          <w:rFonts w:ascii="Times New Roman" w:hAnsi="Times New Roman" w:eastAsia="宋体" w:cs="Times New Roman"/>
          <w:color w:val="FF0000"/>
          <w:sz w:val="24"/>
          <w:szCs w:val="20"/>
        </w:rPr>
        <w:t>020.12</w:t>
      </w:r>
      <w:r>
        <w:rPr>
          <w:rFonts w:hint="eastAsia" w:ascii="Times New Roman" w:hAnsi="Times New Roman" w:eastAsia="宋体" w:cs="Times New Roman"/>
          <w:color w:val="FF0000"/>
          <w:sz w:val="24"/>
          <w:szCs w:val="20"/>
        </w:rPr>
        <w:t>），至2</w:t>
      </w:r>
      <w:r>
        <w:rPr>
          <w:rFonts w:ascii="Times New Roman" w:hAnsi="Times New Roman" w:eastAsia="宋体" w:cs="Times New Roman"/>
          <w:color w:val="FF0000"/>
          <w:sz w:val="24"/>
          <w:szCs w:val="20"/>
        </w:rPr>
        <w:t>025</w:t>
      </w:r>
      <w:r>
        <w:rPr>
          <w:rFonts w:hint="eastAsia" w:ascii="Times New Roman" w:hAnsi="Times New Roman" w:eastAsia="宋体" w:cs="Times New Roman"/>
          <w:color w:val="FF0000"/>
          <w:sz w:val="24"/>
          <w:szCs w:val="20"/>
        </w:rPr>
        <w:t>年，全市现代煤化工项目新增新鲜水消耗量合计2</w:t>
      </w:r>
      <w:r>
        <w:rPr>
          <w:rFonts w:ascii="Times New Roman" w:hAnsi="Times New Roman" w:eastAsia="宋体" w:cs="Times New Roman"/>
          <w:color w:val="FF0000"/>
          <w:sz w:val="24"/>
          <w:szCs w:val="20"/>
        </w:rPr>
        <w:t>4091</w:t>
      </w:r>
      <w:r>
        <w:rPr>
          <w:rFonts w:hint="eastAsia" w:ascii="Times New Roman" w:hAnsi="Times New Roman" w:eastAsia="宋体" w:cs="Times New Roman"/>
          <w:color w:val="FF0000"/>
          <w:sz w:val="24"/>
          <w:szCs w:val="20"/>
        </w:rPr>
        <w:t>万立方米/年（其中规划项目1</w:t>
      </w:r>
      <w:r>
        <w:rPr>
          <w:rFonts w:ascii="Times New Roman" w:hAnsi="Times New Roman" w:eastAsia="宋体" w:cs="Times New Roman"/>
          <w:color w:val="FF0000"/>
          <w:sz w:val="24"/>
          <w:szCs w:val="20"/>
        </w:rPr>
        <w:t>9434</w:t>
      </w:r>
      <w:r>
        <w:rPr>
          <w:rFonts w:hint="eastAsia" w:ascii="Times New Roman" w:hAnsi="Times New Roman" w:eastAsia="宋体" w:cs="Times New Roman"/>
          <w:color w:val="FF0000"/>
          <w:sz w:val="24"/>
          <w:szCs w:val="20"/>
        </w:rPr>
        <w:t>万立方米/年，在建项目水耗4</w:t>
      </w:r>
      <w:r>
        <w:rPr>
          <w:rFonts w:ascii="Times New Roman" w:hAnsi="Times New Roman" w:eastAsia="宋体" w:cs="Times New Roman"/>
          <w:color w:val="FF0000"/>
          <w:sz w:val="24"/>
          <w:szCs w:val="20"/>
        </w:rPr>
        <w:t>656</w:t>
      </w:r>
      <w:r>
        <w:rPr>
          <w:rFonts w:hint="eastAsia" w:ascii="Times New Roman" w:hAnsi="Times New Roman" w:eastAsia="宋体" w:cs="Times New Roman"/>
          <w:color w:val="FF0000"/>
          <w:sz w:val="24"/>
          <w:szCs w:val="20"/>
        </w:rPr>
        <w:t>万立方米/年）。加上同期规划新建的传统煤化工项目新增水耗5</w:t>
      </w:r>
      <w:r>
        <w:rPr>
          <w:rFonts w:ascii="Times New Roman" w:hAnsi="Times New Roman" w:eastAsia="宋体" w:cs="Times New Roman"/>
          <w:color w:val="FF0000"/>
          <w:sz w:val="24"/>
          <w:szCs w:val="20"/>
        </w:rPr>
        <w:t>65</w:t>
      </w:r>
      <w:r>
        <w:rPr>
          <w:rFonts w:hint="eastAsia" w:ascii="Times New Roman" w:hAnsi="Times New Roman" w:eastAsia="宋体" w:cs="Times New Roman"/>
          <w:color w:val="FF0000"/>
          <w:sz w:val="24"/>
          <w:szCs w:val="20"/>
        </w:rPr>
        <w:t>万立方米/年，全市园区煤化工产业新增水耗约2</w:t>
      </w:r>
      <w:r>
        <w:rPr>
          <w:rFonts w:ascii="Times New Roman" w:hAnsi="Times New Roman" w:eastAsia="宋体" w:cs="Times New Roman"/>
          <w:color w:val="FF0000"/>
          <w:sz w:val="24"/>
          <w:szCs w:val="20"/>
        </w:rPr>
        <w:t>4656</w:t>
      </w:r>
      <w:r>
        <w:rPr>
          <w:rFonts w:hint="eastAsia" w:ascii="Times New Roman" w:hAnsi="Times New Roman" w:eastAsia="宋体" w:cs="Times New Roman"/>
          <w:color w:val="FF0000"/>
          <w:sz w:val="24"/>
          <w:szCs w:val="20"/>
        </w:rPr>
        <w:t>万立方米/年。目前，已建成煤化工项目耗水量约1</w:t>
      </w:r>
      <w:r>
        <w:rPr>
          <w:rFonts w:ascii="Times New Roman" w:hAnsi="Times New Roman" w:eastAsia="宋体" w:cs="Times New Roman"/>
          <w:color w:val="FF0000"/>
          <w:sz w:val="24"/>
          <w:szCs w:val="20"/>
        </w:rPr>
        <w:t>7920</w:t>
      </w:r>
      <w:r>
        <w:rPr>
          <w:rFonts w:hint="eastAsia" w:ascii="Times New Roman" w:hAnsi="Times New Roman" w:eastAsia="宋体" w:cs="Times New Roman"/>
          <w:color w:val="FF0000"/>
          <w:sz w:val="24"/>
          <w:szCs w:val="20"/>
        </w:rPr>
        <w:t>万立方米/年，因此，含已建、在建、规划煤化工项目，预计总耗水量达到4</w:t>
      </w:r>
      <w:r>
        <w:rPr>
          <w:rFonts w:ascii="Times New Roman" w:hAnsi="Times New Roman" w:eastAsia="宋体" w:cs="Times New Roman"/>
          <w:color w:val="FF0000"/>
          <w:sz w:val="24"/>
          <w:szCs w:val="20"/>
        </w:rPr>
        <w:t>2194</w:t>
      </w:r>
      <w:r>
        <w:rPr>
          <w:rFonts w:hint="eastAsia" w:ascii="Times New Roman" w:hAnsi="Times New Roman" w:eastAsia="宋体" w:cs="Times New Roman"/>
          <w:color w:val="FF0000"/>
          <w:sz w:val="24"/>
          <w:szCs w:val="20"/>
        </w:rPr>
        <w:t>万立方米/年。其中蒙苏经济开发区项目年转化煤炭量1</w:t>
      </w:r>
      <w:r>
        <w:rPr>
          <w:rFonts w:ascii="Times New Roman" w:hAnsi="Times New Roman" w:eastAsia="宋体" w:cs="Times New Roman"/>
          <w:color w:val="FF0000"/>
          <w:sz w:val="24"/>
          <w:szCs w:val="20"/>
        </w:rPr>
        <w:t>180</w:t>
      </w:r>
      <w:r>
        <w:rPr>
          <w:rFonts w:hint="eastAsia" w:ascii="Times New Roman" w:hAnsi="Times New Roman" w:eastAsia="宋体" w:cs="Times New Roman"/>
          <w:color w:val="FF0000"/>
          <w:sz w:val="24"/>
          <w:szCs w:val="20"/>
        </w:rPr>
        <w:t>万吨，耗新鲜水量1</w:t>
      </w:r>
      <w:r>
        <w:rPr>
          <w:rFonts w:ascii="Times New Roman" w:hAnsi="Times New Roman" w:eastAsia="宋体" w:cs="Times New Roman"/>
          <w:color w:val="FF0000"/>
          <w:sz w:val="24"/>
          <w:szCs w:val="20"/>
        </w:rPr>
        <w:t>865</w:t>
      </w:r>
      <w:r>
        <w:rPr>
          <w:rFonts w:hint="eastAsia" w:ascii="Times New Roman" w:hAnsi="Times New Roman" w:eastAsia="宋体" w:cs="Times New Roman"/>
          <w:color w:val="FF0000"/>
          <w:sz w:val="24"/>
          <w:szCs w:val="20"/>
        </w:rPr>
        <w:t>万立方米，总投资4</w:t>
      </w:r>
      <w:r>
        <w:rPr>
          <w:rFonts w:ascii="Times New Roman" w:hAnsi="Times New Roman" w:eastAsia="宋体" w:cs="Times New Roman"/>
          <w:color w:val="FF0000"/>
          <w:sz w:val="24"/>
          <w:szCs w:val="20"/>
        </w:rPr>
        <w:t>18</w:t>
      </w:r>
      <w:r>
        <w:rPr>
          <w:rFonts w:hint="eastAsia" w:ascii="Times New Roman" w:hAnsi="Times New Roman" w:eastAsia="宋体" w:cs="Times New Roman"/>
          <w:color w:val="FF0000"/>
          <w:sz w:val="24"/>
          <w:szCs w:val="20"/>
        </w:rPr>
        <w:t>亿元，规划利用引黄入东供水管线，将乌兰木伦水库作为调节池，并连通至项目区管线，以满足项目持续用水保障。另外，周边煤矿疏干水和处理后的中水，均可作为远期发展的备用水源。</w:t>
      </w:r>
    </w:p>
    <w:p>
      <w:pPr>
        <w:pStyle w:val="417"/>
        <w:ind w:firstLine="480"/>
        <w:rPr>
          <w:rFonts w:ascii="Times New Roman" w:hAnsi="Times New Roman" w:eastAsia="宋体" w:cs="Times New Roman"/>
          <w:color w:val="FF0000"/>
          <w:sz w:val="24"/>
          <w:szCs w:val="20"/>
        </w:rPr>
      </w:pPr>
      <w:r>
        <w:rPr>
          <w:rFonts w:hint="eastAsia" w:ascii="宋体" w:hAnsi="宋体" w:eastAsia="宋体" w:cs="Times New Roman"/>
          <w:color w:val="FF0000"/>
          <w:sz w:val="24"/>
          <w:szCs w:val="20"/>
        </w:rPr>
        <w:t>②</w:t>
      </w:r>
      <w:r>
        <w:rPr>
          <w:rFonts w:hint="eastAsia" w:ascii="Times New Roman" w:hAnsi="Times New Roman" w:eastAsia="宋体" w:cs="Times New Roman"/>
          <w:color w:val="FF0000"/>
          <w:sz w:val="24"/>
          <w:szCs w:val="20"/>
        </w:rPr>
        <w:t>用水现状</w:t>
      </w:r>
    </w:p>
    <w:p>
      <w:pPr>
        <w:pStyle w:val="417"/>
        <w:ind w:firstLine="480"/>
        <w:rPr>
          <w:rFonts w:ascii="Times New Roman" w:hAnsi="Times New Roman" w:eastAsia="宋体" w:cs="Times New Roman"/>
          <w:color w:val="FF0000"/>
          <w:sz w:val="24"/>
          <w:szCs w:val="20"/>
        </w:rPr>
      </w:pPr>
      <w:r>
        <w:rPr>
          <w:rFonts w:hint="eastAsia" w:ascii="Times New Roman" w:hAnsi="Times New Roman" w:eastAsia="宋体" w:cs="Times New Roman"/>
          <w:color w:val="FF0000"/>
          <w:sz w:val="24"/>
          <w:szCs w:val="20"/>
        </w:rPr>
        <w:t>蒙苏经济开发区工业用水方面目前主要是利用纳林陶亥镇、乌兰木伦镇煤矿疏干水，净化后用于工业用水。饮用水方面：目前是打井用水，下一步计划利用疏干水净化后达到饮用水标准后利用。</w:t>
      </w:r>
    </w:p>
    <w:p>
      <w:pPr>
        <w:pStyle w:val="417"/>
        <w:ind w:firstLine="480"/>
        <w:rPr>
          <w:rFonts w:ascii="Times New Roman" w:hAnsi="Times New Roman" w:eastAsia="宋体" w:cs="Times New Roman"/>
          <w:color w:val="FF0000"/>
          <w:sz w:val="24"/>
          <w:szCs w:val="20"/>
        </w:rPr>
      </w:pPr>
      <w:r>
        <w:rPr>
          <w:rFonts w:hint="eastAsia" w:ascii="Times New Roman" w:hAnsi="Times New Roman" w:eastAsia="宋体" w:cs="Times New Roman"/>
          <w:color w:val="FF0000"/>
          <w:sz w:val="24"/>
          <w:szCs w:val="20"/>
        </w:rPr>
        <w:t>2）纳林希里</w:t>
      </w:r>
      <w:r>
        <w:rPr>
          <w:rFonts w:hint="eastAsia" w:ascii="Times New Roman" w:hAnsi="Times New Roman" w:eastAsia="宋体"/>
          <w:color w:val="FF0000"/>
          <w:sz w:val="24"/>
          <w:szCs w:val="24"/>
        </w:rPr>
        <w:t>2</w:t>
      </w:r>
      <w:r>
        <w:rPr>
          <w:rFonts w:hint="eastAsia" w:ascii="Times New Roman" w:hAnsi="Times New Roman"/>
          <w:color w:val="FF0000"/>
          <w:sz w:val="24"/>
          <w:szCs w:val="24"/>
        </w:rPr>
        <w:t>×1000MW</w:t>
      </w:r>
      <w:r>
        <w:rPr>
          <w:rFonts w:hint="eastAsia" w:ascii="Times New Roman" w:hAnsi="Times New Roman" w:eastAsia="宋体" w:cs="Times New Roman"/>
          <w:color w:val="FF0000"/>
          <w:sz w:val="24"/>
          <w:szCs w:val="20"/>
        </w:rPr>
        <w:t>煤电一体化项目</w:t>
      </w:r>
    </w:p>
    <w:p>
      <w:pPr>
        <w:pStyle w:val="417"/>
        <w:ind w:firstLine="480"/>
        <w:rPr>
          <w:rFonts w:ascii="Times New Roman" w:hAnsi="Times New Roman" w:cs="Times New Roman"/>
          <w:color w:val="FF0000"/>
          <w:sz w:val="24"/>
          <w:szCs w:val="20"/>
        </w:rPr>
      </w:pPr>
      <w:r>
        <w:rPr>
          <w:rFonts w:hint="eastAsia" w:ascii="Times New Roman" w:hAnsi="Times New Roman" w:eastAsia="宋体" w:cs="Times New Roman"/>
          <w:color w:val="FF0000"/>
          <w:sz w:val="24"/>
          <w:szCs w:val="20"/>
        </w:rPr>
        <w:t>根据《内蒙古能源集团纳林希里</w:t>
      </w:r>
      <w:r>
        <w:rPr>
          <w:rFonts w:hint="eastAsia" w:ascii="Times New Roman" w:hAnsi="Times New Roman" w:eastAsia="宋体"/>
          <w:color w:val="FF0000"/>
          <w:sz w:val="24"/>
          <w:szCs w:val="24"/>
        </w:rPr>
        <w:t>2</w:t>
      </w:r>
      <w:r>
        <w:rPr>
          <w:rFonts w:hint="eastAsia" w:ascii="Times New Roman" w:hAnsi="Times New Roman"/>
          <w:color w:val="FF0000"/>
          <w:sz w:val="24"/>
          <w:szCs w:val="24"/>
        </w:rPr>
        <w:t>×1000MW</w:t>
      </w:r>
      <w:r>
        <w:rPr>
          <w:rFonts w:hint="eastAsia" w:ascii="Times New Roman" w:hAnsi="Times New Roman" w:eastAsia="宋体" w:cs="Times New Roman"/>
          <w:color w:val="FF0000"/>
          <w:sz w:val="24"/>
          <w:szCs w:val="20"/>
        </w:rPr>
        <w:t>煤电一体化项目工程可行性研究报告》，该工程工业用水补给水源拟采用东胜煤田纳林希里矿区井矿疏干水，红庆河煤矿疏干水作为备用水源，内蒙古宏焱工贸公司红庆河镇水务公司为电厂提供生活用水。经初步计算，</w:t>
      </w:r>
      <w:r>
        <w:rPr>
          <w:rFonts w:hint="eastAsia" w:ascii="Times New Roman" w:hAnsi="Times New Roman" w:eastAsia="宋体"/>
          <w:color w:val="FF0000"/>
          <w:sz w:val="24"/>
          <w:szCs w:val="24"/>
        </w:rPr>
        <w:t>2</w:t>
      </w:r>
      <w:r>
        <w:rPr>
          <w:rFonts w:hint="eastAsia" w:ascii="Times New Roman" w:hAnsi="Times New Roman"/>
          <w:color w:val="FF0000"/>
          <w:sz w:val="24"/>
          <w:szCs w:val="24"/>
        </w:rPr>
        <w:t>×1000MW</w:t>
      </w:r>
      <w:r>
        <w:rPr>
          <w:rFonts w:hint="eastAsia" w:ascii="Times New Roman" w:hAnsi="Times New Roman" w:eastAsia="宋体" w:cs="Times New Roman"/>
          <w:color w:val="FF0000"/>
          <w:sz w:val="24"/>
          <w:szCs w:val="20"/>
        </w:rPr>
        <w:t>空冷机组设计夏季生产耗水量约350</w:t>
      </w:r>
      <w:r>
        <w:rPr>
          <w:rFonts w:ascii="Times New Roman" w:hAnsi="Times New Roman" w:cs="Times New Roman"/>
          <w:color w:val="FF0000"/>
          <w:sz w:val="24"/>
        </w:rPr>
        <w:t>m</w:t>
      </w:r>
      <w:r>
        <w:rPr>
          <w:rFonts w:ascii="Times New Roman" w:hAnsi="Times New Roman" w:cs="Times New Roman"/>
          <w:color w:val="FF0000"/>
          <w:sz w:val="24"/>
          <w:vertAlign w:val="superscript"/>
        </w:rPr>
        <w:t>3</w:t>
      </w:r>
      <w:r>
        <w:rPr>
          <w:rFonts w:ascii="Times New Roman" w:hAnsi="Times New Roman" w:cs="Times New Roman"/>
          <w:color w:val="FF0000"/>
          <w:sz w:val="24"/>
        </w:rPr>
        <w:t>/h，</w:t>
      </w:r>
      <w:r>
        <w:rPr>
          <w:rFonts w:hint="eastAsia" w:ascii="宋体" w:hAnsi="宋体" w:eastAsia="宋体" w:cs="宋体"/>
          <w:color w:val="FF0000"/>
          <w:sz w:val="24"/>
        </w:rPr>
        <w:t>生活用水量</w:t>
      </w:r>
      <w:r>
        <w:rPr>
          <w:rFonts w:hint="eastAsia" w:ascii="Times New Roman" w:hAnsi="Times New Roman" w:cs="Times New Roman"/>
          <w:color w:val="FF0000"/>
          <w:sz w:val="24"/>
        </w:rPr>
        <w:t>2</w:t>
      </w:r>
      <w:r>
        <w:rPr>
          <w:rFonts w:ascii="Times New Roman" w:hAnsi="Times New Roman" w:cs="Times New Roman"/>
          <w:color w:val="FF0000"/>
          <w:sz w:val="24"/>
        </w:rPr>
        <w:t>m</w:t>
      </w:r>
      <w:r>
        <w:rPr>
          <w:rFonts w:ascii="Times New Roman" w:hAnsi="Times New Roman" w:cs="Times New Roman"/>
          <w:color w:val="FF0000"/>
          <w:sz w:val="24"/>
          <w:vertAlign w:val="superscript"/>
        </w:rPr>
        <w:t>3</w:t>
      </w:r>
      <w:r>
        <w:rPr>
          <w:rFonts w:ascii="Times New Roman" w:hAnsi="Times New Roman" w:cs="Times New Roman"/>
          <w:color w:val="FF0000"/>
          <w:sz w:val="24"/>
        </w:rPr>
        <w:t>/h</w:t>
      </w:r>
      <w:r>
        <w:rPr>
          <w:rFonts w:hint="eastAsia" w:ascii="Times New Roman" w:hAnsi="Times New Roman" w:cs="Times New Roman"/>
          <w:color w:val="FF0000"/>
          <w:sz w:val="24"/>
        </w:rPr>
        <w:t>。</w:t>
      </w:r>
    </w:p>
    <w:p>
      <w:pPr>
        <w:spacing w:line="440" w:lineRule="exact"/>
        <w:ind w:firstLine="480" w:firstLineChars="200"/>
        <w:rPr>
          <w:rFonts w:ascii="Times New Roman" w:hAnsi="Times New Roman"/>
        </w:rPr>
      </w:pPr>
      <w:r>
        <w:rPr>
          <w:rFonts w:ascii="Times New Roman" w:hAnsi="Times New Roman"/>
        </w:rPr>
        <w:t>生活污水主要污染物为CODcr、BOD</w:t>
      </w:r>
      <w:r>
        <w:rPr>
          <w:rFonts w:ascii="Times New Roman" w:hAnsi="Times New Roman"/>
          <w:vertAlign w:val="subscript"/>
        </w:rPr>
        <w:t>5</w:t>
      </w:r>
      <w:r>
        <w:rPr>
          <w:rFonts w:ascii="Times New Roman" w:hAnsi="Times New Roman"/>
        </w:rPr>
        <w:t>、SS、石油类、氨氮等，可采用二级生化+过滤消毒处理工艺，处理后满足《城市污水再生利用 城市杂用水水质》城市绿化用水标准和道路清扫用水标准，回用于绿化、道路洒水和地面生产系统一般生产用水等，全部综合利用不外排。</w:t>
      </w:r>
    </w:p>
    <w:p>
      <w:pPr>
        <w:pStyle w:val="2"/>
        <w:jc w:val="center"/>
      </w:pPr>
    </w:p>
    <w:p>
      <w:pPr>
        <w:pStyle w:val="2"/>
        <w:jc w:val="center"/>
      </w:pPr>
      <w:r>
        <w:drawing>
          <wp:inline distT="0" distB="0" distL="0" distR="0">
            <wp:extent cx="4333240" cy="3882390"/>
            <wp:effectExtent l="0" t="0" r="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61"/>
                    <a:stretch>
                      <a:fillRect/>
                    </a:stretch>
                  </pic:blipFill>
                  <pic:spPr>
                    <a:xfrm>
                      <a:off x="0" y="0"/>
                      <a:ext cx="4347110" cy="3895195"/>
                    </a:xfrm>
                    <a:prstGeom prst="rect">
                      <a:avLst/>
                    </a:prstGeom>
                  </pic:spPr>
                </pic:pic>
              </a:graphicData>
            </a:graphic>
          </wp:inline>
        </w:drawing>
      </w:r>
    </w:p>
    <w:p>
      <w:pPr>
        <w:spacing w:line="440" w:lineRule="exact"/>
        <w:ind w:firstLine="480" w:firstLineChars="200"/>
        <w:jc w:val="center"/>
        <w:rPr>
          <w:rFonts w:ascii="Times New Roman" w:hAnsi="Times New Roman"/>
          <w:color w:val="FF0000"/>
        </w:rPr>
      </w:pPr>
      <w:r>
        <w:rPr>
          <w:rFonts w:hint="eastAsia" w:ascii="Times New Roman" w:hAnsi="Times New Roman"/>
          <w:color w:val="FF0000"/>
        </w:rPr>
        <w:t>图5</w:t>
      </w:r>
      <w:r>
        <w:rPr>
          <w:rFonts w:ascii="Times New Roman" w:hAnsi="Times New Roman"/>
          <w:color w:val="FF0000"/>
        </w:rPr>
        <w:t xml:space="preserve">.4-1  </w:t>
      </w:r>
      <w:r>
        <w:rPr>
          <w:rFonts w:hint="eastAsia" w:ascii="Times New Roman" w:hAnsi="Times New Roman"/>
          <w:color w:val="FF0000"/>
        </w:rPr>
        <w:t>矿井水综合利用去向</w:t>
      </w:r>
    </w:p>
    <w:p>
      <w:pPr>
        <w:spacing w:line="440" w:lineRule="exact"/>
        <w:ind w:firstLine="480" w:firstLineChars="200"/>
        <w:rPr>
          <w:rFonts w:ascii="Times New Roman" w:hAnsi="Times New Roman"/>
        </w:rPr>
      </w:pPr>
      <w:r>
        <w:rPr>
          <w:rFonts w:ascii="Times New Roman" w:hAnsi="Times New Roman"/>
        </w:rPr>
        <w:t>（3）地表水环境影响分析</w:t>
      </w:r>
    </w:p>
    <w:p>
      <w:pPr>
        <w:spacing w:line="440" w:lineRule="exact"/>
        <w:ind w:firstLine="480" w:firstLineChars="200"/>
        <w:rPr>
          <w:rFonts w:ascii="Times New Roman" w:hAnsi="Times New Roman"/>
          <w:snapToGrid w:val="0"/>
        </w:rPr>
      </w:pPr>
      <w:r>
        <w:rPr>
          <w:rFonts w:ascii="Times New Roman" w:hAnsi="Times New Roman"/>
          <w:snapToGrid w:val="0"/>
        </w:rPr>
        <w:t>本矿区矿井水、生产生活污废水分质处理达标后优先回用于矿井作为井下消防洒水、选煤厂生产补充水、辅助企业生产用水等</w:t>
      </w:r>
      <w:r>
        <w:rPr>
          <w:rFonts w:ascii="Times New Roman" w:hAnsi="Times New Roman"/>
        </w:rPr>
        <w:t>生产生活用水</w:t>
      </w:r>
      <w:r>
        <w:rPr>
          <w:rFonts w:ascii="Times New Roman" w:hAnsi="Times New Roman"/>
          <w:snapToGrid w:val="0"/>
        </w:rPr>
        <w:t>综合利用，</w:t>
      </w:r>
      <w:r>
        <w:rPr>
          <w:rFonts w:ascii="Times New Roman" w:hAnsi="Times New Roman"/>
        </w:rPr>
        <w:t>剩余部分可处理达到地表水III类水水质标准后，</w:t>
      </w:r>
      <w:r>
        <w:rPr>
          <w:rFonts w:hint="eastAsia" w:ascii="Times New Roman" w:hAnsi="Times New Roman"/>
        </w:rPr>
        <w:t>送至临近的蒙苏经济开发区及纳林希里4×1000MW煤电一体化电厂项目</w:t>
      </w:r>
      <w:r>
        <w:rPr>
          <w:rFonts w:ascii="Times New Roman" w:hAnsi="Times New Roman"/>
        </w:rPr>
        <w:t>作为生产、生活及</w:t>
      </w:r>
      <w:r>
        <w:rPr>
          <w:rFonts w:hint="eastAsia" w:ascii="Times New Roman" w:hAnsi="Times New Roman"/>
        </w:rPr>
        <w:t>开发</w:t>
      </w:r>
      <w:r>
        <w:rPr>
          <w:rFonts w:ascii="Times New Roman" w:hAnsi="Times New Roman"/>
        </w:rPr>
        <w:t>区绿化用水等综合利用。</w:t>
      </w:r>
      <w:r>
        <w:rPr>
          <w:rFonts w:hint="eastAsia" w:ascii="Times New Roman" w:hAnsi="Times New Roman"/>
        </w:rPr>
        <w:t>如有多余可</w:t>
      </w:r>
      <w:r>
        <w:rPr>
          <w:rFonts w:ascii="Times New Roman" w:hAnsi="Times New Roman"/>
        </w:rPr>
        <w:t>就近排入井田内地势低洼的淖尔，增加淖尔水量，改善淖尔水质及周边生态。</w:t>
      </w:r>
      <w:r>
        <w:rPr>
          <w:rFonts w:ascii="Times New Roman" w:hAnsi="Times New Roman"/>
          <w:snapToGrid w:val="0"/>
        </w:rPr>
        <w:t>生活污水处理后全部综合利用不外排。</w:t>
      </w:r>
    </w:p>
    <w:p>
      <w:pPr>
        <w:spacing w:line="440" w:lineRule="exact"/>
        <w:ind w:firstLine="480" w:firstLineChars="200"/>
        <w:rPr>
          <w:rStyle w:val="74"/>
          <w:rFonts w:ascii="Times New Roman" w:hAnsi="Times New Roman"/>
        </w:rPr>
      </w:pPr>
      <w:r>
        <w:rPr>
          <w:rFonts w:ascii="Times New Roman" w:hAnsi="Times New Roman"/>
          <w:snapToGrid w:val="0"/>
        </w:rPr>
        <w:t>根据对矿区内淖尔水质监测，淖尔水质达不到地表水III类水水质标准，矿区矿井水在矿井自身综合利用后富余部分，本次评价提出</w:t>
      </w:r>
      <w:r>
        <w:rPr>
          <w:rFonts w:ascii="Times New Roman" w:hAnsi="Times New Roman"/>
        </w:rPr>
        <w:t>处理达到地表水III类水水质标准后，就近排入井田内地势低洼的淖尔。一方面可增加淖尔水量，部分干涸或接近干涸的淖尔水量得到补充，改善淖尔及周边生态；另一方面处理达到地表水III类水水质标准后的矿井水水质比淖尔原有水质要好，可改善淖尔水质。</w:t>
      </w:r>
    </w:p>
    <w:p>
      <w:pPr>
        <w:keepNext/>
        <w:keepLines/>
        <w:adjustRightInd w:val="0"/>
        <w:snapToGrid w:val="0"/>
        <w:spacing w:before="260" w:after="260" w:line="440" w:lineRule="exact"/>
        <w:jc w:val="left"/>
        <w:outlineLvl w:val="1"/>
        <w:rPr>
          <w:rFonts w:ascii="Times New Roman" w:hAnsi="Times New Roman"/>
          <w:b/>
          <w:sz w:val="28"/>
        </w:rPr>
      </w:pPr>
      <w:bookmarkStart w:id="266" w:name="_Toc8997"/>
      <w:r>
        <w:rPr>
          <w:rFonts w:ascii="Times New Roman" w:hAnsi="Times New Roman"/>
          <w:b/>
          <w:sz w:val="28"/>
        </w:rPr>
        <w:t>5.5 环境空气影响</w:t>
      </w:r>
      <w:bookmarkEnd w:id="262"/>
      <w:r>
        <w:rPr>
          <w:rFonts w:ascii="Times New Roman" w:hAnsi="Times New Roman"/>
          <w:b/>
          <w:sz w:val="28"/>
        </w:rPr>
        <w:t>分析</w:t>
      </w:r>
      <w:bookmarkEnd w:id="263"/>
      <w:bookmarkEnd w:id="266"/>
    </w:p>
    <w:p>
      <w:pPr>
        <w:keepNext/>
        <w:keepLines/>
        <w:adjustRightInd w:val="0"/>
        <w:snapToGrid w:val="0"/>
        <w:spacing w:line="440" w:lineRule="exact"/>
        <w:outlineLvl w:val="2"/>
        <w:rPr>
          <w:rFonts w:ascii="Times New Roman" w:hAnsi="Times New Roman"/>
          <w:b/>
        </w:rPr>
      </w:pPr>
      <w:bookmarkStart w:id="267" w:name="_Toc205632426"/>
      <w:bookmarkStart w:id="268" w:name="_Toc205776638"/>
      <w:bookmarkStart w:id="269" w:name="_Toc172971912"/>
      <w:r>
        <w:rPr>
          <w:rFonts w:ascii="Times New Roman" w:hAnsi="Times New Roman"/>
          <w:b/>
        </w:rPr>
        <w:t>5.5.1 区域气象特征</w:t>
      </w:r>
      <w:bookmarkEnd w:id="267"/>
      <w:bookmarkEnd w:id="268"/>
      <w:bookmarkEnd w:id="269"/>
    </w:p>
    <w:p>
      <w:pPr>
        <w:keepNext/>
        <w:keepLines/>
        <w:adjustRightInd w:val="0"/>
        <w:snapToGrid w:val="0"/>
        <w:spacing w:line="440" w:lineRule="exact"/>
        <w:outlineLvl w:val="3"/>
        <w:rPr>
          <w:rFonts w:ascii="Times New Roman" w:hAnsi="Times New Roman"/>
          <w:b/>
        </w:rPr>
      </w:pPr>
      <w:r>
        <w:rPr>
          <w:rFonts w:ascii="Times New Roman" w:hAnsi="Times New Roman"/>
          <w:b/>
        </w:rPr>
        <w:t>5.5.1.1资料来源</w:t>
      </w:r>
    </w:p>
    <w:p>
      <w:pPr>
        <w:adjustRightInd w:val="0"/>
        <w:snapToGrid w:val="0"/>
        <w:spacing w:line="440" w:lineRule="exact"/>
        <w:ind w:firstLine="480" w:firstLineChars="200"/>
        <w:rPr>
          <w:rFonts w:ascii="Times New Roman" w:hAnsi="Times New Roman"/>
        </w:rPr>
      </w:pPr>
      <w:bookmarkStart w:id="270" w:name="_Toc272593579"/>
      <w:bookmarkStart w:id="271" w:name="_Toc273194683"/>
      <w:bookmarkStart w:id="272" w:name="_Toc272221549"/>
      <w:bookmarkStart w:id="273" w:name="_Toc273512697"/>
      <w:bookmarkStart w:id="274" w:name="_Toc274921416"/>
      <w:r>
        <w:rPr>
          <w:rFonts w:ascii="Times New Roman" w:hAnsi="Times New Roman"/>
        </w:rPr>
        <w:t>（1）</w:t>
      </w:r>
      <w:bookmarkEnd w:id="270"/>
      <w:bookmarkEnd w:id="271"/>
      <w:bookmarkEnd w:id="272"/>
      <w:bookmarkEnd w:id="273"/>
      <w:bookmarkEnd w:id="274"/>
      <w:r>
        <w:rPr>
          <w:rFonts w:ascii="Times New Roman" w:hAnsi="Times New Roman"/>
          <w:bCs/>
          <w:szCs w:val="24"/>
        </w:rPr>
        <w:t>气象资料</w:t>
      </w:r>
    </w:p>
    <w:p>
      <w:pPr>
        <w:adjustRightInd w:val="0"/>
        <w:snapToGrid w:val="0"/>
        <w:spacing w:line="440" w:lineRule="exact"/>
        <w:ind w:firstLine="480" w:firstLineChars="200"/>
        <w:rPr>
          <w:rFonts w:ascii="Times New Roman" w:hAnsi="Times New Roman"/>
          <w:bCs/>
          <w:szCs w:val="24"/>
        </w:rPr>
      </w:pPr>
      <w:bookmarkStart w:id="275" w:name="_Toc274921417"/>
      <w:bookmarkStart w:id="276" w:name="_Toc273512698"/>
      <w:r>
        <w:rPr>
          <w:rFonts w:ascii="Times New Roman" w:hAnsi="Times New Roman"/>
          <w:bCs/>
          <w:szCs w:val="24"/>
        </w:rPr>
        <w:t>本次评价采用距离矿区最近的伊金霍洛旗气象站的气象数据。</w:t>
      </w:r>
    </w:p>
    <w:p>
      <w:pPr>
        <w:adjustRightInd w:val="0"/>
        <w:snapToGrid w:val="0"/>
        <w:spacing w:line="440" w:lineRule="exact"/>
        <w:ind w:firstLine="480" w:firstLineChars="200"/>
        <w:rPr>
          <w:rFonts w:ascii="Times New Roman" w:hAnsi="Times New Roman"/>
          <w:bCs/>
          <w:szCs w:val="24"/>
        </w:rPr>
      </w:pPr>
      <w:r>
        <w:rPr>
          <w:rFonts w:ascii="Times New Roman" w:hAnsi="Times New Roman"/>
          <w:bCs/>
          <w:szCs w:val="24"/>
        </w:rPr>
        <w:t>本报告收集伊金霍洛旗气象站2001-2020年近20年的常规气象统计数据及2020年全年逐日逐时的风向、风速、和温度的气象观测资料作为本规划的预测气象条件。</w:t>
      </w:r>
    </w:p>
    <w:p>
      <w:pPr>
        <w:adjustRightInd w:val="0"/>
        <w:snapToGrid w:val="0"/>
        <w:spacing w:line="440" w:lineRule="exact"/>
        <w:ind w:firstLine="480" w:firstLineChars="200"/>
        <w:rPr>
          <w:rFonts w:ascii="Times New Roman" w:hAnsi="Times New Roman"/>
        </w:rPr>
      </w:pPr>
      <w:r>
        <w:rPr>
          <w:rFonts w:ascii="Times New Roman" w:hAnsi="Times New Roman"/>
        </w:rPr>
        <w:t>（2）地形资料</w:t>
      </w:r>
      <w:bookmarkEnd w:id="275"/>
      <w:bookmarkEnd w:id="276"/>
    </w:p>
    <w:p>
      <w:pPr>
        <w:adjustRightInd w:val="0"/>
        <w:snapToGrid w:val="0"/>
        <w:spacing w:line="440" w:lineRule="exact"/>
        <w:ind w:firstLine="480" w:firstLineChars="200"/>
        <w:rPr>
          <w:rFonts w:ascii="Times New Roman" w:hAnsi="Times New Roman"/>
        </w:rPr>
      </w:pPr>
      <w:r>
        <w:rPr>
          <w:rFonts w:ascii="Times New Roman" w:hAnsi="Times New Roman"/>
        </w:rPr>
        <w:t>地形数据来源于采用全球坐标定义的外部DEM文件，该文件包括评价范围内的地形高程数据，分辨率为90m。</w:t>
      </w:r>
    </w:p>
    <w:p>
      <w:pPr>
        <w:keepNext/>
        <w:keepLines/>
        <w:adjustRightInd w:val="0"/>
        <w:snapToGrid w:val="0"/>
        <w:spacing w:line="440" w:lineRule="exact"/>
        <w:outlineLvl w:val="3"/>
        <w:rPr>
          <w:rFonts w:ascii="Times New Roman" w:hAnsi="Times New Roman"/>
          <w:b/>
        </w:rPr>
      </w:pPr>
      <w:r>
        <w:rPr>
          <w:rFonts w:ascii="Times New Roman" w:hAnsi="Times New Roman"/>
          <w:b/>
        </w:rPr>
        <w:t>5.5.1.2 多年气象资料统计分析</w:t>
      </w:r>
    </w:p>
    <w:p>
      <w:pPr>
        <w:adjustRightInd w:val="0"/>
        <w:snapToGrid w:val="0"/>
        <w:spacing w:line="440" w:lineRule="exact"/>
        <w:ind w:firstLine="480" w:firstLineChars="200"/>
        <w:rPr>
          <w:rFonts w:ascii="Times New Roman" w:hAnsi="Times New Roman"/>
        </w:rPr>
      </w:pPr>
      <w:r>
        <w:rPr>
          <w:rFonts w:ascii="Times New Roman" w:hAnsi="Times New Roman"/>
        </w:rPr>
        <w:t>本次评价采用伊金霍洛旗气象站长期气象观测资料作为本矿区的气象条件，该气象站2001年-2020年的主要气候资料统计结果见表5.5-1。</w:t>
      </w:r>
    </w:p>
    <w:p>
      <w:pPr>
        <w:adjustRightInd w:val="0"/>
        <w:snapToGrid w:val="0"/>
        <w:spacing w:line="440" w:lineRule="exact"/>
        <w:jc w:val="center"/>
        <w:rPr>
          <w:rFonts w:ascii="Times New Roman" w:hAnsi="Times New Roman"/>
          <w:b/>
        </w:rPr>
      </w:pPr>
      <w:r>
        <w:rPr>
          <w:rFonts w:ascii="Times New Roman" w:hAnsi="Times New Roman"/>
          <w:b/>
        </w:rPr>
        <w:t>伊金霍洛旗气象站常规气象参数统计表（2001年-2020年）</w:t>
      </w:r>
    </w:p>
    <w:p>
      <w:pPr>
        <w:adjustRightInd w:val="0"/>
        <w:snapToGrid w:val="0"/>
        <w:spacing w:line="440" w:lineRule="exact"/>
        <w:rPr>
          <w:rFonts w:ascii="Times New Roman" w:hAnsi="Times New Roman"/>
        </w:rPr>
      </w:pPr>
      <w:r>
        <w:rPr>
          <w:rFonts w:ascii="Times New Roman" w:hAnsi="Times New Roman"/>
        </w:rPr>
        <w:t>表5.5-1</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3"/>
        <w:gridCol w:w="3711"/>
        <w:gridCol w:w="1421"/>
        <w:gridCol w:w="1973"/>
        <w:gridCol w:w="1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序号</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统计项目</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统计值</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极值出现时间</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日极值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1</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多年平均气温（℃）</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7.45</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2</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累年极端最高气温（℃）</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37.3</w:t>
            </w:r>
          </w:p>
        </w:tc>
        <w:tc>
          <w:tcPr>
            <w:tcW w:w="1973" w:type="dxa"/>
            <w:vAlign w:val="center"/>
          </w:tcPr>
          <w:p>
            <w:pPr>
              <w:adjustRightInd w:val="0"/>
              <w:snapToGrid w:val="0"/>
              <w:rPr>
                <w:rFonts w:ascii="Times New Roman" w:hAnsi="Times New Roman"/>
                <w:sz w:val="21"/>
                <w:szCs w:val="21"/>
              </w:rPr>
            </w:pPr>
            <w:r>
              <w:rPr>
                <w:rFonts w:ascii="Times New Roman" w:hAnsi="Times New Roman"/>
                <w:sz w:val="21"/>
                <w:szCs w:val="21"/>
              </w:rPr>
              <w:t>2005.6.22/2010.7.30</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3</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累年极端最低气温（℃）</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-29.7</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2002.12.27</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4</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多年平均气压（hPa）</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865.7</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5</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多年平均水汽压（hPa）</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6.3</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6</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多年平均相对湿度（%）</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49</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7</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多年平均降雨量（mm）</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376.5</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8</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多年实测极大风速（m/s）、相应风向</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32.3</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2014.8.9</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NNW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9</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多年平均风速（m/s）</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2.7</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10</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多年主导风向、风向频率（%）</w:t>
            </w:r>
          </w:p>
        </w:tc>
        <w:tc>
          <w:tcPr>
            <w:tcW w:w="1421" w:type="dxa"/>
            <w:vAlign w:val="center"/>
          </w:tcPr>
          <w:p>
            <w:pPr>
              <w:adjustRightInd w:val="0"/>
              <w:snapToGrid w:val="0"/>
              <w:rPr>
                <w:rFonts w:ascii="Times New Roman" w:hAnsi="Times New Roman"/>
                <w:sz w:val="21"/>
                <w:szCs w:val="21"/>
              </w:rPr>
            </w:pPr>
            <w:r>
              <w:rPr>
                <w:rFonts w:ascii="Times New Roman" w:hAnsi="Times New Roman"/>
                <w:sz w:val="21"/>
                <w:szCs w:val="21"/>
              </w:rPr>
              <w:t>静风12.1（除静风外为WNW11.1）</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0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11</w:t>
            </w:r>
          </w:p>
        </w:tc>
        <w:tc>
          <w:tcPr>
            <w:tcW w:w="371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多年静风频率（%）</w:t>
            </w:r>
          </w:p>
        </w:tc>
        <w:tc>
          <w:tcPr>
            <w:tcW w:w="14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12.1</w:t>
            </w:r>
          </w:p>
        </w:tc>
        <w:tc>
          <w:tcPr>
            <w:tcW w:w="197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c>
          <w:tcPr>
            <w:tcW w:w="137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w:t>
            </w:r>
          </w:p>
        </w:tc>
      </w:tr>
    </w:tbl>
    <w:p>
      <w:pPr>
        <w:adjustRightInd w:val="0"/>
        <w:snapToGrid w:val="0"/>
        <w:spacing w:before="120" w:beforeLines="50" w:after="120" w:afterLines="50" w:line="440" w:lineRule="exact"/>
        <w:ind w:firstLine="480" w:firstLineChars="200"/>
        <w:rPr>
          <w:rFonts w:ascii="Times New Roman" w:hAnsi="Times New Roman"/>
        </w:rPr>
      </w:pPr>
      <w:r>
        <w:rPr>
          <w:rFonts w:ascii="Times New Roman" w:hAnsi="Times New Roman"/>
        </w:rPr>
        <w:t>根据近二十年气象数据分析，伊金霍洛旗气象站4月平均风速最大为3.5m/s，8月、9月最小风速为2.2m/s，具体见表5.5-2。</w:t>
      </w:r>
    </w:p>
    <w:p>
      <w:pPr>
        <w:adjustRightInd w:val="0"/>
        <w:snapToGrid w:val="0"/>
        <w:spacing w:line="440" w:lineRule="exact"/>
        <w:jc w:val="center"/>
        <w:rPr>
          <w:rFonts w:ascii="Times New Roman" w:hAnsi="Times New Roman"/>
          <w:b/>
        </w:rPr>
      </w:pPr>
      <w:r>
        <w:rPr>
          <w:rFonts w:ascii="Times New Roman" w:hAnsi="Times New Roman"/>
          <w:b/>
        </w:rPr>
        <w:t>伊金霍洛旗气象站月平均风速统计</w:t>
      </w:r>
    </w:p>
    <w:p>
      <w:pPr>
        <w:adjustRightInd w:val="0"/>
        <w:snapToGrid w:val="0"/>
        <w:spacing w:line="440" w:lineRule="exact"/>
        <w:rPr>
          <w:rFonts w:ascii="Times New Roman" w:hAnsi="Times New Roman"/>
        </w:rPr>
      </w:pPr>
      <w:r>
        <w:rPr>
          <w:rFonts w:ascii="Times New Roman" w:hAnsi="Times New Roman"/>
        </w:rPr>
        <w:t>表5.5-2</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700"/>
        <w:gridCol w:w="656"/>
        <w:gridCol w:w="656"/>
        <w:gridCol w:w="656"/>
        <w:gridCol w:w="655"/>
        <w:gridCol w:w="656"/>
        <w:gridCol w:w="656"/>
        <w:gridCol w:w="656"/>
        <w:gridCol w:w="655"/>
        <w:gridCol w:w="656"/>
        <w:gridCol w:w="656"/>
        <w:gridCol w:w="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73"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月份</w:t>
            </w:r>
          </w:p>
        </w:tc>
        <w:tc>
          <w:tcPr>
            <w:tcW w:w="700"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1</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3</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4</w:t>
            </w:r>
          </w:p>
        </w:tc>
        <w:tc>
          <w:tcPr>
            <w:tcW w:w="655"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5</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6</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7</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8</w:t>
            </w:r>
          </w:p>
        </w:tc>
        <w:tc>
          <w:tcPr>
            <w:tcW w:w="655"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9</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10</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11</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73"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平均风速（m/s）</w:t>
            </w:r>
          </w:p>
        </w:tc>
        <w:tc>
          <w:tcPr>
            <w:tcW w:w="700"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2.3</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2.7</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3.2</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3.5</w:t>
            </w:r>
          </w:p>
        </w:tc>
        <w:tc>
          <w:tcPr>
            <w:tcW w:w="655"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3.4</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2.8</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2.5</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2.2</w:t>
            </w:r>
          </w:p>
        </w:tc>
        <w:tc>
          <w:tcPr>
            <w:tcW w:w="655"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2.2</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2.4</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2.6</w:t>
            </w:r>
          </w:p>
        </w:tc>
        <w:tc>
          <w:tcPr>
            <w:tcW w:w="656" w:type="dxa"/>
            <w:vAlign w:val="center"/>
          </w:tcPr>
          <w:p>
            <w:pPr>
              <w:adjustRightInd w:val="0"/>
              <w:snapToGrid w:val="0"/>
              <w:spacing w:line="440" w:lineRule="exact"/>
              <w:jc w:val="center"/>
              <w:rPr>
                <w:rFonts w:ascii="Times New Roman" w:hAnsi="Times New Roman"/>
                <w:sz w:val="21"/>
                <w:szCs w:val="21"/>
              </w:rPr>
            </w:pPr>
            <w:r>
              <w:rPr>
                <w:rFonts w:ascii="Times New Roman" w:hAnsi="Times New Roman"/>
                <w:sz w:val="21"/>
                <w:szCs w:val="21"/>
              </w:rPr>
              <w:t>2.7</w:t>
            </w:r>
          </w:p>
        </w:tc>
      </w:tr>
    </w:tbl>
    <w:p>
      <w:pPr>
        <w:adjustRightInd w:val="0"/>
        <w:snapToGrid w:val="0"/>
        <w:spacing w:line="440" w:lineRule="exact"/>
        <w:ind w:firstLine="480" w:firstLineChars="200"/>
        <w:rPr>
          <w:rFonts w:ascii="Times New Roman" w:hAnsi="Times New Roman"/>
        </w:rPr>
      </w:pPr>
      <w:r>
        <w:rPr>
          <w:rFonts w:ascii="Times New Roman" w:hAnsi="Times New Roman"/>
        </w:rPr>
        <w:t>根据近二十年气象数据分析，该地区主导风向为静风，风向频率占比为12.1%、除静风外主要风向为WNW，风向频率占比11.1%。多年风玫瑰图见图5.5-1。</w:t>
      </w:r>
    </w:p>
    <w:p>
      <w:pPr>
        <w:adjustRightInd w:val="0"/>
        <w:snapToGrid w:val="0"/>
        <w:jc w:val="center"/>
        <w:rPr>
          <w:rFonts w:ascii="Times New Roman" w:hAnsi="Times New Roman"/>
        </w:rPr>
      </w:pPr>
      <w:r>
        <w:rPr>
          <w:rFonts w:ascii="Times New Roman" w:hAnsi="Times New Roman"/>
        </w:rPr>
        <w:drawing>
          <wp:inline distT="0" distB="0" distL="114300" distR="114300">
            <wp:extent cx="5753100" cy="3895725"/>
            <wp:effectExtent l="0" t="0" r="0" b="9525"/>
            <wp:docPr id="3" name="图片 3" descr="风玫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风玫瑰图"/>
                    <pic:cNvPicPr>
                      <a:picLocks noChangeAspect="1"/>
                    </pic:cNvPicPr>
                  </pic:nvPicPr>
                  <pic:blipFill>
                    <a:blip r:embed="rId162"/>
                    <a:stretch>
                      <a:fillRect/>
                    </a:stretch>
                  </pic:blipFill>
                  <pic:spPr>
                    <a:xfrm>
                      <a:off x="0" y="0"/>
                      <a:ext cx="5753100" cy="3895725"/>
                    </a:xfrm>
                    <a:prstGeom prst="rect">
                      <a:avLst/>
                    </a:prstGeom>
                  </pic:spPr>
                </pic:pic>
              </a:graphicData>
            </a:graphic>
          </wp:inline>
        </w:drawing>
      </w:r>
    </w:p>
    <w:p>
      <w:pPr>
        <w:adjustRightInd w:val="0"/>
        <w:snapToGrid w:val="0"/>
        <w:spacing w:line="440" w:lineRule="exact"/>
        <w:jc w:val="center"/>
        <w:rPr>
          <w:rFonts w:ascii="Times New Roman" w:hAnsi="Times New Roman"/>
          <w:b/>
        </w:rPr>
      </w:pPr>
      <w:r>
        <w:rPr>
          <w:rFonts w:ascii="Times New Roman" w:hAnsi="Times New Roman"/>
          <w:b/>
        </w:rPr>
        <w:t>图5.5-1 伊金霍洛旗2001-2020累年风玫瑰图</w:t>
      </w:r>
    </w:p>
    <w:p>
      <w:pPr>
        <w:keepNext/>
        <w:keepLines/>
        <w:adjustRightInd w:val="0"/>
        <w:snapToGrid w:val="0"/>
        <w:spacing w:line="440" w:lineRule="exact"/>
        <w:jc w:val="left"/>
        <w:outlineLvl w:val="2"/>
        <w:rPr>
          <w:rFonts w:ascii="Times New Roman" w:hAnsi="Times New Roman"/>
          <w:snapToGrid w:val="0"/>
        </w:rPr>
      </w:pPr>
      <w:r>
        <w:rPr>
          <w:rFonts w:ascii="Times New Roman" w:hAnsi="Times New Roman"/>
          <w:b/>
        </w:rPr>
        <w:t>5.5.2 大气环境影响预测与评价</w:t>
      </w:r>
    </w:p>
    <w:p>
      <w:pPr>
        <w:adjustRightInd w:val="0"/>
        <w:snapToGrid w:val="0"/>
        <w:spacing w:line="440" w:lineRule="exact"/>
        <w:outlineLvl w:val="3"/>
        <w:rPr>
          <w:rFonts w:ascii="Times New Roman" w:hAnsi="Times New Roman"/>
          <w:b/>
        </w:rPr>
      </w:pPr>
      <w:r>
        <w:rPr>
          <w:rFonts w:ascii="Times New Roman" w:hAnsi="Times New Roman"/>
          <w:b/>
          <w:szCs w:val="24"/>
        </w:rPr>
        <w:t>5.5.2.1 锅炉房污染源强核算</w:t>
      </w:r>
    </w:p>
    <w:p>
      <w:pPr>
        <w:adjustRightInd w:val="0"/>
        <w:snapToGrid w:val="0"/>
        <w:spacing w:line="440" w:lineRule="exact"/>
        <w:ind w:firstLine="480" w:firstLineChars="200"/>
        <w:rPr>
          <w:rFonts w:ascii="Times New Roman" w:hAnsi="Times New Roman"/>
          <w:szCs w:val="24"/>
        </w:rPr>
      </w:pPr>
      <w:r>
        <w:rPr>
          <w:rFonts w:ascii="Times New Roman" w:hAnsi="Times New Roman"/>
        </w:rPr>
        <w:t>纳林希里矿区划分4个井田及1个勘查区，矿区规划</w:t>
      </w:r>
      <w:r>
        <w:rPr>
          <w:rFonts w:ascii="Times New Roman" w:hAnsi="Times New Roman"/>
          <w:szCs w:val="24"/>
        </w:rPr>
        <w:t>在奎腾沟井田、苏布尔噶井田、纳林希里井田锅炉房内均设28MW(折合蒸发量40t/h)热水锅炉2台，壕赖苏矿井锅炉房内设28MW(折合蒸发量40t/h)热水锅炉3台，锅炉进出水温度为110/70℃，分别为各矿井供热，锅炉房仅采暖季运行，非采暖季暂采用水源热泵及空气源热泵的供热方式。</w:t>
      </w:r>
    </w:p>
    <w:p>
      <w:pPr>
        <w:adjustRightInd w:val="0"/>
        <w:snapToGrid w:val="0"/>
        <w:spacing w:line="440" w:lineRule="exact"/>
        <w:ind w:firstLine="480" w:firstLineChars="200"/>
        <w:rPr>
          <w:rFonts w:ascii="Times New Roman" w:hAnsi="Times New Roman"/>
        </w:rPr>
      </w:pPr>
      <w:r>
        <w:rPr>
          <w:rFonts w:ascii="Times New Roman" w:hAnsi="Times New Roman"/>
        </w:rPr>
        <w:t>按照煤矿工业场地锅炉大气污染物排放源强计算公式，煤矿采暖季工业场地锅炉主</w:t>
      </w:r>
    </w:p>
    <w:p>
      <w:pPr>
        <w:adjustRightInd w:val="0"/>
        <w:snapToGrid w:val="0"/>
        <w:spacing w:line="440" w:lineRule="exact"/>
        <w:rPr>
          <w:rFonts w:ascii="Times New Roman" w:hAnsi="Times New Roman"/>
        </w:rPr>
      </w:pPr>
      <w:r>
        <w:rPr>
          <w:rFonts w:ascii="Times New Roman" w:hAnsi="Times New Roman"/>
        </w:rPr>
        <w:t>要大气污染物排量计算结果汇总见下表5.5-3。</w:t>
      </w:r>
    </w:p>
    <w:p>
      <w:pPr>
        <w:adjustRightInd w:val="0"/>
        <w:snapToGrid w:val="0"/>
        <w:spacing w:line="440" w:lineRule="exact"/>
        <w:jc w:val="center"/>
        <w:rPr>
          <w:rFonts w:ascii="Times New Roman" w:hAnsi="Times New Roman"/>
          <w:b/>
        </w:rPr>
      </w:pPr>
      <w:r>
        <w:rPr>
          <w:rFonts w:ascii="Times New Roman" w:hAnsi="Times New Roman"/>
          <w:b/>
        </w:rPr>
        <w:t>矿区煤矿供热锅炉房大气污染物排放源强一览表</w:t>
      </w:r>
    </w:p>
    <w:p>
      <w:pPr>
        <w:spacing w:line="240" w:lineRule="atLeast"/>
        <w:rPr>
          <w:rFonts w:ascii="Times New Roman" w:hAnsi="Times New Roman"/>
          <w:sz w:val="21"/>
          <w:szCs w:val="21"/>
        </w:rPr>
      </w:pPr>
      <w:r>
        <w:rPr>
          <w:rFonts w:ascii="Times New Roman" w:hAnsi="Times New Roman"/>
          <w:kern w:val="0"/>
        </w:rPr>
        <w:t>表5.5-3</w:t>
      </w:r>
    </w:p>
    <w:tbl>
      <w:tblPr>
        <w:tblStyle w:val="59"/>
        <w:tblW w:w="9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2"/>
        <w:gridCol w:w="729"/>
        <w:gridCol w:w="689"/>
        <w:gridCol w:w="950"/>
        <w:gridCol w:w="935"/>
        <w:gridCol w:w="770"/>
        <w:gridCol w:w="903"/>
        <w:gridCol w:w="928"/>
        <w:gridCol w:w="763"/>
        <w:gridCol w:w="861"/>
        <w:gridCol w:w="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72" w:type="dxa"/>
            <w:vMerge w:val="restart"/>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名称</w:t>
            </w:r>
          </w:p>
        </w:tc>
        <w:tc>
          <w:tcPr>
            <w:tcW w:w="729" w:type="dxa"/>
            <w:vMerge w:val="restart"/>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烟囱底部海拔高度</w:t>
            </w:r>
            <w:r>
              <w:rPr>
                <w:rFonts w:ascii="Times New Roman" w:hAnsi="Times New Roman"/>
              </w:rPr>
              <w:t>/m</w:t>
            </w:r>
          </w:p>
        </w:tc>
        <w:tc>
          <w:tcPr>
            <w:tcW w:w="689" w:type="dxa"/>
            <w:vMerge w:val="restart"/>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排放高度</w:t>
            </w:r>
            <w:r>
              <w:rPr>
                <w:rFonts w:ascii="Times New Roman" w:hAnsi="Times New Roman"/>
              </w:rPr>
              <w:t>/m</w:t>
            </w:r>
          </w:p>
        </w:tc>
        <w:tc>
          <w:tcPr>
            <w:tcW w:w="95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烟囱出口内径</w:t>
            </w:r>
            <w:r>
              <w:rPr>
                <w:rFonts w:ascii="Times New Roman" w:hAnsi="Times New Roman"/>
              </w:rPr>
              <w:t>/m</w:t>
            </w:r>
          </w:p>
        </w:tc>
        <w:tc>
          <w:tcPr>
            <w:tcW w:w="935" w:type="dxa"/>
            <w:vMerge w:val="restart"/>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烟气流速</w:t>
            </w:r>
            <w:r>
              <w:rPr>
                <w:rFonts w:ascii="Times New Roman" w:hAnsi="Times New Roman"/>
              </w:rPr>
              <w:t>/(m</w:t>
            </w:r>
            <w:r>
              <w:rPr>
                <w:rFonts w:ascii="Times New Roman" w:hAnsi="Times New Roman"/>
                <w:vertAlign w:val="superscript"/>
              </w:rPr>
              <w:t>3</w:t>
            </w:r>
            <w:r>
              <w:rPr>
                <w:rFonts w:ascii="Times New Roman" w:hAnsi="Times New Roman"/>
              </w:rPr>
              <w:t>/s)</w:t>
            </w:r>
          </w:p>
        </w:tc>
        <w:tc>
          <w:tcPr>
            <w:tcW w:w="77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烟气温度</w:t>
            </w:r>
            <w:r>
              <w:rPr>
                <w:rFonts w:ascii="Times New Roman" w:hAnsi="Times New Roman"/>
              </w:rPr>
              <w:t>/℃</w:t>
            </w:r>
          </w:p>
        </w:tc>
        <w:tc>
          <w:tcPr>
            <w:tcW w:w="90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年排放小时数</w:t>
            </w:r>
            <w:r>
              <w:rPr>
                <w:rFonts w:ascii="Times New Roman" w:hAnsi="Times New Roman"/>
              </w:rPr>
              <w:t>/h</w:t>
            </w:r>
          </w:p>
        </w:tc>
        <w:tc>
          <w:tcPr>
            <w:tcW w:w="92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排放工况</w:t>
            </w:r>
          </w:p>
        </w:tc>
        <w:tc>
          <w:tcPr>
            <w:tcW w:w="2478" w:type="dxa"/>
            <w:gridSpan w:val="3"/>
            <w:tcBorders>
              <w:top w:val="single" w:color="auto" w:sz="4" w:space="0"/>
              <w:left w:val="single" w:color="auto" w:sz="4" w:space="0"/>
              <w:bottom w:val="nil"/>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排放速率</w:t>
            </w:r>
            <w:r>
              <w:rPr>
                <w:rFonts w:ascii="Times New Roman" w:hAnsi="Times New Roman"/>
              </w:rPr>
              <w:t>/</w:t>
            </w:r>
            <w:r>
              <w:rPr>
                <w:rFonts w:ascii="Times New Roman" w:hAnsi="Times New Roman" w:eastAsia="宋体"/>
              </w:rPr>
              <w:t>（</w:t>
            </w:r>
            <w:r>
              <w:rPr>
                <w:rFonts w:ascii="Times New Roman" w:hAnsi="Times New Roman"/>
              </w:rPr>
              <w:t>kg/h</w:t>
            </w:r>
            <w:r>
              <w:rPr>
                <w:rFonts w:ascii="Times New Roman" w:hAnsi="Times New Roman" w:eastAsia="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72" w:type="dxa"/>
            <w:vMerge w:val="continue"/>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rPr>
                <w:rFonts w:ascii="Times New Roman" w:hAnsi="Times New Roman"/>
                <w:sz w:val="20"/>
              </w:rPr>
            </w:pPr>
          </w:p>
        </w:tc>
        <w:tc>
          <w:tcPr>
            <w:tcW w:w="729" w:type="dxa"/>
            <w:vMerge w:val="continue"/>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rPr>
                <w:rFonts w:ascii="Times New Roman" w:hAnsi="Times New Roman"/>
                <w:sz w:val="20"/>
              </w:rPr>
            </w:pPr>
          </w:p>
        </w:tc>
        <w:tc>
          <w:tcPr>
            <w:tcW w:w="689" w:type="dxa"/>
            <w:vMerge w:val="continue"/>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rPr>
                <w:rFonts w:ascii="Times New Roman" w:hAnsi="Times New Roman"/>
                <w:sz w:val="20"/>
              </w:rPr>
            </w:pPr>
          </w:p>
        </w:tc>
        <w:tc>
          <w:tcPr>
            <w:tcW w:w="95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935" w:type="dxa"/>
            <w:vMerge w:val="continue"/>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rPr>
                <w:rFonts w:ascii="Times New Roman" w:hAnsi="Times New Roman"/>
                <w:sz w:val="20"/>
              </w:rPr>
            </w:pPr>
          </w:p>
        </w:tc>
        <w:tc>
          <w:tcPr>
            <w:tcW w:w="77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90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92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763"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rPr>
            </w:pPr>
            <w:r>
              <w:rPr>
                <w:rFonts w:ascii="Times New Roman" w:hAnsi="Times New Roman"/>
              </w:rPr>
              <w:t>PM</w:t>
            </w:r>
            <w:r>
              <w:rPr>
                <w:rFonts w:ascii="Times New Roman" w:hAnsi="Times New Roman"/>
                <w:vertAlign w:val="subscript"/>
              </w:rPr>
              <w:t>10</w:t>
            </w:r>
          </w:p>
        </w:tc>
        <w:tc>
          <w:tcPr>
            <w:tcW w:w="861"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spacing w:line="240" w:lineRule="auto"/>
              <w:ind w:firstLine="0" w:firstLineChars="0"/>
              <w:jc w:val="center"/>
              <w:rPr>
                <w:rFonts w:ascii="Times New Roman" w:hAnsi="Times New Roman"/>
              </w:rPr>
            </w:pPr>
            <w:r>
              <w:rPr>
                <w:rFonts w:ascii="Times New Roman" w:hAnsi="Times New Roman"/>
              </w:rPr>
              <w:t>SO</w:t>
            </w:r>
            <w:r>
              <w:rPr>
                <w:rFonts w:ascii="Times New Roman" w:hAnsi="Times New Roman"/>
                <w:vertAlign w:val="subscript"/>
              </w:rPr>
              <w:t>2</w:t>
            </w:r>
          </w:p>
        </w:tc>
        <w:tc>
          <w:tcPr>
            <w:tcW w:w="85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spacing w:line="240" w:lineRule="auto"/>
              <w:ind w:firstLine="0" w:firstLineChars="0"/>
              <w:jc w:val="center"/>
              <w:rPr>
                <w:rFonts w:ascii="Times New Roman" w:hAnsi="Times New Roman"/>
              </w:rPr>
            </w:pPr>
            <w:r>
              <w:rPr>
                <w:rFonts w:ascii="Times New Roman" w:hAnsi="Times New Roman"/>
              </w:rPr>
              <w:t>NO</w:t>
            </w:r>
            <w:r>
              <w:rPr>
                <w:rFonts w:ascii="Times New Roman" w:hAnsi="Times New Roman"/>
                <w:vertAlign w:val="subscript"/>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72"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rPr>
            </w:pPr>
            <w:r>
              <w:rPr>
                <w:rFonts w:ascii="Times New Roman" w:hAnsi="Times New Roman" w:eastAsia="宋体"/>
              </w:rPr>
              <w:t>奎腾沟工业场地</w:t>
            </w:r>
          </w:p>
          <w:p>
            <w:pPr>
              <w:pStyle w:val="916"/>
              <w:widowControl/>
              <w:spacing w:line="240" w:lineRule="auto"/>
              <w:ind w:firstLine="0" w:firstLineChars="0"/>
              <w:jc w:val="center"/>
              <w:rPr>
                <w:rFonts w:ascii="Times New Roman" w:hAnsi="Times New Roman"/>
              </w:rPr>
            </w:pPr>
            <w:r>
              <w:rPr>
                <w:rFonts w:ascii="Times New Roman" w:hAnsi="Times New Roman" w:eastAsia="宋体"/>
              </w:rPr>
              <w:t>锅炉房</w:t>
            </w:r>
          </w:p>
        </w:tc>
        <w:tc>
          <w:tcPr>
            <w:tcW w:w="729"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eastAsia="宋体"/>
              </w:rPr>
            </w:pPr>
            <w:r>
              <w:rPr>
                <w:rFonts w:ascii="Times New Roman" w:hAnsi="Times New Roman" w:eastAsia="宋体"/>
              </w:rPr>
              <w:t>1413</w:t>
            </w:r>
          </w:p>
        </w:tc>
        <w:tc>
          <w:tcPr>
            <w:tcW w:w="689"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eastAsia="宋体"/>
              </w:rPr>
            </w:pPr>
            <w:r>
              <w:rPr>
                <w:rFonts w:ascii="Times New Roman" w:hAnsi="Times New Roman"/>
              </w:rPr>
              <w:t>50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1.8</w:t>
            </w:r>
          </w:p>
        </w:tc>
        <w:tc>
          <w:tcPr>
            <w:tcW w:w="935"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eastAsia="宋体"/>
              </w:rPr>
            </w:pPr>
            <w:r>
              <w:rPr>
                <w:rFonts w:ascii="Times New Roman" w:hAnsi="Times New Roman" w:eastAsia="宋体"/>
              </w:rPr>
              <w:t>30.75</w:t>
            </w:r>
          </w:p>
        </w:tc>
        <w:tc>
          <w:tcPr>
            <w:tcW w:w="77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50</w:t>
            </w:r>
          </w:p>
        </w:tc>
        <w:tc>
          <w:tcPr>
            <w:tcW w:w="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rPr>
            </w:pPr>
            <w:r>
              <w:rPr>
                <w:rFonts w:ascii="Times New Roman" w:hAnsi="Times New Roman"/>
              </w:rPr>
              <w:t>1749</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rPr>
            </w:pPr>
            <w:r>
              <w:rPr>
                <w:rFonts w:ascii="Times New Roman" w:hAnsi="Times New Roman" w:eastAsia="宋体"/>
              </w:rPr>
              <w:t>正常</w:t>
            </w:r>
          </w:p>
        </w:tc>
        <w:tc>
          <w:tcPr>
            <w:tcW w:w="763"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eastAsia="宋体"/>
              </w:rPr>
            </w:pPr>
            <w:r>
              <w:rPr>
                <w:rFonts w:ascii="Times New Roman" w:hAnsi="Times New Roman" w:eastAsia="宋体"/>
              </w:rPr>
              <w:t>2.07</w:t>
            </w:r>
          </w:p>
        </w:tc>
        <w:tc>
          <w:tcPr>
            <w:tcW w:w="861"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17.65</w:t>
            </w:r>
          </w:p>
        </w:tc>
        <w:tc>
          <w:tcPr>
            <w:tcW w:w="85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33.21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72"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rPr>
            </w:pPr>
            <w:r>
              <w:rPr>
                <w:rFonts w:hint="eastAsia" w:ascii="宋体" w:hAnsi="宋体" w:eastAsia="宋体" w:cs="宋体"/>
              </w:rPr>
              <w:t>苏布尔噶井田</w:t>
            </w:r>
            <w:r>
              <w:rPr>
                <w:rFonts w:ascii="Times New Roman" w:hAnsi="Times New Roman" w:eastAsia="宋体"/>
              </w:rPr>
              <w:t>工业场地</w:t>
            </w:r>
          </w:p>
          <w:p>
            <w:pPr>
              <w:widowControl/>
              <w:jc w:val="center"/>
              <w:rPr>
                <w:rFonts w:ascii="Times New Roman" w:hAnsi="Times New Roman"/>
                <w:kern w:val="0"/>
                <w:sz w:val="21"/>
                <w:szCs w:val="21"/>
              </w:rPr>
            </w:pPr>
            <w:r>
              <w:rPr>
                <w:rFonts w:ascii="Times New Roman" w:hAnsi="Times New Roman"/>
                <w:sz w:val="21"/>
                <w:szCs w:val="21"/>
              </w:rPr>
              <w:t>锅炉房</w:t>
            </w:r>
          </w:p>
        </w:tc>
        <w:tc>
          <w:tcPr>
            <w:tcW w:w="729"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eastAsia="宋体"/>
              </w:rPr>
            </w:pPr>
            <w:r>
              <w:rPr>
                <w:rFonts w:ascii="Times New Roman" w:hAnsi="Times New Roman" w:eastAsia="宋体"/>
              </w:rPr>
              <w:t>1358</w:t>
            </w:r>
          </w:p>
        </w:tc>
        <w:tc>
          <w:tcPr>
            <w:tcW w:w="689"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rPr>
            </w:pPr>
            <w:r>
              <w:rPr>
                <w:rFonts w:ascii="Times New Roman" w:hAnsi="Times New Roman"/>
              </w:rPr>
              <w:t>50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1.8</w:t>
            </w:r>
          </w:p>
        </w:tc>
        <w:tc>
          <w:tcPr>
            <w:tcW w:w="935"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rPr>
            </w:pPr>
            <w:r>
              <w:rPr>
                <w:rFonts w:ascii="Times New Roman" w:hAnsi="Times New Roman" w:eastAsia="宋体"/>
              </w:rPr>
              <w:t>30.75</w:t>
            </w:r>
          </w:p>
        </w:tc>
        <w:tc>
          <w:tcPr>
            <w:tcW w:w="77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50</w:t>
            </w:r>
          </w:p>
        </w:tc>
        <w:tc>
          <w:tcPr>
            <w:tcW w:w="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rPr>
            </w:pPr>
            <w:r>
              <w:rPr>
                <w:rFonts w:ascii="Times New Roman" w:hAnsi="Times New Roman"/>
              </w:rPr>
              <w:t>1749</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正常</w:t>
            </w:r>
          </w:p>
        </w:tc>
        <w:tc>
          <w:tcPr>
            <w:tcW w:w="763"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rPr>
            </w:pPr>
            <w:r>
              <w:rPr>
                <w:rFonts w:ascii="Times New Roman" w:hAnsi="Times New Roman" w:eastAsia="宋体"/>
              </w:rPr>
              <w:t>2.07</w:t>
            </w:r>
          </w:p>
        </w:tc>
        <w:tc>
          <w:tcPr>
            <w:tcW w:w="861"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rPr>
            </w:pPr>
            <w:r>
              <w:rPr>
                <w:rFonts w:ascii="Times New Roman" w:hAnsi="Times New Roman" w:eastAsia="宋体"/>
              </w:rPr>
              <w:t>17.65</w:t>
            </w:r>
          </w:p>
        </w:tc>
        <w:tc>
          <w:tcPr>
            <w:tcW w:w="85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rPr>
            </w:pPr>
            <w:r>
              <w:rPr>
                <w:rFonts w:ascii="Times New Roman" w:hAnsi="Times New Roman" w:eastAsia="宋体"/>
              </w:rPr>
              <w:t>33.21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72"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eastAsiaTheme="minorEastAsia"/>
              </w:rPr>
            </w:pPr>
            <w:r>
              <w:rPr>
                <w:rFonts w:hint="eastAsia" w:ascii="宋体" w:hAnsi="宋体" w:eastAsia="宋体" w:cs="宋体"/>
              </w:rPr>
              <w:t>壕赖苏</w:t>
            </w:r>
          </w:p>
          <w:p>
            <w:pPr>
              <w:pStyle w:val="916"/>
              <w:widowControl/>
              <w:spacing w:line="240" w:lineRule="auto"/>
              <w:ind w:firstLine="0" w:firstLineChars="0"/>
              <w:jc w:val="center"/>
              <w:rPr>
                <w:rFonts w:ascii="Times New Roman" w:hAnsi="Times New Roman"/>
              </w:rPr>
            </w:pPr>
            <w:r>
              <w:rPr>
                <w:rFonts w:hint="eastAsia" w:ascii="宋体" w:hAnsi="宋体" w:eastAsia="宋体" w:cs="宋体"/>
              </w:rPr>
              <w:t>井田</w:t>
            </w:r>
            <w:r>
              <w:rPr>
                <w:rFonts w:ascii="Times New Roman" w:hAnsi="Times New Roman" w:eastAsia="宋体"/>
              </w:rPr>
              <w:t>工业场地</w:t>
            </w:r>
          </w:p>
          <w:p>
            <w:pPr>
              <w:pStyle w:val="916"/>
              <w:widowControl/>
              <w:spacing w:line="240" w:lineRule="auto"/>
              <w:ind w:firstLine="0" w:firstLineChars="0"/>
              <w:jc w:val="center"/>
              <w:rPr>
                <w:rFonts w:ascii="Times New Roman" w:hAnsi="Times New Roman" w:eastAsia="宋体"/>
              </w:rPr>
            </w:pPr>
            <w:r>
              <w:rPr>
                <w:rFonts w:ascii="Times New Roman" w:hAnsi="Times New Roman" w:eastAsia="宋体"/>
              </w:rPr>
              <w:t>锅炉房</w:t>
            </w:r>
          </w:p>
        </w:tc>
        <w:tc>
          <w:tcPr>
            <w:tcW w:w="729"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eastAsia="宋体"/>
              </w:rPr>
            </w:pPr>
            <w:r>
              <w:rPr>
                <w:rFonts w:ascii="Times New Roman" w:hAnsi="Times New Roman" w:eastAsia="宋体"/>
              </w:rPr>
              <w:t>1332</w:t>
            </w:r>
          </w:p>
        </w:tc>
        <w:tc>
          <w:tcPr>
            <w:tcW w:w="689"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rPr>
            </w:pPr>
            <w:r>
              <w:rPr>
                <w:rFonts w:ascii="Times New Roman" w:hAnsi="Times New Roman"/>
              </w:rPr>
              <w:t>50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1.8</w:t>
            </w:r>
          </w:p>
        </w:tc>
        <w:tc>
          <w:tcPr>
            <w:tcW w:w="935"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eastAsia="宋体"/>
              </w:rPr>
            </w:pPr>
            <w:r>
              <w:rPr>
                <w:rFonts w:ascii="Times New Roman" w:hAnsi="Times New Roman" w:eastAsia="宋体"/>
              </w:rPr>
              <w:t>46.13</w:t>
            </w:r>
          </w:p>
        </w:tc>
        <w:tc>
          <w:tcPr>
            <w:tcW w:w="77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50</w:t>
            </w:r>
          </w:p>
        </w:tc>
        <w:tc>
          <w:tcPr>
            <w:tcW w:w="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rPr>
            </w:pPr>
            <w:r>
              <w:rPr>
                <w:rFonts w:ascii="Times New Roman" w:hAnsi="Times New Roman"/>
              </w:rPr>
              <w:t>1749</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正常</w:t>
            </w:r>
          </w:p>
        </w:tc>
        <w:tc>
          <w:tcPr>
            <w:tcW w:w="763"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eastAsia="宋体"/>
              </w:rPr>
            </w:pPr>
            <w:r>
              <w:rPr>
                <w:rFonts w:ascii="Times New Roman" w:hAnsi="Times New Roman" w:eastAsia="宋体"/>
              </w:rPr>
              <w:t>3.11</w:t>
            </w:r>
          </w:p>
        </w:tc>
        <w:tc>
          <w:tcPr>
            <w:tcW w:w="861"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26.48</w:t>
            </w:r>
          </w:p>
        </w:tc>
        <w:tc>
          <w:tcPr>
            <w:tcW w:w="85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49.82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972"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spacing w:line="240" w:lineRule="auto"/>
              <w:ind w:firstLine="0" w:firstLineChars="0"/>
              <w:jc w:val="center"/>
              <w:rPr>
                <w:rFonts w:ascii="Times New Roman" w:hAnsi="Times New Roman" w:eastAsia="宋体"/>
              </w:rPr>
            </w:pPr>
            <w:r>
              <w:rPr>
                <w:rFonts w:hint="eastAsia" w:ascii="宋体" w:hAnsi="宋体" w:eastAsia="宋体" w:cs="宋体"/>
              </w:rPr>
              <w:t>纳林希里井田</w:t>
            </w:r>
            <w:r>
              <w:rPr>
                <w:rFonts w:ascii="Times New Roman" w:hAnsi="Times New Roman" w:eastAsia="宋体"/>
              </w:rPr>
              <w:t>工业场地锅炉房</w:t>
            </w:r>
          </w:p>
        </w:tc>
        <w:tc>
          <w:tcPr>
            <w:tcW w:w="729"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eastAsia="宋体"/>
              </w:rPr>
            </w:pPr>
            <w:r>
              <w:rPr>
                <w:rFonts w:ascii="Times New Roman" w:hAnsi="Times New Roman" w:eastAsia="宋体"/>
              </w:rPr>
              <w:t>1335</w:t>
            </w:r>
          </w:p>
        </w:tc>
        <w:tc>
          <w:tcPr>
            <w:tcW w:w="689"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rPr>
            </w:pPr>
            <w:r>
              <w:rPr>
                <w:rFonts w:ascii="Times New Roman" w:hAnsi="Times New Roman"/>
              </w:rPr>
              <w:t>50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1.8</w:t>
            </w:r>
          </w:p>
        </w:tc>
        <w:tc>
          <w:tcPr>
            <w:tcW w:w="935"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rPr>
            </w:pPr>
            <w:r>
              <w:rPr>
                <w:rFonts w:ascii="Times New Roman" w:hAnsi="Times New Roman" w:eastAsia="宋体"/>
              </w:rPr>
              <w:t>30.75</w:t>
            </w:r>
          </w:p>
        </w:tc>
        <w:tc>
          <w:tcPr>
            <w:tcW w:w="77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50</w:t>
            </w:r>
          </w:p>
        </w:tc>
        <w:tc>
          <w:tcPr>
            <w:tcW w:w="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rPr>
            </w:pPr>
            <w:r>
              <w:rPr>
                <w:rFonts w:ascii="Times New Roman" w:hAnsi="Times New Roman"/>
              </w:rPr>
              <w:t>1749</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eastAsia="宋体"/>
              </w:rPr>
            </w:pPr>
            <w:r>
              <w:rPr>
                <w:rFonts w:ascii="Times New Roman" w:hAnsi="Times New Roman" w:eastAsia="宋体"/>
              </w:rPr>
              <w:t>正常</w:t>
            </w:r>
          </w:p>
        </w:tc>
        <w:tc>
          <w:tcPr>
            <w:tcW w:w="763" w:type="dxa"/>
            <w:tcBorders>
              <w:top w:val="single" w:color="auto" w:sz="4" w:space="0"/>
              <w:left w:val="single" w:color="auto" w:sz="4" w:space="0"/>
              <w:bottom w:val="single" w:color="auto" w:sz="4" w:space="0"/>
              <w:right w:val="single" w:color="auto" w:sz="4" w:space="0"/>
            </w:tcBorders>
            <w:shd w:val="clear" w:color="auto" w:fill="auto"/>
            <w:tcMar>
              <w:left w:w="0" w:type="dxa"/>
              <w:right w:w="0" w:type="dxa"/>
            </w:tcMar>
            <w:vAlign w:val="center"/>
          </w:tcPr>
          <w:p>
            <w:pPr>
              <w:pStyle w:val="916"/>
              <w:widowControl/>
              <w:ind w:firstLine="0" w:firstLineChars="0"/>
              <w:jc w:val="center"/>
              <w:rPr>
                <w:rFonts w:ascii="Times New Roman" w:hAnsi="Times New Roman"/>
              </w:rPr>
            </w:pPr>
            <w:r>
              <w:rPr>
                <w:rFonts w:ascii="Times New Roman" w:hAnsi="Times New Roman" w:eastAsia="宋体"/>
              </w:rPr>
              <w:t>2.07</w:t>
            </w:r>
          </w:p>
        </w:tc>
        <w:tc>
          <w:tcPr>
            <w:tcW w:w="861"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rPr>
            </w:pPr>
            <w:r>
              <w:rPr>
                <w:rFonts w:ascii="Times New Roman" w:hAnsi="Times New Roman" w:eastAsia="宋体"/>
              </w:rPr>
              <w:t>17.65</w:t>
            </w:r>
          </w:p>
        </w:tc>
        <w:tc>
          <w:tcPr>
            <w:tcW w:w="85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916"/>
              <w:widowControl/>
              <w:ind w:firstLine="0" w:firstLineChars="0"/>
              <w:jc w:val="center"/>
              <w:rPr>
                <w:rFonts w:ascii="Times New Roman" w:hAnsi="Times New Roman"/>
              </w:rPr>
            </w:pPr>
            <w:r>
              <w:rPr>
                <w:rFonts w:ascii="Times New Roman" w:hAnsi="Times New Roman" w:eastAsia="宋体"/>
              </w:rPr>
              <w:t>33.21</w:t>
            </w:r>
          </w:p>
        </w:tc>
      </w:tr>
    </w:tbl>
    <w:p>
      <w:pPr>
        <w:adjustRightInd w:val="0"/>
        <w:snapToGrid w:val="0"/>
        <w:spacing w:before="100" w:beforeAutospacing="1" w:line="440" w:lineRule="exact"/>
        <w:outlineLvl w:val="3"/>
        <w:rPr>
          <w:rFonts w:ascii="Times New Roman" w:hAnsi="Times New Roman"/>
          <w:b/>
          <w:szCs w:val="24"/>
        </w:rPr>
      </w:pPr>
      <w:r>
        <w:rPr>
          <w:rFonts w:ascii="Times New Roman" w:hAnsi="Times New Roman"/>
          <w:b/>
          <w:szCs w:val="24"/>
        </w:rPr>
        <w:t>5.5.2.2 评价内容、预测时段、因子及模式</w:t>
      </w:r>
    </w:p>
    <w:p>
      <w:pPr>
        <w:adjustRightInd w:val="0"/>
        <w:snapToGrid w:val="0"/>
        <w:spacing w:line="440" w:lineRule="exact"/>
        <w:ind w:firstLine="482" w:firstLineChars="200"/>
        <w:rPr>
          <w:rFonts w:ascii="Times New Roman" w:hAnsi="Times New Roman"/>
          <w:b/>
          <w:bCs/>
        </w:rPr>
      </w:pPr>
      <w:r>
        <w:rPr>
          <w:rFonts w:ascii="Times New Roman" w:hAnsi="Times New Roman"/>
          <w:b/>
          <w:bCs/>
        </w:rPr>
        <w:t>（1）评价内容</w:t>
      </w:r>
    </w:p>
    <w:p>
      <w:pPr>
        <w:adjustRightInd w:val="0"/>
        <w:snapToGrid w:val="0"/>
        <w:spacing w:line="440" w:lineRule="exact"/>
        <w:ind w:firstLine="480" w:firstLineChars="200"/>
        <w:rPr>
          <w:rFonts w:ascii="Times New Roman" w:hAnsi="Times New Roman"/>
        </w:rPr>
      </w:pPr>
      <w:r>
        <w:rPr>
          <w:rFonts w:ascii="Times New Roman" w:hAnsi="Times New Roman"/>
        </w:rPr>
        <w:t>在规划环评层次，矿区大气环境影响预测与评价的内容重点是，针对矿区规划新建大气污染源在最不利条件下废气排放对矿区内及周边环境空气的累积影响进行预测、分析与评价，预测点位选择矿区周边居民点及矿区以北鄂尔多斯遗鸥国家级自然保护区。评价因子能够反映国家总量控制指标，并反映矿区开发的特征。</w:t>
      </w:r>
    </w:p>
    <w:p>
      <w:pPr>
        <w:adjustRightInd w:val="0"/>
        <w:snapToGrid w:val="0"/>
        <w:spacing w:line="440" w:lineRule="exact"/>
        <w:ind w:firstLine="480" w:firstLineChars="200"/>
        <w:rPr>
          <w:rFonts w:ascii="Times New Roman" w:hAnsi="Times New Roman"/>
        </w:rPr>
      </w:pPr>
      <w:r>
        <w:rPr>
          <w:rFonts w:ascii="Times New Roman" w:hAnsi="Times New Roman"/>
        </w:rPr>
        <w:t>由矿区开发环境影响识别可知，矿区开发对大气环境的影响主要来自：矿区煤矿及选煤厂工业场地、锅炉烟气，矿区运煤、运矸道路扬尘等无组织粉尘排放，以及煤炭洗选加工过程无组织粉尘排放等，主要污染物为SO</w:t>
      </w:r>
      <w:r>
        <w:rPr>
          <w:rFonts w:ascii="Times New Roman" w:hAnsi="Times New Roman"/>
          <w:vertAlign w:val="subscript"/>
        </w:rPr>
        <w:t>2</w:t>
      </w:r>
      <w:r>
        <w:rPr>
          <w:rFonts w:ascii="Times New Roman" w:hAnsi="Times New Roman"/>
        </w:rPr>
        <w:t>、TSP、NO</w:t>
      </w:r>
      <w:r>
        <w:rPr>
          <w:rFonts w:ascii="Times New Roman" w:hAnsi="Times New Roman"/>
          <w:vertAlign w:val="subscript"/>
        </w:rPr>
        <w:t>x</w:t>
      </w:r>
      <w:r>
        <w:rPr>
          <w:rFonts w:ascii="Times New Roman" w:hAnsi="Times New Roman"/>
        </w:rPr>
        <w:t>。</w:t>
      </w:r>
    </w:p>
    <w:p>
      <w:pPr>
        <w:adjustRightInd w:val="0"/>
        <w:snapToGrid w:val="0"/>
        <w:spacing w:line="440" w:lineRule="exact"/>
        <w:ind w:firstLine="480" w:firstLineChars="200"/>
        <w:rPr>
          <w:rFonts w:ascii="Times New Roman" w:hAnsi="Times New Roman"/>
        </w:rPr>
      </w:pPr>
      <w:r>
        <w:rPr>
          <w:rFonts w:ascii="Times New Roman" w:hAnsi="Times New Roman"/>
        </w:rPr>
        <w:t>对于矿区运煤、运矸等道路扬尘污染，以及储煤场及煤炭洗选加工过程中的无组织粉尘排放，只要加强运输和生产过程中的扬尘和粉尘治理，不会对周边大气环境造成较大污染。</w:t>
      </w:r>
    </w:p>
    <w:p>
      <w:pPr>
        <w:adjustRightInd w:val="0"/>
        <w:snapToGrid w:val="0"/>
        <w:spacing w:line="440" w:lineRule="exact"/>
        <w:ind w:firstLine="480" w:firstLineChars="200"/>
        <w:rPr>
          <w:rFonts w:ascii="Times New Roman" w:hAnsi="Times New Roman"/>
        </w:rPr>
      </w:pPr>
      <w:r>
        <w:rPr>
          <w:rFonts w:ascii="Times New Roman" w:hAnsi="Times New Roman"/>
        </w:rPr>
        <w:t>因此，确定本次规划环评的大气环境影响预测与评价的内容为：</w:t>
      </w:r>
    </w:p>
    <w:p>
      <w:pPr>
        <w:adjustRightInd w:val="0"/>
        <w:snapToGrid w:val="0"/>
        <w:spacing w:line="440" w:lineRule="exact"/>
        <w:ind w:firstLine="480" w:firstLineChars="200"/>
        <w:rPr>
          <w:rFonts w:ascii="Times New Roman" w:hAnsi="Times New Roman"/>
        </w:rPr>
      </w:pPr>
      <w:r>
        <w:rPr>
          <w:rFonts w:hint="eastAsia" w:cs="宋体"/>
        </w:rPr>
        <w:t>①</w:t>
      </w:r>
      <w:r>
        <w:rPr>
          <w:rFonts w:ascii="Times New Roman" w:hAnsi="Times New Roman"/>
        </w:rPr>
        <w:t>矿区规划项目大气环境累积影响预测、分析与评价；</w:t>
      </w:r>
    </w:p>
    <w:p>
      <w:pPr>
        <w:adjustRightInd w:val="0"/>
        <w:snapToGrid w:val="0"/>
        <w:spacing w:line="440" w:lineRule="exact"/>
        <w:ind w:firstLine="480" w:firstLineChars="200"/>
        <w:rPr>
          <w:rFonts w:ascii="Times New Roman" w:hAnsi="Times New Roman"/>
        </w:rPr>
      </w:pPr>
      <w:r>
        <w:rPr>
          <w:rFonts w:hint="eastAsia" w:cs="宋体"/>
        </w:rPr>
        <w:t>②</w:t>
      </w:r>
      <w:r>
        <w:rPr>
          <w:rFonts w:ascii="Times New Roman" w:hAnsi="Times New Roman"/>
        </w:rPr>
        <w:t>对矿区及周边主要环境敏感点的分析；</w:t>
      </w:r>
    </w:p>
    <w:p>
      <w:pPr>
        <w:adjustRightInd w:val="0"/>
        <w:snapToGrid w:val="0"/>
        <w:spacing w:line="440" w:lineRule="exact"/>
        <w:ind w:firstLine="480" w:firstLineChars="200"/>
        <w:rPr>
          <w:rFonts w:ascii="Times New Roman" w:hAnsi="Times New Roman"/>
        </w:rPr>
      </w:pPr>
      <w:r>
        <w:rPr>
          <w:rFonts w:hint="eastAsia" w:cs="宋体"/>
        </w:rPr>
        <w:t>③</w:t>
      </w:r>
      <w:r>
        <w:rPr>
          <w:rFonts w:ascii="Times New Roman" w:hAnsi="Times New Roman"/>
        </w:rPr>
        <w:t>矿区无组织排放的大气环境影响分析。</w:t>
      </w:r>
    </w:p>
    <w:p>
      <w:pPr>
        <w:adjustRightInd w:val="0"/>
        <w:snapToGrid w:val="0"/>
        <w:spacing w:line="440" w:lineRule="exact"/>
        <w:ind w:firstLine="482" w:firstLineChars="200"/>
        <w:rPr>
          <w:rFonts w:ascii="Times New Roman" w:hAnsi="Times New Roman"/>
          <w:b/>
          <w:bCs/>
        </w:rPr>
      </w:pPr>
      <w:r>
        <w:rPr>
          <w:rFonts w:ascii="Times New Roman" w:hAnsi="Times New Roman"/>
          <w:b/>
          <w:bCs/>
        </w:rPr>
        <w:t>（2）预测时段</w:t>
      </w:r>
    </w:p>
    <w:p>
      <w:pPr>
        <w:adjustRightInd w:val="0"/>
        <w:snapToGrid w:val="0"/>
        <w:spacing w:line="440" w:lineRule="exact"/>
        <w:ind w:firstLine="480" w:firstLineChars="200"/>
        <w:rPr>
          <w:rFonts w:ascii="Times New Roman" w:hAnsi="Times New Roman"/>
        </w:rPr>
      </w:pPr>
      <w:r>
        <w:rPr>
          <w:rFonts w:ascii="Times New Roman" w:hAnsi="Times New Roman"/>
        </w:rPr>
        <w:t>矿区规划4个井田，</w:t>
      </w:r>
      <w:r>
        <w:rPr>
          <w:rFonts w:ascii="Times New Roman" w:hAnsi="Times New Roman"/>
          <w:szCs w:val="24"/>
        </w:rPr>
        <w:t>其中</w:t>
      </w:r>
      <w:r>
        <w:rPr>
          <w:rFonts w:ascii="Times New Roman" w:hAnsi="Times New Roman"/>
        </w:rPr>
        <w:t>苏布尔嘎井田、纳林希里井田2023年开始建设，2026年投产；奎腾沟井田、壕赖苏井田2025年开始建设，2028年建成投产</w:t>
      </w:r>
      <w:r>
        <w:rPr>
          <w:rFonts w:ascii="Times New Roman" w:hAnsi="Times New Roman"/>
          <w:szCs w:val="24"/>
        </w:rPr>
        <w:t>。奎腾沟井田、壕赖苏井田建成投产后将达到最大排放，</w:t>
      </w:r>
      <w:r>
        <w:rPr>
          <w:rFonts w:ascii="Times New Roman" w:hAnsi="Times New Roman"/>
        </w:rPr>
        <w:t>本次评价以此最大排放情况进行环境空气影响预测，详见表5.5-3。</w:t>
      </w:r>
    </w:p>
    <w:p>
      <w:pPr>
        <w:adjustRightInd w:val="0"/>
        <w:snapToGrid w:val="0"/>
        <w:spacing w:line="440" w:lineRule="exact"/>
        <w:ind w:firstLine="482" w:firstLineChars="200"/>
        <w:rPr>
          <w:rFonts w:ascii="Times New Roman" w:hAnsi="Times New Roman"/>
          <w:b/>
          <w:kern w:val="0"/>
        </w:rPr>
      </w:pPr>
      <w:r>
        <w:rPr>
          <w:rFonts w:ascii="Times New Roman" w:hAnsi="Times New Roman"/>
          <w:b/>
          <w:bCs/>
          <w:szCs w:val="28"/>
        </w:rPr>
        <w:t>（3）</w:t>
      </w:r>
      <w:r>
        <w:rPr>
          <w:rFonts w:ascii="Times New Roman" w:hAnsi="Times New Roman"/>
          <w:b/>
          <w:kern w:val="0"/>
        </w:rPr>
        <w:t>预测因子</w:t>
      </w:r>
    </w:p>
    <w:p>
      <w:pPr>
        <w:adjustRightInd w:val="0"/>
        <w:snapToGrid w:val="0"/>
        <w:spacing w:line="440" w:lineRule="exact"/>
        <w:ind w:firstLine="480" w:firstLineChars="200"/>
        <w:rPr>
          <w:rFonts w:ascii="Times New Roman" w:hAnsi="Times New Roman"/>
          <w:kern w:val="0"/>
        </w:rPr>
      </w:pPr>
      <w:r>
        <w:rPr>
          <w:rFonts w:ascii="Times New Roman" w:hAnsi="Times New Roman"/>
          <w:kern w:val="0"/>
        </w:rPr>
        <w:t>预测因子：SO</w:t>
      </w:r>
      <w:r>
        <w:rPr>
          <w:rFonts w:ascii="Times New Roman" w:hAnsi="Times New Roman"/>
          <w:kern w:val="0"/>
          <w:vertAlign w:val="subscript"/>
        </w:rPr>
        <w:t>2</w:t>
      </w:r>
      <w:r>
        <w:rPr>
          <w:rFonts w:ascii="Times New Roman" w:hAnsi="Times New Roman"/>
          <w:kern w:val="0"/>
        </w:rPr>
        <w:t>、NO</w:t>
      </w:r>
      <w:r>
        <w:rPr>
          <w:rFonts w:ascii="Times New Roman" w:hAnsi="Times New Roman"/>
          <w:kern w:val="0"/>
          <w:vertAlign w:val="subscript"/>
        </w:rPr>
        <w:t>X</w:t>
      </w:r>
      <w:r>
        <w:rPr>
          <w:rFonts w:ascii="Times New Roman" w:hAnsi="Times New Roman"/>
          <w:kern w:val="0"/>
        </w:rPr>
        <w:t>、PM</w:t>
      </w:r>
      <w:r>
        <w:rPr>
          <w:rFonts w:ascii="Times New Roman" w:hAnsi="Times New Roman"/>
          <w:kern w:val="0"/>
          <w:vertAlign w:val="subscript"/>
        </w:rPr>
        <w:t>10</w:t>
      </w:r>
      <w:r>
        <w:rPr>
          <w:rFonts w:ascii="Times New Roman" w:hAnsi="Times New Roman"/>
          <w:kern w:val="0"/>
        </w:rPr>
        <w:t>。</w:t>
      </w:r>
    </w:p>
    <w:p>
      <w:pPr>
        <w:adjustRightInd w:val="0"/>
        <w:snapToGrid w:val="0"/>
        <w:spacing w:line="440" w:lineRule="exact"/>
        <w:ind w:firstLine="482" w:firstLineChars="200"/>
        <w:rPr>
          <w:rFonts w:ascii="Times New Roman" w:hAnsi="Times New Roman"/>
          <w:b/>
        </w:rPr>
      </w:pPr>
      <w:r>
        <w:rPr>
          <w:rFonts w:ascii="Times New Roman" w:hAnsi="Times New Roman"/>
          <w:b/>
        </w:rPr>
        <w:t>（4）预测模式</w:t>
      </w:r>
    </w:p>
    <w:p>
      <w:pPr>
        <w:adjustRightInd w:val="0"/>
        <w:snapToGrid w:val="0"/>
        <w:spacing w:line="440" w:lineRule="exact"/>
        <w:ind w:firstLine="480" w:firstLineChars="200"/>
        <w:rPr>
          <w:rFonts w:ascii="Times New Roman" w:hAnsi="Times New Roman"/>
        </w:rPr>
      </w:pPr>
      <w:r>
        <w:rPr>
          <w:rFonts w:ascii="Times New Roman" w:hAnsi="Times New Roman"/>
        </w:rPr>
        <w:t>采用《环境影响评价技术导则 大气环境》（HJ2.2-2018）推荐的ADMS模型进行预测。</w:t>
      </w:r>
    </w:p>
    <w:p>
      <w:pPr>
        <w:adjustRightInd w:val="0"/>
        <w:snapToGrid w:val="0"/>
        <w:spacing w:line="440" w:lineRule="exact"/>
        <w:ind w:firstLine="482" w:firstLineChars="200"/>
        <w:rPr>
          <w:rFonts w:ascii="Times New Roman" w:hAnsi="Times New Roman"/>
          <w:b/>
        </w:rPr>
      </w:pPr>
      <w:r>
        <w:rPr>
          <w:rFonts w:ascii="Times New Roman" w:hAnsi="Times New Roman"/>
          <w:b/>
        </w:rPr>
        <w:t>（5）预测内容</w:t>
      </w:r>
    </w:p>
    <w:p>
      <w:pPr>
        <w:adjustRightInd w:val="0"/>
        <w:snapToGrid w:val="0"/>
        <w:spacing w:line="440" w:lineRule="exact"/>
        <w:ind w:firstLine="480" w:firstLineChars="200"/>
        <w:rPr>
          <w:rFonts w:ascii="Times New Roman" w:hAnsi="Times New Roman"/>
        </w:rPr>
      </w:pPr>
      <w:r>
        <w:rPr>
          <w:rFonts w:ascii="Times New Roman" w:hAnsi="Times New Roman"/>
        </w:rPr>
        <w:t>根据规划项目污染物的特点及导则的要求，结合该区域的污染气象特征，采用逐日逐时的方式进行大气环境影响预测，预测内容如下：</w:t>
      </w:r>
    </w:p>
    <w:p>
      <w:pPr>
        <w:adjustRightInd w:val="0"/>
        <w:snapToGrid w:val="0"/>
        <w:spacing w:line="440" w:lineRule="exact"/>
        <w:ind w:firstLine="480" w:firstLineChars="200"/>
        <w:rPr>
          <w:rFonts w:ascii="Times New Roman" w:hAnsi="Times New Roman"/>
        </w:rPr>
      </w:pPr>
      <w:r>
        <w:rPr>
          <w:rFonts w:ascii="Times New Roman" w:hAnsi="Times New Roman"/>
        </w:rPr>
        <w:t>1）分析典型小时气象条件下，规划项目主要污染物PM</w:t>
      </w:r>
      <w:r>
        <w:rPr>
          <w:rFonts w:ascii="Times New Roman" w:hAnsi="Times New Roman"/>
          <w:vertAlign w:val="subscript"/>
        </w:rPr>
        <w:t>10</w:t>
      </w:r>
      <w:r>
        <w:rPr>
          <w:rFonts w:ascii="Times New Roman" w:hAnsi="Times New Roman"/>
        </w:rPr>
        <w:t>、SO</w:t>
      </w:r>
      <w:r>
        <w:rPr>
          <w:rFonts w:ascii="Times New Roman" w:hAnsi="Times New Roman"/>
          <w:vertAlign w:val="subscript"/>
        </w:rPr>
        <w:t>2</w:t>
      </w:r>
      <w:r>
        <w:rPr>
          <w:rFonts w:ascii="Times New Roman" w:hAnsi="Times New Roman"/>
        </w:rPr>
        <w:t>和NO</w:t>
      </w:r>
      <w:r>
        <w:rPr>
          <w:rFonts w:ascii="Times New Roman" w:hAnsi="Times New Roman"/>
          <w:vertAlign w:val="subscript"/>
        </w:rPr>
        <w:t>x</w:t>
      </w:r>
      <w:r>
        <w:rPr>
          <w:rFonts w:ascii="Times New Roman" w:hAnsi="Times New Roman"/>
        </w:rPr>
        <w:t>对环境空气敏感点和评价范围的最大环境影响，分析是否超标、超标程度、超标位置，并绘制评价范围内出现区域小时平均质量浓度最大值时所对应的质量浓度等值线分布图。</w:t>
      </w:r>
    </w:p>
    <w:p>
      <w:pPr>
        <w:adjustRightInd w:val="0"/>
        <w:snapToGrid w:val="0"/>
        <w:spacing w:line="440" w:lineRule="exact"/>
        <w:ind w:firstLine="480" w:firstLineChars="200"/>
        <w:rPr>
          <w:rFonts w:ascii="Times New Roman" w:hAnsi="Times New Roman"/>
        </w:rPr>
      </w:pPr>
      <w:r>
        <w:rPr>
          <w:rFonts w:ascii="Times New Roman" w:hAnsi="Times New Roman"/>
        </w:rPr>
        <w:t>2）分析典型日气象条件下，规划项目主要污染物PM</w:t>
      </w:r>
      <w:r>
        <w:rPr>
          <w:rFonts w:ascii="Times New Roman" w:hAnsi="Times New Roman"/>
          <w:vertAlign w:val="subscript"/>
        </w:rPr>
        <w:t>10</w:t>
      </w:r>
      <w:r>
        <w:rPr>
          <w:rFonts w:ascii="Times New Roman" w:hAnsi="Times New Roman"/>
        </w:rPr>
        <w:t>、SO</w:t>
      </w:r>
      <w:r>
        <w:rPr>
          <w:rFonts w:ascii="Times New Roman" w:hAnsi="Times New Roman"/>
          <w:vertAlign w:val="subscript"/>
        </w:rPr>
        <w:t>2</w:t>
      </w:r>
      <w:r>
        <w:rPr>
          <w:rFonts w:ascii="Times New Roman" w:hAnsi="Times New Roman"/>
        </w:rPr>
        <w:t>和NO</w:t>
      </w:r>
      <w:r>
        <w:rPr>
          <w:rFonts w:ascii="Times New Roman" w:hAnsi="Times New Roman"/>
          <w:vertAlign w:val="subscript"/>
        </w:rPr>
        <w:t>x</w:t>
      </w:r>
      <w:r>
        <w:rPr>
          <w:rFonts w:ascii="Times New Roman" w:hAnsi="Times New Roman"/>
        </w:rPr>
        <w:t>对环境空气敏感点和评价范围的最大环境影响，分析是否超标、超标程度、超标位置，并绘制评价范围内出现区域日平均质量浓度最大值时所对应的质量浓度等值线分布图。</w:t>
      </w:r>
    </w:p>
    <w:p>
      <w:pPr>
        <w:adjustRightInd w:val="0"/>
        <w:snapToGrid w:val="0"/>
        <w:spacing w:line="440" w:lineRule="exact"/>
        <w:ind w:firstLine="480" w:firstLineChars="200"/>
        <w:rPr>
          <w:rFonts w:ascii="Times New Roman" w:hAnsi="Times New Roman"/>
        </w:rPr>
      </w:pPr>
      <w:r>
        <w:rPr>
          <w:rFonts w:ascii="Times New Roman" w:hAnsi="Times New Roman"/>
        </w:rPr>
        <w:t>3）分析长期气象条件下，规划项目主要污染物PM</w:t>
      </w:r>
      <w:r>
        <w:rPr>
          <w:rFonts w:ascii="Times New Roman" w:hAnsi="Times New Roman"/>
          <w:vertAlign w:val="subscript"/>
        </w:rPr>
        <w:t>10</w:t>
      </w:r>
      <w:r>
        <w:rPr>
          <w:rFonts w:ascii="Times New Roman" w:hAnsi="Times New Roman"/>
        </w:rPr>
        <w:t>、SO</w:t>
      </w:r>
      <w:r>
        <w:rPr>
          <w:rFonts w:ascii="Times New Roman" w:hAnsi="Times New Roman"/>
          <w:vertAlign w:val="subscript"/>
        </w:rPr>
        <w:t>2</w:t>
      </w:r>
      <w:r>
        <w:rPr>
          <w:rFonts w:ascii="Times New Roman" w:hAnsi="Times New Roman"/>
        </w:rPr>
        <w:t>和NO</w:t>
      </w:r>
      <w:r>
        <w:rPr>
          <w:rFonts w:ascii="Times New Roman" w:hAnsi="Times New Roman"/>
          <w:vertAlign w:val="subscript"/>
        </w:rPr>
        <w:t>x</w:t>
      </w:r>
      <w:r>
        <w:rPr>
          <w:rFonts w:ascii="Times New Roman" w:hAnsi="Times New Roman"/>
        </w:rPr>
        <w:t>对环境空气敏感点和评价范围的环境影响，分析是否超标、超标程度、超标范围及位置，并绘制预测范围内的质量浓度等值线分布图。</w:t>
      </w:r>
    </w:p>
    <w:p>
      <w:pPr>
        <w:adjustRightInd w:val="0"/>
        <w:snapToGrid w:val="0"/>
        <w:spacing w:line="440" w:lineRule="exact"/>
        <w:ind w:firstLine="480" w:firstLineChars="200"/>
        <w:rPr>
          <w:rFonts w:ascii="Times New Roman" w:hAnsi="Times New Roman"/>
        </w:rPr>
      </w:pPr>
      <w:r>
        <w:rPr>
          <w:rFonts w:ascii="Times New Roman" w:hAnsi="Times New Roman"/>
        </w:rPr>
        <w:t>4）对环境空气敏感点的环境影响分析，考虑规划项目的预测值和同点位处的现状背景值的最大值的叠加影响；对最大地面质量浓度点的环境影响分析考虑预测值和所有现状背景值的平均值的叠加影响。</w:t>
      </w:r>
    </w:p>
    <w:p>
      <w:pPr>
        <w:adjustRightInd w:val="0"/>
        <w:snapToGrid w:val="0"/>
        <w:spacing w:line="440" w:lineRule="exact"/>
        <w:outlineLvl w:val="3"/>
        <w:rPr>
          <w:rFonts w:ascii="Times New Roman" w:hAnsi="Times New Roman"/>
          <w:b/>
          <w:szCs w:val="24"/>
        </w:rPr>
      </w:pPr>
      <w:r>
        <w:rPr>
          <w:rFonts w:ascii="Times New Roman" w:hAnsi="Times New Roman"/>
          <w:b/>
          <w:szCs w:val="24"/>
        </w:rPr>
        <w:t>5.5.2.3 预测结果</w:t>
      </w:r>
    </w:p>
    <w:p>
      <w:pPr>
        <w:widowControl/>
        <w:spacing w:line="440" w:lineRule="exact"/>
        <w:ind w:firstLine="480" w:firstLineChars="200"/>
        <w:rPr>
          <w:rFonts w:ascii="Times New Roman" w:hAnsi="Times New Roman"/>
          <w:kern w:val="0"/>
        </w:rPr>
      </w:pPr>
      <w:r>
        <w:rPr>
          <w:rFonts w:ascii="Times New Roman" w:hAnsi="Times New Roman"/>
          <w:kern w:val="0"/>
        </w:rPr>
        <w:t>（1）小时气象条件对环境的影响</w:t>
      </w:r>
    </w:p>
    <w:p>
      <w:pPr>
        <w:adjustRightInd w:val="0"/>
        <w:snapToGrid w:val="0"/>
        <w:spacing w:line="440" w:lineRule="exact"/>
        <w:ind w:firstLine="480" w:firstLineChars="200"/>
        <w:rPr>
          <w:rFonts w:ascii="Times New Roman" w:hAnsi="Times New Roman"/>
          <w:kern w:val="0"/>
        </w:rPr>
      </w:pPr>
      <w:r>
        <w:rPr>
          <w:rFonts w:ascii="Times New Roman" w:hAnsi="Times New Roman"/>
          <w:kern w:val="0"/>
        </w:rPr>
        <w:t>纳林希里矿区大气污染物在主要关心点及区域小时平均最大浓度值见表5.5-4，小时平均最大浓度分布见图5.5-2-5.5-4。</w:t>
      </w:r>
    </w:p>
    <w:p>
      <w:pPr>
        <w:adjustRightInd w:val="0"/>
        <w:snapToGrid w:val="0"/>
        <w:spacing w:line="440" w:lineRule="exact"/>
        <w:jc w:val="center"/>
        <w:rPr>
          <w:rFonts w:ascii="Times New Roman" w:hAnsi="Times New Roman"/>
          <w:b/>
        </w:rPr>
      </w:pPr>
    </w:p>
    <w:p>
      <w:pPr>
        <w:adjustRightInd w:val="0"/>
        <w:snapToGrid w:val="0"/>
        <w:spacing w:line="440" w:lineRule="exact"/>
        <w:jc w:val="center"/>
        <w:rPr>
          <w:rFonts w:ascii="Times New Roman" w:hAnsi="Times New Roman"/>
          <w:b/>
        </w:rPr>
      </w:pPr>
      <w:r>
        <w:rPr>
          <w:rFonts w:ascii="Times New Roman" w:hAnsi="Times New Roman"/>
          <w:b/>
        </w:rPr>
        <w:t>主要关心点及区域小时最大浓度预测结果</w:t>
      </w:r>
    </w:p>
    <w:p>
      <w:pPr>
        <w:adjustRightInd w:val="0"/>
        <w:snapToGrid w:val="0"/>
        <w:spacing w:line="440" w:lineRule="exact"/>
        <w:outlineLvl w:val="4"/>
        <w:rPr>
          <w:rFonts w:ascii="Times New Roman" w:hAnsi="Times New Roman"/>
          <w:kern w:val="0"/>
        </w:rPr>
      </w:pPr>
      <w:r>
        <w:rPr>
          <w:rFonts w:ascii="Times New Roman" w:hAnsi="Times New Roman"/>
        </w:rPr>
        <w:t>表5.5-4</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3"/>
        <w:gridCol w:w="998"/>
        <w:gridCol w:w="2180"/>
        <w:gridCol w:w="1643"/>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82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关心点</w:t>
            </w:r>
          </w:p>
        </w:tc>
        <w:tc>
          <w:tcPr>
            <w:tcW w:w="998"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预测</w:t>
            </w:r>
          </w:p>
          <w:p>
            <w:pPr>
              <w:widowControl/>
              <w:jc w:val="center"/>
              <w:rPr>
                <w:rFonts w:ascii="Times New Roman" w:hAnsi="Times New Roman"/>
                <w:kern w:val="0"/>
                <w:sz w:val="21"/>
                <w:szCs w:val="21"/>
              </w:rPr>
            </w:pPr>
            <w:r>
              <w:rPr>
                <w:rFonts w:ascii="Times New Roman" w:hAnsi="Times New Roman"/>
                <w:kern w:val="0"/>
                <w:sz w:val="21"/>
                <w:szCs w:val="21"/>
              </w:rPr>
              <w:t>因子</w:t>
            </w:r>
          </w:p>
        </w:tc>
        <w:tc>
          <w:tcPr>
            <w:tcW w:w="2180"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小时最大浓度贡</w:t>
            </w:r>
          </w:p>
          <w:p>
            <w:pPr>
              <w:widowControl/>
              <w:jc w:val="center"/>
              <w:rPr>
                <w:rFonts w:ascii="Times New Roman" w:hAnsi="Times New Roman"/>
                <w:kern w:val="0"/>
                <w:sz w:val="21"/>
                <w:szCs w:val="21"/>
              </w:rPr>
            </w:pPr>
            <w:r>
              <w:rPr>
                <w:rFonts w:ascii="Times New Roman" w:hAnsi="Times New Roman"/>
                <w:kern w:val="0"/>
                <w:sz w:val="21"/>
                <w:szCs w:val="21"/>
              </w:rPr>
              <w:t>献值（</w:t>
            </w:r>
            <w:r>
              <w:rPr>
                <w:rFonts w:ascii="Times New Roman" w:hAnsi="Times New Roman"/>
                <w:szCs w:val="21"/>
              </w:rPr>
              <w:t>μg</w:t>
            </w:r>
            <w:r>
              <w:rPr>
                <w:rFonts w:ascii="Times New Roman" w:hAnsi="Times New Roman"/>
                <w:kern w:val="0"/>
                <w:sz w:val="21"/>
                <w:szCs w:val="21"/>
              </w:rPr>
              <w:t>/m</w:t>
            </w:r>
            <w:r>
              <w:rPr>
                <w:rFonts w:ascii="Times New Roman" w:hAnsi="Times New Roman"/>
                <w:kern w:val="0"/>
                <w:sz w:val="21"/>
                <w:szCs w:val="21"/>
                <w:vertAlign w:val="superscript"/>
              </w:rPr>
              <w:t>3</w:t>
            </w:r>
            <w:r>
              <w:rPr>
                <w:rFonts w:ascii="Times New Roman" w:hAnsi="Times New Roman"/>
                <w:kern w:val="0"/>
                <w:sz w:val="21"/>
                <w:szCs w:val="21"/>
              </w:rPr>
              <w:t>）</w:t>
            </w:r>
          </w:p>
        </w:tc>
        <w:tc>
          <w:tcPr>
            <w:tcW w:w="164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环境空气标准（</w:t>
            </w:r>
            <w:r>
              <w:rPr>
                <w:rFonts w:ascii="Times New Roman" w:hAnsi="Times New Roman"/>
                <w:szCs w:val="21"/>
              </w:rPr>
              <w:t>μg</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w:t>
            </w:r>
          </w:p>
        </w:tc>
        <w:tc>
          <w:tcPr>
            <w:tcW w:w="164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占标准比例</w:t>
            </w:r>
          </w:p>
          <w:p>
            <w:pPr>
              <w:widowControl/>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823" w:type="dxa"/>
            <w:vMerge w:val="continue"/>
            <w:vAlign w:val="center"/>
          </w:tcPr>
          <w:p>
            <w:pPr>
              <w:widowControl/>
              <w:jc w:val="left"/>
              <w:rPr>
                <w:rFonts w:ascii="Times New Roman" w:hAnsi="Times New Roman"/>
                <w:kern w:val="0"/>
                <w:sz w:val="21"/>
                <w:szCs w:val="21"/>
              </w:rPr>
            </w:pPr>
          </w:p>
        </w:tc>
        <w:tc>
          <w:tcPr>
            <w:tcW w:w="998" w:type="dxa"/>
            <w:vMerge w:val="continue"/>
            <w:vAlign w:val="center"/>
          </w:tcPr>
          <w:p>
            <w:pPr>
              <w:widowControl/>
              <w:jc w:val="left"/>
              <w:rPr>
                <w:rFonts w:ascii="Times New Roman" w:hAnsi="Times New Roman"/>
                <w:kern w:val="0"/>
                <w:sz w:val="21"/>
                <w:szCs w:val="21"/>
              </w:rPr>
            </w:pPr>
          </w:p>
        </w:tc>
        <w:tc>
          <w:tcPr>
            <w:tcW w:w="2180" w:type="dxa"/>
            <w:vMerge w:val="continue"/>
            <w:vAlign w:val="center"/>
          </w:tcPr>
          <w:p>
            <w:pPr>
              <w:widowControl/>
              <w:jc w:val="left"/>
              <w:rPr>
                <w:rFonts w:ascii="Times New Roman" w:hAnsi="Times New Roman"/>
                <w:kern w:val="0"/>
                <w:sz w:val="21"/>
                <w:szCs w:val="21"/>
              </w:rPr>
            </w:pPr>
          </w:p>
        </w:tc>
        <w:tc>
          <w:tcPr>
            <w:tcW w:w="1643" w:type="dxa"/>
            <w:vMerge w:val="continue"/>
            <w:vAlign w:val="center"/>
          </w:tcPr>
          <w:p>
            <w:pPr>
              <w:widowControl/>
              <w:jc w:val="left"/>
              <w:rPr>
                <w:rFonts w:ascii="Times New Roman" w:hAnsi="Times New Roman"/>
                <w:kern w:val="0"/>
                <w:sz w:val="21"/>
                <w:szCs w:val="21"/>
              </w:rPr>
            </w:pPr>
          </w:p>
        </w:tc>
        <w:tc>
          <w:tcPr>
            <w:tcW w:w="1643" w:type="dxa"/>
            <w:vMerge w:val="continue"/>
            <w:vAlign w:val="center"/>
          </w:tcPr>
          <w:p>
            <w:pPr>
              <w:widowControl/>
              <w:jc w:val="left"/>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其日格（距奎腾沟工业场地2436m）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1.24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0.14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5.85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1.17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18.70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7.48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敖尔给乎村（距奎腾沟工业场地1964m）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1.47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0.16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6.93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1.39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22.20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8.88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苏布尔噶一队（距苏布尔噶工业场地953m）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2.94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0.33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13.90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2.78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44.40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17.76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苏布尔噶嘎查（距苏布尔噶工业场地2473m）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1.40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0.16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6.59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1.32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21.10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8.44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木呼尔敖包村（位于壕赖苏工业场地右侧，部分位于工业场地内部）</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4.23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0.47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20.00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4.00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63.80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25.52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木呼尔敖包六队（壕赖苏工业场地西南侧748m）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2.15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0.24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10.10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2.02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32.40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12.96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哈达图淖尔二队（纳林希里工业场地西南侧418m）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2.83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0.31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13.40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2.68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42.80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17.12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哈达图淖尔四队（纳林希里工业场地东北侧726m）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2.00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0.22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9.46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1.89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30.30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12.12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红庆河镇（纳林希里工业场地西侧2050m）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1.32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0.15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6.24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1.25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20.00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8.00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小乌兰敖包（位于勘查区，距苏布尔噶工业场地5466m）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0.70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3.37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0.67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10.60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4.24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遗鸥自然保护区（奎腾沟工业场地东北侧）6083m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0.71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0.47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3.33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150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rPr>
              <w:t>2.22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10.80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4.32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bCs/>
                <w:sz w:val="21"/>
                <w:szCs w:val="21"/>
              </w:rPr>
              <w:t>以壕赖苏井田装车站为原点（0，0），最大落地点为（X=-5073.46，Y=-13344.58）处</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6.88 </w:t>
            </w:r>
          </w:p>
        </w:tc>
        <w:tc>
          <w:tcPr>
            <w:tcW w:w="1643" w:type="dxa"/>
            <w:shd w:val="clear" w:color="auto" w:fill="auto"/>
            <w:vAlign w:val="center"/>
          </w:tcPr>
          <w:p>
            <w:pPr>
              <w:widowControl/>
              <w:jc w:val="center"/>
              <w:rPr>
                <w:rFonts w:ascii="Times New Roman" w:hAnsi="Times New Roman"/>
                <w:sz w:val="21"/>
                <w:szCs w:val="21"/>
              </w:rPr>
            </w:pPr>
            <w:r>
              <w:rPr>
                <w:rFonts w:ascii="Times New Roman" w:hAnsi="Times New Roman"/>
                <w:sz w:val="21"/>
                <w:szCs w:val="21"/>
              </w:rPr>
              <w:t>900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0.76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32.50 </w:t>
            </w:r>
          </w:p>
        </w:tc>
        <w:tc>
          <w:tcPr>
            <w:tcW w:w="1643" w:type="dxa"/>
            <w:shd w:val="clear" w:color="auto" w:fill="auto"/>
            <w:vAlign w:val="center"/>
          </w:tcPr>
          <w:p>
            <w:pPr>
              <w:widowControl/>
              <w:jc w:val="center"/>
              <w:rPr>
                <w:rFonts w:ascii="Times New Roman" w:hAnsi="Times New Roman"/>
                <w:sz w:val="21"/>
                <w:szCs w:val="21"/>
              </w:rPr>
            </w:pPr>
            <w:r>
              <w:rPr>
                <w:rFonts w:ascii="Times New Roman" w:hAnsi="Times New Roman"/>
                <w:sz w:val="21"/>
                <w:szCs w:val="21"/>
              </w:rPr>
              <w:t>500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6.50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103.96 </w:t>
            </w:r>
          </w:p>
        </w:tc>
        <w:tc>
          <w:tcPr>
            <w:tcW w:w="1643" w:type="dxa"/>
            <w:shd w:val="clear" w:color="auto" w:fill="auto"/>
            <w:vAlign w:val="center"/>
          </w:tcPr>
          <w:p>
            <w:pPr>
              <w:widowControl/>
              <w:jc w:val="center"/>
              <w:rPr>
                <w:rFonts w:ascii="Times New Roman" w:hAnsi="Times New Roman"/>
                <w:sz w:val="21"/>
                <w:szCs w:val="21"/>
              </w:rPr>
            </w:pPr>
            <w:r>
              <w:rPr>
                <w:rFonts w:ascii="Times New Roman" w:hAnsi="Times New Roman"/>
                <w:sz w:val="21"/>
                <w:szCs w:val="21"/>
              </w:rPr>
              <w:t>250</w:t>
            </w:r>
          </w:p>
        </w:tc>
        <w:tc>
          <w:tcPr>
            <w:tcW w:w="1643" w:type="dxa"/>
            <w:shd w:val="clear" w:color="auto" w:fill="auto"/>
            <w:vAlign w:val="bottom"/>
          </w:tcPr>
          <w:p>
            <w:pPr>
              <w:widowControl/>
              <w:jc w:val="center"/>
              <w:rPr>
                <w:rFonts w:ascii="Times New Roman" w:hAnsi="Times New Roman"/>
                <w:sz w:val="21"/>
                <w:szCs w:val="21"/>
              </w:rPr>
            </w:pPr>
            <w:r>
              <w:rPr>
                <w:rFonts w:ascii="Times New Roman" w:hAnsi="Times New Roman"/>
                <w:sz w:val="21"/>
                <w:szCs w:val="21"/>
                <w:lang w:bidi="ar"/>
              </w:rPr>
              <w:t xml:space="preserve">41.58 </w:t>
            </w:r>
          </w:p>
        </w:tc>
      </w:tr>
    </w:tbl>
    <w:p>
      <w:pPr>
        <w:adjustRightInd w:val="0"/>
        <w:snapToGrid w:val="0"/>
        <w:spacing w:line="440" w:lineRule="exact"/>
        <w:ind w:firstLine="480" w:firstLineChars="200"/>
        <w:rPr>
          <w:rFonts w:ascii="Times New Roman" w:hAnsi="Times New Roman"/>
          <w:kern w:val="0"/>
          <w:sz w:val="21"/>
          <w:szCs w:val="21"/>
        </w:rPr>
      </w:pPr>
      <w:r>
        <w:rPr>
          <w:rFonts w:ascii="Times New Roman" w:hAnsi="Times New Roman"/>
        </w:rPr>
        <w:t>根据表5.5-4的预测结果，主要关心居民点各预测因子的小时最大浓度值未超过（GB3095-2012）中二级标准，</w:t>
      </w:r>
      <w:r>
        <w:rPr>
          <w:rFonts w:ascii="Times New Roman" w:hAnsi="Times New Roman"/>
          <w:kern w:val="0"/>
          <w:szCs w:val="24"/>
        </w:rPr>
        <w:t>PM</w:t>
      </w:r>
      <w:r>
        <w:rPr>
          <w:rFonts w:ascii="Times New Roman" w:hAnsi="Times New Roman"/>
          <w:kern w:val="0"/>
          <w:szCs w:val="24"/>
          <w:vertAlign w:val="subscript"/>
        </w:rPr>
        <w:t>10</w:t>
      </w:r>
      <w:r>
        <w:rPr>
          <w:rFonts w:ascii="Times New Roman" w:hAnsi="Times New Roman"/>
          <w:kern w:val="0"/>
          <w:szCs w:val="24"/>
        </w:rPr>
        <w:t>小时最大浓度介于0.704-4.23</w:t>
      </w:r>
      <w:r>
        <w:rPr>
          <w:rFonts w:ascii="Times New Roman" w:hAnsi="Times New Roman"/>
          <w:szCs w:val="21"/>
        </w:rPr>
        <w:t>μ</w:t>
      </w:r>
      <w:r>
        <w:rPr>
          <w:rFonts w:ascii="Times New Roman" w:hAnsi="Times New Roman"/>
          <w:kern w:val="0"/>
          <w:szCs w:val="24"/>
        </w:rPr>
        <w:t>g/m</w:t>
      </w:r>
      <w:r>
        <w:rPr>
          <w:rFonts w:ascii="Times New Roman" w:hAnsi="Times New Roman"/>
          <w:kern w:val="0"/>
          <w:szCs w:val="24"/>
          <w:vertAlign w:val="superscript"/>
        </w:rPr>
        <w:t>3</w:t>
      </w:r>
      <w:r>
        <w:rPr>
          <w:rFonts w:ascii="Times New Roman" w:hAnsi="Times New Roman"/>
          <w:kern w:val="0"/>
          <w:szCs w:val="24"/>
        </w:rPr>
        <w:t>之间</w:t>
      </w:r>
      <w:r>
        <w:rPr>
          <w:rFonts w:ascii="Times New Roman" w:hAnsi="Times New Roman"/>
          <w:kern w:val="0"/>
          <w:sz w:val="21"/>
          <w:szCs w:val="21"/>
        </w:rPr>
        <w:t>，SO</w:t>
      </w:r>
      <w:r>
        <w:rPr>
          <w:rFonts w:ascii="Times New Roman" w:hAnsi="Times New Roman"/>
          <w:kern w:val="0"/>
          <w:sz w:val="21"/>
          <w:szCs w:val="21"/>
          <w:vertAlign w:val="subscript"/>
        </w:rPr>
        <w:t>2</w:t>
      </w:r>
      <w:r>
        <w:rPr>
          <w:rFonts w:ascii="Times New Roman" w:hAnsi="Times New Roman"/>
          <w:kern w:val="0"/>
          <w:szCs w:val="24"/>
        </w:rPr>
        <w:t>小时最大浓度介于3.3-20</w:t>
      </w:r>
      <w:r>
        <w:rPr>
          <w:rFonts w:ascii="Times New Roman" w:hAnsi="Times New Roman"/>
          <w:szCs w:val="21"/>
        </w:rPr>
        <w:t>μ</w:t>
      </w:r>
      <w:r>
        <w:rPr>
          <w:rFonts w:ascii="Times New Roman" w:hAnsi="Times New Roman"/>
          <w:kern w:val="0"/>
          <w:szCs w:val="24"/>
        </w:rPr>
        <w:t>g/m</w:t>
      </w:r>
      <w:r>
        <w:rPr>
          <w:rFonts w:ascii="Times New Roman" w:hAnsi="Times New Roman"/>
          <w:kern w:val="0"/>
          <w:szCs w:val="24"/>
          <w:vertAlign w:val="superscript"/>
        </w:rPr>
        <w:t>3</w:t>
      </w:r>
      <w:r>
        <w:rPr>
          <w:rFonts w:ascii="Times New Roman" w:hAnsi="Times New Roman"/>
          <w:kern w:val="0"/>
          <w:szCs w:val="24"/>
        </w:rPr>
        <w:t>之间，NOx最大浓度介于10.6-63.8</w:t>
      </w:r>
      <w:r>
        <w:rPr>
          <w:rFonts w:ascii="Times New Roman" w:hAnsi="Times New Roman"/>
          <w:szCs w:val="21"/>
        </w:rPr>
        <w:t>μ</w:t>
      </w:r>
      <w:r>
        <w:rPr>
          <w:rFonts w:ascii="Times New Roman" w:hAnsi="Times New Roman"/>
          <w:kern w:val="0"/>
          <w:szCs w:val="24"/>
        </w:rPr>
        <w:t>g/m</w:t>
      </w:r>
      <w:r>
        <w:rPr>
          <w:rFonts w:ascii="Times New Roman" w:hAnsi="Times New Roman"/>
          <w:kern w:val="0"/>
          <w:szCs w:val="24"/>
          <w:vertAlign w:val="superscript"/>
        </w:rPr>
        <w:t>3</w:t>
      </w:r>
      <w:r>
        <w:rPr>
          <w:rFonts w:ascii="Times New Roman" w:hAnsi="Times New Roman"/>
          <w:kern w:val="0"/>
          <w:szCs w:val="24"/>
        </w:rPr>
        <w:t>之间。</w:t>
      </w:r>
    </w:p>
    <w:p>
      <w:pPr>
        <w:adjustRightInd w:val="0"/>
        <w:snapToGrid w:val="0"/>
        <w:spacing w:line="440" w:lineRule="exact"/>
        <w:ind w:firstLine="480" w:firstLineChars="200"/>
        <w:rPr>
          <w:rFonts w:ascii="Times New Roman" w:hAnsi="Times New Roman"/>
        </w:rPr>
      </w:pPr>
      <w:r>
        <w:rPr>
          <w:rFonts w:ascii="Times New Roman" w:hAnsi="Times New Roman"/>
        </w:rPr>
        <w:t>遗鸥自然保护区各预测因子的小时最大浓度值未超过《环境空气质量标准》（GB3095-2012）中一级标准；且区域小时最大浓度贡献值的位置位于纳林希里井田，远离遗鸥自然保护区，项目大气污染源对遗鸥自然保护区的空气质量影响较小。</w:t>
      </w:r>
    </w:p>
    <w:p>
      <w:pPr>
        <w:adjustRightInd w:val="0"/>
        <w:snapToGrid w:val="0"/>
        <w:spacing w:line="440" w:lineRule="exact"/>
        <w:ind w:left="480"/>
        <w:rPr>
          <w:rFonts w:ascii="Times New Roman" w:hAnsi="Times New Roman"/>
          <w:kern w:val="0"/>
        </w:rPr>
      </w:pPr>
      <w:r>
        <w:rPr>
          <w:rFonts w:ascii="Times New Roman" w:hAnsi="Times New Roman"/>
          <w:kern w:val="0"/>
        </w:rPr>
        <w:t>（2）典型日气象条件对环境的影响</w:t>
      </w:r>
    </w:p>
    <w:p>
      <w:pPr>
        <w:adjustRightInd w:val="0"/>
        <w:snapToGrid w:val="0"/>
        <w:spacing w:line="440" w:lineRule="exact"/>
        <w:ind w:firstLine="480" w:firstLineChars="200"/>
        <w:rPr>
          <w:rFonts w:ascii="Times New Roman" w:hAnsi="Times New Roman"/>
          <w:kern w:val="0"/>
        </w:rPr>
      </w:pPr>
      <w:r>
        <w:rPr>
          <w:rFonts w:ascii="Times New Roman" w:hAnsi="Times New Roman"/>
          <w:kern w:val="0"/>
        </w:rPr>
        <w:t>纳林希里矿区大气污染物在主要关心点及区域日平均最大浓度值见表5.5-5，日平均最大浓度分布见图5.5-5-5.5-7。</w:t>
      </w:r>
    </w:p>
    <w:p>
      <w:pPr>
        <w:adjustRightInd w:val="0"/>
        <w:snapToGrid w:val="0"/>
        <w:spacing w:before="120" w:beforeLines="50" w:line="440" w:lineRule="exact"/>
        <w:jc w:val="center"/>
        <w:rPr>
          <w:rFonts w:ascii="Times New Roman" w:hAnsi="Times New Roman"/>
          <w:b/>
        </w:rPr>
      </w:pPr>
      <w:r>
        <w:rPr>
          <w:rFonts w:ascii="Times New Roman" w:hAnsi="Times New Roman"/>
          <w:b/>
        </w:rPr>
        <w:t>主要关心点及区域日均最大浓度预测结果</w:t>
      </w:r>
    </w:p>
    <w:p>
      <w:pPr>
        <w:adjustRightInd w:val="0"/>
        <w:snapToGrid w:val="0"/>
        <w:spacing w:line="440" w:lineRule="exact"/>
        <w:outlineLvl w:val="4"/>
        <w:rPr>
          <w:rFonts w:ascii="Times New Roman" w:hAnsi="Times New Roman"/>
          <w:kern w:val="0"/>
        </w:rPr>
      </w:pPr>
      <w:r>
        <w:rPr>
          <w:rFonts w:ascii="Times New Roman" w:hAnsi="Times New Roman"/>
        </w:rPr>
        <w:t>表5.5-5</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3"/>
        <w:gridCol w:w="998"/>
        <w:gridCol w:w="2180"/>
        <w:gridCol w:w="1643"/>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82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关心点</w:t>
            </w:r>
          </w:p>
        </w:tc>
        <w:tc>
          <w:tcPr>
            <w:tcW w:w="998"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预测</w:t>
            </w:r>
          </w:p>
          <w:p>
            <w:pPr>
              <w:widowControl/>
              <w:jc w:val="center"/>
              <w:rPr>
                <w:rFonts w:ascii="Times New Roman" w:hAnsi="Times New Roman"/>
                <w:kern w:val="0"/>
                <w:sz w:val="21"/>
                <w:szCs w:val="21"/>
              </w:rPr>
            </w:pPr>
            <w:r>
              <w:rPr>
                <w:rFonts w:ascii="Times New Roman" w:hAnsi="Times New Roman"/>
                <w:kern w:val="0"/>
                <w:sz w:val="21"/>
                <w:szCs w:val="21"/>
              </w:rPr>
              <w:t>因子</w:t>
            </w:r>
          </w:p>
        </w:tc>
        <w:tc>
          <w:tcPr>
            <w:tcW w:w="2180"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日最大浓度贡</w:t>
            </w:r>
          </w:p>
          <w:p>
            <w:pPr>
              <w:widowControl/>
              <w:jc w:val="center"/>
              <w:rPr>
                <w:rFonts w:ascii="Times New Roman" w:hAnsi="Times New Roman"/>
                <w:kern w:val="0"/>
                <w:sz w:val="21"/>
                <w:szCs w:val="21"/>
              </w:rPr>
            </w:pPr>
            <w:r>
              <w:rPr>
                <w:rFonts w:ascii="Times New Roman" w:hAnsi="Times New Roman"/>
                <w:kern w:val="0"/>
                <w:sz w:val="21"/>
                <w:szCs w:val="21"/>
              </w:rPr>
              <w:t>献值（</w:t>
            </w:r>
            <w:r>
              <w:rPr>
                <w:rFonts w:ascii="Times New Roman" w:hAnsi="Times New Roman"/>
                <w:szCs w:val="21"/>
              </w:rPr>
              <w:t>μ</w:t>
            </w:r>
            <w:r>
              <w:rPr>
                <w:rFonts w:ascii="Times New Roman" w:hAnsi="Times New Roman"/>
                <w:kern w:val="0"/>
                <w:sz w:val="21"/>
                <w:szCs w:val="21"/>
              </w:rPr>
              <w:t>g/m</w:t>
            </w:r>
            <w:r>
              <w:rPr>
                <w:rFonts w:ascii="Times New Roman" w:hAnsi="Times New Roman"/>
                <w:kern w:val="0"/>
                <w:sz w:val="21"/>
                <w:szCs w:val="21"/>
                <w:vertAlign w:val="superscript"/>
              </w:rPr>
              <w:t>3</w:t>
            </w:r>
            <w:r>
              <w:rPr>
                <w:rFonts w:ascii="Times New Roman" w:hAnsi="Times New Roman"/>
                <w:kern w:val="0"/>
                <w:sz w:val="21"/>
                <w:szCs w:val="21"/>
              </w:rPr>
              <w:t>）</w:t>
            </w:r>
          </w:p>
        </w:tc>
        <w:tc>
          <w:tcPr>
            <w:tcW w:w="164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环境空气标准（</w:t>
            </w:r>
            <w:r>
              <w:rPr>
                <w:rFonts w:ascii="Times New Roman" w:hAnsi="Times New Roman"/>
                <w:szCs w:val="21"/>
              </w:rPr>
              <w:t>μ</w:t>
            </w:r>
            <w:r>
              <w:rPr>
                <w:rFonts w:ascii="Times New Roman" w:hAnsi="Times New Roman"/>
                <w:sz w:val="21"/>
                <w:szCs w:val="21"/>
              </w:rPr>
              <w:t>g/m</w:t>
            </w:r>
            <w:r>
              <w:rPr>
                <w:rFonts w:ascii="Times New Roman" w:hAnsi="Times New Roman"/>
                <w:sz w:val="21"/>
                <w:szCs w:val="21"/>
                <w:vertAlign w:val="superscript"/>
              </w:rPr>
              <w:t>3</w:t>
            </w:r>
            <w:r>
              <w:rPr>
                <w:rFonts w:ascii="Times New Roman" w:hAnsi="Times New Roman"/>
                <w:sz w:val="21"/>
                <w:szCs w:val="21"/>
              </w:rPr>
              <w:t>）</w:t>
            </w:r>
          </w:p>
        </w:tc>
        <w:tc>
          <w:tcPr>
            <w:tcW w:w="164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占标准比例</w:t>
            </w:r>
          </w:p>
          <w:p>
            <w:pPr>
              <w:widowControl/>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blHeader/>
          <w:jc w:val="center"/>
        </w:trPr>
        <w:tc>
          <w:tcPr>
            <w:tcW w:w="2823" w:type="dxa"/>
            <w:vMerge w:val="continue"/>
            <w:vAlign w:val="center"/>
          </w:tcPr>
          <w:p>
            <w:pPr>
              <w:widowControl/>
              <w:jc w:val="left"/>
              <w:rPr>
                <w:rFonts w:ascii="Times New Roman" w:hAnsi="Times New Roman"/>
                <w:kern w:val="0"/>
                <w:sz w:val="21"/>
                <w:szCs w:val="21"/>
              </w:rPr>
            </w:pPr>
          </w:p>
        </w:tc>
        <w:tc>
          <w:tcPr>
            <w:tcW w:w="998" w:type="dxa"/>
            <w:vMerge w:val="continue"/>
            <w:vAlign w:val="center"/>
          </w:tcPr>
          <w:p>
            <w:pPr>
              <w:widowControl/>
              <w:jc w:val="left"/>
              <w:rPr>
                <w:rFonts w:ascii="Times New Roman" w:hAnsi="Times New Roman"/>
                <w:kern w:val="0"/>
                <w:sz w:val="21"/>
                <w:szCs w:val="21"/>
              </w:rPr>
            </w:pPr>
          </w:p>
        </w:tc>
        <w:tc>
          <w:tcPr>
            <w:tcW w:w="2180" w:type="dxa"/>
            <w:vMerge w:val="continue"/>
            <w:vAlign w:val="center"/>
          </w:tcPr>
          <w:p>
            <w:pPr>
              <w:widowControl/>
              <w:jc w:val="left"/>
              <w:rPr>
                <w:rFonts w:ascii="Times New Roman" w:hAnsi="Times New Roman"/>
                <w:kern w:val="0"/>
                <w:sz w:val="21"/>
                <w:szCs w:val="21"/>
              </w:rPr>
            </w:pPr>
          </w:p>
        </w:tc>
        <w:tc>
          <w:tcPr>
            <w:tcW w:w="1643" w:type="dxa"/>
            <w:vMerge w:val="continue"/>
            <w:vAlign w:val="center"/>
          </w:tcPr>
          <w:p>
            <w:pPr>
              <w:widowControl/>
              <w:jc w:val="left"/>
              <w:rPr>
                <w:rFonts w:ascii="Times New Roman" w:hAnsi="Times New Roman"/>
                <w:kern w:val="0"/>
                <w:sz w:val="21"/>
                <w:szCs w:val="21"/>
              </w:rPr>
            </w:pPr>
          </w:p>
        </w:tc>
        <w:tc>
          <w:tcPr>
            <w:tcW w:w="1643" w:type="dxa"/>
            <w:vMerge w:val="continue"/>
            <w:vAlign w:val="center"/>
          </w:tcPr>
          <w:p>
            <w:pPr>
              <w:widowControl/>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其日格（距奎腾沟工业场地2436m）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0.198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0.937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3.000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敖尔给乎村（距奎腾沟工业场地1964m）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0.194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0.916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2.930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苏布尔噶一队（距苏布尔噶工业场地953m）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0.393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1.850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5.930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5.93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苏布尔噶嘎查（距苏布尔噶工业场地2473m）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0.248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1.170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3.740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3.74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木呼尔敖包村（位于壕赖苏工业场地右侧，部分位于工业场地内部）</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0.627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2.960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1.97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9.470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9.47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木呼尔敖包六队（壕赖苏工业场地西南侧748m）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0.306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1.450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4.620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4.62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哈达图淖尔二队（纳林希里工业场地西南侧418m）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0.388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1.830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5.860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5.86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哈达图淖尔四队（纳林希里工业场地东北侧726m）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0.321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1.520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4.850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4.85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红庆河镇（纳林希里工业场地西侧2050m）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0.241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1.140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3.650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3.65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小乌兰敖包（位于勘查区，距苏布尔噶工业场地5466m）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0.120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0.568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1.820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1.82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遗鸥自然保护区（奎腾沟工业场地东北侧）6083m</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0.110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0.517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1.650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1.65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bCs/>
                <w:sz w:val="21"/>
                <w:szCs w:val="21"/>
              </w:rPr>
              <w:t>以壕赖苏井田装车站为原点（0，0），最大落地点为（X=4690.14，Y=-5792.83）处</w:t>
            </w: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0.088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4.167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2.78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9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180" w:type="dxa"/>
            <w:shd w:val="clear" w:color="auto" w:fill="auto"/>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 xml:space="preserve">13.331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13.33</w:t>
            </w:r>
          </w:p>
        </w:tc>
      </w:tr>
    </w:tbl>
    <w:p>
      <w:pPr>
        <w:adjustRightInd w:val="0"/>
        <w:snapToGrid w:val="0"/>
        <w:spacing w:line="440" w:lineRule="exact"/>
        <w:ind w:firstLine="480" w:firstLineChars="200"/>
        <w:rPr>
          <w:rFonts w:ascii="Times New Roman" w:hAnsi="Times New Roman"/>
        </w:rPr>
      </w:pPr>
      <w:r>
        <w:rPr>
          <w:rFonts w:ascii="Times New Roman" w:hAnsi="Times New Roman"/>
        </w:rPr>
        <w:t>根据上述预测，主要关心居民点各预测因子的日最大浓度值均未超过《环境空气质量标准》（GB3095-2012）中日均浓度二级标准，遗鸥自然保护区各预测因子的日最大浓度值未超过（GB3095-2012）中日均浓度一级标准。</w:t>
      </w:r>
    </w:p>
    <w:p>
      <w:pPr>
        <w:widowControl/>
        <w:spacing w:line="440" w:lineRule="exact"/>
        <w:ind w:firstLine="480" w:firstLineChars="200"/>
        <w:rPr>
          <w:rFonts w:ascii="Times New Roman" w:hAnsi="Times New Roman"/>
          <w:kern w:val="0"/>
        </w:rPr>
      </w:pPr>
      <w:r>
        <w:rPr>
          <w:rFonts w:ascii="Times New Roman" w:hAnsi="Times New Roman"/>
          <w:kern w:val="0"/>
        </w:rPr>
        <w:t>（3）长期气象条件对环境的影响</w:t>
      </w:r>
    </w:p>
    <w:p>
      <w:pPr>
        <w:adjustRightInd w:val="0"/>
        <w:snapToGrid w:val="0"/>
        <w:spacing w:line="440" w:lineRule="exact"/>
        <w:ind w:firstLine="480" w:firstLineChars="200"/>
        <w:rPr>
          <w:rFonts w:ascii="Times New Roman" w:hAnsi="Times New Roman"/>
          <w:kern w:val="0"/>
        </w:rPr>
      </w:pPr>
      <w:r>
        <w:rPr>
          <w:rFonts w:ascii="Times New Roman" w:hAnsi="Times New Roman"/>
          <w:kern w:val="0"/>
        </w:rPr>
        <w:t>矿区大气污染物在</w:t>
      </w:r>
      <w:r>
        <w:rPr>
          <w:rFonts w:ascii="Times New Roman" w:hAnsi="Times New Roman"/>
        </w:rPr>
        <w:t>主要关心点</w:t>
      </w:r>
      <w:r>
        <w:rPr>
          <w:rFonts w:ascii="Times New Roman" w:hAnsi="Times New Roman"/>
          <w:kern w:val="0"/>
        </w:rPr>
        <w:t>及区域年平均浓度值见表5.5-6，年平均浓度分布见图5.5-8-5.5-10。</w:t>
      </w:r>
    </w:p>
    <w:p>
      <w:pPr>
        <w:adjustRightInd w:val="0"/>
        <w:snapToGrid w:val="0"/>
        <w:spacing w:line="440" w:lineRule="exact"/>
        <w:jc w:val="center"/>
        <w:rPr>
          <w:rFonts w:ascii="Times New Roman" w:hAnsi="Times New Roman"/>
          <w:b/>
        </w:rPr>
      </w:pPr>
      <w:r>
        <w:rPr>
          <w:rFonts w:ascii="Times New Roman" w:hAnsi="Times New Roman"/>
          <w:b/>
        </w:rPr>
        <w:t>主要关心点及区域年均浓度预测结果</w:t>
      </w:r>
    </w:p>
    <w:p>
      <w:pPr>
        <w:adjustRightInd w:val="0"/>
        <w:snapToGrid w:val="0"/>
        <w:spacing w:line="440" w:lineRule="exact"/>
        <w:outlineLvl w:val="4"/>
        <w:rPr>
          <w:rFonts w:ascii="Times New Roman" w:hAnsi="Times New Roman"/>
          <w:kern w:val="0"/>
        </w:rPr>
      </w:pPr>
      <w:r>
        <w:rPr>
          <w:rFonts w:ascii="Times New Roman" w:hAnsi="Times New Roman"/>
        </w:rPr>
        <w:t>表5.5-6</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3"/>
        <w:gridCol w:w="1095"/>
        <w:gridCol w:w="2083"/>
        <w:gridCol w:w="1643"/>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82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关心点</w:t>
            </w:r>
          </w:p>
        </w:tc>
        <w:tc>
          <w:tcPr>
            <w:tcW w:w="1095"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预测</w:t>
            </w:r>
          </w:p>
          <w:p>
            <w:pPr>
              <w:widowControl/>
              <w:jc w:val="center"/>
              <w:rPr>
                <w:rFonts w:ascii="Times New Roman" w:hAnsi="Times New Roman"/>
                <w:kern w:val="0"/>
                <w:sz w:val="21"/>
                <w:szCs w:val="21"/>
              </w:rPr>
            </w:pPr>
            <w:r>
              <w:rPr>
                <w:rFonts w:ascii="Times New Roman" w:hAnsi="Times New Roman"/>
                <w:kern w:val="0"/>
                <w:sz w:val="21"/>
                <w:szCs w:val="21"/>
              </w:rPr>
              <w:t>因子</w:t>
            </w:r>
          </w:p>
        </w:tc>
        <w:tc>
          <w:tcPr>
            <w:tcW w:w="208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日最大浓度贡</w:t>
            </w:r>
          </w:p>
          <w:p>
            <w:pPr>
              <w:widowControl/>
              <w:jc w:val="center"/>
              <w:rPr>
                <w:rFonts w:ascii="Times New Roman" w:hAnsi="Times New Roman"/>
                <w:kern w:val="0"/>
                <w:sz w:val="21"/>
                <w:szCs w:val="21"/>
              </w:rPr>
            </w:pPr>
            <w:r>
              <w:rPr>
                <w:rFonts w:ascii="Times New Roman" w:hAnsi="Times New Roman"/>
                <w:kern w:val="0"/>
                <w:sz w:val="21"/>
                <w:szCs w:val="21"/>
              </w:rPr>
              <w:t>献值（</w:t>
            </w:r>
            <w:r>
              <w:rPr>
                <w:rFonts w:ascii="Times New Roman" w:hAnsi="Times New Roman"/>
                <w:szCs w:val="21"/>
              </w:rPr>
              <w:t>μ</w:t>
            </w:r>
            <w:r>
              <w:rPr>
                <w:rFonts w:ascii="Times New Roman" w:hAnsi="Times New Roman"/>
                <w:kern w:val="0"/>
                <w:sz w:val="21"/>
                <w:szCs w:val="21"/>
              </w:rPr>
              <w:t>g/m</w:t>
            </w:r>
            <w:r>
              <w:rPr>
                <w:rFonts w:ascii="Times New Roman" w:hAnsi="Times New Roman"/>
                <w:kern w:val="0"/>
                <w:sz w:val="21"/>
                <w:szCs w:val="21"/>
                <w:vertAlign w:val="superscript"/>
              </w:rPr>
              <w:t>3</w:t>
            </w:r>
            <w:r>
              <w:rPr>
                <w:rFonts w:ascii="Times New Roman" w:hAnsi="Times New Roman"/>
                <w:kern w:val="0"/>
                <w:sz w:val="21"/>
                <w:szCs w:val="21"/>
              </w:rPr>
              <w:t>）</w:t>
            </w:r>
          </w:p>
        </w:tc>
        <w:tc>
          <w:tcPr>
            <w:tcW w:w="164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sz w:val="21"/>
                <w:szCs w:val="21"/>
              </w:rPr>
              <w:t>环境空气标准（</w:t>
            </w:r>
            <w:r>
              <w:rPr>
                <w:rFonts w:ascii="Times New Roman" w:hAnsi="Times New Roman"/>
                <w:szCs w:val="21"/>
              </w:rPr>
              <w:t>μ</w:t>
            </w:r>
            <w:r>
              <w:rPr>
                <w:rFonts w:ascii="Times New Roman" w:hAnsi="Times New Roman"/>
                <w:sz w:val="21"/>
                <w:szCs w:val="21"/>
              </w:rPr>
              <w:t>g/m</w:t>
            </w:r>
            <w:r>
              <w:rPr>
                <w:rFonts w:ascii="Times New Roman" w:hAnsi="Times New Roman"/>
                <w:sz w:val="21"/>
                <w:szCs w:val="21"/>
                <w:vertAlign w:val="superscript"/>
              </w:rPr>
              <w:t>3</w:t>
            </w:r>
            <w:r>
              <w:rPr>
                <w:rFonts w:ascii="Times New Roman" w:hAnsi="Times New Roman"/>
                <w:sz w:val="21"/>
                <w:szCs w:val="21"/>
              </w:rPr>
              <w:t>）</w:t>
            </w:r>
          </w:p>
        </w:tc>
        <w:tc>
          <w:tcPr>
            <w:tcW w:w="1643" w:type="dxa"/>
            <w:vMerge w:val="restart"/>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占标准比例</w:t>
            </w:r>
          </w:p>
          <w:p>
            <w:pPr>
              <w:widowControl/>
              <w:jc w:val="center"/>
              <w:rPr>
                <w:rFonts w:ascii="Times New Roman" w:hAnsi="Times New Roman"/>
                <w:kern w:val="0"/>
                <w:sz w:val="21"/>
                <w:szCs w:val="21"/>
              </w:rPr>
            </w:pPr>
            <w:r>
              <w:rPr>
                <w:rFonts w:ascii="Times New Roman" w:hAnsi="Times New Roman"/>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823" w:type="dxa"/>
            <w:vMerge w:val="continue"/>
            <w:vAlign w:val="center"/>
          </w:tcPr>
          <w:p>
            <w:pPr>
              <w:widowControl/>
              <w:jc w:val="left"/>
              <w:rPr>
                <w:rFonts w:ascii="Times New Roman" w:hAnsi="Times New Roman"/>
                <w:kern w:val="0"/>
                <w:sz w:val="21"/>
                <w:szCs w:val="21"/>
              </w:rPr>
            </w:pPr>
          </w:p>
        </w:tc>
        <w:tc>
          <w:tcPr>
            <w:tcW w:w="1095" w:type="dxa"/>
            <w:vMerge w:val="continue"/>
            <w:vAlign w:val="center"/>
          </w:tcPr>
          <w:p>
            <w:pPr>
              <w:widowControl/>
              <w:jc w:val="left"/>
              <w:rPr>
                <w:rFonts w:ascii="Times New Roman" w:hAnsi="Times New Roman"/>
                <w:kern w:val="0"/>
                <w:sz w:val="21"/>
                <w:szCs w:val="21"/>
              </w:rPr>
            </w:pPr>
          </w:p>
        </w:tc>
        <w:tc>
          <w:tcPr>
            <w:tcW w:w="2083" w:type="dxa"/>
            <w:vMerge w:val="continue"/>
            <w:vAlign w:val="center"/>
          </w:tcPr>
          <w:p>
            <w:pPr>
              <w:widowControl/>
              <w:jc w:val="left"/>
              <w:rPr>
                <w:rFonts w:ascii="Times New Roman" w:hAnsi="Times New Roman"/>
                <w:kern w:val="0"/>
                <w:sz w:val="21"/>
                <w:szCs w:val="21"/>
              </w:rPr>
            </w:pPr>
          </w:p>
        </w:tc>
        <w:tc>
          <w:tcPr>
            <w:tcW w:w="1643" w:type="dxa"/>
            <w:vMerge w:val="continue"/>
            <w:vAlign w:val="center"/>
          </w:tcPr>
          <w:p>
            <w:pPr>
              <w:widowControl/>
              <w:jc w:val="left"/>
              <w:rPr>
                <w:rFonts w:ascii="Times New Roman" w:hAnsi="Times New Roman"/>
                <w:kern w:val="0"/>
                <w:sz w:val="21"/>
                <w:szCs w:val="21"/>
              </w:rPr>
            </w:pPr>
          </w:p>
        </w:tc>
        <w:tc>
          <w:tcPr>
            <w:tcW w:w="1643" w:type="dxa"/>
            <w:vMerge w:val="continue"/>
            <w:vAlign w:val="center"/>
          </w:tcPr>
          <w:p>
            <w:pPr>
              <w:widowControl/>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其日格（距奎腾沟工业场地2436m）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0.034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0.159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0.509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敖尔给乎村（距奎腾沟工业场地1964m）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0.050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0.236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0.755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1.51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苏布尔噶一队（距苏布尔噶工业场地953m）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0.074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0.350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1.120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苏布尔噶嘎查（距苏布尔噶工业场地2473m）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0.044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0.207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0.663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1.33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木呼尔敖包村（位于壕赖苏工业场地右侧，部分位于工业场地内部）</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0.092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0.432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1.380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2.76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木呼尔敖包六队（壕赖苏工业场地西南侧748m）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0.065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0.306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0.979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1.96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哈达图淖尔二队（纳林希里工业场地西南侧418m）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0.062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0.294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0.941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1.88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哈达图淖尔四队（纳林希里工业场地东北侧726m）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0.057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0.271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0.876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红庆河镇（纳林希里工业场地西侧2050m）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0.041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0.193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0.618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小乌兰敖包（位于勘查区，距苏布尔噶工业场地5466m）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0.031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0.146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0.466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kern w:val="0"/>
                <w:sz w:val="21"/>
                <w:szCs w:val="21"/>
              </w:rPr>
              <w:t>遗鸥自然保护区（奎腾沟工业场地东北侧）6083m</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0.022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40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0.103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0.330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rPr>
              <w:t>0.66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restart"/>
            <w:shd w:val="clear" w:color="auto" w:fill="auto"/>
            <w:vAlign w:val="center"/>
          </w:tcPr>
          <w:p>
            <w:pPr>
              <w:widowControl/>
              <w:jc w:val="left"/>
              <w:rPr>
                <w:rFonts w:ascii="Times New Roman" w:hAnsi="Times New Roman"/>
                <w:kern w:val="0"/>
                <w:sz w:val="21"/>
                <w:szCs w:val="21"/>
              </w:rPr>
            </w:pPr>
            <w:r>
              <w:rPr>
                <w:rFonts w:ascii="Times New Roman" w:hAnsi="Times New Roman"/>
                <w:bCs/>
                <w:sz w:val="21"/>
                <w:szCs w:val="21"/>
              </w:rPr>
              <w:t>以壕赖苏井田装车站为原点（0，0），最大落地点为（X=4526.88，Y=-5262.22）处</w:t>
            </w: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PM</w:t>
            </w:r>
            <w:r>
              <w:rPr>
                <w:rFonts w:ascii="Times New Roman" w:hAnsi="Times New Roman"/>
                <w:kern w:val="0"/>
                <w:sz w:val="21"/>
                <w:szCs w:val="21"/>
                <w:vertAlign w:val="subscript"/>
              </w:rPr>
              <w:t>10</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0.128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70</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SO</w:t>
            </w:r>
            <w:r>
              <w:rPr>
                <w:rFonts w:ascii="Times New Roman" w:hAnsi="Times New Roman"/>
                <w:kern w:val="0"/>
                <w:sz w:val="21"/>
                <w:szCs w:val="21"/>
                <w:vertAlign w:val="subscript"/>
              </w:rPr>
              <w:t>2</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0.602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60</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823" w:type="dxa"/>
            <w:vMerge w:val="continue"/>
            <w:shd w:val="clear" w:color="auto" w:fill="auto"/>
            <w:vAlign w:val="center"/>
          </w:tcPr>
          <w:p>
            <w:pPr>
              <w:widowControl/>
              <w:jc w:val="left"/>
              <w:rPr>
                <w:rFonts w:ascii="Times New Roman" w:hAnsi="Times New Roman"/>
                <w:kern w:val="0"/>
                <w:sz w:val="21"/>
                <w:szCs w:val="21"/>
              </w:rPr>
            </w:pPr>
          </w:p>
        </w:tc>
        <w:tc>
          <w:tcPr>
            <w:tcW w:w="1095"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NOx</w:t>
            </w:r>
          </w:p>
        </w:tc>
        <w:tc>
          <w:tcPr>
            <w:tcW w:w="2083" w:type="dxa"/>
            <w:shd w:val="clear" w:color="auto" w:fill="auto"/>
            <w:vAlign w:val="bottom"/>
          </w:tcPr>
          <w:p>
            <w:pPr>
              <w:widowControl/>
              <w:jc w:val="center"/>
              <w:rPr>
                <w:rFonts w:ascii="Times New Roman" w:hAnsi="Times New Roman"/>
                <w:kern w:val="0"/>
                <w:sz w:val="21"/>
                <w:szCs w:val="21"/>
              </w:rPr>
            </w:pPr>
            <w:r>
              <w:rPr>
                <w:rFonts w:ascii="Times New Roman" w:hAnsi="Times New Roman"/>
                <w:kern w:val="0"/>
                <w:sz w:val="21"/>
                <w:szCs w:val="21"/>
                <w:lang w:bidi="ar"/>
              </w:rPr>
              <w:t xml:space="preserve">1.927 </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50</w:t>
            </w:r>
          </w:p>
        </w:tc>
        <w:tc>
          <w:tcPr>
            <w:tcW w:w="1643"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3.85</w:t>
            </w:r>
          </w:p>
        </w:tc>
      </w:tr>
    </w:tbl>
    <w:p>
      <w:pPr>
        <w:adjustRightInd w:val="0"/>
        <w:snapToGrid w:val="0"/>
        <w:spacing w:line="440" w:lineRule="exact"/>
        <w:ind w:firstLine="480" w:firstLineChars="200"/>
        <w:rPr>
          <w:rFonts w:ascii="Times New Roman" w:hAnsi="Times New Roman"/>
        </w:rPr>
      </w:pPr>
      <w:r>
        <w:rPr>
          <w:rFonts w:ascii="Times New Roman" w:hAnsi="Times New Roman"/>
          <w:kern w:val="0"/>
        </w:rPr>
        <w:t>由表5.5-6可知，</w:t>
      </w:r>
      <w:r>
        <w:rPr>
          <w:rFonts w:ascii="Times New Roman" w:hAnsi="Times New Roman"/>
        </w:rPr>
        <w:t>根据上述预测，主要关心居民点各预测因子的年均浓度值均未超过（GB3095-2012）中年均浓度二级标准，</w:t>
      </w:r>
      <w:r>
        <w:rPr>
          <w:rFonts w:ascii="Times New Roman" w:hAnsi="Times New Roman"/>
          <w:kern w:val="0"/>
          <w:szCs w:val="24"/>
        </w:rPr>
        <w:t>PM</w:t>
      </w:r>
      <w:r>
        <w:rPr>
          <w:rFonts w:ascii="Times New Roman" w:hAnsi="Times New Roman"/>
          <w:kern w:val="0"/>
          <w:szCs w:val="24"/>
          <w:vertAlign w:val="subscript"/>
        </w:rPr>
        <w:t>10</w:t>
      </w:r>
      <w:r>
        <w:rPr>
          <w:rFonts w:ascii="Times New Roman" w:hAnsi="Times New Roman"/>
          <w:kern w:val="0"/>
          <w:szCs w:val="24"/>
        </w:rPr>
        <w:t>年均浓度介于0.022-0.092</w:t>
      </w:r>
      <w:r>
        <w:rPr>
          <w:rFonts w:ascii="Times New Roman" w:hAnsi="Times New Roman"/>
          <w:szCs w:val="21"/>
        </w:rPr>
        <w:t>μ</w:t>
      </w:r>
      <w:r>
        <w:rPr>
          <w:rFonts w:ascii="Times New Roman" w:hAnsi="Times New Roman"/>
          <w:kern w:val="0"/>
          <w:szCs w:val="24"/>
        </w:rPr>
        <w:t>g/m</w:t>
      </w:r>
      <w:r>
        <w:rPr>
          <w:rFonts w:ascii="Times New Roman" w:hAnsi="Times New Roman"/>
          <w:kern w:val="0"/>
          <w:szCs w:val="24"/>
          <w:vertAlign w:val="superscript"/>
        </w:rPr>
        <w:t>3</w:t>
      </w:r>
      <w:r>
        <w:rPr>
          <w:rFonts w:ascii="Times New Roman" w:hAnsi="Times New Roman"/>
          <w:kern w:val="0"/>
          <w:szCs w:val="24"/>
        </w:rPr>
        <w:t>之间</w:t>
      </w:r>
      <w:r>
        <w:rPr>
          <w:rFonts w:ascii="Times New Roman" w:hAnsi="Times New Roman"/>
          <w:kern w:val="0"/>
          <w:sz w:val="21"/>
          <w:szCs w:val="21"/>
        </w:rPr>
        <w:t>，</w:t>
      </w:r>
      <w:r>
        <w:rPr>
          <w:rFonts w:ascii="Times New Roman" w:hAnsi="Times New Roman"/>
          <w:kern w:val="0"/>
          <w:szCs w:val="24"/>
        </w:rPr>
        <w:t>SO</w:t>
      </w:r>
      <w:r>
        <w:rPr>
          <w:rFonts w:ascii="Times New Roman" w:hAnsi="Times New Roman"/>
          <w:kern w:val="0"/>
          <w:szCs w:val="24"/>
          <w:vertAlign w:val="subscript"/>
        </w:rPr>
        <w:t>2</w:t>
      </w:r>
      <w:r>
        <w:rPr>
          <w:rFonts w:ascii="Times New Roman" w:hAnsi="Times New Roman"/>
          <w:kern w:val="0"/>
          <w:szCs w:val="24"/>
        </w:rPr>
        <w:t>年均浓度介于0.103-0.432</w:t>
      </w:r>
      <w:r>
        <w:rPr>
          <w:rFonts w:ascii="Times New Roman" w:hAnsi="Times New Roman"/>
          <w:szCs w:val="21"/>
        </w:rPr>
        <w:t>μ</w:t>
      </w:r>
      <w:r>
        <w:rPr>
          <w:rFonts w:ascii="Times New Roman" w:hAnsi="Times New Roman"/>
          <w:kern w:val="0"/>
          <w:szCs w:val="24"/>
        </w:rPr>
        <w:t>g/m</w:t>
      </w:r>
      <w:r>
        <w:rPr>
          <w:rFonts w:ascii="Times New Roman" w:hAnsi="Times New Roman"/>
          <w:kern w:val="0"/>
          <w:szCs w:val="24"/>
          <w:vertAlign w:val="superscript"/>
        </w:rPr>
        <w:t>3</w:t>
      </w:r>
      <w:r>
        <w:rPr>
          <w:rFonts w:ascii="Times New Roman" w:hAnsi="Times New Roman"/>
          <w:kern w:val="0"/>
          <w:szCs w:val="24"/>
        </w:rPr>
        <w:t>之间，NOx年均介于0.33-1.38</w:t>
      </w:r>
      <w:r>
        <w:rPr>
          <w:rFonts w:ascii="Times New Roman" w:hAnsi="Times New Roman"/>
          <w:szCs w:val="21"/>
        </w:rPr>
        <w:t>μ</w:t>
      </w:r>
      <w:r>
        <w:rPr>
          <w:rFonts w:ascii="Times New Roman" w:hAnsi="Times New Roman"/>
          <w:kern w:val="0"/>
          <w:szCs w:val="24"/>
        </w:rPr>
        <w:t>g/m</w:t>
      </w:r>
      <w:r>
        <w:rPr>
          <w:rFonts w:ascii="Times New Roman" w:hAnsi="Times New Roman"/>
          <w:kern w:val="0"/>
          <w:szCs w:val="24"/>
          <w:vertAlign w:val="superscript"/>
        </w:rPr>
        <w:t>3</w:t>
      </w:r>
      <w:r>
        <w:rPr>
          <w:rFonts w:ascii="Times New Roman" w:hAnsi="Times New Roman"/>
          <w:kern w:val="0"/>
          <w:szCs w:val="24"/>
        </w:rPr>
        <w:t>之间，各因子</w:t>
      </w:r>
      <w:r>
        <w:rPr>
          <w:rFonts w:ascii="Times New Roman" w:hAnsi="Times New Roman"/>
        </w:rPr>
        <w:t>占标率不超过30%。遗鸥自然保护区各预测因子的小时最大浓度值未超过（GB3095-2012）中年均浓度一级标准，占标率不超过10%，且位置远离最大浓度贡献值的位置，项目大气污染源对遗鸥自然保护区的空气质量影响较小。</w:t>
      </w:r>
    </w:p>
    <w:p>
      <w:pPr>
        <w:adjustRightInd w:val="0"/>
        <w:snapToGrid w:val="0"/>
        <w:spacing w:line="440" w:lineRule="exact"/>
        <w:ind w:firstLine="480" w:firstLineChars="200"/>
        <w:rPr>
          <w:rFonts w:ascii="Times New Roman" w:hAnsi="Times New Roman"/>
          <w:kern w:val="0"/>
        </w:rPr>
      </w:pPr>
      <w:r>
        <w:rPr>
          <w:rFonts w:ascii="Times New Roman" w:hAnsi="Times New Roman"/>
        </w:rPr>
        <w:t>综上，总体而言，矿区规划实施后，大气污染物</w:t>
      </w:r>
      <w:r>
        <w:rPr>
          <w:rFonts w:ascii="Times New Roman" w:hAnsi="Times New Roman"/>
          <w:kern w:val="0"/>
        </w:rPr>
        <w:t>SO</w:t>
      </w:r>
      <w:r>
        <w:rPr>
          <w:rFonts w:ascii="Times New Roman" w:hAnsi="Times New Roman"/>
          <w:kern w:val="0"/>
          <w:vertAlign w:val="subscript"/>
        </w:rPr>
        <w:t>2</w:t>
      </w:r>
      <w:r>
        <w:rPr>
          <w:rFonts w:ascii="Times New Roman" w:hAnsi="Times New Roman"/>
          <w:kern w:val="0"/>
        </w:rPr>
        <w:t>、NO</w:t>
      </w:r>
      <w:r>
        <w:rPr>
          <w:rFonts w:ascii="Times New Roman" w:hAnsi="Times New Roman"/>
          <w:kern w:val="0"/>
          <w:vertAlign w:val="subscript"/>
        </w:rPr>
        <w:t>2</w:t>
      </w:r>
      <w:r>
        <w:rPr>
          <w:rFonts w:ascii="Times New Roman" w:hAnsi="Times New Roman"/>
          <w:kern w:val="0"/>
        </w:rPr>
        <w:t>、PM</w:t>
      </w:r>
      <w:r>
        <w:rPr>
          <w:rFonts w:ascii="Times New Roman" w:hAnsi="Times New Roman"/>
          <w:kern w:val="0"/>
          <w:vertAlign w:val="subscript"/>
        </w:rPr>
        <w:t>10</w:t>
      </w:r>
      <w:r>
        <w:rPr>
          <w:rFonts w:ascii="Times New Roman" w:hAnsi="Times New Roman"/>
        </w:rPr>
        <w:t>对关心点和评价区环境空气质量的影响在其可承受范围之内。</w:t>
      </w:r>
    </w:p>
    <w:p>
      <w:pPr>
        <w:keepNext/>
        <w:keepLines/>
        <w:adjustRightInd w:val="0"/>
        <w:snapToGrid w:val="0"/>
        <w:spacing w:line="440" w:lineRule="exact"/>
        <w:outlineLvl w:val="2"/>
        <w:rPr>
          <w:rFonts w:ascii="Times New Roman" w:hAnsi="Times New Roman"/>
          <w:b/>
        </w:rPr>
      </w:pPr>
      <w:r>
        <w:rPr>
          <w:rFonts w:ascii="Times New Roman" w:hAnsi="Times New Roman"/>
          <w:b/>
        </w:rPr>
        <w:t>5.5.3 煤炭转储运和筛分过程扬尘对环境空气的影响分析</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对于煤炭场内储存和输送，只要选择合理的储存和输送方式和必要的治理措施，其扬尘对环境空气的影响可有效控制，一般情况下对大气环境的影响较小。矿区煤炭储存、输送与转载扬尘对环境空气的影响分析结果见表5.5-7。</w:t>
      </w:r>
    </w:p>
    <w:p>
      <w:pPr>
        <w:tabs>
          <w:tab w:val="left" w:pos="6840"/>
        </w:tabs>
        <w:topLinePunct/>
        <w:adjustRightInd w:val="0"/>
        <w:snapToGrid w:val="0"/>
        <w:spacing w:line="440" w:lineRule="exact"/>
        <w:jc w:val="center"/>
        <w:rPr>
          <w:rFonts w:ascii="Times New Roman" w:hAnsi="Times New Roman"/>
          <w:b/>
          <w:kern w:val="24"/>
          <w:szCs w:val="24"/>
        </w:rPr>
      </w:pPr>
      <w:r>
        <w:rPr>
          <w:rFonts w:ascii="Times New Roman" w:hAnsi="Times New Roman"/>
          <w:b/>
          <w:kern w:val="24"/>
          <w:szCs w:val="24"/>
        </w:rPr>
        <w:t>煤炭转储运和筛分过程扬尘环境空气影响分析表</w:t>
      </w:r>
    </w:p>
    <w:p>
      <w:pPr>
        <w:widowControl/>
        <w:adjustRightInd w:val="0"/>
        <w:snapToGrid w:val="0"/>
        <w:spacing w:line="440" w:lineRule="exact"/>
        <w:outlineLvl w:val="4"/>
        <w:rPr>
          <w:rFonts w:ascii="Times New Roman" w:hAnsi="Times New Roman"/>
          <w:kern w:val="0"/>
          <w:szCs w:val="24"/>
        </w:rPr>
      </w:pPr>
      <w:r>
        <w:rPr>
          <w:rFonts w:ascii="Times New Roman" w:hAnsi="Times New Roman"/>
          <w:kern w:val="0"/>
          <w:szCs w:val="24"/>
        </w:rPr>
        <w:t>表5.5-7</w:t>
      </w:r>
    </w:p>
    <w:tbl>
      <w:tblPr>
        <w:tblStyle w:val="59"/>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57" w:type="dxa"/>
          <w:bottom w:w="85" w:type="dxa"/>
          <w:right w:w="57" w:type="dxa"/>
        </w:tblCellMar>
      </w:tblPr>
      <w:tblGrid>
        <w:gridCol w:w="1475"/>
        <w:gridCol w:w="2570"/>
        <w:gridCol w:w="2498"/>
        <w:gridCol w:w="2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397" w:hRule="atLeast"/>
          <w:tblHeader/>
          <w:jc w:val="center"/>
        </w:trPr>
        <w:tc>
          <w:tcPr>
            <w:tcW w:w="1475"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类别</w:t>
            </w:r>
          </w:p>
        </w:tc>
        <w:tc>
          <w:tcPr>
            <w:tcW w:w="2570"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方式与特征</w:t>
            </w:r>
          </w:p>
        </w:tc>
        <w:tc>
          <w:tcPr>
            <w:tcW w:w="2498"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治理措施</w:t>
            </w:r>
          </w:p>
        </w:tc>
        <w:tc>
          <w:tcPr>
            <w:tcW w:w="2517"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影响分析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397" w:hRule="atLeast"/>
          <w:tblHeader/>
          <w:jc w:val="center"/>
        </w:trPr>
        <w:tc>
          <w:tcPr>
            <w:tcW w:w="1475"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煤炭储存</w:t>
            </w:r>
          </w:p>
        </w:tc>
        <w:tc>
          <w:tcPr>
            <w:tcW w:w="2570"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原煤仓、产品仓、矸石仓均为全封闭结构，且外运及时</w:t>
            </w:r>
          </w:p>
        </w:tc>
        <w:tc>
          <w:tcPr>
            <w:tcW w:w="2498"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全封闭结构</w:t>
            </w:r>
          </w:p>
        </w:tc>
        <w:tc>
          <w:tcPr>
            <w:tcW w:w="2517"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全封闭，对环境空气质量影响轻微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397" w:hRule="atLeast"/>
          <w:tblHeader/>
          <w:jc w:val="center"/>
        </w:trPr>
        <w:tc>
          <w:tcPr>
            <w:tcW w:w="1475"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场内输送</w:t>
            </w:r>
          </w:p>
        </w:tc>
        <w:tc>
          <w:tcPr>
            <w:tcW w:w="2570"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输煤栈桥，胶带输送机输送</w:t>
            </w:r>
          </w:p>
        </w:tc>
        <w:tc>
          <w:tcPr>
            <w:tcW w:w="2498"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采用全封闭结构</w:t>
            </w:r>
          </w:p>
        </w:tc>
        <w:tc>
          <w:tcPr>
            <w:tcW w:w="2517"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全封闭，逸出煤尘很少，对环境影响小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397" w:hRule="atLeast"/>
          <w:tblHeader/>
          <w:jc w:val="center"/>
        </w:trPr>
        <w:tc>
          <w:tcPr>
            <w:tcW w:w="1475"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外运</w:t>
            </w:r>
          </w:p>
        </w:tc>
        <w:tc>
          <w:tcPr>
            <w:tcW w:w="2570"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产品煤通过铁路、汽车外运（加盖苫布）</w:t>
            </w:r>
          </w:p>
        </w:tc>
        <w:tc>
          <w:tcPr>
            <w:tcW w:w="2498"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全封闭结构</w:t>
            </w:r>
          </w:p>
        </w:tc>
        <w:tc>
          <w:tcPr>
            <w:tcW w:w="2517"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全封闭，逸出煤尘很少，对环境影响小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397" w:hRule="atLeast"/>
          <w:tblHeader/>
          <w:jc w:val="center"/>
        </w:trPr>
        <w:tc>
          <w:tcPr>
            <w:tcW w:w="1475"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场外道路（进场道路、排土道路等）</w:t>
            </w:r>
          </w:p>
        </w:tc>
        <w:tc>
          <w:tcPr>
            <w:tcW w:w="2570"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硬化路面、定期清扫、洒水</w:t>
            </w:r>
          </w:p>
        </w:tc>
        <w:tc>
          <w:tcPr>
            <w:tcW w:w="2498" w:type="dxa"/>
            <w:vAlign w:val="center"/>
          </w:tcPr>
          <w:p>
            <w:pPr>
              <w:topLinePunct/>
              <w:adjustRightInd w:val="0"/>
              <w:snapToGrid w:val="0"/>
              <w:spacing w:line="240" w:lineRule="atLeast"/>
              <w:jc w:val="center"/>
              <w:textAlignment w:val="baseline"/>
              <w:rPr>
                <w:rFonts w:ascii="Times New Roman" w:hAnsi="Times New Roman"/>
                <w:kern w:val="24"/>
                <w:sz w:val="21"/>
                <w:szCs w:val="21"/>
              </w:rPr>
            </w:pPr>
            <w:r>
              <w:rPr>
                <w:rFonts w:ascii="Times New Roman" w:hAnsi="Times New Roman"/>
                <w:kern w:val="24"/>
                <w:sz w:val="21"/>
                <w:szCs w:val="21"/>
              </w:rPr>
              <w:t>对场外道路定期洒水和清扫，一般在清扫后洒水，抑尘效率能达90%以上。</w:t>
            </w:r>
          </w:p>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kern w:val="24"/>
                <w:sz w:val="21"/>
                <w:szCs w:val="21"/>
              </w:rPr>
              <w:t>加强对道路的维护，保证其路面处于完好状态，平整完好的路面可以大大减少汽车尾气和扬尘量。</w:t>
            </w:r>
          </w:p>
        </w:tc>
        <w:tc>
          <w:tcPr>
            <w:tcW w:w="2517"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kern w:val="24"/>
                <w:sz w:val="21"/>
                <w:szCs w:val="21"/>
              </w:rPr>
              <w:t>有关试验表明，在矿区道路每天洒水抑尘作业3～4次，其扬尘造成的TSP污染距离可缩小到20～50m范围。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397" w:hRule="atLeast"/>
          <w:tblHeader/>
          <w:jc w:val="center"/>
        </w:trPr>
        <w:tc>
          <w:tcPr>
            <w:tcW w:w="1475"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各转载点和筛分破碎系统</w:t>
            </w:r>
          </w:p>
        </w:tc>
        <w:tc>
          <w:tcPr>
            <w:tcW w:w="2570"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16"/>
              </w:rPr>
              <w:t>设置喷雾洒水装置</w:t>
            </w:r>
          </w:p>
        </w:tc>
        <w:tc>
          <w:tcPr>
            <w:tcW w:w="2498" w:type="dxa"/>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设置喷雾洒水装置，破碎站封闭</w:t>
            </w:r>
          </w:p>
        </w:tc>
        <w:tc>
          <w:tcPr>
            <w:tcW w:w="2517" w:type="dxa"/>
            <w:vMerge w:val="restart"/>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由于采取了综合性降尘措施，粉尘排放量少，对周围环境空气质量影响较小，且影响主要局限在车间周围200m的区域内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397" w:hRule="atLeast"/>
          <w:tblHeader/>
          <w:jc w:val="center"/>
        </w:trPr>
        <w:tc>
          <w:tcPr>
            <w:tcW w:w="1475"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pacing w:val="20"/>
                <w:sz w:val="21"/>
                <w:szCs w:val="21"/>
              </w:rPr>
              <w:t>在分选设备的顶部和易产生粉尘的振动筛处</w:t>
            </w:r>
          </w:p>
        </w:tc>
        <w:tc>
          <w:tcPr>
            <w:tcW w:w="2570" w:type="dxa"/>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pacing w:val="20"/>
                <w:sz w:val="21"/>
                <w:szCs w:val="21"/>
              </w:rPr>
              <w:t>设置吸尘罩，同时使设备始终处于负压状态，确保粉尘不外逸。含尘气体再经旋风除尘器和袋式除尘器除尘</w:t>
            </w:r>
          </w:p>
        </w:tc>
        <w:tc>
          <w:tcPr>
            <w:tcW w:w="2498" w:type="dxa"/>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pacing w:val="20"/>
                <w:sz w:val="21"/>
                <w:szCs w:val="21"/>
              </w:rPr>
              <w:t>粉尘的外排浓度小于50mg/m</w:t>
            </w:r>
            <w:r>
              <w:rPr>
                <w:rFonts w:ascii="Times New Roman" w:hAnsi="Times New Roman"/>
                <w:spacing w:val="20"/>
                <w:sz w:val="21"/>
                <w:szCs w:val="21"/>
                <w:vertAlign w:val="superscript"/>
              </w:rPr>
              <w:t>3</w:t>
            </w:r>
          </w:p>
        </w:tc>
        <w:tc>
          <w:tcPr>
            <w:tcW w:w="2517" w:type="dxa"/>
            <w:vMerge w:val="continue"/>
            <w:vAlign w:val="center"/>
          </w:tcPr>
          <w:p>
            <w:pPr>
              <w:topLinePunct/>
              <w:adjustRightInd w:val="0"/>
              <w:snapToGrid w:val="0"/>
              <w:spacing w:line="240" w:lineRule="atLeast"/>
              <w:jc w:val="center"/>
              <w:textAlignment w:val="baseline"/>
              <w:rPr>
                <w:rFonts w:ascii="Times New Roman" w:hAnsi="Times New Roman"/>
                <w:sz w:val="21"/>
                <w:szCs w:val="21"/>
              </w:rPr>
            </w:pPr>
          </w:p>
        </w:tc>
      </w:tr>
    </w:tbl>
    <w:p>
      <w:pPr>
        <w:adjustRightInd w:val="0"/>
        <w:snapToGrid w:val="0"/>
        <w:spacing w:line="440" w:lineRule="exact"/>
        <w:ind w:firstLine="480"/>
        <w:rPr>
          <w:rFonts w:ascii="Times New Roman" w:hAnsi="Times New Roman"/>
          <w:kern w:val="24"/>
        </w:rPr>
      </w:pPr>
      <w:r>
        <w:rPr>
          <w:rFonts w:ascii="Times New Roman" w:hAnsi="Times New Roman"/>
          <w:kern w:val="24"/>
        </w:rPr>
        <w:t>由上表可以看出，通过采取必要的控制措施，矿区开发所产生的扬尘能够被有效地控制，扬尘对环境的影响甚微。</w:t>
      </w:r>
    </w:p>
    <w:p>
      <w:pPr>
        <w:keepNext/>
        <w:keepLines/>
        <w:adjustRightInd w:val="0"/>
        <w:snapToGrid w:val="0"/>
        <w:spacing w:before="260" w:after="260" w:line="440" w:lineRule="exact"/>
        <w:jc w:val="left"/>
        <w:outlineLvl w:val="1"/>
        <w:rPr>
          <w:rFonts w:ascii="Times New Roman" w:hAnsi="Times New Roman"/>
          <w:b/>
          <w:sz w:val="28"/>
        </w:rPr>
      </w:pPr>
      <w:bookmarkStart w:id="277" w:name="_Toc18838456"/>
      <w:bookmarkStart w:id="278" w:name="_Toc8855"/>
      <w:bookmarkStart w:id="279" w:name="_Toc163441009"/>
      <w:r>
        <w:rPr>
          <w:rFonts w:ascii="Times New Roman" w:hAnsi="Times New Roman"/>
          <w:b/>
          <w:sz w:val="28"/>
        </w:rPr>
        <w:t>5.6声环境影响评价</w:t>
      </w:r>
      <w:bookmarkEnd w:id="277"/>
      <w:bookmarkEnd w:id="278"/>
      <w:bookmarkEnd w:id="279"/>
    </w:p>
    <w:p>
      <w:pPr>
        <w:keepNext/>
        <w:keepLines/>
        <w:adjustRightInd w:val="0"/>
        <w:snapToGrid w:val="0"/>
        <w:spacing w:line="440" w:lineRule="exact"/>
        <w:outlineLvl w:val="2"/>
        <w:rPr>
          <w:rFonts w:ascii="Times New Roman" w:hAnsi="Times New Roman"/>
          <w:b/>
        </w:rPr>
      </w:pPr>
      <w:bookmarkStart w:id="280" w:name="_Toc163441010"/>
      <w:r>
        <w:rPr>
          <w:rFonts w:ascii="Times New Roman" w:hAnsi="Times New Roman"/>
          <w:b/>
        </w:rPr>
        <w:t>5.6.1 运输线路</w:t>
      </w:r>
    </w:p>
    <w:p>
      <w:pPr>
        <w:numPr>
          <w:ilvl w:val="0"/>
          <w:numId w:val="20"/>
        </w:numPr>
        <w:adjustRightInd w:val="0"/>
        <w:snapToGrid w:val="0"/>
        <w:spacing w:line="440" w:lineRule="exact"/>
        <w:ind w:firstLine="480"/>
        <w:rPr>
          <w:rFonts w:ascii="Times New Roman" w:hAnsi="Times New Roman"/>
          <w:kern w:val="0"/>
        </w:rPr>
      </w:pPr>
      <w:r>
        <w:rPr>
          <w:rFonts w:ascii="Times New Roman" w:hAnsi="Times New Roman"/>
          <w:kern w:val="0"/>
        </w:rPr>
        <w:t>铁路</w:t>
      </w:r>
    </w:p>
    <w:p>
      <w:pPr>
        <w:adjustRightInd w:val="0"/>
        <w:snapToGrid w:val="0"/>
        <w:spacing w:line="440" w:lineRule="exact"/>
        <w:ind w:firstLine="482"/>
        <w:rPr>
          <w:rFonts w:ascii="Times New Roman" w:hAnsi="Times New Roman"/>
        </w:rPr>
      </w:pPr>
      <w:r>
        <w:rPr>
          <w:rFonts w:ascii="Times New Roman" w:hAnsi="Times New Roman"/>
        </w:rPr>
        <w:t>纳林希里矿区规划建设1条铁路专用线，全长73.4km。铁路运输活动将对铁路沿线声环境目标影响加重，建设矿井新的铁路专用线，将使得矿区内铁路噪声影响范围扩大，因此评价提出在单个项目评价时要对铁路影响保护目标采取有效的噪声防护措施。</w:t>
      </w:r>
    </w:p>
    <w:p>
      <w:pPr>
        <w:adjustRightInd w:val="0"/>
        <w:snapToGrid w:val="0"/>
        <w:spacing w:line="440" w:lineRule="exact"/>
        <w:ind w:firstLine="480"/>
        <w:rPr>
          <w:rFonts w:ascii="Times New Roman" w:hAnsi="Times New Roman"/>
          <w:kern w:val="0"/>
        </w:rPr>
      </w:pPr>
      <w:r>
        <w:rPr>
          <w:rFonts w:ascii="Times New Roman" w:hAnsi="Times New Roman"/>
          <w:kern w:val="0"/>
        </w:rPr>
        <w:t>（2）公路</w:t>
      </w:r>
    </w:p>
    <w:p>
      <w:pPr>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公路运输噪声与运输设备、道路路面路况、载重量大小、运行速度等因素有关。一般情况下，运输车辆状况不佳、道路路面不良、超载、运行速度高、爬坡时的噪声较大，影响范围也较大。根据现有矿井煤炭运输道路类比，矿区公路运输一般影响距离在200m以内。因此，规划方案实施时应“以避让为主、防治为辅”，</w:t>
      </w:r>
      <w:r>
        <w:rPr>
          <w:rFonts w:ascii="Times New Roman" w:hAnsi="Times New Roman"/>
          <w:kern w:val="0"/>
        </w:rPr>
        <w:t>将道路两侧200m作为道路卫生防护距离，</w:t>
      </w:r>
      <w:r>
        <w:rPr>
          <w:rFonts w:ascii="Times New Roman" w:hAnsi="Times New Roman"/>
          <w:spacing w:val="3"/>
          <w:kern w:val="0"/>
        </w:rPr>
        <w:t>合理选择道路经过</w:t>
      </w:r>
      <w:r>
        <w:rPr>
          <w:rFonts w:ascii="Times New Roman" w:hAnsi="Times New Roman"/>
          <w:kern w:val="0"/>
        </w:rPr>
        <w:t>的线路，尽量减少受噪声影响的人群数量。在无法避绕噪声敏感区时，应在道路旁设置隔声墙措施。同时在运输工程中要</w:t>
      </w:r>
      <w:r>
        <w:rPr>
          <w:rFonts w:ascii="Times New Roman" w:hAnsi="Times New Roman"/>
          <w:spacing w:val="3"/>
          <w:kern w:val="0"/>
        </w:rPr>
        <w:t>限制“超载”、维护道路路面、营造道路防护林等都是降低公路运输噪声的有效措施。矿区规划铁路经过红庆河镇等噪声敏感区，预测采取以上措施后可有效</w:t>
      </w:r>
      <w:r>
        <w:rPr>
          <w:rFonts w:ascii="Times New Roman" w:hAnsi="Times New Roman"/>
          <w:kern w:val="0"/>
        </w:rPr>
        <w:t>避免声污染事件的发生。</w:t>
      </w:r>
    </w:p>
    <w:p>
      <w:pPr>
        <w:keepNext/>
        <w:keepLines/>
        <w:adjustRightInd w:val="0"/>
        <w:snapToGrid w:val="0"/>
        <w:spacing w:line="440" w:lineRule="exact"/>
        <w:outlineLvl w:val="2"/>
        <w:rPr>
          <w:rFonts w:ascii="Times New Roman" w:hAnsi="Times New Roman"/>
          <w:b/>
        </w:rPr>
      </w:pPr>
      <w:r>
        <w:rPr>
          <w:rFonts w:ascii="Times New Roman" w:hAnsi="Times New Roman"/>
          <w:b/>
        </w:rPr>
        <w:t>5.6.2 工业场地</w:t>
      </w:r>
    </w:p>
    <w:p>
      <w:pPr>
        <w:adjustRightInd w:val="0"/>
        <w:snapToGrid w:val="0"/>
        <w:spacing w:line="440" w:lineRule="exact"/>
        <w:ind w:firstLine="482"/>
        <w:rPr>
          <w:rFonts w:ascii="Times New Roman" w:hAnsi="Times New Roman"/>
          <w:kern w:val="0"/>
        </w:rPr>
      </w:pPr>
      <w:r>
        <w:rPr>
          <w:rFonts w:ascii="Times New Roman" w:hAnsi="Times New Roman"/>
          <w:kern w:val="0"/>
        </w:rPr>
        <w:t>工业场地机械设备噪声是规划实施对声环境产生影响的主要因素之一。</w:t>
      </w:r>
      <w:r>
        <w:rPr>
          <w:rFonts w:ascii="Times New Roman" w:hAnsi="Times New Roman"/>
        </w:rPr>
        <w:t>其</w:t>
      </w:r>
      <w:r>
        <w:rPr>
          <w:rFonts w:ascii="Times New Roman" w:hAnsi="Times New Roman"/>
          <w:kern w:val="0"/>
        </w:rPr>
        <w:t>主要声源强一般在70~100dB(A)之间，其对声环境的影响也仅局限在场地周围一定范围内。本次规划将对工业场地机械设备噪声通过选取低噪设备、设备减振、隔声、消声、吸声等措施处理后，类比其他矿区工业场地厂界噪声一般都能达标分析，将来新建工业场地厂界噪声可以达到《工业企业厂界环境噪声排放标准》中2类标准（昼间60dB(A)，夜间50dB（A））。</w:t>
      </w:r>
    </w:p>
    <w:bookmarkEnd w:id="280"/>
    <w:p>
      <w:pPr>
        <w:keepNext/>
        <w:keepLines/>
        <w:adjustRightInd w:val="0"/>
        <w:snapToGrid w:val="0"/>
        <w:spacing w:before="260" w:after="260" w:line="440" w:lineRule="exact"/>
        <w:jc w:val="left"/>
        <w:outlineLvl w:val="1"/>
        <w:rPr>
          <w:rFonts w:ascii="Times New Roman" w:hAnsi="Times New Roman"/>
          <w:b/>
          <w:sz w:val="28"/>
        </w:rPr>
      </w:pPr>
      <w:bookmarkStart w:id="281" w:name="_Toc163441014"/>
      <w:bookmarkStart w:id="282" w:name="_Toc21677"/>
      <w:bookmarkStart w:id="283" w:name="_Toc18838457"/>
      <w:r>
        <w:rPr>
          <w:rFonts w:ascii="Times New Roman" w:hAnsi="Times New Roman"/>
          <w:b/>
          <w:sz w:val="28"/>
        </w:rPr>
        <w:t>5.7 固体废物环境影响分析与评价</w:t>
      </w:r>
      <w:bookmarkEnd w:id="281"/>
      <w:bookmarkEnd w:id="282"/>
      <w:bookmarkEnd w:id="283"/>
    </w:p>
    <w:p>
      <w:pPr>
        <w:adjustRightInd w:val="0"/>
        <w:snapToGrid w:val="0"/>
        <w:spacing w:line="440" w:lineRule="exact"/>
        <w:ind w:firstLine="480" w:firstLineChars="200"/>
        <w:rPr>
          <w:rFonts w:ascii="Times New Roman" w:hAnsi="Times New Roman"/>
        </w:rPr>
      </w:pPr>
      <w:r>
        <w:rPr>
          <w:rFonts w:ascii="Times New Roman" w:hAnsi="Times New Roman"/>
        </w:rPr>
        <w:t>从规划层次来考虑，规划环评主要从宏观角度分析矿区固体废物处置方案合理性，提出固废处置的优化建议。本报告将首先分析固体废物产生量和分类，然后在此基础上提出矿区固废处置优化建议。</w:t>
      </w:r>
    </w:p>
    <w:p>
      <w:pPr>
        <w:keepNext/>
        <w:keepLines/>
        <w:adjustRightInd w:val="0"/>
        <w:snapToGrid w:val="0"/>
        <w:spacing w:line="440" w:lineRule="exact"/>
        <w:outlineLvl w:val="2"/>
        <w:rPr>
          <w:rFonts w:ascii="Times New Roman" w:hAnsi="Times New Roman"/>
          <w:b/>
        </w:rPr>
      </w:pPr>
      <w:r>
        <w:rPr>
          <w:rFonts w:ascii="Times New Roman" w:hAnsi="Times New Roman"/>
          <w:b/>
        </w:rPr>
        <w:t>5.7.1 固体废物产生量估算</w:t>
      </w:r>
    </w:p>
    <w:p>
      <w:pPr>
        <w:adjustRightInd w:val="0"/>
        <w:snapToGrid w:val="0"/>
        <w:spacing w:line="440" w:lineRule="exact"/>
        <w:ind w:firstLine="482" w:firstLineChars="200"/>
        <w:rPr>
          <w:rFonts w:ascii="Times New Roman" w:hAnsi="Times New Roman"/>
          <w:b/>
        </w:rPr>
      </w:pPr>
      <w:r>
        <w:rPr>
          <w:rFonts w:ascii="Times New Roman" w:hAnsi="Times New Roman"/>
          <w:b/>
        </w:rPr>
        <w:t>（1）建设期固体废物</w:t>
      </w:r>
    </w:p>
    <w:p>
      <w:pPr>
        <w:adjustRightInd w:val="0"/>
        <w:snapToGrid w:val="0"/>
        <w:spacing w:line="440" w:lineRule="exact"/>
        <w:ind w:firstLine="480" w:firstLineChars="200"/>
        <w:rPr>
          <w:rFonts w:ascii="Times New Roman" w:hAnsi="Times New Roman"/>
        </w:rPr>
      </w:pPr>
      <w:r>
        <w:rPr>
          <w:rFonts w:ascii="Times New Roman" w:hAnsi="Times New Roman"/>
        </w:rPr>
        <w:t>矿区建设期固体废物主要来自井筒开凿、巷道掘进排放的岩石及煤矸石和地面建构物施工过程排弃的土石渣，另外还有少量的生活垃圾。建设期井筒掘进产生固体废物量与井筒的开拓方式及当地地质条件有关，地面弃土石方量与工业场地所在的地形有关。</w:t>
      </w:r>
    </w:p>
    <w:p>
      <w:pPr>
        <w:adjustRightInd w:val="0"/>
        <w:snapToGrid w:val="0"/>
        <w:spacing w:line="440" w:lineRule="exact"/>
        <w:ind w:firstLine="482" w:firstLineChars="200"/>
        <w:rPr>
          <w:rFonts w:ascii="Times New Roman" w:hAnsi="Times New Roman"/>
          <w:b/>
        </w:rPr>
      </w:pPr>
      <w:r>
        <w:rPr>
          <w:rFonts w:ascii="Times New Roman" w:hAnsi="Times New Roman"/>
          <w:b/>
        </w:rPr>
        <w:t>（2）运行期固体废物</w:t>
      </w:r>
    </w:p>
    <w:p>
      <w:pPr>
        <w:adjustRightInd w:val="0"/>
        <w:snapToGrid w:val="0"/>
        <w:spacing w:line="440" w:lineRule="exact"/>
        <w:ind w:firstLine="480" w:firstLineChars="200"/>
        <w:rPr>
          <w:rFonts w:ascii="Times New Roman" w:hAnsi="Times New Roman"/>
        </w:rPr>
      </w:pPr>
      <w:r>
        <w:rPr>
          <w:rFonts w:ascii="Times New Roman" w:hAnsi="Times New Roman"/>
        </w:rPr>
        <w:t>矿区固体废物来源主要为掘进矸石、选煤厂洗选矸石、工业场地锅炉灰渣、生活垃圾、废油脂废油桶等危险废物。矿区固体废物产生量见表5.7-1。</w:t>
      </w:r>
    </w:p>
    <w:p>
      <w:pPr>
        <w:tabs>
          <w:tab w:val="left" w:pos="6840"/>
        </w:tabs>
        <w:topLinePunct/>
        <w:adjustRightInd w:val="0"/>
        <w:snapToGrid w:val="0"/>
        <w:spacing w:line="440" w:lineRule="exact"/>
        <w:ind w:firstLine="482"/>
        <w:jc w:val="center"/>
        <w:rPr>
          <w:rFonts w:ascii="Times New Roman" w:hAnsi="Times New Roman"/>
          <w:b/>
          <w:kern w:val="24"/>
        </w:rPr>
      </w:pPr>
      <w:r>
        <w:rPr>
          <w:rFonts w:ascii="Times New Roman" w:hAnsi="Times New Roman"/>
          <w:b/>
          <w:kern w:val="24"/>
        </w:rPr>
        <w:t>矿区规划固体废物排放状况一览表</w:t>
      </w:r>
    </w:p>
    <w:p>
      <w:pPr>
        <w:widowControl/>
        <w:adjustRightInd w:val="0"/>
        <w:snapToGrid w:val="0"/>
        <w:spacing w:line="440" w:lineRule="exact"/>
        <w:ind w:firstLine="240" w:firstLineChars="100"/>
        <w:outlineLvl w:val="4"/>
        <w:rPr>
          <w:rFonts w:ascii="Times New Roman" w:hAnsi="Times New Roman"/>
          <w:kern w:val="0"/>
        </w:rPr>
      </w:pPr>
      <w:r>
        <w:rPr>
          <w:rFonts w:ascii="Times New Roman" w:hAnsi="Times New Roman"/>
          <w:kern w:val="0"/>
        </w:rPr>
        <w:t>表5.7-1</w:t>
      </w:r>
    </w:p>
    <w:tbl>
      <w:tblPr>
        <w:tblStyle w:val="59"/>
        <w:tblW w:w="91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1507"/>
        <w:gridCol w:w="1338"/>
        <w:gridCol w:w="2139"/>
        <w:gridCol w:w="41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tblHeader/>
          <w:jc w:val="center"/>
        </w:trPr>
        <w:tc>
          <w:tcPr>
            <w:tcW w:w="2845" w:type="dxa"/>
            <w:gridSpan w:val="2"/>
            <w:tcMar>
              <w:top w:w="20" w:type="dxa"/>
              <w:left w:w="20" w:type="dxa"/>
              <w:bottom w:w="0" w:type="dxa"/>
              <w:right w:w="20" w:type="dxa"/>
            </w:tcMar>
            <w:vAlign w:val="center"/>
          </w:tcPr>
          <w:p>
            <w:pPr>
              <w:adjustRightInd w:val="0"/>
              <w:snapToGrid w:val="0"/>
              <w:jc w:val="center"/>
              <w:rPr>
                <w:rFonts w:ascii="Times New Roman" w:hAnsi="Times New Roman"/>
                <w:sz w:val="21"/>
                <w:szCs w:val="21"/>
              </w:rPr>
            </w:pPr>
            <w:r>
              <w:rPr>
                <w:rFonts w:ascii="Times New Roman" w:hAnsi="Times New Roman"/>
                <w:sz w:val="21"/>
                <w:szCs w:val="21"/>
              </w:rPr>
              <w:t>污染物</w:t>
            </w:r>
          </w:p>
        </w:tc>
        <w:tc>
          <w:tcPr>
            <w:tcW w:w="213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规划实施后产生量</w:t>
            </w:r>
          </w:p>
        </w:tc>
        <w:tc>
          <w:tcPr>
            <w:tcW w:w="4127" w:type="dxa"/>
            <w:tcMar>
              <w:top w:w="20" w:type="dxa"/>
              <w:left w:w="20" w:type="dxa"/>
              <w:bottom w:w="0" w:type="dxa"/>
              <w:right w:w="20" w:type="dxa"/>
            </w:tcMar>
            <w:vAlign w:val="center"/>
          </w:tcPr>
          <w:p>
            <w:pPr>
              <w:adjustRightInd w:val="0"/>
              <w:snapToGrid w:val="0"/>
              <w:jc w:val="center"/>
              <w:rPr>
                <w:rFonts w:ascii="Times New Roman" w:hAnsi="Times New Roman"/>
                <w:sz w:val="21"/>
                <w:szCs w:val="21"/>
              </w:rPr>
            </w:pPr>
            <w:r>
              <w:rPr>
                <w:rFonts w:ascii="Times New Roman" w:hAnsi="Times New Roman"/>
                <w:sz w:val="21"/>
                <w:szCs w:val="21"/>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tblHeader/>
          <w:jc w:val="center"/>
        </w:trPr>
        <w:tc>
          <w:tcPr>
            <w:tcW w:w="1507" w:type="dxa"/>
            <w:vMerge w:val="restart"/>
            <w:tcMar>
              <w:top w:w="20" w:type="dxa"/>
              <w:left w:w="20" w:type="dxa"/>
              <w:bottom w:w="0" w:type="dxa"/>
              <w:right w:w="20" w:type="dxa"/>
            </w:tcMar>
            <w:vAlign w:val="center"/>
          </w:tcPr>
          <w:p>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矸石（Mt/a）</w:t>
            </w:r>
          </w:p>
        </w:tc>
        <w:tc>
          <w:tcPr>
            <w:tcW w:w="1338" w:type="dxa"/>
            <w:vAlign w:val="center"/>
          </w:tcPr>
          <w:p>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掘进矸</w:t>
            </w:r>
          </w:p>
        </w:tc>
        <w:tc>
          <w:tcPr>
            <w:tcW w:w="2139" w:type="dxa"/>
            <w:vAlign w:val="center"/>
          </w:tcPr>
          <w:p>
            <w:pPr>
              <w:topLinePunct/>
              <w:adjustRightInd w:val="0"/>
              <w:snapToGrid w:val="0"/>
              <w:jc w:val="center"/>
              <w:textAlignment w:val="baseline"/>
              <w:rPr>
                <w:rFonts w:ascii="Times New Roman" w:hAnsi="Times New Roman"/>
                <w:sz w:val="21"/>
                <w:szCs w:val="21"/>
              </w:rPr>
            </w:pPr>
            <w:r>
              <w:rPr>
                <w:rFonts w:ascii="Times New Roman" w:hAnsi="Times New Roman"/>
                <w:kern w:val="0"/>
                <w:sz w:val="21"/>
                <w:szCs w:val="21"/>
              </w:rPr>
              <w:t>0.54</w:t>
            </w:r>
          </w:p>
        </w:tc>
        <w:tc>
          <w:tcPr>
            <w:tcW w:w="4127" w:type="dxa"/>
            <w:tcMar>
              <w:top w:w="20" w:type="dxa"/>
              <w:left w:w="20" w:type="dxa"/>
              <w:bottom w:w="0" w:type="dxa"/>
              <w:right w:w="20" w:type="dxa"/>
            </w:tcMar>
            <w:vAlign w:val="center"/>
          </w:tcPr>
          <w:p>
            <w:pPr>
              <w:topLinePunct/>
              <w:adjustRightInd w:val="0"/>
              <w:snapToGrid w:val="0"/>
              <w:jc w:val="left"/>
              <w:textAlignment w:val="baseline"/>
              <w:rPr>
                <w:rFonts w:ascii="Times New Roman" w:hAnsi="Times New Roman"/>
                <w:sz w:val="21"/>
                <w:szCs w:val="21"/>
              </w:rPr>
            </w:pPr>
            <w:r>
              <w:rPr>
                <w:rFonts w:ascii="Times New Roman" w:hAnsi="Times New Roman"/>
                <w:sz w:val="21"/>
                <w:szCs w:val="21"/>
              </w:rPr>
              <w:t>来源于矿井开采掘进矸石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tblHeader/>
          <w:jc w:val="center"/>
        </w:trPr>
        <w:tc>
          <w:tcPr>
            <w:tcW w:w="1507" w:type="dxa"/>
            <w:vMerge w:val="continue"/>
            <w:tcMar>
              <w:top w:w="20" w:type="dxa"/>
              <w:left w:w="20" w:type="dxa"/>
              <w:bottom w:w="0" w:type="dxa"/>
              <w:right w:w="20" w:type="dxa"/>
            </w:tcMar>
            <w:vAlign w:val="center"/>
          </w:tcPr>
          <w:p>
            <w:pPr>
              <w:topLinePunct/>
              <w:adjustRightInd w:val="0"/>
              <w:snapToGrid w:val="0"/>
              <w:jc w:val="center"/>
              <w:textAlignment w:val="baseline"/>
              <w:rPr>
                <w:rFonts w:ascii="Times New Roman" w:hAnsi="Times New Roman"/>
                <w:sz w:val="21"/>
                <w:szCs w:val="21"/>
              </w:rPr>
            </w:pPr>
          </w:p>
        </w:tc>
        <w:tc>
          <w:tcPr>
            <w:tcW w:w="1338" w:type="dxa"/>
            <w:vAlign w:val="center"/>
          </w:tcPr>
          <w:p>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洗选矸</w:t>
            </w:r>
          </w:p>
        </w:tc>
        <w:tc>
          <w:tcPr>
            <w:tcW w:w="2139" w:type="dxa"/>
            <w:vAlign w:val="center"/>
          </w:tcPr>
          <w:p>
            <w:pPr>
              <w:topLinePunct/>
              <w:adjustRightInd w:val="0"/>
              <w:snapToGrid w:val="0"/>
              <w:jc w:val="center"/>
              <w:textAlignment w:val="baseline"/>
              <w:rPr>
                <w:rFonts w:ascii="Times New Roman" w:hAnsi="Times New Roman"/>
                <w:kern w:val="0"/>
                <w:sz w:val="21"/>
                <w:szCs w:val="21"/>
              </w:rPr>
            </w:pPr>
            <w:r>
              <w:rPr>
                <w:rFonts w:ascii="Times New Roman" w:hAnsi="Times New Roman"/>
                <w:kern w:val="0"/>
                <w:sz w:val="21"/>
                <w:szCs w:val="21"/>
              </w:rPr>
              <w:t>2.52</w:t>
            </w:r>
          </w:p>
        </w:tc>
        <w:tc>
          <w:tcPr>
            <w:tcW w:w="4127" w:type="dxa"/>
            <w:tcMar>
              <w:top w:w="20" w:type="dxa"/>
              <w:left w:w="20" w:type="dxa"/>
              <w:bottom w:w="0" w:type="dxa"/>
              <w:right w:w="20" w:type="dxa"/>
            </w:tcMar>
            <w:vAlign w:val="center"/>
          </w:tcPr>
          <w:p>
            <w:pPr>
              <w:topLinePunct/>
              <w:adjustRightInd w:val="0"/>
              <w:snapToGrid w:val="0"/>
              <w:jc w:val="left"/>
              <w:textAlignment w:val="baseline"/>
              <w:rPr>
                <w:rFonts w:ascii="Times New Roman" w:hAnsi="Times New Roman"/>
                <w:kern w:val="0"/>
                <w:sz w:val="21"/>
                <w:szCs w:val="21"/>
              </w:rPr>
            </w:pPr>
            <w:r>
              <w:rPr>
                <w:rFonts w:ascii="Times New Roman" w:hAnsi="Times New Roman"/>
                <w:kern w:val="0"/>
                <w:sz w:val="21"/>
                <w:szCs w:val="21"/>
              </w:rPr>
              <w:t>来源于选煤厂洗选矸石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tblHeader/>
          <w:jc w:val="center"/>
        </w:trPr>
        <w:tc>
          <w:tcPr>
            <w:tcW w:w="2845" w:type="dxa"/>
            <w:gridSpan w:val="2"/>
            <w:tcMar>
              <w:top w:w="20" w:type="dxa"/>
              <w:left w:w="20" w:type="dxa"/>
              <w:bottom w:w="0" w:type="dxa"/>
              <w:right w:w="20" w:type="dxa"/>
            </w:tcMar>
            <w:vAlign w:val="center"/>
          </w:tcPr>
          <w:p>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灰渣（t/a）</w:t>
            </w:r>
          </w:p>
        </w:tc>
        <w:tc>
          <w:tcPr>
            <w:tcW w:w="2139"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48672</w:t>
            </w:r>
          </w:p>
        </w:tc>
        <w:tc>
          <w:tcPr>
            <w:tcW w:w="4127" w:type="dxa"/>
            <w:tcMar>
              <w:top w:w="20" w:type="dxa"/>
              <w:left w:w="20" w:type="dxa"/>
              <w:bottom w:w="0" w:type="dxa"/>
              <w:right w:w="20" w:type="dxa"/>
            </w:tcMar>
            <w:vAlign w:val="center"/>
          </w:tcPr>
          <w:p>
            <w:pPr>
              <w:adjustRightInd w:val="0"/>
              <w:snapToGrid w:val="0"/>
              <w:jc w:val="left"/>
              <w:rPr>
                <w:rFonts w:ascii="Times New Roman" w:hAnsi="Times New Roman"/>
                <w:sz w:val="21"/>
                <w:szCs w:val="21"/>
              </w:rPr>
            </w:pPr>
            <w:r>
              <w:rPr>
                <w:rFonts w:ascii="Times New Roman" w:hAnsi="Times New Roman"/>
                <w:kern w:val="0"/>
                <w:sz w:val="21"/>
                <w:szCs w:val="21"/>
              </w:rPr>
              <w:t>灰渣来源于各矿井工业场地锅炉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tblHeader/>
          <w:jc w:val="center"/>
        </w:trPr>
        <w:tc>
          <w:tcPr>
            <w:tcW w:w="2845" w:type="dxa"/>
            <w:gridSpan w:val="2"/>
            <w:tcMar>
              <w:top w:w="20" w:type="dxa"/>
              <w:left w:w="20" w:type="dxa"/>
              <w:bottom w:w="0" w:type="dxa"/>
              <w:right w:w="20" w:type="dxa"/>
            </w:tcMar>
            <w:vAlign w:val="center"/>
          </w:tcPr>
          <w:p>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生活垃圾（t/a）</w:t>
            </w:r>
          </w:p>
        </w:tc>
        <w:tc>
          <w:tcPr>
            <w:tcW w:w="2139"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1007.4</w:t>
            </w:r>
          </w:p>
        </w:tc>
        <w:tc>
          <w:tcPr>
            <w:tcW w:w="4127" w:type="dxa"/>
            <w:tcMar>
              <w:top w:w="20" w:type="dxa"/>
              <w:left w:w="20" w:type="dxa"/>
              <w:bottom w:w="0" w:type="dxa"/>
              <w:right w:w="20" w:type="dxa"/>
            </w:tcMar>
            <w:vAlign w:val="center"/>
          </w:tcPr>
          <w:p>
            <w:pPr>
              <w:adjustRightInd w:val="0"/>
              <w:snapToGrid w:val="0"/>
              <w:jc w:val="left"/>
              <w:rPr>
                <w:rFonts w:ascii="Times New Roman" w:hAnsi="Times New Roman"/>
                <w:sz w:val="21"/>
                <w:szCs w:val="21"/>
              </w:rPr>
            </w:pPr>
            <w:r>
              <w:rPr>
                <w:rFonts w:ascii="Times New Roman" w:hAnsi="Times New Roman"/>
                <w:sz w:val="21"/>
                <w:szCs w:val="21"/>
              </w:rPr>
              <w:t>按整个矿区劳动定员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397" w:hRule="atLeast"/>
          <w:tblHeader/>
          <w:jc w:val="center"/>
        </w:trPr>
        <w:tc>
          <w:tcPr>
            <w:tcW w:w="2845" w:type="dxa"/>
            <w:gridSpan w:val="2"/>
            <w:tcMar>
              <w:top w:w="20" w:type="dxa"/>
              <w:left w:w="20" w:type="dxa"/>
              <w:bottom w:w="0" w:type="dxa"/>
              <w:right w:w="20" w:type="dxa"/>
            </w:tcMar>
            <w:vAlign w:val="center"/>
          </w:tcPr>
          <w:p>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水处理站有机污泥（t/a）</w:t>
            </w:r>
          </w:p>
        </w:tc>
        <w:tc>
          <w:tcPr>
            <w:tcW w:w="2139"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1653</w:t>
            </w:r>
          </w:p>
        </w:tc>
        <w:tc>
          <w:tcPr>
            <w:tcW w:w="4127" w:type="dxa"/>
            <w:tcMar>
              <w:top w:w="20" w:type="dxa"/>
              <w:left w:w="20" w:type="dxa"/>
              <w:bottom w:w="0" w:type="dxa"/>
              <w:right w:w="20" w:type="dxa"/>
            </w:tcMar>
            <w:vAlign w:val="center"/>
          </w:tcPr>
          <w:p>
            <w:pPr>
              <w:adjustRightInd w:val="0"/>
              <w:snapToGrid w:val="0"/>
              <w:jc w:val="left"/>
              <w:rPr>
                <w:rFonts w:ascii="Times New Roman" w:hAnsi="Times New Roman"/>
                <w:sz w:val="21"/>
                <w:szCs w:val="21"/>
              </w:rPr>
            </w:pPr>
            <w:r>
              <w:rPr>
                <w:rFonts w:ascii="Times New Roman" w:hAnsi="Times New Roman"/>
                <w:kern w:val="0"/>
                <w:sz w:val="21"/>
                <w:szCs w:val="21"/>
              </w:rPr>
              <w:t>污泥来源于生活污水处理站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blHeader/>
          <w:jc w:val="center"/>
        </w:trPr>
        <w:tc>
          <w:tcPr>
            <w:tcW w:w="2845" w:type="dxa"/>
            <w:gridSpan w:val="2"/>
            <w:tcMar>
              <w:top w:w="20" w:type="dxa"/>
              <w:left w:w="20" w:type="dxa"/>
              <w:bottom w:w="0" w:type="dxa"/>
              <w:right w:w="20" w:type="dxa"/>
            </w:tcMar>
            <w:vAlign w:val="center"/>
          </w:tcPr>
          <w:p>
            <w:pPr>
              <w:topLinePunct/>
              <w:adjustRightInd w:val="0"/>
              <w:snapToGrid w:val="0"/>
              <w:jc w:val="center"/>
              <w:textAlignment w:val="baseline"/>
              <w:rPr>
                <w:rFonts w:ascii="Times New Roman" w:hAnsi="Times New Roman"/>
                <w:sz w:val="21"/>
                <w:szCs w:val="21"/>
              </w:rPr>
            </w:pPr>
            <w:r>
              <w:rPr>
                <w:rFonts w:ascii="Times New Roman" w:hAnsi="Times New Roman"/>
                <w:sz w:val="21"/>
                <w:szCs w:val="21"/>
              </w:rPr>
              <w:t>危险废物（t/a）</w:t>
            </w:r>
          </w:p>
        </w:tc>
        <w:tc>
          <w:tcPr>
            <w:tcW w:w="2139"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470</w:t>
            </w:r>
          </w:p>
        </w:tc>
        <w:tc>
          <w:tcPr>
            <w:tcW w:w="4127" w:type="dxa"/>
            <w:tcMar>
              <w:top w:w="20" w:type="dxa"/>
              <w:left w:w="20" w:type="dxa"/>
              <w:bottom w:w="0" w:type="dxa"/>
              <w:right w:w="20" w:type="dxa"/>
            </w:tcMar>
            <w:vAlign w:val="center"/>
          </w:tcPr>
          <w:p>
            <w:pPr>
              <w:adjustRightInd w:val="0"/>
              <w:snapToGrid w:val="0"/>
              <w:jc w:val="left"/>
              <w:rPr>
                <w:rFonts w:ascii="Times New Roman" w:hAnsi="Times New Roman"/>
                <w:kern w:val="0"/>
                <w:sz w:val="21"/>
                <w:szCs w:val="21"/>
              </w:rPr>
            </w:pPr>
            <w:r>
              <w:rPr>
                <w:rFonts w:ascii="Times New Roman" w:hAnsi="Times New Roman"/>
                <w:kern w:val="0"/>
                <w:sz w:val="21"/>
                <w:szCs w:val="21"/>
              </w:rPr>
              <w:t>主要来源于各矿工业场地及矿区辅助企业区</w:t>
            </w:r>
          </w:p>
        </w:tc>
      </w:tr>
    </w:tbl>
    <w:p>
      <w:pPr>
        <w:rPr>
          <w:rFonts w:ascii="Times New Roman" w:hAnsi="Times New Roman"/>
        </w:rPr>
      </w:pPr>
    </w:p>
    <w:p>
      <w:pPr>
        <w:keepNext/>
        <w:keepLines/>
        <w:adjustRightInd w:val="0"/>
        <w:snapToGrid w:val="0"/>
        <w:spacing w:line="440" w:lineRule="exact"/>
        <w:outlineLvl w:val="2"/>
        <w:rPr>
          <w:rFonts w:ascii="Times New Roman" w:hAnsi="Times New Roman"/>
          <w:b/>
        </w:rPr>
      </w:pPr>
      <w:r>
        <w:rPr>
          <w:rFonts w:ascii="Times New Roman" w:hAnsi="Times New Roman"/>
          <w:b/>
        </w:rPr>
        <w:t>5.7.2 固体废物性质</w:t>
      </w:r>
    </w:p>
    <w:p>
      <w:pPr>
        <w:keepNext/>
        <w:keepLines/>
        <w:adjustRightInd w:val="0"/>
        <w:snapToGrid w:val="0"/>
        <w:spacing w:line="440" w:lineRule="exact"/>
        <w:outlineLvl w:val="3"/>
        <w:rPr>
          <w:rFonts w:ascii="Times New Roman" w:hAnsi="Times New Roman"/>
          <w:b/>
        </w:rPr>
      </w:pPr>
      <w:r>
        <w:rPr>
          <w:rFonts w:ascii="Times New Roman" w:hAnsi="Times New Roman"/>
          <w:b/>
        </w:rPr>
        <w:t>5.7.2.1矸石属性鉴别</w:t>
      </w:r>
    </w:p>
    <w:p>
      <w:pPr>
        <w:adjustRightInd w:val="0"/>
        <w:snapToGrid w:val="0"/>
        <w:spacing w:line="440" w:lineRule="exact"/>
        <w:ind w:firstLine="480" w:firstLineChars="200"/>
        <w:rPr>
          <w:rFonts w:ascii="Times New Roman" w:hAnsi="Times New Roman"/>
        </w:rPr>
      </w:pPr>
      <w:r>
        <w:rPr>
          <w:rFonts w:ascii="Times New Roman" w:hAnsi="Times New Roman"/>
        </w:rPr>
        <w:t>矿区固体废物主要为矸石。矸石来源有两方面，一方面来自煤矿掘进过程产出的掘进矸，另一方面来自选煤厂洗选过程中产出的洗选矸石，以后者占绝大部分。</w:t>
      </w:r>
      <w:r>
        <w:rPr>
          <w:rFonts w:ascii="Times New Roman" w:hAnsi="Times New Roman"/>
          <w:szCs w:val="24"/>
        </w:rPr>
        <w:t>目前矿区无生产矿井，本次评价主要类比临近矿区内泊江海子矿井矸石淋溶液监测数据进行分析，</w:t>
      </w:r>
      <w:r>
        <w:rPr>
          <w:rFonts w:ascii="Times New Roman" w:hAnsi="Times New Roman"/>
        </w:rPr>
        <w:t>泊江海子矿井与纳林希里矿区同属</w:t>
      </w:r>
      <w:r>
        <w:rPr>
          <w:rFonts w:hint="eastAsia" w:ascii="Times New Roman" w:hAnsi="Times New Roman"/>
        </w:rPr>
        <w:t>东胜煤田</w:t>
      </w:r>
      <w:r>
        <w:rPr>
          <w:rFonts w:ascii="Times New Roman" w:hAnsi="Times New Roman"/>
        </w:rPr>
        <w:t>，距纳林希里矿区北侧约12km，且泊江海子矿井已投入运行，其数据具有参考意义。本次评价采用泊江海子2018年验收阶段监测数据，见表5.7-2。</w:t>
      </w:r>
    </w:p>
    <w:p>
      <w:pPr>
        <w:tabs>
          <w:tab w:val="left" w:pos="6840"/>
        </w:tabs>
        <w:topLinePunct/>
        <w:adjustRightInd w:val="0"/>
        <w:snapToGrid w:val="0"/>
        <w:spacing w:line="440" w:lineRule="exact"/>
        <w:jc w:val="center"/>
        <w:rPr>
          <w:rFonts w:ascii="Times New Roman" w:hAnsi="Times New Roman"/>
          <w:b/>
          <w:bCs/>
          <w:kern w:val="24"/>
          <w:szCs w:val="24"/>
        </w:rPr>
      </w:pPr>
      <w:r>
        <w:rPr>
          <w:rFonts w:ascii="Times New Roman" w:hAnsi="Times New Roman"/>
          <w:b/>
          <w:bCs/>
          <w:szCs w:val="24"/>
        </w:rPr>
        <w:t>泊江海子煤矿</w:t>
      </w:r>
      <w:r>
        <w:rPr>
          <w:rFonts w:ascii="Times New Roman" w:hAnsi="Times New Roman"/>
          <w:b/>
          <w:bCs/>
        </w:rPr>
        <w:t>矸石淋溶液浸出毒性分析结果一览表</w:t>
      </w:r>
    </w:p>
    <w:p>
      <w:pPr>
        <w:widowControl/>
        <w:adjustRightInd w:val="0"/>
        <w:snapToGrid w:val="0"/>
        <w:spacing w:line="440" w:lineRule="exact"/>
        <w:outlineLvl w:val="4"/>
        <w:rPr>
          <w:rFonts w:ascii="Times New Roman" w:hAnsi="Times New Roman"/>
          <w:kern w:val="0"/>
          <w:szCs w:val="24"/>
        </w:rPr>
      </w:pPr>
      <w:r>
        <w:rPr>
          <w:rFonts w:ascii="Times New Roman" w:hAnsi="Times New Roman"/>
          <w:kern w:val="0"/>
          <w:szCs w:val="24"/>
        </w:rPr>
        <w:t xml:space="preserve">表5.7-2                                            </w:t>
      </w:r>
      <w:r>
        <w:rPr>
          <w:rFonts w:ascii="Times New Roman" w:hAnsi="Times New Roman"/>
        </w:rPr>
        <w:t>单位：mg/L，pH值为无量纲</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1"/>
        <w:gridCol w:w="1136"/>
        <w:gridCol w:w="1142"/>
        <w:gridCol w:w="1140"/>
        <w:gridCol w:w="1140"/>
        <w:gridCol w:w="1140"/>
        <w:gridCol w:w="1145"/>
        <w:gridCol w:w="1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lang w:bidi="ar"/>
              </w:rPr>
              <w:t>监测项目</w:t>
            </w:r>
          </w:p>
        </w:tc>
        <w:tc>
          <w:tcPr>
            <w:tcW w:w="6843" w:type="dxa"/>
            <w:gridSpan w:val="6"/>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lang w:bidi="ar"/>
              </w:rPr>
              <w:t>监测结果</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lang w:bidi="ar"/>
              </w:rPr>
              <w:t>GB8978-1996一级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批量1</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批量2</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批量3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批量4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批量5</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批量6</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lang w:bidi="ar"/>
              </w:rPr>
              <w:t>达标值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Style w:val="914"/>
                <w:color w:val="auto"/>
                <w:lang w:bidi="ar"/>
              </w:rPr>
              <w:t>pH</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7.6</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8.8</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8.8</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8.8</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8.8</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铜</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&lt;0.08</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&lt;0.08</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&lt;0.08</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&lt;0.08</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&lt;0.08</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&lt;0.08</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锌</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镉</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铅</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&lt;0.30</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&lt;0.30</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&lt;0.30</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&lt;0.30</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&lt;0.30</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&lt;0.30</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总铬</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0.05</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0.05</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0.05</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铬</w:t>
            </w:r>
            <w:r>
              <w:rPr>
                <w:rStyle w:val="914"/>
                <w:color w:val="auto"/>
                <w:lang w:bidi="ar"/>
              </w:rPr>
              <w:t>(</w:t>
            </w:r>
            <w:r>
              <w:rPr>
                <w:rStyle w:val="913"/>
                <w:rFonts w:hint="default" w:ascii="Times New Roman" w:hAnsi="Times New Roman" w:cs="Times New Roman"/>
                <w:color w:val="auto"/>
                <w:lang w:bidi="ar"/>
              </w:rPr>
              <w:t>六价</w:t>
            </w:r>
            <w:r>
              <w:rPr>
                <w:rStyle w:val="914"/>
                <w:color w:val="auto"/>
                <w:lang w:bidi="ar"/>
              </w:rPr>
              <w:t>)</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&lt;0.004</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&lt;0.004</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&lt;0.004</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汞</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w:t>
            </w:r>
            <w:r>
              <w:rPr>
                <w:rStyle w:val="915"/>
                <w:rFonts w:hint="default" w:ascii="Times New Roman" w:hAnsi="Times New Roman" w:cs="Times New Roman"/>
                <w:color w:val="auto"/>
                <w:sz w:val="21"/>
                <w:szCs w:val="21"/>
                <w:vertAlign w:val="superscript"/>
                <w:lang w:bidi="ar"/>
              </w:rPr>
              <w:t>5</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-5</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-5</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钡</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8×10</w:t>
            </w:r>
            <w:r>
              <w:rPr>
                <w:rFonts w:ascii="Times New Roman" w:hAnsi="Times New Roman"/>
                <w:kern w:val="0"/>
                <w:sz w:val="21"/>
                <w:szCs w:val="21"/>
                <w:vertAlign w:val="superscript"/>
                <w:lang w:bidi="ar"/>
              </w:rPr>
              <w:t>-3</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8×10</w:t>
            </w:r>
            <w:r>
              <w:rPr>
                <w:rFonts w:ascii="Times New Roman" w:hAnsi="Times New Roman"/>
                <w:kern w:val="0"/>
                <w:sz w:val="21"/>
                <w:szCs w:val="21"/>
                <w:vertAlign w:val="superscript"/>
                <w:lang w:bidi="ar"/>
              </w:rPr>
              <w:t>-3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8×10</w:t>
            </w:r>
            <w:r>
              <w:rPr>
                <w:rFonts w:ascii="Times New Roman" w:hAnsi="Times New Roman"/>
                <w:kern w:val="0"/>
                <w:sz w:val="21"/>
                <w:szCs w:val="21"/>
                <w:vertAlign w:val="superscript"/>
                <w:lang w:bidi="ar"/>
              </w:rPr>
              <w:t>-3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8×10</w:t>
            </w:r>
            <w:r>
              <w:rPr>
                <w:rFonts w:ascii="Times New Roman" w:hAnsi="Times New Roman"/>
                <w:kern w:val="0"/>
                <w:sz w:val="21"/>
                <w:szCs w:val="21"/>
                <w:vertAlign w:val="superscript"/>
                <w:lang w:bidi="ar"/>
              </w:rPr>
              <w:t>-3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8×10</w:t>
            </w:r>
            <w:r>
              <w:rPr>
                <w:rFonts w:ascii="Times New Roman" w:hAnsi="Times New Roman"/>
                <w:kern w:val="0"/>
                <w:sz w:val="21"/>
                <w:szCs w:val="21"/>
                <w:vertAlign w:val="superscript"/>
                <w:lang w:bidi="ar"/>
              </w:rPr>
              <w:t>-3</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8×10</w:t>
            </w:r>
            <w:r>
              <w:rPr>
                <w:rFonts w:ascii="Times New Roman" w:hAnsi="Times New Roman"/>
                <w:kern w:val="0"/>
                <w:sz w:val="21"/>
                <w:szCs w:val="21"/>
                <w:vertAlign w:val="superscript"/>
                <w:lang w:bidi="ar"/>
              </w:rPr>
              <w:t>-3</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镍</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&lt;0.05</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总银</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&lt;0.03</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砷</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硒</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&lt;1×10</w:t>
            </w:r>
            <w:r>
              <w:rPr>
                <w:rFonts w:ascii="Times New Roman" w:hAnsi="Times New Roman"/>
                <w:kern w:val="0"/>
                <w:sz w:val="21"/>
                <w:szCs w:val="21"/>
                <w:vertAlign w:val="superscript"/>
                <w:lang w:bidi="ar"/>
              </w:rPr>
              <w:t>-4</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氟化物</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0.536</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0.572</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0.592</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0.793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0.825</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0.83</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氰化物</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&lt;0.001</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&lt;0.001</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&lt;0.001</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&lt;0.001</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&lt;0.001</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&lt;0.001</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苯并(</w:t>
            </w:r>
            <w:r>
              <w:rPr>
                <w:rStyle w:val="914"/>
                <w:color w:val="auto"/>
                <w:lang w:bidi="ar"/>
              </w:rPr>
              <w:t>a)</w:t>
            </w:r>
            <w:r>
              <w:rPr>
                <w:rStyle w:val="913"/>
                <w:rFonts w:hint="default" w:ascii="Times New Roman" w:hAnsi="Times New Roman" w:cs="Times New Roman"/>
                <w:color w:val="auto"/>
                <w:lang w:bidi="ar"/>
              </w:rPr>
              <w:t>芘</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pacing w:val="-10"/>
                <w:sz w:val="21"/>
                <w:szCs w:val="21"/>
              </w:rPr>
            </w:pPr>
            <w:r>
              <w:rPr>
                <w:rFonts w:ascii="Times New Roman" w:hAnsi="Times New Roman"/>
                <w:spacing w:val="-10"/>
                <w:kern w:val="0"/>
                <w:sz w:val="21"/>
                <w:szCs w:val="21"/>
                <w:lang w:bidi="ar"/>
              </w:rPr>
              <w:t>2.3×10</w:t>
            </w:r>
            <w:r>
              <w:rPr>
                <w:rFonts w:ascii="Times New Roman" w:hAnsi="Times New Roman"/>
                <w:spacing w:val="-10"/>
                <w:kern w:val="0"/>
                <w:sz w:val="21"/>
                <w:szCs w:val="21"/>
                <w:vertAlign w:val="superscript"/>
                <w:lang w:bidi="ar"/>
              </w:rPr>
              <w:t>-5</w:t>
            </w:r>
            <w:r>
              <w:rPr>
                <w:rFonts w:ascii="Times New Roman" w:hAnsi="Times New Roman"/>
                <w:spacing w:val="-10"/>
                <w:kern w:val="0"/>
                <w:sz w:val="21"/>
                <w:szCs w:val="21"/>
                <w:lang w:bidi="ar"/>
              </w:rPr>
              <w:t>L</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pacing w:val="-10"/>
                <w:sz w:val="21"/>
                <w:szCs w:val="21"/>
              </w:rPr>
            </w:pPr>
            <w:r>
              <w:rPr>
                <w:rFonts w:ascii="Times New Roman" w:hAnsi="Times New Roman"/>
                <w:spacing w:val="-10"/>
                <w:kern w:val="0"/>
                <w:sz w:val="21"/>
                <w:szCs w:val="21"/>
                <w:lang w:bidi="ar"/>
              </w:rPr>
              <w:t>2.3×10</w:t>
            </w:r>
            <w:r>
              <w:rPr>
                <w:rFonts w:ascii="Times New Roman" w:hAnsi="Times New Roman"/>
                <w:spacing w:val="-10"/>
                <w:kern w:val="0"/>
                <w:sz w:val="21"/>
                <w:szCs w:val="21"/>
                <w:vertAlign w:val="superscript"/>
                <w:lang w:bidi="ar"/>
              </w:rPr>
              <w:t>-5</w:t>
            </w:r>
            <w:r>
              <w:rPr>
                <w:rFonts w:ascii="Times New Roman" w:hAnsi="Times New Roman"/>
                <w:spacing w:val="-10"/>
                <w:kern w:val="0"/>
                <w:sz w:val="21"/>
                <w:szCs w:val="21"/>
                <w:lang w:bidi="ar"/>
              </w:rPr>
              <w:t>L</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pacing w:val="-10"/>
                <w:sz w:val="21"/>
                <w:szCs w:val="21"/>
              </w:rPr>
            </w:pPr>
            <w:r>
              <w:rPr>
                <w:rFonts w:ascii="Times New Roman" w:hAnsi="Times New Roman"/>
                <w:spacing w:val="-10"/>
                <w:kern w:val="0"/>
                <w:sz w:val="21"/>
                <w:szCs w:val="21"/>
                <w:lang w:bidi="ar"/>
              </w:rPr>
              <w:t>2.3×10</w:t>
            </w:r>
            <w:r>
              <w:rPr>
                <w:rFonts w:ascii="Times New Roman" w:hAnsi="Times New Roman"/>
                <w:spacing w:val="-10"/>
                <w:kern w:val="0"/>
                <w:sz w:val="21"/>
                <w:szCs w:val="21"/>
                <w:vertAlign w:val="superscript"/>
                <w:lang w:bidi="ar"/>
              </w:rPr>
              <w:t>-5</w:t>
            </w:r>
            <w:r>
              <w:rPr>
                <w:rFonts w:ascii="Times New Roman" w:hAnsi="Times New Roman"/>
                <w:spacing w:val="-10"/>
                <w:kern w:val="0"/>
                <w:sz w:val="21"/>
                <w:szCs w:val="21"/>
                <w:lang w:bidi="ar"/>
              </w:rPr>
              <w:t>L</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pacing w:val="-10"/>
                <w:sz w:val="21"/>
                <w:szCs w:val="21"/>
              </w:rPr>
            </w:pPr>
            <w:r>
              <w:rPr>
                <w:rFonts w:ascii="Times New Roman" w:hAnsi="Times New Roman"/>
                <w:spacing w:val="-10"/>
                <w:kern w:val="0"/>
                <w:sz w:val="21"/>
                <w:szCs w:val="21"/>
                <w:lang w:bidi="ar"/>
              </w:rPr>
              <w:t>2.3×10</w:t>
            </w:r>
            <w:r>
              <w:rPr>
                <w:rFonts w:ascii="Times New Roman" w:hAnsi="Times New Roman"/>
                <w:spacing w:val="-10"/>
                <w:kern w:val="0"/>
                <w:sz w:val="21"/>
                <w:szCs w:val="21"/>
                <w:vertAlign w:val="superscript"/>
                <w:lang w:bidi="ar"/>
              </w:rPr>
              <w:t>-5</w:t>
            </w:r>
            <w:r>
              <w:rPr>
                <w:rFonts w:ascii="Times New Roman" w:hAnsi="Times New Roman"/>
                <w:spacing w:val="-10"/>
                <w:kern w:val="0"/>
                <w:sz w:val="21"/>
                <w:szCs w:val="21"/>
                <w:lang w:bidi="ar"/>
              </w:rPr>
              <w:t>L</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pacing w:val="-10"/>
                <w:sz w:val="21"/>
                <w:szCs w:val="21"/>
              </w:rPr>
            </w:pPr>
            <w:r>
              <w:rPr>
                <w:rFonts w:ascii="Times New Roman" w:hAnsi="Times New Roman"/>
                <w:spacing w:val="-10"/>
                <w:kern w:val="0"/>
                <w:sz w:val="21"/>
                <w:szCs w:val="21"/>
                <w:lang w:bidi="ar"/>
              </w:rPr>
              <w:t>2.3×10</w:t>
            </w:r>
            <w:r>
              <w:rPr>
                <w:rFonts w:ascii="Times New Roman" w:hAnsi="Times New Roman"/>
                <w:spacing w:val="-10"/>
                <w:kern w:val="0"/>
                <w:sz w:val="21"/>
                <w:szCs w:val="21"/>
                <w:vertAlign w:val="superscript"/>
                <w:lang w:bidi="ar"/>
              </w:rPr>
              <w:t>-5</w:t>
            </w:r>
            <w:r>
              <w:rPr>
                <w:rFonts w:ascii="Times New Roman" w:hAnsi="Times New Roman"/>
                <w:spacing w:val="-10"/>
                <w:kern w:val="0"/>
                <w:sz w:val="21"/>
                <w:szCs w:val="21"/>
                <w:lang w:bidi="ar"/>
              </w:rPr>
              <w:t>L</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pacing w:val="-10"/>
                <w:sz w:val="21"/>
                <w:szCs w:val="21"/>
              </w:rPr>
            </w:pPr>
            <w:r>
              <w:rPr>
                <w:rFonts w:ascii="Times New Roman" w:hAnsi="Times New Roman"/>
                <w:spacing w:val="-10"/>
                <w:kern w:val="0"/>
                <w:sz w:val="21"/>
                <w:szCs w:val="21"/>
                <w:lang w:bidi="ar"/>
              </w:rPr>
              <w:t>2.3×10</w:t>
            </w:r>
            <w:r>
              <w:rPr>
                <w:rFonts w:ascii="Times New Roman" w:hAnsi="Times New Roman"/>
                <w:spacing w:val="-10"/>
                <w:kern w:val="0"/>
                <w:sz w:val="21"/>
                <w:szCs w:val="21"/>
                <w:vertAlign w:val="superscript"/>
                <w:lang w:bidi="ar"/>
              </w:rPr>
              <w:t>-5</w:t>
            </w:r>
            <w:r>
              <w:rPr>
                <w:rFonts w:ascii="Times New Roman" w:hAnsi="Times New Roman"/>
                <w:spacing w:val="-10"/>
                <w:kern w:val="0"/>
                <w:sz w:val="21"/>
                <w:szCs w:val="21"/>
                <w:lang w:bidi="ar"/>
              </w:rPr>
              <w:t>L</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0.00003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挥发酚</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硫化物</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&lt;0.005</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&lt;0.005</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&lt;0.005</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锰</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总铍</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w:t>
            </w:r>
            <w:r>
              <w:rPr>
                <w:rStyle w:val="915"/>
                <w:rFonts w:hint="default" w:ascii="Times New Roman" w:hAnsi="Times New Roman" w:cs="Times New Roman"/>
                <w:color w:val="auto"/>
                <w:vertAlign w:val="superscript"/>
                <w:lang w:bidi="ar"/>
              </w:rPr>
              <w:t>5</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w:t>
            </w:r>
            <w:r>
              <w:rPr>
                <w:rStyle w:val="915"/>
                <w:rFonts w:hint="default" w:ascii="Times New Roman" w:hAnsi="Times New Roman" w:cs="Times New Roman"/>
                <w:color w:val="auto"/>
                <w:vertAlign w:val="superscript"/>
                <w:lang w:bidi="ar"/>
              </w:rPr>
              <w:t>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w:t>
            </w:r>
            <w:r>
              <w:rPr>
                <w:rStyle w:val="915"/>
                <w:rFonts w:hint="default" w:ascii="Times New Roman" w:hAnsi="Times New Roman" w:cs="Times New Roman"/>
                <w:color w:val="auto"/>
                <w:vertAlign w:val="superscript"/>
                <w:lang w:bidi="ar"/>
              </w:rPr>
              <w:t>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w:t>
            </w:r>
            <w:r>
              <w:rPr>
                <w:rStyle w:val="915"/>
                <w:rFonts w:hint="default" w:ascii="Times New Roman" w:hAnsi="Times New Roman" w:cs="Times New Roman"/>
                <w:color w:val="auto"/>
                <w:vertAlign w:val="superscript"/>
                <w:lang w:bidi="ar"/>
              </w:rPr>
              <w:t>5</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w:t>
            </w:r>
            <w:r>
              <w:rPr>
                <w:rStyle w:val="915"/>
                <w:rFonts w:hint="default" w:ascii="Times New Roman" w:hAnsi="Times New Roman" w:cs="Times New Roman"/>
                <w:color w:val="auto"/>
                <w:vertAlign w:val="superscript"/>
                <w:lang w:bidi="ar"/>
              </w:rPr>
              <w:t>5</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&lt;2×10</w:t>
            </w:r>
            <w:r>
              <w:rPr>
                <w:rFonts w:ascii="Times New Roman" w:hAnsi="Times New Roman"/>
                <w:kern w:val="0"/>
                <w:sz w:val="21"/>
                <w:szCs w:val="21"/>
                <w:vertAlign w:val="superscript"/>
                <w:lang w:bidi="ar"/>
              </w:rPr>
              <w:t>-</w:t>
            </w:r>
            <w:r>
              <w:rPr>
                <w:rStyle w:val="915"/>
                <w:rFonts w:hint="default" w:ascii="Times New Roman" w:hAnsi="Times New Roman" w:cs="Times New Roman"/>
                <w:color w:val="auto"/>
                <w:vertAlign w:val="superscript"/>
                <w:lang w:bidi="ar"/>
              </w:rPr>
              <w:t>5</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硝酸盐</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0.077</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0.08</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0.082</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0.088</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0.091</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0.094</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亚硝酸盐</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&lt;0.016</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&lt;0.016</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&lt;0.016</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&lt;0.016</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&lt;0.016</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&lt;0.016</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硫酸盐</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3.6</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3.78</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3.94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4.26</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4.54</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4.81</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氯化物</w:t>
            </w:r>
          </w:p>
        </w:tc>
        <w:tc>
          <w:tcPr>
            <w:tcW w:w="113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3.46</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3.63</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3.7</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4.04</w:t>
            </w:r>
          </w:p>
        </w:tc>
        <w:tc>
          <w:tcPr>
            <w:tcW w:w="11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4.12</w:t>
            </w:r>
          </w:p>
        </w:tc>
        <w:tc>
          <w:tcPr>
            <w:tcW w:w="114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4.15</w:t>
            </w:r>
          </w:p>
        </w:tc>
        <w:tc>
          <w:tcPr>
            <w:tcW w:w="13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w:t>
            </w:r>
          </w:p>
        </w:tc>
      </w:tr>
    </w:tbl>
    <w:p>
      <w:pPr>
        <w:adjustRightInd w:val="0"/>
        <w:snapToGrid w:val="0"/>
        <w:spacing w:line="440" w:lineRule="exact"/>
        <w:ind w:firstLine="480" w:firstLineChars="200"/>
        <w:rPr>
          <w:rFonts w:ascii="Times New Roman" w:hAnsi="Times New Roman"/>
          <w:kern w:val="24"/>
        </w:rPr>
      </w:pPr>
      <w:r>
        <w:rPr>
          <w:rFonts w:ascii="Times New Roman" w:hAnsi="Times New Roman"/>
          <w:kern w:val="24"/>
        </w:rPr>
        <w:t>由表5.7-2可知，矸石不在《国家危险废物名录》中，即矸石不属于危险固体废物，属于一般工业固体废弃物；另外，矸石浸出液中各项分析指标均未超过《污水综合排放标准》（GB8978-1996）中排放标准规定限值，矿区矸石属于第Ⅰ类一般工业固体废物。</w:t>
      </w:r>
    </w:p>
    <w:p>
      <w:pPr>
        <w:keepNext/>
        <w:keepLines/>
        <w:adjustRightInd w:val="0"/>
        <w:snapToGrid w:val="0"/>
        <w:spacing w:line="440" w:lineRule="exact"/>
        <w:outlineLvl w:val="3"/>
        <w:rPr>
          <w:rFonts w:ascii="Times New Roman" w:hAnsi="Times New Roman"/>
          <w:b/>
        </w:rPr>
      </w:pPr>
      <w:r>
        <w:rPr>
          <w:rFonts w:ascii="Times New Roman" w:hAnsi="Times New Roman"/>
          <w:b/>
        </w:rPr>
        <w:t>5.7.2.2 锅炉灰渣</w:t>
      </w:r>
    </w:p>
    <w:p>
      <w:pPr>
        <w:adjustRightInd w:val="0"/>
        <w:snapToGrid w:val="0"/>
        <w:spacing w:line="440" w:lineRule="exact"/>
        <w:ind w:firstLine="480" w:firstLineChars="200"/>
        <w:rPr>
          <w:rFonts w:ascii="Times New Roman" w:hAnsi="Times New Roman"/>
        </w:rPr>
      </w:pPr>
      <w:r>
        <w:rPr>
          <w:rFonts w:ascii="Times New Roman" w:hAnsi="Times New Roman"/>
        </w:rPr>
        <w:t>矿区锅炉灰渣来源于煤矿工业场地锅炉飞灰和渣，经除尘器收集后的灰渣，颗粒的比表面积大，活性强，煤灰中SiO</w:t>
      </w:r>
      <w:r>
        <w:rPr>
          <w:rFonts w:ascii="Times New Roman" w:hAnsi="Times New Roman"/>
          <w:vertAlign w:val="subscript"/>
        </w:rPr>
        <w:t>2</w:t>
      </w:r>
      <w:r>
        <w:rPr>
          <w:rFonts w:ascii="Times New Roman" w:hAnsi="Times New Roman"/>
        </w:rPr>
        <w:t>＋Al</w:t>
      </w:r>
      <w:r>
        <w:rPr>
          <w:rFonts w:ascii="Times New Roman" w:hAnsi="Times New Roman"/>
          <w:vertAlign w:val="subscript"/>
        </w:rPr>
        <w:t>2</w:t>
      </w:r>
      <w:r>
        <w:rPr>
          <w:rFonts w:ascii="Times New Roman" w:hAnsi="Times New Roman"/>
        </w:rPr>
        <w:t>O</w:t>
      </w:r>
      <w:r>
        <w:rPr>
          <w:rFonts w:ascii="Times New Roman" w:hAnsi="Times New Roman"/>
          <w:vertAlign w:val="subscript"/>
        </w:rPr>
        <w:t>3</w:t>
      </w:r>
      <w:r>
        <w:rPr>
          <w:rFonts w:ascii="Times New Roman" w:hAnsi="Times New Roman"/>
        </w:rPr>
        <w:t>＋Fe</w:t>
      </w:r>
      <w:r>
        <w:rPr>
          <w:rFonts w:ascii="Times New Roman" w:hAnsi="Times New Roman"/>
          <w:vertAlign w:val="subscript"/>
        </w:rPr>
        <w:t>2</w:t>
      </w:r>
      <w:r>
        <w:rPr>
          <w:rFonts w:ascii="Times New Roman" w:hAnsi="Times New Roman"/>
        </w:rPr>
        <w:t>O</w:t>
      </w:r>
      <w:r>
        <w:rPr>
          <w:rFonts w:ascii="Times New Roman" w:hAnsi="Times New Roman"/>
          <w:vertAlign w:val="subscript"/>
        </w:rPr>
        <w:t>3</w:t>
      </w:r>
      <w:r>
        <w:rPr>
          <w:rFonts w:ascii="Times New Roman" w:hAnsi="Times New Roman"/>
        </w:rPr>
        <w:t>+CaO含量较高，属活性较强的粉煤灰，适宜于矿区铺路等多种途径的综合利用。</w:t>
      </w:r>
    </w:p>
    <w:p>
      <w:pPr>
        <w:keepNext/>
        <w:keepLines/>
        <w:adjustRightInd w:val="0"/>
        <w:snapToGrid w:val="0"/>
        <w:spacing w:line="440" w:lineRule="exact"/>
        <w:outlineLvl w:val="3"/>
        <w:rPr>
          <w:rFonts w:ascii="Times New Roman" w:hAnsi="Times New Roman"/>
          <w:b/>
        </w:rPr>
      </w:pPr>
      <w:r>
        <w:rPr>
          <w:rFonts w:ascii="Times New Roman" w:hAnsi="Times New Roman"/>
          <w:b/>
        </w:rPr>
        <w:t>5.7.2.3 生活垃圾和有机污泥</w:t>
      </w:r>
    </w:p>
    <w:p>
      <w:pPr>
        <w:adjustRightInd w:val="0"/>
        <w:snapToGrid w:val="0"/>
        <w:spacing w:line="440" w:lineRule="exact"/>
        <w:ind w:firstLine="482" w:firstLineChars="200"/>
        <w:rPr>
          <w:rFonts w:ascii="Times New Roman" w:hAnsi="Times New Roman"/>
          <w:b/>
        </w:rPr>
      </w:pPr>
      <w:r>
        <w:rPr>
          <w:rFonts w:ascii="Times New Roman" w:hAnsi="Times New Roman"/>
          <w:b/>
        </w:rPr>
        <w:t>（1）生活垃圾</w:t>
      </w:r>
    </w:p>
    <w:p>
      <w:pPr>
        <w:adjustRightInd w:val="0"/>
        <w:snapToGrid w:val="0"/>
        <w:spacing w:line="440" w:lineRule="exact"/>
        <w:ind w:firstLine="480" w:firstLineChars="200"/>
        <w:rPr>
          <w:rFonts w:ascii="Times New Roman" w:hAnsi="Times New Roman"/>
        </w:rPr>
      </w:pPr>
      <w:r>
        <w:rPr>
          <w:rFonts w:ascii="Times New Roman" w:hAnsi="Times New Roman"/>
        </w:rPr>
        <w:t>生活垃圾可分为有机物和无机物，有机物有厨余、纸类、橡塑、布类、果皮和竹木类等，属于无机类的有玻璃、金属和杂物，包括炉灰、庭院灰土、碎砖瓦等；其中可回收废品包括金属、橡胶、塑料、废纸、玻璃等。有机物和无机物在生活垃圾中的比例随时空不同而不同，近年来，由于居民生活水平的提高，我国城市生活垃圾成分发生了很大的变化，厨余类有机物含量稳定在67％-79％，可回收类的有机物含量在14％-26％，各城市的有机成分总含量均在90％以上。</w:t>
      </w:r>
    </w:p>
    <w:p>
      <w:pPr>
        <w:adjustRightInd w:val="0"/>
        <w:snapToGrid w:val="0"/>
        <w:spacing w:line="440" w:lineRule="exact"/>
        <w:ind w:firstLine="482" w:firstLineChars="200"/>
        <w:rPr>
          <w:rFonts w:ascii="Times New Roman" w:hAnsi="Times New Roman"/>
          <w:b/>
        </w:rPr>
      </w:pPr>
      <w:r>
        <w:rPr>
          <w:rFonts w:ascii="Times New Roman" w:hAnsi="Times New Roman"/>
          <w:b/>
        </w:rPr>
        <w:t>（2）有机污泥</w:t>
      </w:r>
    </w:p>
    <w:p>
      <w:pPr>
        <w:adjustRightInd w:val="0"/>
        <w:snapToGrid w:val="0"/>
        <w:spacing w:line="440" w:lineRule="exact"/>
        <w:ind w:firstLine="480" w:firstLineChars="200"/>
        <w:rPr>
          <w:rFonts w:ascii="Times New Roman" w:hAnsi="Times New Roman"/>
        </w:rPr>
      </w:pPr>
      <w:r>
        <w:rPr>
          <w:rFonts w:ascii="Times New Roman" w:hAnsi="Times New Roman"/>
        </w:rPr>
        <w:t>矿区有机污泥主要来自煤矿生产生活污水处理厂，其污泥量的大小与污水处理的程度有关。一般来说，一级处理产生的污泥中含有3~7%的固态物，其中约含60~80%的有机物，呈灰色、黏性、粗燥和散发恶臭味；二级处理产生的污泥主要由微生物（75~90%）和惰性物质组成，呈棕色、絮状、带泥土气味，有机物的相对密度一般为1.01~1.06，无机颗粒物的相对密度为2.5，含有较多的絮状体机少量的纤维状物质；三级处理产生的污泥与其处理单元过程有关，除磷时产生的化学污泥较难处理，而采用生物硝化-反硝化过程的污泥与剩余活性污泥相似。</w:t>
      </w:r>
    </w:p>
    <w:p>
      <w:pPr>
        <w:keepNext/>
        <w:keepLines/>
        <w:adjustRightInd w:val="0"/>
        <w:snapToGrid w:val="0"/>
        <w:spacing w:line="440" w:lineRule="exact"/>
        <w:outlineLvl w:val="3"/>
        <w:rPr>
          <w:rFonts w:ascii="Times New Roman" w:hAnsi="Times New Roman"/>
          <w:b/>
        </w:rPr>
      </w:pPr>
      <w:r>
        <w:rPr>
          <w:rFonts w:ascii="Times New Roman" w:hAnsi="Times New Roman"/>
          <w:b/>
        </w:rPr>
        <w:t>5.7.2.4 危险废物</w:t>
      </w:r>
    </w:p>
    <w:p>
      <w:pPr>
        <w:adjustRightInd w:val="0"/>
        <w:snapToGrid w:val="0"/>
        <w:spacing w:line="440" w:lineRule="exact"/>
        <w:ind w:firstLine="480" w:firstLineChars="200"/>
        <w:jc w:val="left"/>
        <w:rPr>
          <w:rFonts w:ascii="Times New Roman" w:hAnsi="Times New Roman"/>
          <w:kern w:val="24"/>
        </w:rPr>
      </w:pPr>
      <w:r>
        <w:rPr>
          <w:rFonts w:ascii="Times New Roman" w:hAnsi="Times New Roman"/>
          <w:kern w:val="24"/>
        </w:rPr>
        <w:t>危险废物包括废矿物油及废油桶。废矿物油是因受杂质污染，氧化和热的作用，改变了原有的理化性能而不能继续使用时被更换下来的油；主要成分是含碳原子数比较少的</w:t>
      </w:r>
      <w:r>
        <w:fldChar w:fldCharType="begin"/>
      </w:r>
      <w:r>
        <w:instrText xml:space="preserve"> HYPERLINK "https://baike.baidu.com/item/%E7%83%83%E7%B1%BB/2742788" \t "https://baike.baidu.com/item/%E5%BA%9F%E7%9F%BF%E7%89%A9%E6%B2%B9/_blank" </w:instrText>
      </w:r>
      <w:r>
        <w:fldChar w:fldCharType="separate"/>
      </w:r>
      <w:r>
        <w:rPr>
          <w:rFonts w:ascii="Times New Roman" w:hAnsi="Times New Roman"/>
          <w:kern w:val="24"/>
        </w:rPr>
        <w:t>烃类</w:t>
      </w:r>
      <w:r>
        <w:rPr>
          <w:rFonts w:ascii="Times New Roman" w:hAnsi="Times New Roman"/>
          <w:kern w:val="24"/>
        </w:rPr>
        <w:fldChar w:fldCharType="end"/>
      </w:r>
      <w:r>
        <w:rPr>
          <w:rFonts w:ascii="Times New Roman" w:hAnsi="Times New Roman"/>
          <w:kern w:val="24"/>
        </w:rPr>
        <w:t>物质，多数是</w:t>
      </w:r>
      <w:r>
        <w:fldChar w:fldCharType="begin"/>
      </w:r>
      <w:r>
        <w:instrText xml:space="preserve"> HYPERLINK "https://baike.baidu.com/item/%E4%B8%8D%E9%A5%B1%E5%92%8C%E7%83%83/1510968" \t "https://baike.baidu.com/item/%E5%BA%9F%E7%9F%BF%E7%89%A9%E6%B2%B9/_blank" </w:instrText>
      </w:r>
      <w:r>
        <w:fldChar w:fldCharType="separate"/>
      </w:r>
      <w:r>
        <w:rPr>
          <w:rFonts w:ascii="Times New Roman" w:hAnsi="Times New Roman"/>
          <w:kern w:val="24"/>
        </w:rPr>
        <w:t>不饱和烃</w:t>
      </w:r>
      <w:r>
        <w:rPr>
          <w:rFonts w:ascii="Times New Roman" w:hAnsi="Times New Roman"/>
          <w:kern w:val="24"/>
        </w:rPr>
        <w:fldChar w:fldCharType="end"/>
      </w:r>
      <w:r>
        <w:rPr>
          <w:rFonts w:ascii="Times New Roman" w:hAnsi="Times New Roman"/>
          <w:kern w:val="24"/>
        </w:rPr>
        <w:t>。其主要成分是</w:t>
      </w:r>
      <w:r>
        <w:fldChar w:fldCharType="begin"/>
      </w:r>
      <w:r>
        <w:instrText xml:space="preserve"> HYPERLINK "https://baike.baidu.com/item/%E9%93%BE%E9%95%BF/10888191" \t "https://baike.baidu.com/item/%E5%BA%9F%E7%9F%BF%E7%89%A9%E6%B2%B9/_blank" </w:instrText>
      </w:r>
      <w:r>
        <w:fldChar w:fldCharType="separate"/>
      </w:r>
      <w:r>
        <w:rPr>
          <w:rFonts w:ascii="Times New Roman" w:hAnsi="Times New Roman"/>
          <w:kern w:val="24"/>
        </w:rPr>
        <w:t>链长</w:t>
      </w:r>
      <w:r>
        <w:rPr>
          <w:rFonts w:ascii="Times New Roman" w:hAnsi="Times New Roman"/>
          <w:kern w:val="24"/>
        </w:rPr>
        <w:fldChar w:fldCharType="end"/>
      </w:r>
      <w:r>
        <w:rPr>
          <w:rFonts w:ascii="Times New Roman" w:hAnsi="Times New Roman"/>
          <w:kern w:val="24"/>
        </w:rPr>
        <w:t>不等的碳氢化合物，性能稳定。根据《国家危险废物名录（2021年版）》，目前整合区产生的危险废物主要包括HW08废矿物油与含矿物油废物、HW49其他废物。危险废物产生的来源主要为车辆及其他机械维修过程中产生的废机油与含矿物油废物；液压设备维护、更换过程中产生的废液压油；沾染矿物油的废弃包装物及滤芯。从具体车间来看，产生车间主要包括设备备件库、综合材料库、综合修理车间等。危险特性见表5.7-3。</w:t>
      </w:r>
    </w:p>
    <w:p>
      <w:pPr>
        <w:adjustRightInd w:val="0"/>
        <w:snapToGrid w:val="0"/>
        <w:spacing w:line="440" w:lineRule="exact"/>
        <w:jc w:val="center"/>
        <w:rPr>
          <w:rFonts w:ascii="Times New Roman" w:hAnsi="Times New Roman"/>
          <w:b/>
          <w:bCs/>
          <w:kern w:val="24"/>
        </w:rPr>
      </w:pPr>
      <w:r>
        <w:rPr>
          <w:rFonts w:ascii="Times New Roman" w:hAnsi="Times New Roman"/>
          <w:b/>
          <w:bCs/>
          <w:kern w:val="24"/>
        </w:rPr>
        <w:t>危险废物类别及特性</w:t>
      </w:r>
    </w:p>
    <w:p>
      <w:pPr>
        <w:spacing w:line="360" w:lineRule="auto"/>
        <w:jc w:val="left"/>
        <w:rPr>
          <w:rFonts w:ascii="Times New Roman" w:hAnsi="Times New Roman"/>
          <w:szCs w:val="24"/>
        </w:rPr>
      </w:pPr>
      <w:r>
        <w:rPr>
          <w:rFonts w:ascii="Times New Roman" w:hAnsi="Times New Roman"/>
          <w:szCs w:val="24"/>
        </w:rPr>
        <w:t>表5.7-3</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2"/>
        <w:gridCol w:w="3941"/>
        <w:gridCol w:w="31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exact"/>
          <w:jc w:val="center"/>
        </w:trPr>
        <w:tc>
          <w:tcPr>
            <w:tcW w:w="2202" w:type="dxa"/>
            <w:shd w:val="clear" w:color="auto" w:fill="auto"/>
            <w:vAlign w:val="center"/>
          </w:tcPr>
          <w:p>
            <w:pPr>
              <w:jc w:val="center"/>
              <w:rPr>
                <w:rFonts w:ascii="Times New Roman" w:hAnsi="Times New Roman"/>
                <w:sz w:val="21"/>
                <w:szCs w:val="21"/>
              </w:rPr>
            </w:pPr>
            <w:r>
              <w:rPr>
                <w:rFonts w:ascii="Times New Roman" w:hAnsi="Times New Roman"/>
                <w:sz w:val="21"/>
                <w:szCs w:val="21"/>
              </w:rPr>
              <w:t>废物类别</w:t>
            </w:r>
          </w:p>
        </w:tc>
        <w:tc>
          <w:tcPr>
            <w:tcW w:w="3941" w:type="dxa"/>
            <w:vAlign w:val="center"/>
          </w:tcPr>
          <w:p>
            <w:pPr>
              <w:jc w:val="center"/>
              <w:rPr>
                <w:rFonts w:ascii="Times New Roman" w:hAnsi="Times New Roman"/>
                <w:sz w:val="21"/>
                <w:szCs w:val="21"/>
              </w:rPr>
            </w:pPr>
            <w:r>
              <w:rPr>
                <w:rFonts w:ascii="Times New Roman" w:hAnsi="Times New Roman"/>
                <w:sz w:val="21"/>
                <w:szCs w:val="21"/>
              </w:rPr>
              <w:t>废物名称与代码</w:t>
            </w:r>
          </w:p>
        </w:tc>
        <w:tc>
          <w:tcPr>
            <w:tcW w:w="3144" w:type="dxa"/>
            <w:vAlign w:val="center"/>
          </w:tcPr>
          <w:p>
            <w:pPr>
              <w:jc w:val="center"/>
              <w:rPr>
                <w:rFonts w:ascii="Times New Roman" w:hAnsi="Times New Roman"/>
                <w:sz w:val="21"/>
                <w:szCs w:val="21"/>
              </w:rPr>
            </w:pPr>
            <w:r>
              <w:rPr>
                <w:rFonts w:ascii="Times New Roman" w:hAnsi="Times New Roman"/>
                <w:sz w:val="21"/>
                <w:szCs w:val="21"/>
              </w:rPr>
              <w:t>危险特性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202" w:type="dxa"/>
            <w:vMerge w:val="restart"/>
            <w:shd w:val="clear" w:color="auto" w:fill="auto"/>
            <w:vAlign w:val="center"/>
          </w:tcPr>
          <w:p>
            <w:pPr>
              <w:jc w:val="center"/>
              <w:rPr>
                <w:rFonts w:ascii="Times New Roman" w:hAnsi="Times New Roman"/>
                <w:sz w:val="21"/>
                <w:szCs w:val="21"/>
              </w:rPr>
            </w:pPr>
            <w:r>
              <w:rPr>
                <w:rFonts w:ascii="Times New Roman" w:hAnsi="Times New Roman"/>
                <w:sz w:val="21"/>
                <w:szCs w:val="21"/>
              </w:rPr>
              <w:t>HW08</w:t>
            </w:r>
          </w:p>
          <w:p>
            <w:pPr>
              <w:jc w:val="center"/>
              <w:rPr>
                <w:rFonts w:ascii="Times New Roman" w:hAnsi="Times New Roman"/>
                <w:sz w:val="21"/>
                <w:szCs w:val="21"/>
              </w:rPr>
            </w:pPr>
            <w:r>
              <w:rPr>
                <w:rFonts w:ascii="Times New Roman" w:hAnsi="Times New Roman"/>
                <w:sz w:val="21"/>
                <w:szCs w:val="21"/>
              </w:rPr>
              <w:t>废矿物油与含矿物油废物</w:t>
            </w:r>
          </w:p>
        </w:tc>
        <w:tc>
          <w:tcPr>
            <w:tcW w:w="3941" w:type="dxa"/>
            <w:vAlign w:val="center"/>
          </w:tcPr>
          <w:p>
            <w:pPr>
              <w:jc w:val="center"/>
              <w:rPr>
                <w:rFonts w:ascii="Times New Roman" w:hAnsi="Times New Roman"/>
                <w:sz w:val="21"/>
                <w:szCs w:val="21"/>
              </w:rPr>
            </w:pPr>
            <w:r>
              <w:rPr>
                <w:rFonts w:ascii="Times New Roman" w:hAnsi="Times New Roman"/>
                <w:sz w:val="21"/>
                <w:szCs w:val="21"/>
              </w:rPr>
              <w:t>废机油（900-214-08）</w:t>
            </w:r>
          </w:p>
        </w:tc>
        <w:tc>
          <w:tcPr>
            <w:tcW w:w="3144" w:type="dxa"/>
            <w:vAlign w:val="center"/>
          </w:tcPr>
          <w:p>
            <w:pPr>
              <w:jc w:val="center"/>
              <w:rPr>
                <w:rFonts w:ascii="Times New Roman" w:hAnsi="Times New Roman"/>
                <w:sz w:val="21"/>
                <w:szCs w:val="21"/>
              </w:rPr>
            </w:pPr>
            <w:r>
              <w:rPr>
                <w:rFonts w:ascii="Times New Roman" w:hAnsi="Times New Roman"/>
                <w:sz w:val="21"/>
                <w:szCs w:val="21"/>
              </w:rPr>
              <w:t>毒性（T）、易燃性（I）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2202" w:type="dxa"/>
            <w:vMerge w:val="continue"/>
            <w:shd w:val="clear" w:color="auto" w:fill="auto"/>
            <w:vAlign w:val="center"/>
          </w:tcPr>
          <w:p>
            <w:pPr>
              <w:jc w:val="center"/>
              <w:rPr>
                <w:rFonts w:ascii="Times New Roman" w:hAnsi="Times New Roman"/>
                <w:sz w:val="21"/>
                <w:szCs w:val="21"/>
              </w:rPr>
            </w:pPr>
          </w:p>
        </w:tc>
        <w:tc>
          <w:tcPr>
            <w:tcW w:w="3941" w:type="dxa"/>
            <w:vAlign w:val="center"/>
          </w:tcPr>
          <w:p>
            <w:pPr>
              <w:jc w:val="center"/>
              <w:rPr>
                <w:rFonts w:ascii="Times New Roman" w:hAnsi="Times New Roman"/>
                <w:sz w:val="21"/>
                <w:szCs w:val="21"/>
              </w:rPr>
            </w:pPr>
            <w:r>
              <w:rPr>
                <w:rFonts w:ascii="Times New Roman" w:hAnsi="Times New Roman"/>
                <w:sz w:val="21"/>
                <w:szCs w:val="21"/>
              </w:rPr>
              <w:t>空油桶（900-249-08）</w:t>
            </w:r>
          </w:p>
        </w:tc>
        <w:tc>
          <w:tcPr>
            <w:tcW w:w="3144" w:type="dxa"/>
            <w:vAlign w:val="center"/>
          </w:tcPr>
          <w:p>
            <w:pPr>
              <w:jc w:val="center"/>
              <w:rPr>
                <w:rFonts w:ascii="Times New Roman" w:hAnsi="Times New Roman"/>
                <w:sz w:val="21"/>
                <w:szCs w:val="21"/>
              </w:rPr>
            </w:pPr>
            <w:r>
              <w:rPr>
                <w:rFonts w:ascii="Times New Roman" w:hAnsi="Times New Roman"/>
                <w:sz w:val="21"/>
                <w:szCs w:val="21"/>
              </w:rPr>
              <w:t>毒性（T）、易燃性（I）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4" w:hRule="atLeast"/>
          <w:jc w:val="center"/>
        </w:trPr>
        <w:tc>
          <w:tcPr>
            <w:tcW w:w="2202" w:type="dxa"/>
            <w:vMerge w:val="restart"/>
            <w:shd w:val="clear" w:color="auto" w:fill="auto"/>
            <w:vAlign w:val="center"/>
          </w:tcPr>
          <w:p>
            <w:pPr>
              <w:jc w:val="center"/>
              <w:rPr>
                <w:rFonts w:ascii="Times New Roman" w:hAnsi="Times New Roman"/>
                <w:sz w:val="21"/>
                <w:szCs w:val="21"/>
              </w:rPr>
            </w:pPr>
            <w:r>
              <w:rPr>
                <w:rFonts w:ascii="Times New Roman" w:hAnsi="Times New Roman"/>
                <w:sz w:val="21"/>
                <w:szCs w:val="21"/>
              </w:rPr>
              <w:t>HW49</w:t>
            </w:r>
          </w:p>
          <w:p>
            <w:pPr>
              <w:jc w:val="center"/>
              <w:rPr>
                <w:rFonts w:ascii="Times New Roman" w:hAnsi="Times New Roman"/>
                <w:sz w:val="21"/>
                <w:szCs w:val="21"/>
              </w:rPr>
            </w:pPr>
            <w:r>
              <w:rPr>
                <w:rFonts w:ascii="Times New Roman" w:hAnsi="Times New Roman"/>
                <w:sz w:val="21"/>
                <w:szCs w:val="21"/>
              </w:rPr>
              <w:t>其他废物</w:t>
            </w:r>
          </w:p>
        </w:tc>
        <w:tc>
          <w:tcPr>
            <w:tcW w:w="3941" w:type="dxa"/>
            <w:vAlign w:val="center"/>
          </w:tcPr>
          <w:p>
            <w:pPr>
              <w:jc w:val="center"/>
              <w:rPr>
                <w:rFonts w:ascii="Times New Roman" w:hAnsi="Times New Roman"/>
                <w:sz w:val="21"/>
                <w:szCs w:val="21"/>
              </w:rPr>
            </w:pPr>
            <w:r>
              <w:rPr>
                <w:rFonts w:ascii="Times New Roman" w:hAnsi="Times New Roman"/>
                <w:sz w:val="21"/>
                <w:szCs w:val="21"/>
              </w:rPr>
              <w:t>含油抹布、含油胶管、含油木屑、含油滤芯、含油钢丝绳、废滤芯等含油废物 (900-041-49)</w:t>
            </w:r>
          </w:p>
        </w:tc>
        <w:tc>
          <w:tcPr>
            <w:tcW w:w="3144" w:type="dxa"/>
            <w:vAlign w:val="center"/>
          </w:tcPr>
          <w:p>
            <w:pPr>
              <w:jc w:val="center"/>
              <w:rPr>
                <w:rFonts w:ascii="Times New Roman" w:hAnsi="Times New Roman"/>
                <w:sz w:val="21"/>
                <w:szCs w:val="21"/>
              </w:rPr>
            </w:pPr>
            <w:r>
              <w:rPr>
                <w:rFonts w:ascii="Times New Roman" w:hAnsi="Times New Roman"/>
                <w:sz w:val="21"/>
                <w:szCs w:val="21"/>
              </w:rPr>
              <w:t>毒性（T）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2202" w:type="dxa"/>
            <w:vMerge w:val="continue"/>
            <w:shd w:val="clear" w:color="auto" w:fill="auto"/>
            <w:vAlign w:val="center"/>
          </w:tcPr>
          <w:p>
            <w:pPr>
              <w:jc w:val="center"/>
              <w:rPr>
                <w:rFonts w:ascii="Times New Roman" w:hAnsi="Times New Roman"/>
                <w:sz w:val="21"/>
                <w:szCs w:val="21"/>
              </w:rPr>
            </w:pPr>
          </w:p>
        </w:tc>
        <w:tc>
          <w:tcPr>
            <w:tcW w:w="3941" w:type="dxa"/>
            <w:vAlign w:val="center"/>
          </w:tcPr>
          <w:p>
            <w:pPr>
              <w:jc w:val="center"/>
              <w:rPr>
                <w:rFonts w:ascii="Times New Roman" w:hAnsi="Times New Roman"/>
                <w:sz w:val="21"/>
                <w:szCs w:val="21"/>
              </w:rPr>
            </w:pPr>
            <w:r>
              <w:rPr>
                <w:rFonts w:ascii="Times New Roman" w:hAnsi="Times New Roman"/>
                <w:sz w:val="21"/>
                <w:szCs w:val="21"/>
              </w:rPr>
              <w:t>废电池(900-044-49)</w:t>
            </w:r>
          </w:p>
        </w:tc>
        <w:tc>
          <w:tcPr>
            <w:tcW w:w="3144" w:type="dxa"/>
            <w:vAlign w:val="center"/>
          </w:tcPr>
          <w:p>
            <w:pPr>
              <w:jc w:val="center"/>
              <w:rPr>
                <w:rFonts w:ascii="Times New Roman" w:hAnsi="Times New Roman"/>
                <w:sz w:val="21"/>
                <w:szCs w:val="21"/>
              </w:rPr>
            </w:pPr>
            <w:r>
              <w:rPr>
                <w:rFonts w:ascii="Times New Roman" w:hAnsi="Times New Roman"/>
                <w:sz w:val="21"/>
                <w:szCs w:val="21"/>
              </w:rPr>
              <w:t>毒性（T）</w:t>
            </w:r>
          </w:p>
        </w:tc>
      </w:tr>
    </w:tbl>
    <w:p>
      <w:pPr>
        <w:keepNext/>
        <w:keepLines/>
        <w:adjustRightInd w:val="0"/>
        <w:snapToGrid w:val="0"/>
        <w:spacing w:before="240" w:beforeLines="100" w:line="440" w:lineRule="exact"/>
        <w:outlineLvl w:val="2"/>
        <w:rPr>
          <w:rFonts w:ascii="Times New Roman" w:hAnsi="Times New Roman"/>
          <w:b/>
        </w:rPr>
      </w:pPr>
      <w:r>
        <w:rPr>
          <w:rFonts w:ascii="Times New Roman" w:hAnsi="Times New Roman"/>
          <w:b/>
        </w:rPr>
        <w:t>5.7.3 固体废物综合利用以及处置</w:t>
      </w:r>
    </w:p>
    <w:p>
      <w:pPr>
        <w:keepNext/>
        <w:keepLines/>
        <w:adjustRightInd w:val="0"/>
        <w:snapToGrid w:val="0"/>
        <w:spacing w:line="440" w:lineRule="exact"/>
        <w:outlineLvl w:val="3"/>
        <w:rPr>
          <w:rFonts w:ascii="Times New Roman" w:hAnsi="Times New Roman"/>
          <w:b/>
        </w:rPr>
      </w:pPr>
      <w:r>
        <w:rPr>
          <w:rFonts w:ascii="Times New Roman" w:hAnsi="Times New Roman"/>
          <w:b/>
        </w:rPr>
        <w:t>5.7.3.1 建设期固体废弃物处置</w:t>
      </w:r>
    </w:p>
    <w:p>
      <w:pPr>
        <w:autoSpaceDE w:val="0"/>
        <w:autoSpaceDN w:val="0"/>
        <w:adjustRightInd w:val="0"/>
        <w:snapToGrid w:val="0"/>
        <w:spacing w:line="440" w:lineRule="exact"/>
        <w:ind w:firstLine="480"/>
        <w:rPr>
          <w:rFonts w:ascii="Times New Roman" w:hAnsi="Times New Roman"/>
          <w:kern w:val="0"/>
        </w:rPr>
      </w:pPr>
      <w:r>
        <w:rPr>
          <w:rFonts w:ascii="Times New Roman" w:hAnsi="Times New Roman"/>
          <w:kern w:val="0"/>
        </w:rPr>
        <w:t>施工期土方尽量实现“以挖作填”，尽可能减少外排土石方量。固体废物严禁乱堆乱放，临时堆放应加盖遮挡物或进行植被覆盖，永久弃用的固体废弃物运至集中处置场，并进行拦挡、覆土、复垦处置，防止固体废弃物乱堆乱放产生水土流失、扬尘。</w:t>
      </w:r>
    </w:p>
    <w:p>
      <w:pPr>
        <w:autoSpaceDE w:val="0"/>
        <w:autoSpaceDN w:val="0"/>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对于线性工程(铁路、公路等)施工期的取、弃土场，首先选址合理</w:t>
      </w:r>
      <w:r>
        <w:rPr>
          <w:rFonts w:ascii="Times New Roman" w:hAnsi="Times New Roman"/>
          <w:kern w:val="0"/>
        </w:rPr>
        <w:t>，其次应做好其场地的环保、水保防护措施，并在服务期结束后认真作好其生态恢复工作。</w:t>
      </w:r>
    </w:p>
    <w:p>
      <w:pPr>
        <w:keepNext/>
        <w:keepLines/>
        <w:adjustRightInd w:val="0"/>
        <w:snapToGrid w:val="0"/>
        <w:spacing w:line="440" w:lineRule="exact"/>
        <w:outlineLvl w:val="3"/>
        <w:rPr>
          <w:rFonts w:ascii="Times New Roman" w:hAnsi="Times New Roman"/>
          <w:b/>
        </w:rPr>
      </w:pPr>
      <w:r>
        <w:rPr>
          <w:rFonts w:ascii="Times New Roman" w:hAnsi="Times New Roman"/>
          <w:b/>
        </w:rPr>
        <w:t>5.7.3.2 矸石的综合利用以及处置</w:t>
      </w:r>
    </w:p>
    <w:p>
      <w:pPr>
        <w:adjustRightInd w:val="0"/>
        <w:snapToGrid w:val="0"/>
        <w:spacing w:line="440" w:lineRule="exact"/>
        <w:ind w:firstLine="480" w:firstLineChars="200"/>
        <w:rPr>
          <w:rFonts w:ascii="Times New Roman" w:hAnsi="Times New Roman"/>
          <w:color w:val="FF0000"/>
          <w:kern w:val="0"/>
          <w:szCs w:val="24"/>
        </w:rPr>
      </w:pPr>
      <w:r>
        <w:rPr>
          <w:rFonts w:ascii="Times New Roman" w:hAnsi="Times New Roman"/>
          <w:color w:val="FF0000"/>
          <w:kern w:val="0"/>
        </w:rPr>
        <w:t>矿区规划达产时，预计每年产生的矸石量约为3.06</w:t>
      </w:r>
      <w:r>
        <w:rPr>
          <w:rFonts w:ascii="Times New Roman" w:hAnsi="Times New Roman"/>
          <w:color w:val="FF0000"/>
          <w:szCs w:val="24"/>
        </w:rPr>
        <w:t>Mt/a</w:t>
      </w:r>
      <w:r>
        <w:rPr>
          <w:rFonts w:ascii="Times New Roman" w:hAnsi="Times New Roman"/>
          <w:color w:val="FF0000"/>
          <w:kern w:val="0"/>
        </w:rPr>
        <w:t>，</w:t>
      </w:r>
      <w:r>
        <w:rPr>
          <w:rFonts w:ascii="Times New Roman" w:hAnsi="Times New Roman"/>
          <w:color w:val="FF0000"/>
          <w:szCs w:val="24"/>
        </w:rPr>
        <w:t>其中矿井掘进矸石0.54Mt/a，选煤厂矸石2.52Mt/a。矿井掘进矸石全部用于井下充填废弃巷道不出井。洗选矸石初期运往矸石周转场地临时堆存，后期主要用于井下充填采空区，矿区煤矸石利用率可达到95%以上，矸石处置率100%，满足鄂尔多斯市生态环境保护规划中关于矿区煤矸石综合利用率达到95%以上的要求。</w:t>
      </w:r>
    </w:p>
    <w:p>
      <w:pPr>
        <w:keepNext/>
        <w:keepLines/>
        <w:adjustRightInd w:val="0"/>
        <w:snapToGrid w:val="0"/>
        <w:spacing w:line="440" w:lineRule="exact"/>
        <w:outlineLvl w:val="3"/>
        <w:rPr>
          <w:rFonts w:ascii="Times New Roman" w:hAnsi="Times New Roman"/>
          <w:b/>
        </w:rPr>
      </w:pPr>
      <w:r>
        <w:rPr>
          <w:rFonts w:ascii="Times New Roman" w:hAnsi="Times New Roman"/>
          <w:b/>
        </w:rPr>
        <w:t>5.7.3.3锅炉灰渣的综合利用与处置</w:t>
      </w:r>
    </w:p>
    <w:p>
      <w:pPr>
        <w:adjustRightInd w:val="0"/>
        <w:snapToGrid w:val="0"/>
        <w:spacing w:line="440" w:lineRule="exact"/>
        <w:ind w:firstLine="480" w:firstLineChars="200"/>
        <w:rPr>
          <w:rFonts w:ascii="Times New Roman" w:hAnsi="Times New Roman"/>
        </w:rPr>
      </w:pPr>
      <w:r>
        <w:rPr>
          <w:rFonts w:ascii="Times New Roman" w:hAnsi="Times New Roman"/>
        </w:rPr>
        <w:t>锅炉灰渣主要由各矿井工业场地锅炉房排放，其排放量为</w:t>
      </w:r>
      <w:r>
        <w:rPr>
          <w:rFonts w:ascii="Times New Roman" w:hAnsi="Times New Roman"/>
          <w:kern w:val="0"/>
          <w:szCs w:val="24"/>
        </w:rPr>
        <w:t>1007.4</w:t>
      </w:r>
      <w:r>
        <w:rPr>
          <w:rFonts w:ascii="Times New Roman" w:hAnsi="Times New Roman"/>
        </w:rPr>
        <w:t>t/a，可</w:t>
      </w:r>
      <w:r>
        <w:rPr>
          <w:rFonts w:ascii="Times New Roman" w:hAnsi="Times New Roman"/>
          <w:szCs w:val="24"/>
        </w:rPr>
        <w:t>用于井下防火灌浆、矿区铺路、鄂尔多斯江苏工业园等道路市政建设综合利用，</w:t>
      </w:r>
      <w:r>
        <w:rPr>
          <w:rFonts w:ascii="Times New Roman" w:hAnsi="Times New Roman"/>
          <w:snapToGrid w:val="0"/>
        </w:rPr>
        <w:t>其处置率需达到100%。</w:t>
      </w:r>
    </w:p>
    <w:p>
      <w:pPr>
        <w:keepNext/>
        <w:keepLines/>
        <w:adjustRightInd w:val="0"/>
        <w:snapToGrid w:val="0"/>
        <w:spacing w:line="440" w:lineRule="exact"/>
        <w:outlineLvl w:val="3"/>
        <w:rPr>
          <w:rFonts w:ascii="Times New Roman" w:hAnsi="Times New Roman"/>
          <w:b/>
        </w:rPr>
      </w:pPr>
      <w:r>
        <w:rPr>
          <w:rFonts w:ascii="Times New Roman" w:hAnsi="Times New Roman"/>
          <w:b/>
        </w:rPr>
        <w:t>5.7.3.4 生活垃圾和生化污泥的处理与处置</w:t>
      </w:r>
    </w:p>
    <w:p>
      <w:pPr>
        <w:autoSpaceDE w:val="0"/>
        <w:autoSpaceDN w:val="0"/>
        <w:adjustRightInd w:val="0"/>
        <w:snapToGrid w:val="0"/>
        <w:spacing w:line="440" w:lineRule="exact"/>
        <w:ind w:firstLine="480"/>
        <w:rPr>
          <w:rFonts w:ascii="Times New Roman" w:hAnsi="Times New Roman"/>
          <w:kern w:val="0"/>
        </w:rPr>
      </w:pPr>
      <w:r>
        <w:rPr>
          <w:rFonts w:ascii="Times New Roman" w:hAnsi="Times New Roman"/>
          <w:kern w:val="0"/>
        </w:rPr>
        <w:t>（1）生活垃圾的处理与处置</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矿区内产生的生活垃圾应由矿区有关部门统一收集，运至鄂尔多斯市垃圾处理场处置，或可考虑各矿井设置压缩式垃圾中转站收集垃圾。集中解决位置较偏远处矿井生活垃圾处置问题。</w:t>
      </w:r>
    </w:p>
    <w:p>
      <w:pPr>
        <w:autoSpaceDE w:val="0"/>
        <w:autoSpaceDN w:val="0"/>
        <w:adjustRightInd w:val="0"/>
        <w:snapToGrid w:val="0"/>
        <w:spacing w:line="440" w:lineRule="exact"/>
        <w:ind w:firstLine="480"/>
        <w:rPr>
          <w:rFonts w:ascii="Times New Roman" w:hAnsi="Times New Roman"/>
          <w:kern w:val="0"/>
        </w:rPr>
      </w:pPr>
      <w:r>
        <w:rPr>
          <w:rFonts w:ascii="Times New Roman" w:hAnsi="Times New Roman"/>
          <w:kern w:val="0"/>
        </w:rPr>
        <w:t>（2）污泥的处理与处置</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矿井水处理站煤泥，经压滤后可掺入混煤中对外销售。</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生活污水处理站污泥，经压滤后与生活垃圾共同运至鄂尔多斯市垃圾填埋场处置。</w:t>
      </w:r>
    </w:p>
    <w:p>
      <w:pPr>
        <w:keepNext/>
        <w:keepLines/>
        <w:adjustRightInd w:val="0"/>
        <w:snapToGrid w:val="0"/>
        <w:spacing w:line="440" w:lineRule="exact"/>
        <w:outlineLvl w:val="3"/>
        <w:rPr>
          <w:rFonts w:ascii="Times New Roman" w:hAnsi="Times New Roman"/>
          <w:b/>
        </w:rPr>
      </w:pPr>
      <w:r>
        <w:rPr>
          <w:rFonts w:ascii="Times New Roman" w:hAnsi="Times New Roman"/>
          <w:b/>
        </w:rPr>
        <w:t>5.7.3.5 危险废物处理处置</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危险废物应严格按照《危险废物贮存污染控制标准》（GB18597-2001）及其2013年修改单要求，由各矿在场地内建设危废暂存库，按要求设置地面防渗、导流槽、危废标识等措施，定期交由有资质的单位进行处理。</w:t>
      </w:r>
    </w:p>
    <w:p>
      <w:pPr>
        <w:keepNext/>
        <w:keepLines/>
        <w:adjustRightInd w:val="0"/>
        <w:snapToGrid w:val="0"/>
        <w:spacing w:line="440" w:lineRule="exact"/>
        <w:outlineLvl w:val="2"/>
        <w:rPr>
          <w:rFonts w:ascii="Times New Roman" w:hAnsi="Times New Roman"/>
          <w:b/>
        </w:rPr>
      </w:pPr>
      <w:bookmarkStart w:id="284" w:name="_Toc163441017"/>
      <w:r>
        <w:rPr>
          <w:rFonts w:ascii="Times New Roman" w:hAnsi="Times New Roman"/>
          <w:b/>
        </w:rPr>
        <w:t>5.7.4 固体废物环境影响分析</w:t>
      </w:r>
      <w:bookmarkEnd w:id="284"/>
    </w:p>
    <w:p>
      <w:pPr>
        <w:keepNext/>
        <w:keepLines/>
        <w:adjustRightInd w:val="0"/>
        <w:snapToGrid w:val="0"/>
        <w:spacing w:line="440" w:lineRule="exact"/>
        <w:outlineLvl w:val="3"/>
        <w:rPr>
          <w:rFonts w:ascii="Times New Roman" w:hAnsi="Times New Roman"/>
          <w:b/>
        </w:rPr>
      </w:pPr>
      <w:bookmarkStart w:id="285" w:name="_Toc156189010"/>
      <w:r>
        <w:rPr>
          <w:rFonts w:ascii="Times New Roman" w:hAnsi="Times New Roman"/>
          <w:b/>
        </w:rPr>
        <w:t>5.7.4.1 矸石堆存的环境影响</w:t>
      </w:r>
      <w:bookmarkEnd w:id="285"/>
    </w:p>
    <w:p>
      <w:pPr>
        <w:autoSpaceDE w:val="0"/>
        <w:autoSpaceDN w:val="0"/>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1）扬尘污染</w:t>
      </w:r>
    </w:p>
    <w:p>
      <w:pPr>
        <w:autoSpaceDE w:val="0"/>
        <w:autoSpaceDN w:val="0"/>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固体物料起尘条件主要取决于其粒度、表面含水量和风速的大小，矸石在堆放场存放过程中随着表面水分的逐渐蒸发，遇到大气天气就易产生风蚀扬尘。根据矸石堆扬尘的风洞模拟试验资料，矸石堆的起尘风速为4.8m/s，据当地气象资料，矿区多年平均风速为2.7m/s，由此可预知，矿区一年之中发生矸石堆扬尘机会较少，但在具备起尘风速条件时若土石堆处理不当会对周围环境空气产生扬尘污染。</w:t>
      </w:r>
    </w:p>
    <w:p>
      <w:pPr>
        <w:autoSpaceDE w:val="0"/>
        <w:autoSpaceDN w:val="0"/>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2）对水环境影响分析</w:t>
      </w:r>
    </w:p>
    <w:p>
      <w:pPr>
        <w:autoSpaceDE w:val="0"/>
        <w:autoSpaceDN w:val="0"/>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矸石露天堆放，经降雨淋溶后可溶解性元素随雨水迁移进入土壤和水体，可能会对土壤、水环境产生一定的影响，其影响程度取决于淋溶液中污染物的排放情况及所在地的环境性质。</w:t>
      </w:r>
    </w:p>
    <w:p>
      <w:pPr>
        <w:autoSpaceDE w:val="0"/>
        <w:autoSpaceDN w:val="0"/>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本矿区矸石不在《国家危险废物名录》中，且浸出液各项指标也均未超过《污水综合排放标准》（GB8978-1996）中一级排放标准规定限值，矿区矸石不属于危险固体废物，属于第Ⅰ类一般工业固体废物。</w:t>
      </w:r>
      <w:r>
        <w:rPr>
          <w:rFonts w:ascii="Times New Roman" w:hAnsi="Times New Roman"/>
        </w:rPr>
        <w:t>临时矸石周转场</w:t>
      </w:r>
      <w:r>
        <w:rPr>
          <w:rFonts w:ascii="Times New Roman" w:hAnsi="Times New Roman"/>
          <w:spacing w:val="3"/>
          <w:kern w:val="0"/>
        </w:rPr>
        <w:t>应按照</w:t>
      </w:r>
      <w:r>
        <w:rPr>
          <w:rFonts w:ascii="Times New Roman" w:hAnsi="Times New Roman"/>
        </w:rPr>
        <w:t>《一般工业固体废物贮存和填埋污染控制标准》（GB18599-2020）设置防渗系统、导流槽等措施。在采取上述措施后，可减缓</w:t>
      </w:r>
      <w:r>
        <w:rPr>
          <w:rFonts w:ascii="Times New Roman" w:hAnsi="Times New Roman"/>
          <w:spacing w:val="3"/>
          <w:kern w:val="0"/>
        </w:rPr>
        <w:t>地下水环境及地表水环境污染。</w:t>
      </w:r>
    </w:p>
    <w:p>
      <w:pPr>
        <w:autoSpaceDE w:val="0"/>
        <w:autoSpaceDN w:val="0"/>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3）矸石堆存自燃对环境影响分析</w:t>
      </w:r>
    </w:p>
    <w:p>
      <w:pPr>
        <w:autoSpaceDE w:val="0"/>
        <w:autoSpaceDN w:val="0"/>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煤矸石发生自燃的两个基本条件是矸石中存在可燃物质和良好通风、储热条件，硫铁矿和丝炭是煤矸石中的主要可燃物质，硫铁矿是缺氧条件下生成的，赋存于煤层及煤系地层之中，呈结核和结晶状态，经过开采后能在常温下从低温氧化自热到燃烧，煤中的丝炭也有吸氧作用，燃点低，易引起煤炭的自燃，氧气和水是煤矸石自燃的必要条件，良好的通风条件使自燃有充足氧气供给，同时在煤矸自热过程也需要良好的储热条件，使矸石堆中温度达到燃点发生自燃，水可以加速煤矸石的风化，使矸石表面粉碎膨胀，使自燃更加容易。</w:t>
      </w:r>
    </w:p>
    <w:p>
      <w:pPr>
        <w:autoSpaceDE w:val="0"/>
        <w:autoSpaceDN w:val="0"/>
        <w:adjustRightInd w:val="0"/>
        <w:snapToGrid w:val="0"/>
        <w:spacing w:line="440" w:lineRule="exact"/>
        <w:ind w:firstLine="492"/>
        <w:rPr>
          <w:rFonts w:ascii="Times New Roman" w:hAnsi="Times New Roman"/>
          <w:spacing w:val="3"/>
          <w:kern w:val="0"/>
        </w:rPr>
      </w:pPr>
      <w:r>
        <w:rPr>
          <w:rFonts w:ascii="Times New Roman" w:hAnsi="Times New Roman"/>
          <w:spacing w:val="3"/>
          <w:kern w:val="0"/>
        </w:rPr>
        <w:t>若矸石碓自燃易造成火灾，同时也会散发大量SO</w:t>
      </w:r>
      <w:r>
        <w:rPr>
          <w:rFonts w:ascii="Times New Roman" w:hAnsi="Times New Roman"/>
          <w:spacing w:val="3"/>
          <w:kern w:val="0"/>
          <w:vertAlign w:val="subscript"/>
        </w:rPr>
        <w:t>2</w:t>
      </w:r>
      <w:r>
        <w:rPr>
          <w:rFonts w:ascii="Times New Roman" w:hAnsi="Times New Roman"/>
          <w:spacing w:val="3"/>
          <w:kern w:val="0"/>
        </w:rPr>
        <w:t>，造成周边大气SO</w:t>
      </w:r>
      <w:r>
        <w:rPr>
          <w:rFonts w:ascii="Times New Roman" w:hAnsi="Times New Roman"/>
          <w:spacing w:val="3"/>
          <w:kern w:val="0"/>
          <w:vertAlign w:val="subscript"/>
        </w:rPr>
        <w:t>2</w:t>
      </w:r>
      <w:r>
        <w:rPr>
          <w:rFonts w:ascii="Times New Roman" w:hAnsi="Times New Roman"/>
          <w:spacing w:val="3"/>
          <w:kern w:val="0"/>
        </w:rPr>
        <w:t>浓度增高，这不仅给大气造成严重污染，而且还会使矸石山附近生态环境恶化，对矸石山周围农牧业生产也带来严重影响，建议矿区各规划煤矿对矸石堆置实施分层堆置、压实、覆土的措施，隔绝空气，以防止矸石堆自燃。</w:t>
      </w:r>
    </w:p>
    <w:p>
      <w:pPr>
        <w:keepNext/>
        <w:keepLines/>
        <w:adjustRightInd w:val="0"/>
        <w:snapToGrid w:val="0"/>
        <w:spacing w:line="440" w:lineRule="exact"/>
        <w:outlineLvl w:val="3"/>
        <w:rPr>
          <w:rFonts w:ascii="Times New Roman" w:hAnsi="Times New Roman"/>
          <w:b/>
        </w:rPr>
      </w:pPr>
      <w:bookmarkStart w:id="286" w:name="_Toc156189011"/>
      <w:r>
        <w:rPr>
          <w:rFonts w:ascii="Times New Roman" w:hAnsi="Times New Roman"/>
          <w:b/>
        </w:rPr>
        <w:t>5.7.4.3 锅炉灰渣的环境影响</w:t>
      </w:r>
      <w:bookmarkEnd w:id="286"/>
    </w:p>
    <w:p>
      <w:pPr>
        <w:autoSpaceDE w:val="0"/>
        <w:autoSpaceDN w:val="0"/>
        <w:adjustRightInd w:val="0"/>
        <w:snapToGrid w:val="0"/>
        <w:spacing w:line="440" w:lineRule="exact"/>
        <w:ind w:firstLine="492"/>
        <w:rPr>
          <w:rFonts w:ascii="Times New Roman" w:hAnsi="Times New Roman"/>
          <w:spacing w:val="3"/>
          <w:kern w:val="0"/>
        </w:rPr>
      </w:pPr>
      <w:bookmarkStart w:id="287" w:name="_Toc97954902"/>
      <w:r>
        <w:rPr>
          <w:rFonts w:ascii="Times New Roman" w:hAnsi="Times New Roman"/>
          <w:spacing w:val="3"/>
          <w:kern w:val="0"/>
        </w:rPr>
        <w:t>锅炉灰渣主要为各矿井工业场地供热锅炉产生的灰渣，锅炉灰渣可用于</w:t>
      </w:r>
      <w:r>
        <w:rPr>
          <w:rFonts w:ascii="Times New Roman" w:hAnsi="Times New Roman"/>
          <w:szCs w:val="24"/>
        </w:rPr>
        <w:t>井下防火灌浆、及</w:t>
      </w:r>
      <w:r>
        <w:rPr>
          <w:rFonts w:ascii="Times New Roman" w:hAnsi="Times New Roman"/>
          <w:spacing w:val="3"/>
          <w:kern w:val="0"/>
        </w:rPr>
        <w:t>矿区道路、</w:t>
      </w:r>
      <w:r>
        <w:rPr>
          <w:rFonts w:ascii="Times New Roman" w:hAnsi="Times New Roman"/>
          <w:szCs w:val="24"/>
        </w:rPr>
        <w:t>鄂尔多斯江苏工业园等道路市政建设综合利用，</w:t>
      </w:r>
      <w:r>
        <w:rPr>
          <w:rFonts w:ascii="Times New Roman" w:hAnsi="Times New Roman"/>
          <w:spacing w:val="3"/>
          <w:kern w:val="0"/>
        </w:rPr>
        <w:t>不会对周围环境质量造成影响。</w:t>
      </w:r>
    </w:p>
    <w:bookmarkEnd w:id="287"/>
    <w:p>
      <w:pPr>
        <w:keepNext/>
        <w:keepLines/>
        <w:adjustRightInd w:val="0"/>
        <w:snapToGrid w:val="0"/>
        <w:spacing w:line="440" w:lineRule="exact"/>
        <w:outlineLvl w:val="3"/>
        <w:rPr>
          <w:rFonts w:ascii="Times New Roman" w:hAnsi="Times New Roman"/>
          <w:b/>
        </w:rPr>
      </w:pPr>
      <w:bookmarkStart w:id="288" w:name="_Toc156189013"/>
      <w:r>
        <w:rPr>
          <w:rFonts w:ascii="Times New Roman" w:hAnsi="Times New Roman"/>
          <w:b/>
        </w:rPr>
        <w:t>5.7.4.4 生活垃圾和有机污泥的环境影响</w:t>
      </w:r>
      <w:bookmarkEnd w:id="288"/>
    </w:p>
    <w:p>
      <w:pPr>
        <w:adjustRightInd w:val="0"/>
        <w:snapToGrid w:val="0"/>
        <w:spacing w:line="440" w:lineRule="exact"/>
        <w:ind w:firstLine="482" w:firstLineChars="200"/>
        <w:rPr>
          <w:rFonts w:ascii="Times New Roman" w:hAnsi="Times New Roman"/>
          <w:b/>
        </w:rPr>
      </w:pPr>
      <w:r>
        <w:rPr>
          <w:rFonts w:ascii="Times New Roman" w:hAnsi="Times New Roman"/>
          <w:b/>
        </w:rPr>
        <w:t>（1）生活垃圾对环境的影响分析</w:t>
      </w:r>
    </w:p>
    <w:p>
      <w:pPr>
        <w:adjustRightInd w:val="0"/>
        <w:snapToGrid w:val="0"/>
        <w:spacing w:line="440" w:lineRule="exact"/>
        <w:ind w:firstLine="480" w:firstLineChars="200"/>
        <w:rPr>
          <w:rFonts w:ascii="Times New Roman" w:hAnsi="Times New Roman"/>
        </w:rPr>
      </w:pPr>
      <w:r>
        <w:rPr>
          <w:rFonts w:ascii="Times New Roman" w:hAnsi="Times New Roman"/>
        </w:rPr>
        <w:t>生活垃圾特别是人畜粪便的废弃物中含有大量的致病菌和病毒，如寄生虫卵、痢疾杆菌、结核杆菌等，垃圾中的病原微生物会随风或通过渗滤液污染地表水、地下水而传播各种疾病；来自厨房中的垃圾可能还有废弃的动植物体，这些有机物乱堆乱放会产生大量的有害气体污染大气，滤液入渗后构成对土体、土壤等的污染；来源于日常生活中使用的器具和用品如玻璃、金属物质等无机污染物，如不适当处理直接作肥料用，不仅肥效低，而且有害的有机物进入土壤，对土壤环境产生不利影响。</w:t>
      </w:r>
    </w:p>
    <w:p>
      <w:pPr>
        <w:adjustRightInd w:val="0"/>
        <w:snapToGrid w:val="0"/>
        <w:spacing w:line="440" w:lineRule="exact"/>
        <w:ind w:firstLine="480" w:firstLineChars="200"/>
        <w:rPr>
          <w:rFonts w:ascii="Times New Roman" w:hAnsi="Times New Roman"/>
        </w:rPr>
      </w:pPr>
      <w:r>
        <w:rPr>
          <w:rFonts w:ascii="Times New Roman" w:hAnsi="Times New Roman"/>
        </w:rPr>
        <w:t>虽然，矿区生活垃圾在固体废弃物中所占比例很小，但处置不当对环境的影响也是不可忽视的，</w:t>
      </w:r>
      <w:r>
        <w:rPr>
          <w:rFonts w:ascii="Times New Roman" w:hAnsi="Times New Roman"/>
          <w:szCs w:val="24"/>
        </w:rPr>
        <w:t>应由矿区有关部门统一收集，运至鄂尔多斯市垃圾处理场处置。</w:t>
      </w:r>
    </w:p>
    <w:p>
      <w:pPr>
        <w:adjustRightInd w:val="0"/>
        <w:snapToGrid w:val="0"/>
        <w:spacing w:line="440" w:lineRule="exact"/>
        <w:ind w:firstLine="482" w:firstLineChars="200"/>
        <w:rPr>
          <w:rFonts w:ascii="Times New Roman" w:hAnsi="Times New Roman"/>
          <w:b/>
        </w:rPr>
      </w:pPr>
      <w:r>
        <w:rPr>
          <w:rFonts w:ascii="Times New Roman" w:hAnsi="Times New Roman"/>
          <w:b/>
        </w:rPr>
        <w:t>（2）有机污泥对环境的影响分析</w:t>
      </w:r>
    </w:p>
    <w:p>
      <w:pPr>
        <w:adjustRightInd w:val="0"/>
        <w:snapToGrid w:val="0"/>
        <w:spacing w:line="440" w:lineRule="exact"/>
        <w:ind w:firstLine="480" w:firstLineChars="200"/>
        <w:rPr>
          <w:rFonts w:ascii="Times New Roman" w:hAnsi="Times New Roman"/>
        </w:rPr>
      </w:pPr>
      <w:r>
        <w:rPr>
          <w:rFonts w:ascii="Times New Roman" w:hAnsi="Times New Roman"/>
        </w:rPr>
        <w:t>矿区有机污泥主要来自各矿井生产生活污水处理场产出的活性污泥。活性污泥中微生物和有机物较多，同时还散发恶臭味，若为深度处理产出的污泥，还将带有一定量的化学物质。因此，虽然矿区有机污泥相对于整个固体废物量很少，但处置不当也会造成较严重的环境影响。建议矿区将有机污泥与矿区生活垃圾一起送</w:t>
      </w:r>
      <w:r>
        <w:rPr>
          <w:rFonts w:ascii="Times New Roman" w:hAnsi="Times New Roman"/>
          <w:szCs w:val="24"/>
        </w:rPr>
        <w:t>至鄂尔多斯市垃圾处理场处置。</w:t>
      </w:r>
    </w:p>
    <w:p>
      <w:pPr>
        <w:pStyle w:val="4"/>
        <w:adjustRightInd w:val="0"/>
        <w:snapToGrid w:val="0"/>
        <w:spacing w:line="440" w:lineRule="exact"/>
        <w:jc w:val="left"/>
        <w:rPr>
          <w:rFonts w:ascii="Times New Roman" w:hAnsi="Times New Roman" w:eastAsia="宋体"/>
          <w:sz w:val="28"/>
        </w:rPr>
      </w:pPr>
      <w:bookmarkStart w:id="289" w:name="_Toc18838460"/>
      <w:bookmarkStart w:id="290" w:name="_Toc4441"/>
      <w:bookmarkStart w:id="291" w:name="_Toc362508227"/>
      <w:r>
        <w:rPr>
          <w:rFonts w:ascii="Times New Roman" w:hAnsi="Times New Roman" w:eastAsia="宋体"/>
          <w:sz w:val="28"/>
        </w:rPr>
        <w:t>5.8 土壤环境影响评价</w:t>
      </w:r>
      <w:bookmarkEnd w:id="289"/>
      <w:bookmarkEnd w:id="290"/>
    </w:p>
    <w:p>
      <w:pPr>
        <w:pStyle w:val="5"/>
        <w:adjustRightInd w:val="0"/>
        <w:snapToGrid w:val="0"/>
        <w:spacing w:before="0" w:after="0" w:line="440" w:lineRule="exact"/>
        <w:rPr>
          <w:sz w:val="24"/>
        </w:rPr>
      </w:pPr>
      <w:r>
        <w:rPr>
          <w:sz w:val="24"/>
        </w:rPr>
        <w:t>5.8.1 污染影响型土壤环境影响</w:t>
      </w:r>
    </w:p>
    <w:p>
      <w:pPr>
        <w:spacing w:line="440" w:lineRule="exact"/>
        <w:ind w:firstLine="480" w:firstLineChars="200"/>
        <w:rPr>
          <w:rFonts w:ascii="Times New Roman" w:hAnsi="Times New Roman"/>
          <w:kern w:val="0"/>
          <w:szCs w:val="24"/>
        </w:rPr>
      </w:pPr>
      <w:r>
        <w:rPr>
          <w:rFonts w:ascii="Times New Roman" w:hAnsi="Times New Roman"/>
          <w:kern w:val="0"/>
          <w:szCs w:val="24"/>
        </w:rPr>
        <w:t>污染源分析：土壤是大气、水以及固体废物的污染受体。矿区大气污染源主要为煤炭生产系统粉尘排放、煤炭运输产生的扬尘等；水污染源主要为生活污水、生产系统冲洗废水。固体废物主要为煤矸石、生活垃圾以及危险废物等。以上污染物构成土壤污染的方式表现如下：大气污染物的自然沉降；废水在处理中的跑冒滴漏垂直入渗；场地内污染物垂直入渗、地面漫流。</w:t>
      </w:r>
    </w:p>
    <w:p>
      <w:pPr>
        <w:spacing w:line="440" w:lineRule="exact"/>
        <w:ind w:firstLine="480" w:firstLineChars="200"/>
        <w:rPr>
          <w:rFonts w:ascii="Times New Roman" w:hAnsi="Times New Roman"/>
        </w:rPr>
      </w:pPr>
      <w:r>
        <w:rPr>
          <w:rFonts w:ascii="Times New Roman" w:hAnsi="Times New Roman"/>
          <w:kern w:val="0"/>
          <w:szCs w:val="24"/>
        </w:rPr>
        <w:t>污染途径：</w:t>
      </w:r>
      <w:r>
        <w:rPr>
          <w:rFonts w:ascii="Times New Roman" w:hAnsi="Times New Roman"/>
        </w:rPr>
        <w:t>矿区内可能造成土壤污染的范围主要分布于各工业场地。工业场地周边土壤污染主要形式为大气沉降、地面漫流；工业场地内主要为垂直入渗。</w:t>
      </w:r>
    </w:p>
    <w:p>
      <w:pPr>
        <w:adjustRightInd w:val="0"/>
        <w:snapToGrid w:val="0"/>
        <w:spacing w:line="440" w:lineRule="exact"/>
        <w:ind w:firstLine="482"/>
        <w:rPr>
          <w:rFonts w:ascii="Times New Roman" w:hAnsi="Times New Roman"/>
        </w:rPr>
      </w:pPr>
      <w:r>
        <w:rPr>
          <w:rFonts w:ascii="Times New Roman" w:hAnsi="Times New Roman"/>
          <w:kern w:val="0"/>
          <w:szCs w:val="24"/>
        </w:rPr>
        <w:t>工业场地污染影响分析：煤矿项目无土壤特征污染物，土壤污染主要发生在跑冒滴漏以及风险事故下，土壤污染环境影响较小，预测场地内外土壤环境质量均能满足相应的风险管控标准。</w:t>
      </w:r>
    </w:p>
    <w:p>
      <w:pPr>
        <w:pStyle w:val="5"/>
        <w:adjustRightInd w:val="0"/>
        <w:snapToGrid w:val="0"/>
        <w:spacing w:before="0" w:after="0" w:line="440" w:lineRule="exact"/>
        <w:rPr>
          <w:rFonts w:eastAsiaTheme="minorEastAsia"/>
          <w:sz w:val="24"/>
        </w:rPr>
      </w:pPr>
      <w:r>
        <w:rPr>
          <w:rFonts w:eastAsiaTheme="minorEastAsia"/>
          <w:sz w:val="24"/>
        </w:rPr>
        <w:t xml:space="preserve">5.8.2 </w:t>
      </w:r>
      <w:r>
        <w:rPr>
          <w:sz w:val="24"/>
        </w:rPr>
        <w:t>生态影响型土壤环境影响</w:t>
      </w:r>
    </w:p>
    <w:p>
      <w:pPr>
        <w:adjustRightInd w:val="0"/>
        <w:snapToGrid w:val="0"/>
        <w:spacing w:line="440" w:lineRule="exact"/>
        <w:ind w:firstLine="482"/>
        <w:rPr>
          <w:rFonts w:ascii="Times New Roman" w:hAnsi="Times New Roman"/>
          <w:szCs w:val="24"/>
        </w:rPr>
      </w:pPr>
      <w:r>
        <w:rPr>
          <w:rFonts w:ascii="Times New Roman" w:hAnsi="Times New Roman"/>
          <w:szCs w:val="24"/>
        </w:rPr>
        <w:t>根据土壤环境现状质量监测与评价，</w:t>
      </w:r>
      <w:r>
        <w:rPr>
          <w:rFonts w:ascii="Times New Roman" w:hAnsi="Times New Roman"/>
          <w:kern w:val="0"/>
          <w:szCs w:val="24"/>
        </w:rPr>
        <w:t>壕赖苏井田</w:t>
      </w:r>
      <w:r>
        <w:rPr>
          <w:rFonts w:ascii="Times New Roman" w:hAnsi="Times New Roman"/>
          <w:szCs w:val="24"/>
        </w:rPr>
        <w:t>拟建工业场地土壤为极重度盐化，其他各监测点均未盐化；除红庆河镇土壤监测点无酸化或碱化外，其他三个点均存在不同程度的碱化。</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降雨量376.5mm，蒸发量1712.0mm，蒸降比为4.55。根据水文与水文地质资料，区内河流均属内陆水系，在矿区的中部和东南部有多个大小不一的咸水湖，其水量受大气降水控制，夏秋季大，冬春季小。以哈塔图淖尔、光明淖尔为主的两个大的咸水湖常年有水，水域面积达2-3km</w:t>
      </w:r>
      <w:r>
        <w:rPr>
          <w:rFonts w:ascii="Times New Roman" w:hAnsi="Times New Roman"/>
          <w:szCs w:val="24"/>
          <w:vertAlign w:val="superscript"/>
        </w:rPr>
        <w:t>2</w:t>
      </w:r>
      <w:r>
        <w:rPr>
          <w:rFonts w:ascii="Times New Roman" w:hAnsi="Times New Roman"/>
          <w:szCs w:val="24"/>
        </w:rPr>
        <w:t>。区内含水岩组可划分为三大类：松散岩类孔隙潜水含水岩组、碎屑岩类孔隙、裂隙潜水</w:t>
      </w:r>
      <w:r>
        <w:rPr>
          <w:rFonts w:ascii="Times New Roman" w:hAnsi="Times New Roman"/>
          <w:kern w:val="0"/>
          <w:szCs w:val="24"/>
        </w:rPr>
        <w:t>～</w:t>
      </w:r>
      <w:r>
        <w:rPr>
          <w:rFonts w:ascii="Times New Roman" w:hAnsi="Times New Roman"/>
          <w:szCs w:val="24"/>
        </w:rPr>
        <w:t>裂隙承压水含水岩组、碎屑岩类裂隙承压水含水岩组。第四系松散堆积层在全区大部分地段发育，分布面积较广，但厚度小，地形不利于积水，为透水不含水层。含水岩性为中、细沙，水位标高</w:t>
      </w:r>
      <w:r>
        <w:rPr>
          <w:rFonts w:ascii="Times New Roman" w:hAnsi="Times New Roman"/>
          <w:w w:val="90"/>
          <w:szCs w:val="24"/>
        </w:rPr>
        <w:t>1338.68</w:t>
      </w:r>
      <w:r>
        <w:rPr>
          <w:rFonts w:ascii="Times New Roman" w:hAnsi="Times New Roman"/>
          <w:szCs w:val="24"/>
        </w:rPr>
        <w:t>～</w:t>
      </w:r>
      <w:r>
        <w:rPr>
          <w:rFonts w:ascii="Times New Roman" w:hAnsi="Times New Roman"/>
          <w:w w:val="90"/>
          <w:szCs w:val="24"/>
        </w:rPr>
        <w:t>1338.72m</w:t>
      </w:r>
      <w:r>
        <w:rPr>
          <w:rFonts w:ascii="Times New Roman" w:hAnsi="Times New Roman"/>
          <w:szCs w:val="24"/>
        </w:rPr>
        <w:t>，水位降深S=</w:t>
      </w:r>
      <w:r>
        <w:rPr>
          <w:rFonts w:ascii="Times New Roman" w:hAnsi="Times New Roman"/>
          <w:w w:val="90"/>
          <w:szCs w:val="24"/>
        </w:rPr>
        <w:t>1.54</w:t>
      </w:r>
      <w:r>
        <w:rPr>
          <w:rFonts w:ascii="Times New Roman" w:hAnsi="Times New Roman"/>
          <w:szCs w:val="24"/>
        </w:rPr>
        <w:t>～2.11m，单位涌水量q=3.0411～4.347</w:t>
      </w:r>
      <w:r>
        <w:rPr>
          <w:rFonts w:ascii="Times New Roman" w:hAnsi="Times New Roman"/>
          <w:i/>
          <w:szCs w:val="24"/>
        </w:rPr>
        <w:t>l</w:t>
      </w:r>
      <w:r>
        <w:rPr>
          <w:rFonts w:ascii="Times New Roman" w:hAnsi="Times New Roman"/>
          <w:szCs w:val="24"/>
        </w:rPr>
        <w:t>/s·m，渗透系数</w:t>
      </w:r>
      <w:r>
        <w:rPr>
          <w:rFonts w:ascii="Times New Roman" w:hAnsi="Times New Roman"/>
          <w:iCs/>
          <w:szCs w:val="24"/>
        </w:rPr>
        <w:t>K=</w:t>
      </w:r>
      <w:r>
        <w:rPr>
          <w:rFonts w:ascii="Times New Roman" w:hAnsi="Times New Roman"/>
          <w:szCs w:val="24"/>
        </w:rPr>
        <w:t>10.80～22.20m/d，溶解性总固体387～1288mg/</w:t>
      </w:r>
      <w:r>
        <w:rPr>
          <w:rFonts w:ascii="Times New Roman" w:hAnsi="Times New Roman"/>
          <w:i/>
          <w:szCs w:val="24"/>
        </w:rPr>
        <w:t>l</w:t>
      </w:r>
      <w:r>
        <w:rPr>
          <w:rFonts w:ascii="Times New Roman" w:hAnsi="Times New Roman"/>
          <w:szCs w:val="24"/>
        </w:rPr>
        <w:t>，pH值8.1～8.2，氟含量为0.57～0.58。地下水化学类型为HCO</w:t>
      </w:r>
      <w:r>
        <w:rPr>
          <w:rFonts w:ascii="Times New Roman" w:hAnsi="Times New Roman"/>
          <w:szCs w:val="24"/>
          <w:vertAlign w:val="subscript"/>
        </w:rPr>
        <w:t>3</w:t>
      </w:r>
      <w:r>
        <w:rPr>
          <w:rFonts w:ascii="Times New Roman" w:hAnsi="Times New Roman"/>
          <w:szCs w:val="24"/>
        </w:rPr>
        <w:t>－Ca·Na·Mg～ Cl·SO</w:t>
      </w:r>
      <w:r>
        <w:rPr>
          <w:rFonts w:ascii="Times New Roman" w:hAnsi="Times New Roman"/>
          <w:szCs w:val="24"/>
          <w:vertAlign w:val="subscript"/>
        </w:rPr>
        <w:t>4</w:t>
      </w:r>
      <w:r>
        <w:rPr>
          <w:rFonts w:ascii="Times New Roman" w:hAnsi="Times New Roman"/>
          <w:szCs w:val="24"/>
        </w:rPr>
        <w:t>·HCO</w:t>
      </w:r>
      <w:r>
        <w:rPr>
          <w:rFonts w:ascii="Times New Roman" w:hAnsi="Times New Roman"/>
          <w:szCs w:val="24"/>
          <w:vertAlign w:val="subscript"/>
        </w:rPr>
        <w:t>3</w:t>
      </w:r>
      <w:r>
        <w:rPr>
          <w:rFonts w:ascii="Times New Roman" w:hAnsi="Times New Roman"/>
          <w:szCs w:val="24"/>
        </w:rPr>
        <w:t>—Ca·Mg型。</w:t>
      </w:r>
    </w:p>
    <w:p>
      <w:pPr>
        <w:autoSpaceDE w:val="0"/>
        <w:autoSpaceDN w:val="0"/>
        <w:adjustRightInd w:val="0"/>
        <w:snapToGrid w:val="0"/>
        <w:spacing w:line="440" w:lineRule="exact"/>
        <w:ind w:firstLine="480" w:firstLineChars="200"/>
        <w:rPr>
          <w:rFonts w:ascii="Times New Roman" w:hAnsi="Times New Roman"/>
        </w:rPr>
      </w:pPr>
      <w:r>
        <w:rPr>
          <w:rFonts w:ascii="Times New Roman" w:hAnsi="Times New Roman"/>
          <w:szCs w:val="24"/>
        </w:rPr>
        <w:t>矿区内有16个可采煤层。根据地表沉陷预测，最大沉陷深度约23m。在地表沉陷累积影响下，局部地段可能由于地表沉陷导致潜水出露，在积水区边缘地带或积水区蒸发完毕后</w:t>
      </w:r>
      <w:r>
        <w:rPr>
          <w:rFonts w:ascii="Times New Roman" w:hAnsi="Times New Roman"/>
        </w:rPr>
        <w:t>，土壤可能形成轻度盐化或碱化，极少数区域可能形成中度盐化或碱化。</w:t>
      </w:r>
    </w:p>
    <w:p>
      <w:pPr>
        <w:pStyle w:val="4"/>
        <w:adjustRightInd w:val="0"/>
        <w:snapToGrid w:val="0"/>
        <w:spacing w:after="140" w:line="413" w:lineRule="auto"/>
        <w:jc w:val="left"/>
        <w:rPr>
          <w:rFonts w:ascii="Times New Roman" w:hAnsi="Times New Roman"/>
          <w:sz w:val="28"/>
        </w:rPr>
      </w:pPr>
      <w:bookmarkStart w:id="292" w:name="_Toc30205"/>
      <w:r>
        <w:rPr>
          <w:rFonts w:ascii="Times New Roman" w:hAnsi="Times New Roman" w:eastAsia="宋体"/>
          <w:sz w:val="28"/>
        </w:rPr>
        <w:t>5.9  矿区开发对鄂尔多斯遗鸥国家级自然保护区的影响分析</w:t>
      </w:r>
      <w:bookmarkEnd w:id="292"/>
    </w:p>
    <w:p>
      <w:pPr>
        <w:pStyle w:val="5"/>
        <w:adjustRightInd w:val="0"/>
        <w:snapToGrid w:val="0"/>
        <w:spacing w:before="0" w:after="0" w:line="440" w:lineRule="exact"/>
        <w:rPr>
          <w:sz w:val="24"/>
        </w:rPr>
      </w:pPr>
      <w:r>
        <w:rPr>
          <w:sz w:val="24"/>
        </w:rPr>
        <w:t>5.9.1 遗鸥自然保护区概况</w:t>
      </w:r>
    </w:p>
    <w:p>
      <w:pPr>
        <w:pStyle w:val="6"/>
        <w:widowControl/>
        <w:spacing w:after="120" w:line="416" w:lineRule="exact"/>
        <w:rPr>
          <w:rFonts w:ascii="Times New Roman" w:hAnsi="Times New Roman" w:eastAsia="宋体"/>
          <w:sz w:val="24"/>
          <w:szCs w:val="24"/>
        </w:rPr>
      </w:pPr>
      <w:r>
        <w:rPr>
          <w:rFonts w:ascii="Times New Roman" w:hAnsi="Times New Roman" w:eastAsia="宋体"/>
          <w:sz w:val="24"/>
          <w:szCs w:val="24"/>
        </w:rPr>
        <w:t>5.9.1.1 保护区地理位置及自然条件特征</w:t>
      </w:r>
    </w:p>
    <w:p>
      <w:pPr>
        <w:spacing w:line="529" w:lineRule="exact"/>
        <w:ind w:firstLine="482" w:firstLineChars="200"/>
        <w:rPr>
          <w:rFonts w:ascii="Times New Roman" w:hAnsi="Times New Roman"/>
          <w:b/>
          <w:szCs w:val="24"/>
        </w:rPr>
      </w:pPr>
      <w:r>
        <w:rPr>
          <w:rFonts w:ascii="Times New Roman" w:hAnsi="Times New Roman"/>
          <w:b/>
          <w:szCs w:val="24"/>
          <w:lang w:bidi="ar"/>
        </w:rPr>
        <w:t>（1）保护区地理位置与范围</w:t>
      </w:r>
    </w:p>
    <w:p>
      <w:pPr>
        <w:spacing w:line="440" w:lineRule="exact"/>
        <w:ind w:firstLine="480" w:firstLineChars="200"/>
        <w:rPr>
          <w:rFonts w:ascii="Times New Roman" w:hAnsi="Times New Roman"/>
          <w:szCs w:val="24"/>
        </w:rPr>
      </w:pPr>
      <w:r>
        <w:rPr>
          <w:rFonts w:ascii="Times New Roman" w:hAnsi="Times New Roman"/>
          <w:szCs w:val="24"/>
          <w:lang w:bidi="ar"/>
        </w:rPr>
        <w:t>鄂尔多斯遗鸥国家级自然保护区始建于1998年，2000年经国务院批准为国家级自然保护区。该保护区位于内蒙古自治区鄂尔多斯中部，区域范围在东胜市泊尔江海子、漫赖乡和伊金霍洛旗的苏布尔嘎苏木境内，地理位置介于东经109°14′~109°25′，北纬39°50′~39°52′，保护区东西宽12km，南北长15km，呈不规则长方形，划定面积147.70km</w:t>
      </w:r>
      <w:r>
        <w:rPr>
          <w:rFonts w:ascii="Times New Roman" w:hAnsi="Times New Roman"/>
          <w:szCs w:val="24"/>
          <w:vertAlign w:val="superscript"/>
          <w:lang w:bidi="ar"/>
        </w:rPr>
        <w:t>2</w:t>
      </w:r>
      <w:r>
        <w:rPr>
          <w:rFonts w:ascii="Times New Roman" w:hAnsi="Times New Roman"/>
          <w:szCs w:val="24"/>
          <w:lang w:bidi="ar"/>
        </w:rPr>
        <w:t>。保护区地处鄂尔多斯高原典型草原向荒漠草原的过渡地带，地理条件独特，区内分布有大小不等的咸水湖泊湿地，鸟类资源丰富。遗鸥的主要栖息和繁殖地桃力庙-阿拉善湾海子（以下称桃-阿海子）及周边湿地位于保护区的中央。</w:t>
      </w:r>
    </w:p>
    <w:p>
      <w:pPr>
        <w:spacing w:line="440" w:lineRule="exact"/>
        <w:ind w:firstLine="480" w:firstLineChars="200"/>
        <w:rPr>
          <w:rFonts w:ascii="Times New Roman" w:hAnsi="Times New Roman"/>
          <w:szCs w:val="24"/>
        </w:rPr>
      </w:pPr>
      <w:r>
        <w:rPr>
          <w:rFonts w:ascii="Times New Roman" w:hAnsi="Times New Roman"/>
          <w:szCs w:val="24"/>
          <w:lang w:bidi="ar"/>
        </w:rPr>
        <w:t>保护区主要保护对象是遗鸥鄂尔多斯种群及其栖息地，特别是繁殖区、觅食区和活动区的天然湿地生态系统。此外还有东方白鹤、白尾海鵰，白琵鹭、大天鹅、大鵟等国家Ⅰ级、Ⅱ级保护动物及栖息地。</w:t>
      </w:r>
    </w:p>
    <w:p>
      <w:pPr>
        <w:spacing w:line="440" w:lineRule="exact"/>
        <w:ind w:firstLine="482" w:firstLineChars="200"/>
        <w:rPr>
          <w:rFonts w:ascii="Times New Roman" w:hAnsi="Times New Roman"/>
          <w:b/>
          <w:szCs w:val="24"/>
        </w:rPr>
      </w:pPr>
      <w:r>
        <w:rPr>
          <w:rFonts w:ascii="Times New Roman" w:hAnsi="Times New Roman"/>
          <w:b/>
          <w:szCs w:val="24"/>
          <w:lang w:bidi="ar"/>
        </w:rPr>
        <w:t>（2）地形地貌</w:t>
      </w:r>
    </w:p>
    <w:p>
      <w:pPr>
        <w:spacing w:line="440" w:lineRule="exact"/>
        <w:ind w:firstLine="480" w:firstLineChars="200"/>
        <w:rPr>
          <w:rFonts w:ascii="Times New Roman" w:hAnsi="Times New Roman"/>
          <w:szCs w:val="24"/>
        </w:rPr>
      </w:pPr>
      <w:r>
        <w:rPr>
          <w:rFonts w:ascii="Times New Roman" w:hAnsi="Times New Roman"/>
          <w:szCs w:val="24"/>
          <w:lang w:bidi="ar"/>
        </w:rPr>
        <w:t>保护区属鄂尔多斯波状高原区，整体地势由西南向东北倾斜。最高点位于保护区西侧的巴彦敖包山，海拔1520m，最低点位于桃一阿海子湖区，海拔1360m，高差变化不大，80％以上的地域面积在海拔1367m-1412m之间。</w:t>
      </w:r>
    </w:p>
    <w:p>
      <w:pPr>
        <w:spacing w:line="440" w:lineRule="exact"/>
        <w:ind w:firstLine="482" w:firstLineChars="200"/>
        <w:rPr>
          <w:rFonts w:ascii="Times New Roman" w:hAnsi="Times New Roman"/>
          <w:b/>
          <w:szCs w:val="24"/>
        </w:rPr>
      </w:pPr>
      <w:r>
        <w:rPr>
          <w:rFonts w:ascii="Times New Roman" w:hAnsi="Times New Roman"/>
          <w:b/>
          <w:szCs w:val="24"/>
          <w:lang w:bidi="ar"/>
        </w:rPr>
        <w:t>（3）水文</w:t>
      </w:r>
    </w:p>
    <w:p>
      <w:pPr>
        <w:spacing w:line="440" w:lineRule="exact"/>
        <w:ind w:firstLine="480" w:firstLineChars="200"/>
        <w:rPr>
          <w:rFonts w:ascii="Times New Roman" w:hAnsi="Times New Roman"/>
          <w:szCs w:val="24"/>
        </w:rPr>
      </w:pPr>
      <w:r>
        <w:rPr>
          <w:rFonts w:ascii="Times New Roman" w:hAnsi="Times New Roman"/>
          <w:szCs w:val="24"/>
          <w:lang w:bidi="ar"/>
        </w:rPr>
        <w:t>保护区内主要湖泊有桃-阿海子、侯家海子和苏家圪卜海子。</w:t>
      </w:r>
    </w:p>
    <w:p>
      <w:pPr>
        <w:spacing w:line="440" w:lineRule="exact"/>
        <w:ind w:firstLine="480" w:firstLineChars="200"/>
        <w:rPr>
          <w:rFonts w:ascii="Times New Roman" w:hAnsi="Times New Roman"/>
          <w:szCs w:val="24"/>
        </w:rPr>
      </w:pPr>
      <w:r>
        <w:rPr>
          <w:rFonts w:ascii="Times New Roman" w:hAnsi="Times New Roman"/>
          <w:szCs w:val="24"/>
          <w:lang w:bidi="ar"/>
        </w:rPr>
        <w:t>桃-阿海子面积最大，位于自然保护区的中央。湖区呈驼峰形，湖面开阔，景色迷人。90年代初，该湖泊水域面积约为100hm</w:t>
      </w:r>
      <w:r>
        <w:rPr>
          <w:rFonts w:ascii="Times New Roman" w:hAnsi="Times New Roman"/>
          <w:szCs w:val="24"/>
          <w:vertAlign w:val="superscript"/>
          <w:lang w:bidi="ar"/>
        </w:rPr>
        <w:t>2</w:t>
      </w:r>
      <w:r>
        <w:rPr>
          <w:rFonts w:ascii="Times New Roman" w:hAnsi="Times New Roman"/>
          <w:szCs w:val="24"/>
          <w:lang w:bidi="ar"/>
        </w:rPr>
        <w:t>，平均水深1.0～1.5m，最深处超过3.5m。水质呈碱性，pH值为8.5～9.0左右，湖面海拔1360m。湖中偏西南方向有湖心岛屿出露，呈东北-西南向排列，岛屿数目和面积随不同年份的大气降水强度而变化，1990～1996年间岛屿数目为5～7个。近年来，由于干旱和人类活动等因素的影响，保护区内的泊江海子水域大面积消退，2001年实测湖面面积缩小为71.5hm</w:t>
      </w:r>
      <w:r>
        <w:rPr>
          <w:rFonts w:ascii="Times New Roman" w:hAnsi="Times New Roman"/>
          <w:szCs w:val="24"/>
          <w:vertAlign w:val="superscript"/>
          <w:lang w:bidi="ar"/>
        </w:rPr>
        <w:t>2</w:t>
      </w:r>
      <w:r>
        <w:rPr>
          <w:rFonts w:ascii="Times New Roman" w:hAnsi="Times New Roman"/>
          <w:szCs w:val="24"/>
          <w:lang w:bidi="ar"/>
        </w:rPr>
        <w:t>，2002年实测湖面面积为64.8hm</w:t>
      </w:r>
      <w:r>
        <w:rPr>
          <w:rFonts w:ascii="Times New Roman" w:hAnsi="Times New Roman"/>
          <w:szCs w:val="24"/>
          <w:vertAlign w:val="superscript"/>
          <w:lang w:bidi="ar"/>
        </w:rPr>
        <w:t>2</w:t>
      </w:r>
      <w:r>
        <w:rPr>
          <w:rFonts w:ascii="Times New Roman" w:hAnsi="Times New Roman"/>
          <w:szCs w:val="24"/>
          <w:lang w:bidi="ar"/>
        </w:rPr>
        <w:t>，2004年，湖面面积又进一步缩小为30hm</w:t>
      </w:r>
      <w:r>
        <w:rPr>
          <w:rFonts w:ascii="Times New Roman" w:hAnsi="Times New Roman"/>
          <w:szCs w:val="24"/>
          <w:vertAlign w:val="superscript"/>
          <w:lang w:bidi="ar"/>
        </w:rPr>
        <w:t>2</w:t>
      </w:r>
      <w:r>
        <w:rPr>
          <w:rFonts w:ascii="Times New Roman" w:hAnsi="Times New Roman"/>
          <w:szCs w:val="24"/>
          <w:lang w:bidi="ar"/>
        </w:rPr>
        <w:t>左右，部分湖心岛已与湖岸连成一片，水位下降，湖岸周边盐碱化严重，至本次现状调查，桃-阿海子已基本处于干涸状态。</w:t>
      </w:r>
    </w:p>
    <w:p>
      <w:pPr>
        <w:spacing w:line="440" w:lineRule="exact"/>
        <w:ind w:firstLine="480" w:firstLineChars="200"/>
        <w:rPr>
          <w:rFonts w:ascii="Times New Roman" w:hAnsi="Times New Roman"/>
          <w:szCs w:val="24"/>
        </w:rPr>
      </w:pPr>
      <w:r>
        <w:rPr>
          <w:rFonts w:ascii="Times New Roman" w:hAnsi="Times New Roman"/>
          <w:szCs w:val="24"/>
          <w:lang w:bidi="ar"/>
        </w:rPr>
        <w:t>侯家海子位于保护区的西北，苏家圪卜海子位于保护区飞地范围内，90年代初两个海子常水位水域面积分别为40hm</w:t>
      </w:r>
      <w:r>
        <w:rPr>
          <w:rFonts w:ascii="Times New Roman" w:hAnsi="Times New Roman"/>
          <w:szCs w:val="24"/>
          <w:vertAlign w:val="superscript"/>
          <w:lang w:bidi="ar"/>
        </w:rPr>
        <w:t>2</w:t>
      </w:r>
      <w:r>
        <w:rPr>
          <w:rFonts w:ascii="Times New Roman" w:hAnsi="Times New Roman"/>
          <w:szCs w:val="24"/>
          <w:lang w:bidi="ar"/>
        </w:rPr>
        <w:t>和70hm</w:t>
      </w:r>
      <w:r>
        <w:rPr>
          <w:rFonts w:ascii="Times New Roman" w:hAnsi="Times New Roman"/>
          <w:szCs w:val="24"/>
          <w:vertAlign w:val="superscript"/>
          <w:lang w:bidi="ar"/>
        </w:rPr>
        <w:t>2</w:t>
      </w:r>
      <w:r>
        <w:rPr>
          <w:rFonts w:ascii="Times New Roman" w:hAnsi="Times New Roman"/>
          <w:szCs w:val="24"/>
          <w:lang w:bidi="ar"/>
        </w:rPr>
        <w:t>。两处海子水质都呈碱性，pH值为8.5左右，平均水深3m，水面面积极不稳定，无明显的注入河流，只是每年雨季的雨水通过漫流注入湖区，使湖水得以补充。另外，保护区内还有面积较小的碱性湖泊十余个，由于近年来气候干旱，大部分小湖泊因过分蒸发而干涸。</w:t>
      </w:r>
    </w:p>
    <w:p>
      <w:pPr>
        <w:spacing w:line="440" w:lineRule="exact"/>
        <w:ind w:firstLine="480" w:firstLineChars="200"/>
        <w:rPr>
          <w:rFonts w:ascii="Times New Roman" w:hAnsi="Times New Roman"/>
          <w:szCs w:val="24"/>
        </w:rPr>
      </w:pPr>
      <w:r>
        <w:rPr>
          <w:rFonts w:ascii="Times New Roman" w:hAnsi="Times New Roman"/>
          <w:szCs w:val="24"/>
          <w:lang w:bidi="ar"/>
        </w:rPr>
        <w:t>保护区内桃-阿海子（保护区内最大的湖泊）接受的地表水补给主要来自雨季鸡沟河、乌尔图河。保护区境内浅层地下水的动态受大气降水控制，常随大气降水的年变化以及季节变化而改变，深层地下水则受大地构造、地貌条件、气候特征而控制。保护区地下水位一般在10m左右，矿化度大于1g/L，pH值在7.0～8.5之间。</w:t>
      </w:r>
    </w:p>
    <w:p>
      <w:pPr>
        <w:spacing w:line="440" w:lineRule="exact"/>
        <w:ind w:firstLine="482" w:firstLineChars="200"/>
        <w:rPr>
          <w:rFonts w:ascii="Times New Roman" w:hAnsi="Times New Roman"/>
          <w:b/>
          <w:szCs w:val="24"/>
        </w:rPr>
      </w:pPr>
      <w:r>
        <w:rPr>
          <w:rFonts w:ascii="Times New Roman" w:hAnsi="Times New Roman"/>
          <w:b/>
          <w:szCs w:val="24"/>
          <w:lang w:bidi="ar"/>
        </w:rPr>
        <w:t>（4）动、植物资源</w:t>
      </w:r>
    </w:p>
    <w:p>
      <w:pPr>
        <w:spacing w:line="440" w:lineRule="exact"/>
        <w:ind w:firstLine="480" w:firstLineChars="200"/>
        <w:rPr>
          <w:rFonts w:ascii="Times New Roman" w:hAnsi="Times New Roman"/>
          <w:szCs w:val="24"/>
        </w:rPr>
      </w:pPr>
      <w:r>
        <w:rPr>
          <w:rFonts w:ascii="Times New Roman" w:hAnsi="Times New Roman"/>
          <w:szCs w:val="24"/>
          <w:lang w:bidi="ar"/>
        </w:rPr>
        <w:t>保护区动物区系属于古北界一中亚亚区一蒙新区一西部荒漠亚区。区内动物以湿地鸟类和典型草原动物以及爬行类动物为主。据调查，保护区现有湿地鸟类83种，属国家Ⅰ级保护的物种有遗鸥、东方白鹳、白尾海雕，属国家Ⅱ级保护的物种有角鹏鹏、赤颈鹄、白琵鹭、大天鹅、鸢、大鵟、红脚隼、蓑羽鹤、苍鹰、黑浮鸥等10多种。在桃－阿海子，遗鸥为优势种，繁殖季节其远远超过该地区的任何一种湿地鸟类。典型的草原动物主要有草兔、艾鼬、黄鼬、赤狐、兔狲、刺猬、草原黄鼠、五趾跳鼠、长爪沙鼠和草原沙蜥等主要优势种。</w:t>
      </w:r>
    </w:p>
    <w:p>
      <w:pPr>
        <w:spacing w:line="440" w:lineRule="exact"/>
        <w:ind w:firstLine="480" w:firstLineChars="200"/>
        <w:rPr>
          <w:rFonts w:ascii="Times New Roman" w:hAnsi="Times New Roman"/>
          <w:szCs w:val="24"/>
        </w:rPr>
      </w:pPr>
      <w:r>
        <w:rPr>
          <w:rFonts w:ascii="Times New Roman" w:hAnsi="Times New Roman"/>
          <w:szCs w:val="24"/>
          <w:lang w:bidi="ar"/>
        </w:rPr>
        <w:t>保护区位于鄂尔多斯高原典型草原地带，区内植被稀疏，植被多为沙生植物。草原以长芒草、糙隐子草、萎蒿、百里香、冷蒿为主；沙地上以油蒿、中间锦鸡儿为建群种；流沙上以沙米、沙竹、白沙蒿等为先锋群落；滩地植被类型有以寸草苔为建群种的湿滩地；以沙柳、乌柳等为建群种的柳湾林地，以芨芨草、碱蓬、红柳等为建群种的盐化滩地等。湖中的水生植物主要有会眼子菜、刚毛藻绿藻等，香蒲、芦苇等挺水植物。人工植被主要分布在保护区的北部，成林方式以片状或带状为主，造林树种有杂交杨、旱柳、柠条、沙柳和柽柳等。主要农作物有糜子、玉米、马铃薯、荞麦和向日葵等。保护区境内植被状况总体呈恶化趋势，其主要原因是过度放牧及乱垦，其次是干旱和风沙等自然灾害加剧了区域的沙漠化进程，草原植被逐步退化为荒漠化植被，平均覆盖率已不足20％，而且呈继续下降趋势。</w:t>
      </w:r>
    </w:p>
    <w:p>
      <w:pPr>
        <w:pStyle w:val="6"/>
        <w:widowControl/>
        <w:spacing w:after="120" w:line="440" w:lineRule="exact"/>
        <w:rPr>
          <w:rFonts w:ascii="Times New Roman" w:hAnsi="Times New Roman" w:eastAsia="宋体"/>
          <w:sz w:val="24"/>
          <w:szCs w:val="24"/>
        </w:rPr>
      </w:pPr>
      <w:r>
        <w:rPr>
          <w:rFonts w:ascii="Times New Roman" w:hAnsi="Times New Roman" w:eastAsia="宋体"/>
          <w:sz w:val="24"/>
          <w:szCs w:val="24"/>
        </w:rPr>
        <w:t>5.9.1.2 保护区功能区划</w:t>
      </w:r>
    </w:p>
    <w:p>
      <w:pPr>
        <w:spacing w:line="440" w:lineRule="exact"/>
        <w:ind w:firstLine="480" w:firstLineChars="200"/>
        <w:rPr>
          <w:rFonts w:ascii="Times New Roman" w:hAnsi="Times New Roman"/>
          <w:szCs w:val="24"/>
        </w:rPr>
      </w:pPr>
      <w:r>
        <w:rPr>
          <w:rFonts w:ascii="Times New Roman" w:hAnsi="Times New Roman"/>
          <w:szCs w:val="24"/>
          <w:lang w:bidi="ar"/>
        </w:rPr>
        <w:t>保护区划分为核心区、缓冲区和实验区三部分，见图5.9-1。</w:t>
      </w:r>
    </w:p>
    <w:p>
      <w:pPr>
        <w:spacing w:line="440" w:lineRule="exact"/>
        <w:ind w:firstLine="482" w:firstLineChars="200"/>
        <w:rPr>
          <w:rFonts w:ascii="Times New Roman" w:hAnsi="Times New Roman"/>
          <w:b/>
          <w:szCs w:val="24"/>
        </w:rPr>
      </w:pPr>
      <w:r>
        <w:rPr>
          <w:rFonts w:ascii="Times New Roman" w:hAnsi="Times New Roman"/>
          <w:b/>
          <w:szCs w:val="24"/>
          <w:lang w:bidi="ar"/>
        </w:rPr>
        <w:t>（1）核心区</w:t>
      </w:r>
    </w:p>
    <w:p>
      <w:pPr>
        <w:spacing w:line="440" w:lineRule="exact"/>
        <w:ind w:firstLine="480" w:firstLineChars="200"/>
        <w:rPr>
          <w:rFonts w:ascii="Times New Roman" w:hAnsi="Times New Roman"/>
          <w:szCs w:val="24"/>
        </w:rPr>
      </w:pPr>
      <w:r>
        <w:rPr>
          <w:rFonts w:ascii="Times New Roman" w:hAnsi="Times New Roman"/>
          <w:szCs w:val="24"/>
          <w:lang w:bidi="ar"/>
        </w:rPr>
        <w:t>核心区分为两处，总面积为4753hm</w:t>
      </w:r>
      <w:r>
        <w:rPr>
          <w:rFonts w:ascii="Times New Roman" w:hAnsi="Times New Roman"/>
          <w:szCs w:val="24"/>
          <w:vertAlign w:val="superscript"/>
          <w:lang w:bidi="ar"/>
        </w:rPr>
        <w:t>2</w:t>
      </w:r>
      <w:r>
        <w:rPr>
          <w:rFonts w:ascii="Times New Roman" w:hAnsi="Times New Roman"/>
          <w:szCs w:val="24"/>
          <w:lang w:bidi="ar"/>
        </w:rPr>
        <w:t>，占保护区面积的32.16%，核心区的主要生境类型为湖泊湿地和草地，分别占保护区面积的12.54%和21.49%。本区无常住居民和耕地，是遗鸥及其它珍稀鸟类的主要觅食区和繁殖区。核心区主要包括桃－阿海子核心区和侯家海子核心区，桃－阿海子核心区面积为4535hm</w:t>
      </w:r>
      <w:r>
        <w:rPr>
          <w:rFonts w:ascii="Times New Roman" w:hAnsi="Times New Roman"/>
          <w:szCs w:val="24"/>
          <w:vertAlign w:val="superscript"/>
          <w:lang w:bidi="ar"/>
        </w:rPr>
        <w:t>2</w:t>
      </w:r>
      <w:r>
        <w:rPr>
          <w:rFonts w:ascii="Times New Roman" w:hAnsi="Times New Roman"/>
          <w:szCs w:val="24"/>
          <w:lang w:bidi="ar"/>
        </w:rPr>
        <w:t>，分别占保护区面积及核心区面积的30.69%和95.41%，侯家海子核心区面积为218hm</w:t>
      </w:r>
      <w:r>
        <w:rPr>
          <w:rFonts w:ascii="Times New Roman" w:hAnsi="Times New Roman"/>
          <w:szCs w:val="24"/>
          <w:vertAlign w:val="superscript"/>
          <w:lang w:bidi="ar"/>
        </w:rPr>
        <w:t>2</w:t>
      </w:r>
      <w:r>
        <w:rPr>
          <w:rFonts w:ascii="Times New Roman" w:hAnsi="Times New Roman"/>
          <w:szCs w:val="24"/>
          <w:lang w:bidi="ar"/>
        </w:rPr>
        <w:t>，分别占保护区面积及核心区面积的1.48%和4.59%。侯家海子为遗鸥的觅食区，部分遗鸥白天飞来此地觅食，傍晚又飞回桃-阿海子湖心岛夜宿。</w:t>
      </w:r>
    </w:p>
    <w:p>
      <w:pPr>
        <w:spacing w:line="440" w:lineRule="exact"/>
        <w:ind w:firstLine="482" w:firstLineChars="200"/>
        <w:rPr>
          <w:rFonts w:ascii="Times New Roman" w:hAnsi="Times New Roman"/>
          <w:b/>
          <w:szCs w:val="24"/>
        </w:rPr>
      </w:pPr>
      <w:r>
        <w:rPr>
          <w:rFonts w:ascii="Times New Roman" w:hAnsi="Times New Roman"/>
          <w:b/>
          <w:szCs w:val="24"/>
          <w:lang w:bidi="ar"/>
        </w:rPr>
        <w:t>（2）缓冲区</w:t>
      </w:r>
    </w:p>
    <w:p>
      <w:pPr>
        <w:spacing w:line="440" w:lineRule="exact"/>
        <w:ind w:firstLine="480" w:firstLineChars="200"/>
        <w:rPr>
          <w:rFonts w:ascii="Times New Roman" w:hAnsi="Times New Roman"/>
          <w:szCs w:val="24"/>
        </w:rPr>
      </w:pPr>
      <w:r>
        <w:rPr>
          <w:rFonts w:ascii="Times New Roman" w:hAnsi="Times New Roman"/>
          <w:szCs w:val="24"/>
          <w:lang w:bidi="ar"/>
        </w:rPr>
        <w:t>缓冲区位于核心区的四周，是核心区与实验区的过渡地带，其范围是在核心区外围的300m区域，总面积1627hm</w:t>
      </w:r>
      <w:r>
        <w:rPr>
          <w:rFonts w:ascii="Times New Roman" w:hAnsi="Times New Roman"/>
          <w:szCs w:val="24"/>
          <w:vertAlign w:val="superscript"/>
          <w:lang w:bidi="ar"/>
        </w:rPr>
        <w:t>2</w:t>
      </w:r>
      <w:r>
        <w:rPr>
          <w:rFonts w:ascii="Times New Roman" w:hAnsi="Times New Roman"/>
          <w:szCs w:val="24"/>
          <w:lang w:bidi="ar"/>
        </w:rPr>
        <w:t>，占保护区面积的11.02%。位于桃-阿海子核心区四周的缓冲区面积1465hm</w:t>
      </w:r>
      <w:r>
        <w:rPr>
          <w:rFonts w:ascii="Times New Roman" w:hAnsi="Times New Roman"/>
          <w:szCs w:val="24"/>
          <w:vertAlign w:val="superscript"/>
          <w:lang w:bidi="ar"/>
        </w:rPr>
        <w:t>2</w:t>
      </w:r>
      <w:r>
        <w:rPr>
          <w:rFonts w:ascii="Times New Roman" w:hAnsi="Times New Roman"/>
          <w:szCs w:val="24"/>
          <w:lang w:bidi="ar"/>
        </w:rPr>
        <w:t>，主要包括草地、沙柳及柠条林地和沙化土地。位于侯家海子核心区的缓冲区面积162hm</w:t>
      </w:r>
      <w:r>
        <w:rPr>
          <w:rFonts w:ascii="Times New Roman" w:hAnsi="Times New Roman"/>
          <w:szCs w:val="24"/>
          <w:vertAlign w:val="superscript"/>
          <w:lang w:bidi="ar"/>
        </w:rPr>
        <w:t>2</w:t>
      </w:r>
      <w:r>
        <w:rPr>
          <w:rFonts w:ascii="Times New Roman" w:hAnsi="Times New Roman"/>
          <w:szCs w:val="24"/>
          <w:lang w:bidi="ar"/>
        </w:rPr>
        <w:t>，在缓冲区的部分区域仍有遗鸥和其它珍稀水禽取食。</w:t>
      </w:r>
    </w:p>
    <w:p>
      <w:pPr>
        <w:spacing w:line="440" w:lineRule="exact"/>
        <w:ind w:firstLine="482" w:firstLineChars="200"/>
        <w:rPr>
          <w:rFonts w:ascii="Times New Roman" w:hAnsi="Times New Roman"/>
          <w:b/>
          <w:szCs w:val="24"/>
        </w:rPr>
      </w:pPr>
      <w:r>
        <w:rPr>
          <w:rFonts w:ascii="Times New Roman" w:hAnsi="Times New Roman"/>
          <w:b/>
          <w:szCs w:val="24"/>
          <w:lang w:bidi="ar"/>
        </w:rPr>
        <w:t>（3）实验区</w:t>
      </w:r>
    </w:p>
    <w:p>
      <w:pPr>
        <w:spacing w:line="440" w:lineRule="exact"/>
        <w:ind w:firstLine="480" w:firstLineChars="200"/>
        <w:rPr>
          <w:rFonts w:ascii="Times New Roman" w:hAnsi="Times New Roman"/>
          <w:szCs w:val="24"/>
        </w:rPr>
      </w:pPr>
      <w:r>
        <w:rPr>
          <w:rFonts w:ascii="Times New Roman" w:hAnsi="Times New Roman"/>
          <w:szCs w:val="24"/>
          <w:lang w:bidi="ar"/>
        </w:rPr>
        <w:t>实验区是缓冲区至保护区边界之间的连续区域，主要是草地和退化草地，其它土地类型主要为人工耕地、林地、沙化土地和居民点。位于保护区主体东南方向的飞地划为实验区进行管理。实验区面积8397hm</w:t>
      </w:r>
      <w:r>
        <w:rPr>
          <w:rFonts w:ascii="Times New Roman" w:hAnsi="Times New Roman"/>
          <w:szCs w:val="24"/>
          <w:vertAlign w:val="superscript"/>
          <w:lang w:bidi="ar"/>
        </w:rPr>
        <w:t>2</w:t>
      </w:r>
      <w:r>
        <w:rPr>
          <w:rFonts w:ascii="Times New Roman" w:hAnsi="Times New Roman"/>
          <w:szCs w:val="24"/>
          <w:lang w:bidi="ar"/>
        </w:rPr>
        <w:t>，占保护区面积的56.82%。飞地为少量遗鸥的觅食地。</w:t>
      </w:r>
    </w:p>
    <w:p>
      <w:pPr>
        <w:pStyle w:val="6"/>
        <w:widowControl/>
        <w:spacing w:after="120" w:line="440" w:lineRule="exact"/>
        <w:rPr>
          <w:rFonts w:ascii="Times New Roman" w:hAnsi="Times New Roman" w:eastAsia="宋体"/>
          <w:sz w:val="24"/>
          <w:szCs w:val="24"/>
        </w:rPr>
      </w:pPr>
      <w:r>
        <w:rPr>
          <w:rFonts w:ascii="Times New Roman" w:hAnsi="Times New Roman" w:eastAsia="宋体"/>
          <w:sz w:val="24"/>
          <w:szCs w:val="24"/>
        </w:rPr>
        <w:t>5.9.1.3 遗鸥生物学特性分析</w:t>
      </w:r>
    </w:p>
    <w:p>
      <w:pPr>
        <w:spacing w:line="440" w:lineRule="exact"/>
        <w:ind w:firstLine="480" w:firstLineChars="200"/>
        <w:rPr>
          <w:rFonts w:ascii="Times New Roman" w:hAnsi="Times New Roman"/>
          <w:szCs w:val="24"/>
        </w:rPr>
      </w:pPr>
      <w:r>
        <w:rPr>
          <w:rFonts w:ascii="Times New Roman" w:hAnsi="Times New Roman"/>
          <w:szCs w:val="24"/>
          <w:lang w:bidi="ar"/>
        </w:rPr>
        <w:t>遗鸥是被人类所认知最晚的鸟类之一，人类真正认识它还不到30年。动物学家带着些许相识恨晚的愧意为它取名“遗鸥”（Larus  relictus），即遗漏之鸥，失落之鸟。我国科学家对遗鸥开展系统的研究始于1990年。1990年内蒙古野生动物调查队和中国科学院动物研究所的张荫荪、何芬奇教授等在内蒙古鄂尔多斯市境内的桃-阿海子首次发现了一个相当大的遗鸥繁殖群，从而开始了对遗鸥的系统研究。</w:t>
      </w:r>
    </w:p>
    <w:p>
      <w:pPr>
        <w:spacing w:line="440" w:lineRule="exact"/>
        <w:ind w:firstLine="480" w:firstLineChars="200"/>
        <w:rPr>
          <w:rFonts w:ascii="Times New Roman" w:hAnsi="Times New Roman"/>
          <w:szCs w:val="24"/>
        </w:rPr>
      </w:pPr>
      <w:r>
        <w:rPr>
          <w:rFonts w:ascii="Times New Roman" w:hAnsi="Times New Roman"/>
          <w:szCs w:val="24"/>
          <w:lang w:bidi="ar"/>
        </w:rPr>
        <w:t>遗鸥属于荒漠-半荒漠生态条件下的典型鸟种，取湿地生境为其栖息地，具有四个相对独立的繁殖种群：中亚种群、远东种群、戈壁种群和鄂尔多斯种群。其中，鄂尔多斯种群是迄今为止在自然界中发现最晚、数量最大的遗鸥种群。根据我国科学家的长期观察和研究，遗鸥具有以下几方面的生物学特性。</w:t>
      </w:r>
    </w:p>
    <w:p>
      <w:pPr>
        <w:spacing w:line="440" w:lineRule="exact"/>
        <w:ind w:firstLine="480" w:firstLineChars="200"/>
        <w:rPr>
          <w:rFonts w:ascii="Times New Roman" w:hAnsi="Times New Roman"/>
          <w:szCs w:val="24"/>
        </w:rPr>
      </w:pPr>
      <w:r>
        <w:rPr>
          <w:rFonts w:ascii="Times New Roman" w:hAnsi="Times New Roman"/>
          <w:szCs w:val="24"/>
          <w:lang w:bidi="ar"/>
        </w:rPr>
        <w:t>（1）遗鸥在桃-阿海子留居时间约5个月，每年4月初飞来，9月底全部飞走。但到目前为止，关于遗鸥的迁飞路径、越冬地等仍然不太清楚。对鄂尔多斯遗鸥种群的环志工作开始于1998年，记录表明：由鄂尔多斯高原至渤海湾是目前仅知的一条相对固定的遗鸥迁飞路线，但也仅只是繁殖期过后遗鸥转飞它地的一条可循路线，还算不上是真正意义上的遗鸥迁徙线路。</w:t>
      </w:r>
    </w:p>
    <w:p>
      <w:pPr>
        <w:spacing w:line="440" w:lineRule="exact"/>
        <w:ind w:firstLine="480" w:firstLineChars="200"/>
        <w:rPr>
          <w:rFonts w:ascii="Times New Roman" w:hAnsi="Times New Roman"/>
          <w:szCs w:val="24"/>
        </w:rPr>
      </w:pPr>
      <w:r>
        <w:rPr>
          <w:rFonts w:ascii="Times New Roman" w:hAnsi="Times New Roman"/>
          <w:szCs w:val="24"/>
          <w:lang w:bidi="ar"/>
        </w:rPr>
        <w:t>（2）遗鸥为群集性鸟，无论迁飞、取食、宿夜或营巢，经常组成独立的群体；未进入繁殖状态的群体内，明显保持成对的群体结构。</w:t>
      </w:r>
    </w:p>
    <w:p>
      <w:pPr>
        <w:spacing w:line="440" w:lineRule="exact"/>
        <w:ind w:firstLine="480" w:firstLineChars="200"/>
        <w:rPr>
          <w:rFonts w:ascii="Times New Roman" w:hAnsi="Times New Roman"/>
          <w:szCs w:val="24"/>
        </w:rPr>
      </w:pPr>
      <w:r>
        <w:rPr>
          <w:rFonts w:ascii="Times New Roman" w:hAnsi="Times New Roman"/>
          <w:szCs w:val="24"/>
          <w:lang w:bidi="ar"/>
        </w:rPr>
        <w:t>（3）遗鸥只取湖心岛为繁殖地，湖心岛以外遗鸥缺乏安全感。根据鸟类学家常年观测结果，尚未见有遗鸥在不具湖心岛的荒漠湖泊营巢繁殖的实例。所有遗鸥成鸟均参与繁殖，遗鸥的巢仅用湖心岛上的碎石简单构筑、繁殖期间每巢2-3枚，遗鸥卵的孵化由双亲共同完成。在繁殖期遗鸥的活动范围不大、且相对固定，取食活动半径约2.5-3.0km。</w:t>
      </w:r>
    </w:p>
    <w:p>
      <w:pPr>
        <w:spacing w:line="440" w:lineRule="exact"/>
        <w:ind w:firstLine="480" w:firstLineChars="200"/>
        <w:rPr>
          <w:rFonts w:ascii="Times New Roman" w:hAnsi="Times New Roman"/>
          <w:szCs w:val="24"/>
        </w:rPr>
      </w:pPr>
      <w:r>
        <w:rPr>
          <w:rFonts w:ascii="Times New Roman" w:hAnsi="Times New Roman"/>
          <w:szCs w:val="24"/>
          <w:lang w:bidi="ar"/>
        </w:rPr>
        <w:t>（4）遗鸥是一种杂食性的鸟，基本上属于捡食型。主要在湖岸滩和水面上啄食水生昆虫或在沙丘上捕食甲虫，动物性食物中摇蚊科幼虫和成虫占食物含量的90%以上，其次为豆娘稚虫、虎岬科和步行虫科等昆虫；植物性食物主要有藻类、眼子菜、寸苔草及白刺等。部分成鸟也在周边的侯家海子和飞地觅食，但数量很少。</w:t>
      </w:r>
    </w:p>
    <w:p>
      <w:pPr>
        <w:spacing w:line="440" w:lineRule="exact"/>
        <w:ind w:firstLine="480" w:firstLineChars="200"/>
        <w:rPr>
          <w:rFonts w:ascii="Times New Roman" w:hAnsi="Times New Roman"/>
          <w:szCs w:val="24"/>
        </w:rPr>
      </w:pPr>
      <w:r>
        <w:rPr>
          <w:rFonts w:ascii="Times New Roman" w:hAnsi="Times New Roman"/>
          <w:szCs w:val="24"/>
          <w:lang w:bidi="ar"/>
        </w:rPr>
        <w:t>（5）遗鸥作为一个仅取荒漠-半荒漠环境下稳定性相当差的湖心岛为繁殖生境的鸟种，其数量变化与生态环境影响密切相关，气候、湖泊水位的变化是影响遗鸥繁殖的主要因子。</w:t>
      </w:r>
    </w:p>
    <w:p>
      <w:pPr>
        <w:pStyle w:val="5"/>
        <w:widowControl/>
        <w:spacing w:before="120" w:after="120" w:line="440" w:lineRule="exact"/>
        <w:rPr>
          <w:sz w:val="24"/>
          <w:szCs w:val="24"/>
        </w:rPr>
      </w:pPr>
      <w:r>
        <w:rPr>
          <w:sz w:val="24"/>
          <w:szCs w:val="24"/>
        </w:rPr>
        <w:t>5.9.2 遗鸥自然保护区湿地水域现状分析</w:t>
      </w:r>
    </w:p>
    <w:p>
      <w:pPr>
        <w:spacing w:line="440" w:lineRule="exact"/>
        <w:ind w:firstLine="480" w:firstLineChars="200"/>
        <w:rPr>
          <w:rFonts w:ascii="Times New Roman" w:hAnsi="Times New Roman"/>
          <w:szCs w:val="24"/>
        </w:rPr>
      </w:pPr>
      <w:r>
        <w:rPr>
          <w:rFonts w:ascii="Times New Roman" w:hAnsi="Times New Roman"/>
          <w:szCs w:val="24"/>
          <w:lang w:bidi="ar"/>
        </w:rPr>
        <w:t>保护区内主要湖泊有桃-阿海子、侯家海子和苏家圪卜海子，其中桃-阿海子为保护区内最大的湖泊，也是遗鸥繁殖与觅食的主要活动场所。侯家海子、苏家圪卜海子水域面积较小，仅有很少数量的遗鸥飞去觅食。因此，本报告将主要对桃-阿海子湿地水域现状进行分析。</w:t>
      </w:r>
    </w:p>
    <w:p>
      <w:pPr>
        <w:spacing w:line="440" w:lineRule="exact"/>
        <w:ind w:firstLine="480" w:firstLineChars="200"/>
        <w:rPr>
          <w:rFonts w:ascii="Times New Roman" w:hAnsi="Times New Roman"/>
          <w:szCs w:val="24"/>
          <w:lang w:bidi="ar"/>
        </w:rPr>
      </w:pPr>
      <w:r>
        <w:rPr>
          <w:rFonts w:ascii="Times New Roman" w:hAnsi="Times New Roman"/>
          <w:szCs w:val="24"/>
          <w:lang w:bidi="ar"/>
        </w:rPr>
        <w:t>据资料显示，90年代初，桃-阿海子水域面积约为100hm</w:t>
      </w:r>
      <w:r>
        <w:rPr>
          <w:rFonts w:ascii="Times New Roman" w:hAnsi="Times New Roman"/>
          <w:szCs w:val="24"/>
          <w:vertAlign w:val="superscript"/>
          <w:lang w:bidi="ar"/>
        </w:rPr>
        <w:t>2</w:t>
      </w:r>
      <w:r>
        <w:rPr>
          <w:rFonts w:ascii="Times New Roman" w:hAnsi="Times New Roman"/>
          <w:szCs w:val="24"/>
          <w:lang w:bidi="ar"/>
        </w:rPr>
        <w:t>，平均水深1.0~1.5m，最深处超过3.5m，湖面海拔1360m，湖中偏西南方向有湖心岛屿出露，呈东北-西南向排列；近年来，由于干旱和人类活动等因素的影响，保护区内的泊江海子水域大面积消退，2001年实测湖面面积缩小为71.5hm</w:t>
      </w:r>
      <w:r>
        <w:rPr>
          <w:rFonts w:ascii="Times New Roman" w:hAnsi="Times New Roman"/>
          <w:szCs w:val="24"/>
          <w:vertAlign w:val="superscript"/>
          <w:lang w:bidi="ar"/>
        </w:rPr>
        <w:t>2</w:t>
      </w:r>
      <w:r>
        <w:rPr>
          <w:rFonts w:ascii="Times New Roman" w:hAnsi="Times New Roman"/>
          <w:szCs w:val="24"/>
          <w:lang w:bidi="ar"/>
        </w:rPr>
        <w:t>，2002年实测湖面面积为64.8hm</w:t>
      </w:r>
      <w:r>
        <w:rPr>
          <w:rFonts w:ascii="Times New Roman" w:hAnsi="Times New Roman"/>
          <w:szCs w:val="24"/>
          <w:vertAlign w:val="superscript"/>
          <w:lang w:bidi="ar"/>
        </w:rPr>
        <w:t>2</w:t>
      </w:r>
      <w:r>
        <w:rPr>
          <w:rFonts w:ascii="Times New Roman" w:hAnsi="Times New Roman"/>
          <w:szCs w:val="24"/>
          <w:lang w:bidi="ar"/>
        </w:rPr>
        <w:t>，2004年，湖面面积又进一步缩小为30hm</w:t>
      </w:r>
      <w:r>
        <w:rPr>
          <w:rFonts w:ascii="Times New Roman" w:hAnsi="Times New Roman"/>
          <w:szCs w:val="24"/>
          <w:vertAlign w:val="superscript"/>
          <w:lang w:bidi="ar"/>
        </w:rPr>
        <w:t>2</w:t>
      </w:r>
      <w:r>
        <w:rPr>
          <w:rFonts w:ascii="Times New Roman" w:hAnsi="Times New Roman"/>
          <w:szCs w:val="24"/>
          <w:lang w:bidi="ar"/>
        </w:rPr>
        <w:t>左右，部分湖心岛已与湖岸连成一片，水位下降，湖岸周边盐碱化严重。</w:t>
      </w:r>
    </w:p>
    <w:p>
      <w:pPr>
        <w:spacing w:line="440" w:lineRule="exact"/>
        <w:ind w:firstLine="480" w:firstLineChars="200"/>
        <w:rPr>
          <w:rFonts w:ascii="Times New Roman" w:hAnsi="Times New Roman"/>
          <w:szCs w:val="24"/>
          <w:lang w:bidi="ar"/>
        </w:rPr>
      </w:pPr>
      <w:r>
        <w:rPr>
          <w:rFonts w:ascii="Times New Roman" w:hAnsi="Times New Roman"/>
          <w:szCs w:val="24"/>
          <w:lang w:bidi="ar"/>
        </w:rPr>
        <w:t>桃-阿海子水域面积的不断减少导致湖心岛附近水位不断下降，湖心岛面积不断扩大。湖心岛形态特征的改变，是遗鸥放弃桃-阿海子自然保护区，飞往南部陕西省榆林市境内红碱淖的重要原因。据中科院动物学家的实地考察，2004年4月中旬至少曾有上千只遗鸥已在桃-阿海子原湖心岛的位置上刨挖浅坑准备筑巢却后却又弃巢离去，2004年遗鸥在桃-阿海子出现零繁殖记录。分析保护区内湿地水域——桃-阿海子水域面积不断减少的原因，可分为自然和人为两方面。</w:t>
      </w:r>
    </w:p>
    <w:p>
      <w:pPr>
        <w:pStyle w:val="2"/>
        <w:spacing w:line="440" w:lineRule="exact"/>
        <w:ind w:firstLine="480" w:firstLineChars="200"/>
        <w:rPr>
          <w:rFonts w:ascii="Times New Roman" w:eastAsia="宋体"/>
          <w:color w:val="auto"/>
          <w:kern w:val="2"/>
          <w:szCs w:val="24"/>
          <w:lang w:bidi="ar"/>
        </w:rPr>
      </w:pPr>
      <w:r>
        <w:rPr>
          <w:rFonts w:ascii="Times New Roman" w:eastAsia="宋体"/>
          <w:color w:val="auto"/>
          <w:kern w:val="2"/>
          <w:szCs w:val="24"/>
          <w:lang w:bidi="ar"/>
        </w:rPr>
        <w:t>2008年开始桃-阿海子基本处于干涸状态。2011年、2012年、2013年、2014年春季（3-5月）桃-阿海子均基本处于完全干涸的状态，2014年5月降雨后水域面积有所恢复。</w:t>
      </w:r>
    </w:p>
    <w:p>
      <w:pPr>
        <w:pStyle w:val="2"/>
        <w:spacing w:line="440" w:lineRule="exact"/>
        <w:ind w:firstLine="480" w:firstLineChars="200"/>
        <w:jc w:val="both"/>
        <w:rPr>
          <w:rFonts w:ascii="Times New Roman" w:eastAsia="宋体"/>
          <w:color w:val="auto"/>
          <w:kern w:val="2"/>
          <w:szCs w:val="24"/>
          <w:lang w:bidi="ar"/>
        </w:rPr>
      </w:pPr>
      <w:r>
        <w:rPr>
          <w:rFonts w:ascii="Times New Roman" w:eastAsia="宋体"/>
          <w:color w:val="auto"/>
          <w:kern w:val="2"/>
          <w:szCs w:val="24"/>
          <w:lang w:bidi="ar"/>
        </w:rPr>
        <w:t>2014年后，随着泊江海子矿矿井补水逐渐进入桃-阿海子，桃-阿海子水面面积和湿地生态系统初步恢复，部分遗鸥又回到此处，2016年5月、2017年5月桃-阿海子水域面积分别达到了2.5、4.0平方公里。2016年10月（雨季过后）桃-阿海子水域面积达到了4.2平方公里，为近几年最大水域面积。在泊江海子矿补水前湿地基本干涸，在降雨量较多的年份才会出现水面。补水3年来，保护区湿地面积逐步增加，煤矿补水对恢复保护区湿地生态系统具有重要作用。</w:t>
      </w:r>
    </w:p>
    <w:p>
      <w:pPr>
        <w:spacing w:line="440" w:lineRule="exact"/>
        <w:ind w:firstLine="482" w:firstLineChars="200"/>
        <w:rPr>
          <w:rFonts w:ascii="Times New Roman" w:hAnsi="Times New Roman"/>
          <w:b/>
          <w:szCs w:val="24"/>
        </w:rPr>
      </w:pPr>
      <w:r>
        <w:rPr>
          <w:rFonts w:ascii="Times New Roman" w:hAnsi="Times New Roman"/>
          <w:b/>
          <w:szCs w:val="24"/>
          <w:lang w:bidi="ar"/>
        </w:rPr>
        <w:t>（1）自然原因</w:t>
      </w:r>
    </w:p>
    <w:p>
      <w:pPr>
        <w:spacing w:line="440" w:lineRule="exact"/>
        <w:ind w:firstLine="480" w:firstLineChars="200"/>
        <w:rPr>
          <w:rFonts w:ascii="Times New Roman" w:hAnsi="Times New Roman"/>
          <w:szCs w:val="24"/>
        </w:rPr>
      </w:pPr>
      <w:r>
        <w:rPr>
          <w:rFonts w:ascii="Times New Roman" w:hAnsi="Times New Roman"/>
          <w:szCs w:val="24"/>
          <w:lang w:bidi="ar"/>
        </w:rPr>
        <w:t>内蒙古鄂尔多斯遗鸥自然保护区处在中国北方农牧交错带，位于亚洲东南季风气候边缘的温带半干旱气候带，东南季风的强弱变化和南北摆动直接控制着该地带气候冷暖和干湿变化。据我国学者对该地区湖泊水位与水质变化、沙区古土壤与风成沙交替发育规律、河流水文网密度变化、沉积物孢粉种群与结构比例变化、沉积物中粘土微量与全量氧化物比值的变化、历史物质文化性质与水平的变化等方面研究成果表明，该地区环境演变是以降水为主导的环境演变过程。这也印证了保护区桃-阿海子水量补给以大气降水补给为主的特征。</w:t>
      </w:r>
    </w:p>
    <w:p>
      <w:pPr>
        <w:spacing w:line="440" w:lineRule="exact"/>
        <w:ind w:firstLine="480" w:firstLineChars="200"/>
        <w:rPr>
          <w:rFonts w:ascii="Times New Roman" w:hAnsi="Times New Roman"/>
          <w:szCs w:val="24"/>
          <w:lang w:bidi="ar"/>
        </w:rPr>
      </w:pPr>
      <w:r>
        <w:rPr>
          <w:rFonts w:ascii="Times New Roman" w:hAnsi="Times New Roman"/>
          <w:szCs w:val="24"/>
          <w:lang w:bidi="ar"/>
        </w:rPr>
        <w:t>据我国学者史培军、朱震达等人对泊江海子沉积物及水体指示体反演的降水变化，1100a BP以来，存在1000-850，750-550，250-170，100-30a BP相对湿润和850-750，550-250，170-100a BP相对干旱时期等4个100-200a周期的干湿变化旋回（见图5.9-2）。在近2000a BP的史料记载中，本地区干旱和大风年数的出现频数在波动中明显增强（见图5.9-3）。总之，泊江海子在近千年的水热组合变化中，表现为暖与湿、冷与干相配的变化规律，在趋势上表现为在波动中趋于旱化。</w:t>
      </w:r>
    </w:p>
    <w:p>
      <w:pPr>
        <w:spacing w:line="440" w:lineRule="exact"/>
        <w:rPr>
          <w:rFonts w:ascii="Times New Roman" w:hAnsi="Times New Roman"/>
          <w:b/>
          <w:sz w:val="21"/>
          <w:szCs w:val="21"/>
        </w:rPr>
      </w:pPr>
      <w:r>
        <w:rPr>
          <w:rFonts w:ascii="Times New Roman" w:hAnsi="Times New Roman"/>
          <w:sz w:val="21"/>
          <w:szCs w:val="21"/>
        </w:rPr>
        <w:drawing>
          <wp:anchor distT="0" distB="0" distL="114300" distR="114300" simplePos="0" relativeHeight="251669504" behindDoc="0" locked="0" layoutInCell="1" allowOverlap="1">
            <wp:simplePos x="0" y="0"/>
            <wp:positionH relativeFrom="column">
              <wp:posOffset>2718435</wp:posOffset>
            </wp:positionH>
            <wp:positionV relativeFrom="paragraph">
              <wp:posOffset>207010</wp:posOffset>
            </wp:positionV>
            <wp:extent cx="2457450" cy="971550"/>
            <wp:effectExtent l="0" t="0" r="0" b="0"/>
            <wp:wrapTopAndBottom/>
            <wp:docPr id="84" name="图片 5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4" descr="IMG_257"/>
                    <pic:cNvPicPr>
                      <a:picLocks noChangeAspect="1"/>
                    </pic:cNvPicPr>
                  </pic:nvPicPr>
                  <pic:blipFill>
                    <a:blip r:embed="rId163"/>
                    <a:stretch>
                      <a:fillRect/>
                    </a:stretch>
                  </pic:blipFill>
                  <pic:spPr>
                    <a:xfrm>
                      <a:off x="0" y="0"/>
                      <a:ext cx="2457450" cy="971550"/>
                    </a:xfrm>
                    <a:prstGeom prst="rect">
                      <a:avLst/>
                    </a:prstGeom>
                    <a:noFill/>
                    <a:ln w="9525">
                      <a:noFill/>
                    </a:ln>
                  </pic:spPr>
                </pic:pic>
              </a:graphicData>
            </a:graphic>
          </wp:anchor>
        </w:drawing>
      </w:r>
      <w:r>
        <w:rPr>
          <w:rFonts w:ascii="Times New Roman" w:hAnsi="Times New Roman"/>
          <w:sz w:val="18"/>
          <w:szCs w:val="18"/>
        </w:rPr>
        <w:drawing>
          <wp:anchor distT="0" distB="0" distL="114300" distR="114300" simplePos="0" relativeHeight="251670528" behindDoc="0" locked="0" layoutInCell="1" allowOverlap="1">
            <wp:simplePos x="0" y="0"/>
            <wp:positionH relativeFrom="column">
              <wp:posOffset>292735</wp:posOffset>
            </wp:positionH>
            <wp:positionV relativeFrom="paragraph">
              <wp:posOffset>205740</wp:posOffset>
            </wp:positionV>
            <wp:extent cx="2105025" cy="971550"/>
            <wp:effectExtent l="0" t="0" r="9525" b="0"/>
            <wp:wrapTopAndBottom/>
            <wp:docPr id="78"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3" descr="IMG_256"/>
                    <pic:cNvPicPr>
                      <a:picLocks noChangeAspect="1"/>
                    </pic:cNvPicPr>
                  </pic:nvPicPr>
                  <pic:blipFill>
                    <a:blip r:embed="rId164"/>
                    <a:stretch>
                      <a:fillRect/>
                    </a:stretch>
                  </pic:blipFill>
                  <pic:spPr>
                    <a:xfrm>
                      <a:off x="0" y="0"/>
                      <a:ext cx="2105025" cy="971550"/>
                    </a:xfrm>
                    <a:prstGeom prst="rect">
                      <a:avLst/>
                    </a:prstGeom>
                    <a:noFill/>
                    <a:ln w="9525">
                      <a:noFill/>
                    </a:ln>
                  </pic:spPr>
                </pic:pic>
              </a:graphicData>
            </a:graphic>
          </wp:anchor>
        </w:drawing>
      </w:r>
      <w:r>
        <w:rPr>
          <w:rFonts w:ascii="Times New Roman" w:hAnsi="Times New Roman"/>
          <w:b/>
          <w:bCs/>
          <w:sz w:val="21"/>
          <w:szCs w:val="21"/>
          <w:lang w:bidi="ar"/>
        </w:rPr>
        <w:t>图</w:t>
      </w:r>
      <w:r>
        <w:rPr>
          <w:rFonts w:ascii="Times New Roman" w:hAnsi="Times New Roman"/>
          <w:b/>
          <w:bCs/>
          <w:kern w:val="0"/>
          <w:sz w:val="21"/>
          <w:szCs w:val="21"/>
          <w:lang w:bidi="ar"/>
        </w:rPr>
        <w:t>5.9-2 800AD</w:t>
      </w:r>
      <w:r>
        <w:rPr>
          <w:rFonts w:ascii="Times New Roman" w:hAnsi="Times New Roman"/>
          <w:b/>
          <w:kern w:val="0"/>
          <w:sz w:val="21"/>
          <w:szCs w:val="21"/>
          <w:lang w:bidi="ar"/>
        </w:rPr>
        <w:t>以来泊江海子地区降水变化  图5.9-3 900AD以来中国北方干旱与大风频数变化</w:t>
      </w:r>
    </w:p>
    <w:p>
      <w:pPr>
        <w:spacing w:before="360" w:beforeLines="150" w:line="440" w:lineRule="exact"/>
        <w:ind w:firstLine="480" w:firstLineChars="200"/>
        <w:rPr>
          <w:rFonts w:ascii="Times New Roman" w:hAnsi="Times New Roman"/>
          <w:szCs w:val="24"/>
        </w:rPr>
      </w:pPr>
      <w:r>
        <w:rPr>
          <w:rFonts w:ascii="Times New Roman" w:hAnsi="Times New Roman"/>
          <w:szCs w:val="24"/>
          <w:lang w:bidi="ar"/>
        </w:rPr>
        <w:t>此外，据史培军等人对该地区近100a的降水变化研究结果可知，该地区降水距平百分比系列（见图5.9-4），自1900年以来降水在波动中趋于减少，尤其是60、70年代的明显干旱，存在10a左右的准周期。目前，该地区正处于少雨期。这也印证了泊江海子遗鸥保护区所在地区多年平均降水量由原来324.8mm，下降到近年来207mm的降水特征。</w:t>
      </w:r>
    </w:p>
    <w:p>
      <w:pPr>
        <w:topLinePunct/>
        <w:snapToGrid w:val="0"/>
        <w:spacing w:line="440" w:lineRule="exact"/>
        <w:ind w:firstLine="420" w:firstLineChars="200"/>
        <w:jc w:val="center"/>
        <w:rPr>
          <w:rFonts w:ascii="Times New Roman" w:hAnsi="Times New Roman"/>
          <w:b/>
          <w:szCs w:val="24"/>
        </w:rPr>
      </w:pPr>
      <w:r>
        <w:rPr>
          <w:rFonts w:ascii="Times New Roman" w:hAnsi="Times New Roman"/>
          <w:sz w:val="21"/>
          <w:szCs w:val="21"/>
        </w:rPr>
        <w:drawing>
          <wp:anchor distT="0" distB="0" distL="114300" distR="114300" simplePos="0" relativeHeight="251671552" behindDoc="0" locked="0" layoutInCell="1" allowOverlap="1">
            <wp:simplePos x="0" y="0"/>
            <wp:positionH relativeFrom="column">
              <wp:posOffset>1392555</wp:posOffset>
            </wp:positionH>
            <wp:positionV relativeFrom="paragraph">
              <wp:posOffset>90170</wp:posOffset>
            </wp:positionV>
            <wp:extent cx="3067050" cy="2133600"/>
            <wp:effectExtent l="0" t="0" r="0" b="0"/>
            <wp:wrapTopAndBottom/>
            <wp:docPr id="83" name="图片 5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5" descr="IMG_258"/>
                    <pic:cNvPicPr>
                      <a:picLocks noChangeAspect="1"/>
                    </pic:cNvPicPr>
                  </pic:nvPicPr>
                  <pic:blipFill>
                    <a:blip r:embed="rId165"/>
                    <a:stretch>
                      <a:fillRect/>
                    </a:stretch>
                  </pic:blipFill>
                  <pic:spPr>
                    <a:xfrm>
                      <a:off x="0" y="0"/>
                      <a:ext cx="3067050" cy="2133600"/>
                    </a:xfrm>
                    <a:prstGeom prst="rect">
                      <a:avLst/>
                    </a:prstGeom>
                    <a:noFill/>
                    <a:ln w="9525">
                      <a:noFill/>
                    </a:ln>
                  </pic:spPr>
                </pic:pic>
              </a:graphicData>
            </a:graphic>
          </wp:anchor>
        </w:drawing>
      </w:r>
      <w:r>
        <w:rPr>
          <w:rFonts w:ascii="Times New Roman" w:hAnsi="Times New Roman"/>
          <w:b/>
          <w:kern w:val="0"/>
          <w:szCs w:val="24"/>
          <w:lang w:bidi="ar"/>
        </w:rPr>
        <w:t>图5.9-4  中国北方农牧交错带近百年的降水变化</w:t>
      </w:r>
    </w:p>
    <w:p>
      <w:pPr>
        <w:spacing w:before="120" w:beforeLines="50" w:line="440" w:lineRule="exact"/>
        <w:ind w:firstLine="480" w:firstLineChars="200"/>
        <w:rPr>
          <w:rFonts w:ascii="Times New Roman" w:hAnsi="Times New Roman"/>
          <w:szCs w:val="24"/>
        </w:rPr>
      </w:pPr>
      <w:r>
        <w:rPr>
          <w:rFonts w:ascii="Times New Roman" w:hAnsi="Times New Roman"/>
          <w:szCs w:val="24"/>
          <w:lang w:bidi="ar"/>
        </w:rPr>
        <w:t>正是由于该地区暖与湿、冷与干、多雨和少雨的交替变化，并在波动中趋于旱化，以及近年来属于少雨期的大气候特征，使得位于该地区的遗鸥自然保护区桃-阿海子水域面积不断减少的重要自然原因。</w:t>
      </w:r>
    </w:p>
    <w:p>
      <w:pPr>
        <w:spacing w:line="440" w:lineRule="exact"/>
        <w:ind w:firstLine="482" w:firstLineChars="200"/>
        <w:rPr>
          <w:rFonts w:ascii="Times New Roman" w:hAnsi="Times New Roman"/>
          <w:b/>
          <w:szCs w:val="24"/>
        </w:rPr>
      </w:pPr>
      <w:r>
        <w:rPr>
          <w:rFonts w:ascii="Times New Roman" w:hAnsi="Times New Roman"/>
          <w:b/>
          <w:szCs w:val="24"/>
          <w:lang w:bidi="ar"/>
        </w:rPr>
        <w:t>（2）人为原因</w:t>
      </w:r>
    </w:p>
    <w:p>
      <w:pPr>
        <w:spacing w:line="440" w:lineRule="exact"/>
        <w:ind w:firstLine="480" w:firstLineChars="200"/>
        <w:rPr>
          <w:rFonts w:ascii="Times New Roman" w:hAnsi="Times New Roman"/>
          <w:szCs w:val="24"/>
        </w:rPr>
      </w:pPr>
      <w:r>
        <w:rPr>
          <w:rFonts w:ascii="Times New Roman" w:hAnsi="Times New Roman"/>
          <w:szCs w:val="24"/>
          <w:lang w:bidi="ar"/>
        </w:rPr>
        <w:t>由于遗鸥自然保护区上游汇水区位于东胜-四十里梁地表水分水岭稍南一侧，地下水贫瘠，上游汇水区农业用水紧张。据保护区有关人员调查，保护区主要地表汇水通道——鸡沟河上游有三个比较大的拦截坝，拦截多雨期大气降水，这在一定程度上减少了保护区大气降水的补给量。</w:t>
      </w:r>
    </w:p>
    <w:p>
      <w:pPr>
        <w:spacing w:line="440" w:lineRule="exact"/>
        <w:ind w:firstLine="480" w:firstLineChars="200"/>
        <w:rPr>
          <w:rFonts w:ascii="Times New Roman" w:hAnsi="Times New Roman"/>
          <w:szCs w:val="24"/>
        </w:rPr>
      </w:pPr>
      <w:r>
        <w:rPr>
          <w:rFonts w:ascii="Times New Roman" w:hAnsi="Times New Roman"/>
          <w:szCs w:val="24"/>
          <w:lang w:bidi="ar"/>
        </w:rPr>
        <w:t>此外，2000年当地依托湿地和湖心岛开发的旅游项目——鄂尔多斯世珍园，建在保护区核心区内，这直接影响了遗鸥等珍稀鸟类在湖心岛的繁殖生息，以及保护区周围的水平衡。</w:t>
      </w:r>
    </w:p>
    <w:p>
      <w:pPr>
        <w:spacing w:line="440" w:lineRule="exact"/>
        <w:ind w:firstLine="480" w:firstLineChars="200"/>
        <w:rPr>
          <w:rFonts w:ascii="Times New Roman" w:hAnsi="Times New Roman"/>
          <w:szCs w:val="24"/>
          <w:lang w:bidi="ar"/>
        </w:rPr>
      </w:pPr>
      <w:r>
        <w:rPr>
          <w:rFonts w:ascii="Times New Roman" w:hAnsi="Times New Roman"/>
          <w:szCs w:val="24"/>
          <w:lang w:bidi="ar"/>
        </w:rPr>
        <w:t>综上分析，造成保护区桃-阿海子水域面积不断减少的原因，既有自然原因，也有人为原因，以自然原因为主，但人为原因较直接。</w:t>
      </w:r>
    </w:p>
    <w:p>
      <w:pPr>
        <w:pStyle w:val="5"/>
        <w:widowControl/>
        <w:spacing w:before="360" w:after="120" w:line="440" w:lineRule="exact"/>
        <w:rPr>
          <w:sz w:val="24"/>
          <w:szCs w:val="24"/>
        </w:rPr>
      </w:pPr>
      <w:r>
        <w:rPr>
          <w:sz w:val="24"/>
          <w:szCs w:val="24"/>
        </w:rPr>
        <w:t>5.9.3 矿区开发对自然保护区的影响分析</w:t>
      </w:r>
    </w:p>
    <w:p>
      <w:pPr>
        <w:spacing w:line="440" w:lineRule="exact"/>
        <w:ind w:firstLine="480" w:firstLineChars="200"/>
        <w:rPr>
          <w:rFonts w:ascii="Times New Roman" w:hAnsi="Times New Roman"/>
          <w:szCs w:val="24"/>
        </w:rPr>
      </w:pPr>
      <w:r>
        <w:rPr>
          <w:rFonts w:ascii="Times New Roman" w:hAnsi="Times New Roman"/>
          <w:szCs w:val="24"/>
          <w:lang w:bidi="ar"/>
        </w:rPr>
        <w:t>鄂尔多斯遗鸥自然保护区位于矿区北侧，与奎腾沟井田北侧边界相接。纳林希里矿区与鄂尔多斯遗鸥自然保护区相对位置关系参见图1.5-1。</w:t>
      </w:r>
    </w:p>
    <w:p>
      <w:pPr>
        <w:spacing w:line="440" w:lineRule="exact"/>
        <w:ind w:firstLine="480" w:firstLineChars="200"/>
        <w:rPr>
          <w:rFonts w:ascii="Times New Roman" w:hAnsi="Times New Roman"/>
          <w:szCs w:val="24"/>
        </w:rPr>
      </w:pPr>
      <w:r>
        <w:rPr>
          <w:rFonts w:ascii="Times New Roman" w:hAnsi="Times New Roman"/>
          <w:szCs w:val="24"/>
          <w:lang w:bidi="ar"/>
        </w:rPr>
        <w:t>由前面遗鸥自然保护区概况及湿地水域现状分析可知，遗鸥为荒漠半荒漠生态条件下的典型鸟种，是相对独立的繁殖种群，生性比较敏感，只取桃-阿海子湖心岛为繁殖生境，湖心岛以外遗鸥缺乏安全感。因此，保护区内桃-阿海子湖心岛面积大小及其离岸距离是影响遗鸥在保护区内进行繁殖栖息与否的关键性因子，而保持桃-阿海子湖心岛面积及离岸距离在一定的水平，直接取决于桃-阿海子水域的变化，而桃-阿海子水域面积的变化与保护区上游地表和地下汇水能力直接相关。因此，本报告对于矿区开发对遗鸥自然保护区的影响，将重点针对矿区开发对保护区桃-阿湿地水域汇水能力的影响分析上，分地表水和地下水两方面进行分析与评价。</w:t>
      </w:r>
    </w:p>
    <w:p>
      <w:pPr>
        <w:pStyle w:val="6"/>
        <w:widowControl/>
        <w:spacing w:after="120" w:line="440" w:lineRule="exact"/>
        <w:rPr>
          <w:rFonts w:ascii="Times New Roman" w:hAnsi="Times New Roman" w:eastAsia="宋体"/>
          <w:sz w:val="24"/>
          <w:szCs w:val="24"/>
        </w:rPr>
      </w:pPr>
      <w:r>
        <w:rPr>
          <w:rFonts w:ascii="Times New Roman" w:hAnsi="Times New Roman" w:eastAsia="宋体"/>
          <w:sz w:val="24"/>
          <w:szCs w:val="24"/>
        </w:rPr>
        <w:t>5.9.3.1 矿区开发对保护区湿地水域地表汇水影响分析</w:t>
      </w:r>
    </w:p>
    <w:p>
      <w:pPr>
        <w:spacing w:line="440" w:lineRule="exact"/>
        <w:ind w:firstLine="480" w:firstLineChars="200"/>
        <w:rPr>
          <w:rFonts w:ascii="Times New Roman" w:hAnsi="Times New Roman"/>
          <w:szCs w:val="24"/>
        </w:rPr>
      </w:pPr>
      <w:r>
        <w:rPr>
          <w:rFonts w:ascii="Times New Roman" w:hAnsi="Times New Roman"/>
          <w:szCs w:val="24"/>
          <w:lang w:bidi="ar"/>
        </w:rPr>
        <w:t>由前面遗鸥自然保护区概况分析可知，保护区桃-阿海子主要接收大气降水补给及上游鸡沟河和乌尔图河两条季节性河流补给。</w:t>
      </w:r>
    </w:p>
    <w:p>
      <w:pPr>
        <w:spacing w:line="440" w:lineRule="exact"/>
        <w:ind w:firstLine="480" w:firstLineChars="200"/>
        <w:rPr>
          <w:rFonts w:ascii="Times New Roman" w:hAnsi="Times New Roman"/>
          <w:szCs w:val="24"/>
          <w:lang w:bidi="ar"/>
        </w:rPr>
      </w:pPr>
      <w:r>
        <w:rPr>
          <w:rFonts w:ascii="Times New Roman" w:hAnsi="Times New Roman"/>
          <w:szCs w:val="24"/>
          <w:lang w:bidi="ar"/>
        </w:rPr>
        <w:t>鉴于桃-阿海子为保护区遗鸥重点栖息地保护对象，本报告对矿区开发保护区湿地水域地表水影响分析，将主要对桃-阿海子水域地表水影响进行重点分析。</w:t>
      </w:r>
    </w:p>
    <w:p>
      <w:pPr>
        <w:spacing w:line="529" w:lineRule="exact"/>
        <w:ind w:firstLine="482" w:firstLineChars="200"/>
        <w:rPr>
          <w:rFonts w:ascii="Times New Roman" w:hAnsi="Times New Roman"/>
          <w:b/>
          <w:szCs w:val="24"/>
        </w:rPr>
      </w:pPr>
      <w:r>
        <w:rPr>
          <w:rFonts w:ascii="Times New Roman" w:hAnsi="Times New Roman"/>
          <w:b/>
          <w:szCs w:val="24"/>
          <w:lang w:bidi="ar"/>
        </w:rPr>
        <w:t>（1）保护区所处流域特征分析</w:t>
      </w:r>
    </w:p>
    <w:p>
      <w:pPr>
        <w:spacing w:line="440" w:lineRule="exact"/>
        <w:ind w:firstLine="480" w:firstLineChars="200"/>
        <w:rPr>
          <w:rFonts w:ascii="Times New Roman" w:hAnsi="Times New Roman"/>
          <w:szCs w:val="24"/>
        </w:rPr>
      </w:pPr>
      <w:r>
        <w:rPr>
          <w:rFonts w:ascii="Times New Roman" w:hAnsi="Times New Roman"/>
          <w:szCs w:val="24"/>
          <w:lang w:bidi="ar"/>
        </w:rPr>
        <w:t>根据本次评价调查，保护区桃-阿海子所属的流域由二个子流域组成，分别为鸡沟河子流域Ⅰ、乌尔图河子流域Ⅱ。通过现场调研和与水利部门相关单位咨询，子流域Ⅰ上游位于巴彦敖包乡，代表性河流为鸡沟河，子流域Ⅱ上游位于漫赖乡，代表性河流为乌尔图河；保护区在流域位置中位于下游，子流域Ⅰ与子流域Ⅱ分别自西和自东向海子汇流。</w:t>
      </w:r>
    </w:p>
    <w:p>
      <w:pPr>
        <w:spacing w:before="120" w:beforeLines="50" w:line="529" w:lineRule="exact"/>
        <w:ind w:firstLine="482" w:firstLineChars="200"/>
        <w:rPr>
          <w:rFonts w:ascii="Times New Roman" w:hAnsi="Times New Roman"/>
          <w:b/>
          <w:szCs w:val="24"/>
        </w:rPr>
      </w:pPr>
      <w:r>
        <w:rPr>
          <w:rFonts w:ascii="Times New Roman" w:hAnsi="Times New Roman"/>
          <w:b/>
          <w:szCs w:val="24"/>
          <w:lang w:bidi="ar"/>
        </w:rPr>
        <w:t>（2）保护区汇水能力分析</w:t>
      </w:r>
    </w:p>
    <w:p>
      <w:pPr>
        <w:spacing w:line="440" w:lineRule="exact"/>
        <w:ind w:firstLine="480" w:firstLineChars="200"/>
        <w:rPr>
          <w:rFonts w:ascii="Times New Roman" w:hAnsi="Times New Roman"/>
          <w:szCs w:val="24"/>
        </w:rPr>
      </w:pPr>
      <w:r>
        <w:rPr>
          <w:rFonts w:ascii="Times New Roman" w:hAnsi="Times New Roman"/>
          <w:szCs w:val="24"/>
          <w:lang w:bidi="ar"/>
        </w:rPr>
        <w:t>从保护区在流域中的相对位置来看，遗鸥自然保护区核心区、缓冲区以及实验区均在流域内。保护区主要接受子流域Ⅰ和子流域Ⅱ的地表汇流，子流域Ⅰ内的河网由上游巴彦敖包乡向东注入保护区，子流域Ⅱ内的河网则主要由上游漫赖乡向西注入保护区。</w:t>
      </w:r>
    </w:p>
    <w:p>
      <w:pPr>
        <w:spacing w:line="440" w:lineRule="exact"/>
        <w:ind w:firstLine="480" w:firstLineChars="200"/>
        <w:rPr>
          <w:rFonts w:ascii="Times New Roman" w:hAnsi="Times New Roman"/>
          <w:szCs w:val="24"/>
          <w:lang w:bidi="ar"/>
        </w:rPr>
      </w:pPr>
      <w:r>
        <w:rPr>
          <w:rFonts w:ascii="Times New Roman" w:hAnsi="Times New Roman"/>
          <w:szCs w:val="24"/>
          <w:lang w:bidi="ar"/>
        </w:rPr>
        <w:t>由上面流域特征分析可知，保护区汇水总面积</w:t>
      </w:r>
      <w:r>
        <w:rPr>
          <w:rFonts w:hint="eastAsia" w:ascii="Times New Roman" w:hAnsi="Times New Roman"/>
          <w:szCs w:val="24"/>
          <w:lang w:bidi="ar"/>
        </w:rPr>
        <w:t>约</w:t>
      </w:r>
      <w:r>
        <w:rPr>
          <w:rFonts w:ascii="Times New Roman" w:hAnsi="Times New Roman"/>
          <w:szCs w:val="24"/>
          <w:lang w:bidi="ar"/>
        </w:rPr>
        <w:t>为</w:t>
      </w:r>
      <w:r>
        <w:rPr>
          <w:rFonts w:hint="eastAsia" w:ascii="Times New Roman" w:hAnsi="Times New Roman"/>
          <w:szCs w:val="24"/>
          <w:lang w:bidi="ar"/>
        </w:rPr>
        <w:t>665</w:t>
      </w:r>
      <w:r>
        <w:rPr>
          <w:rFonts w:ascii="Times New Roman" w:hAnsi="Times New Roman"/>
          <w:szCs w:val="24"/>
          <w:lang w:bidi="ar"/>
        </w:rPr>
        <w:t>km</w:t>
      </w:r>
      <w:r>
        <w:rPr>
          <w:rFonts w:ascii="Times New Roman" w:hAnsi="Times New Roman"/>
          <w:szCs w:val="24"/>
          <w:vertAlign w:val="superscript"/>
          <w:lang w:bidi="ar"/>
        </w:rPr>
        <w:t>2</w:t>
      </w:r>
      <w:r>
        <w:rPr>
          <w:rFonts w:ascii="Times New Roman" w:hAnsi="Times New Roman"/>
          <w:szCs w:val="24"/>
          <w:lang w:bidi="ar"/>
        </w:rPr>
        <w:t>。</w:t>
      </w:r>
    </w:p>
    <w:p>
      <w:pPr>
        <w:spacing w:line="529" w:lineRule="exact"/>
        <w:ind w:firstLine="482" w:firstLineChars="200"/>
        <w:rPr>
          <w:rFonts w:ascii="Times New Roman" w:hAnsi="Times New Roman"/>
          <w:b/>
          <w:szCs w:val="24"/>
        </w:rPr>
      </w:pPr>
      <w:r>
        <w:rPr>
          <w:rFonts w:ascii="Times New Roman" w:hAnsi="Times New Roman"/>
          <w:b/>
          <w:szCs w:val="24"/>
          <w:lang w:bidi="ar"/>
        </w:rPr>
        <w:t>（3）矿区开发对保护区汇水能力的影响分析</w:t>
      </w:r>
    </w:p>
    <w:p>
      <w:pPr>
        <w:spacing w:line="440" w:lineRule="exact"/>
        <w:ind w:firstLine="480" w:firstLineChars="200"/>
        <w:rPr>
          <w:rFonts w:ascii="Times New Roman" w:hAnsi="Times New Roman"/>
          <w:szCs w:val="24"/>
          <w:lang w:bidi="ar"/>
        </w:rPr>
      </w:pPr>
      <w:r>
        <w:rPr>
          <w:rFonts w:ascii="Times New Roman" w:hAnsi="Times New Roman"/>
          <w:szCs w:val="24"/>
          <w:lang w:bidi="ar"/>
        </w:rPr>
        <w:t>矿区开发对保护区汇水能力的影响，主要是由于矿区煤矿采空区塌陷，导致地表形态和地形、地貌发生改变（主要表现为地表沉陷和地裂缝），进而对保护区上游汇水能力产生一定程度的影响。</w:t>
      </w:r>
    </w:p>
    <w:p>
      <w:pPr>
        <w:spacing w:line="440" w:lineRule="exact"/>
        <w:ind w:firstLine="480" w:firstLineChars="200"/>
        <w:rPr>
          <w:rFonts w:ascii="Times New Roman" w:hAnsi="Times New Roman"/>
          <w:bCs/>
          <w:kern w:val="0"/>
          <w:szCs w:val="24"/>
        </w:rPr>
      </w:pPr>
      <w:r>
        <w:rPr>
          <w:rFonts w:hint="eastAsia" w:ascii="Times New Roman" w:hAnsi="Times New Roman"/>
          <w:bCs/>
          <w:kern w:val="0"/>
          <w:szCs w:val="24"/>
        </w:rPr>
        <w:t>根据矿区及保护区地形地貌，奎腾沟煤矿与保护区汇水区域联系密切的分界线（分水岭）为西北-东南方向展布（图5.3-22），分水岭以北为保护区的部分地表汇水来源，其地表汇流由西南、东南向保护区汇流，分水岭以南地表汇流主要流入矿区内。</w:t>
      </w:r>
    </w:p>
    <w:p>
      <w:pPr>
        <w:spacing w:line="440" w:lineRule="exact"/>
        <w:ind w:firstLine="480" w:firstLineChars="200"/>
        <w:rPr>
          <w:rFonts w:ascii="Times New Roman" w:hAnsi="Times New Roman"/>
          <w:bCs/>
          <w:kern w:val="0"/>
          <w:szCs w:val="24"/>
        </w:rPr>
      </w:pPr>
      <w:r>
        <w:rPr>
          <w:rFonts w:hint="eastAsia" w:ascii="Times New Roman" w:hAnsi="Times New Roman"/>
          <w:bCs/>
          <w:kern w:val="0"/>
          <w:szCs w:val="24"/>
        </w:rPr>
        <w:t>自然保护区在矿区奎腾沟井田内汇水面积约23.58km</w:t>
      </w:r>
      <w:r>
        <w:rPr>
          <w:rFonts w:ascii="Times New Roman" w:hAnsi="Times New Roman"/>
          <w:bCs/>
          <w:kern w:val="0"/>
          <w:szCs w:val="24"/>
          <w:vertAlign w:val="superscript"/>
        </w:rPr>
        <w:t>2</w:t>
      </w:r>
      <w:r>
        <w:rPr>
          <w:rFonts w:hint="eastAsia" w:ascii="Times New Roman" w:hAnsi="Times New Roman"/>
          <w:bCs/>
          <w:kern w:val="0"/>
          <w:szCs w:val="24"/>
        </w:rPr>
        <w:t>，占自然保护区汇水面积的3.55%，因此对保护区地表汇流的影响主要表现在奎腾沟煤层开采沉陷对分水岭以北汇水的影响。根据本次沉陷影响预测，汇水区沉陷最大值约21m，通过与初始地形叠加，沉陷后汇水区地形总体变化趋势与原地形基本一致，地势较低的中部区域，局部地段分水岭向北移动，沉陷后分水岭展布情况见图5.3-22。通过与原分水岭进行对比分析，可知：奎腾沟煤层开采导致局部地段分水岭向北移动，汇水影响区域面积约0.71km</w:t>
      </w:r>
      <w:r>
        <w:rPr>
          <w:rFonts w:hint="eastAsia" w:ascii="Times New Roman" w:hAnsi="Times New Roman"/>
          <w:bCs/>
          <w:kern w:val="0"/>
          <w:szCs w:val="24"/>
          <w:vertAlign w:val="superscript"/>
        </w:rPr>
        <w:t>2</w:t>
      </w:r>
      <w:r>
        <w:rPr>
          <w:rFonts w:hint="eastAsia" w:ascii="Times New Roman" w:hAnsi="Times New Roman"/>
          <w:bCs/>
          <w:kern w:val="0"/>
          <w:szCs w:val="24"/>
        </w:rPr>
        <w:t>，自然保护区地表汇流量损失约14.7万立方米/年，遗鸥国家级自然保护区汇水面积约665km</w:t>
      </w:r>
      <w:r>
        <w:rPr>
          <w:rFonts w:ascii="Times New Roman" w:hAnsi="Times New Roman"/>
          <w:bCs/>
          <w:kern w:val="0"/>
          <w:szCs w:val="24"/>
          <w:vertAlign w:val="superscript"/>
        </w:rPr>
        <w:t>2</w:t>
      </w:r>
      <w:r>
        <w:rPr>
          <w:rFonts w:hint="eastAsia" w:ascii="Times New Roman" w:hAnsi="Times New Roman"/>
          <w:bCs/>
          <w:kern w:val="0"/>
          <w:szCs w:val="24"/>
        </w:rPr>
        <w:t>，总汇水量约1.38亿立方米/年（降水量为207mm），汇水影响区域及损失水量仅占自然保护区的0.107%，因此矿区煤层开采总体对遗鸥国家级自然保护区汇水影响较小。</w:t>
      </w:r>
    </w:p>
    <w:p>
      <w:pPr>
        <w:pStyle w:val="6"/>
        <w:widowControl/>
        <w:spacing w:after="120" w:line="440" w:lineRule="exact"/>
        <w:rPr>
          <w:rFonts w:ascii="Times New Roman" w:hAnsi="Times New Roman" w:eastAsia="宋体"/>
          <w:sz w:val="24"/>
          <w:szCs w:val="24"/>
        </w:rPr>
      </w:pPr>
      <w:r>
        <w:rPr>
          <w:rFonts w:ascii="Times New Roman" w:hAnsi="Times New Roman" w:eastAsia="宋体"/>
          <w:sz w:val="24"/>
          <w:szCs w:val="24"/>
        </w:rPr>
        <w:t>5.9.3.2 矿区开发对保护区湿地水域地下水汇水影响分析</w:t>
      </w:r>
    </w:p>
    <w:p>
      <w:pPr>
        <w:spacing w:line="440" w:lineRule="exact"/>
        <w:ind w:firstLine="480" w:firstLineChars="200"/>
        <w:rPr>
          <w:rFonts w:ascii="Times New Roman" w:hAnsi="Times New Roman"/>
          <w:szCs w:val="24"/>
        </w:rPr>
      </w:pPr>
      <w:r>
        <w:rPr>
          <w:rFonts w:ascii="Times New Roman" w:hAnsi="Times New Roman"/>
          <w:szCs w:val="24"/>
          <w:lang w:bidi="ar"/>
        </w:rPr>
        <w:t>遗鸥自然保护区内桃-阿海子主要地下水补给源为第四系松散潜水含水层及白垩系碎屑岩孔隙潜水含水层；而侯家海子、苏家圪卜海子主要接收大气降水补给，地下水补给量很小。由矿区水文地质情况可知，矿区内第四系潜水及白垩系碎屑岩潜水含水层埋深较浅，地下水动态受大气降水控制，常随大气降水的年变化以及季节变化而改变；潜水流向受地形影响较大，由地形高处向低处流动，在沟谷或洼地汇集，区域总体潜水流向大致以东胜-四十里梁地下分水岭为界，北部自南向北径流，南部自北向南径流；潜水含水层与大气降水及地表水体的水力联系非常密切，与下伏承压水含水层水力联系较小。</w:t>
      </w:r>
    </w:p>
    <w:p>
      <w:pPr>
        <w:spacing w:line="440" w:lineRule="exact"/>
        <w:ind w:firstLine="480" w:firstLineChars="200"/>
        <w:rPr>
          <w:rFonts w:ascii="Times New Roman" w:hAnsi="Times New Roman"/>
          <w:szCs w:val="24"/>
        </w:rPr>
      </w:pPr>
      <w:r>
        <w:rPr>
          <w:rFonts w:ascii="Times New Roman" w:hAnsi="Times New Roman"/>
          <w:szCs w:val="24"/>
          <w:lang w:bidi="ar"/>
        </w:rPr>
        <w:t>遗鸥自然保护区位于区域东胜-四十里梁地下分水岭南侧，相对于矿区来说，位于矿区规划北侧。因此，矿区开发对保护区潜水含水层的影响，主要由煤炭开发引起，具体来说对保护区潜水含水层影响可能途径主要为：导水裂缝带导通、煤矿采空区塌陷、煤系地层含水层疏干对浅部含水层的间接影响。</w:t>
      </w:r>
    </w:p>
    <w:p>
      <w:pPr>
        <w:spacing w:line="440" w:lineRule="exact"/>
        <w:ind w:firstLine="482" w:firstLineChars="200"/>
        <w:rPr>
          <w:rFonts w:ascii="Times New Roman" w:hAnsi="Times New Roman"/>
          <w:b/>
          <w:szCs w:val="24"/>
        </w:rPr>
      </w:pPr>
      <w:r>
        <w:rPr>
          <w:rFonts w:ascii="Times New Roman" w:hAnsi="Times New Roman"/>
          <w:b/>
          <w:szCs w:val="24"/>
          <w:lang w:bidi="ar"/>
        </w:rPr>
        <w:t>（1）煤炭开采所形成的导水裂缝带对地下水的影响</w:t>
      </w:r>
    </w:p>
    <w:p>
      <w:pPr>
        <w:spacing w:line="440" w:lineRule="exact"/>
        <w:ind w:firstLine="480" w:firstLineChars="200"/>
        <w:rPr>
          <w:rFonts w:ascii="Times New Roman" w:hAnsi="Times New Roman"/>
          <w:szCs w:val="24"/>
          <w:lang w:bidi="ar"/>
        </w:rPr>
      </w:pPr>
      <w:r>
        <w:rPr>
          <w:rFonts w:ascii="Times New Roman" w:hAnsi="Times New Roman"/>
          <w:szCs w:val="24"/>
          <w:lang w:bidi="ar"/>
        </w:rPr>
        <w:t>1）煤炭开采对含水层的影响</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kern w:val="0"/>
          <w:szCs w:val="24"/>
        </w:rPr>
        <w:t>项目区煤层埋藏较深，最上层可采煤层2-1煤埋藏深度大于700m。根据本次统计钻孔导水裂缝带最大发育高度计算结果，导裂带距第四系675.9~1042.89m，</w:t>
      </w:r>
      <w:r>
        <w:rPr>
          <w:rFonts w:ascii="Times New Roman" w:hAnsi="Times New Roman"/>
          <w:szCs w:val="24"/>
        </w:rPr>
        <w:t>裂缝带距离志丹群含水岩组46.9~294.19m，</w:t>
      </w:r>
      <w:r>
        <w:rPr>
          <w:rFonts w:ascii="Times New Roman" w:hAnsi="Times New Roman"/>
          <w:kern w:val="0"/>
          <w:szCs w:val="24"/>
        </w:rPr>
        <w:t>煤炭开采对第四系含水层及</w:t>
      </w:r>
      <w:r>
        <w:rPr>
          <w:rFonts w:ascii="Times New Roman" w:hAnsi="Times New Roman"/>
          <w:szCs w:val="24"/>
        </w:rPr>
        <w:t>志丹群（K</w:t>
      </w:r>
      <w:r>
        <w:rPr>
          <w:rFonts w:ascii="Times New Roman" w:hAnsi="Times New Roman"/>
          <w:szCs w:val="24"/>
          <w:vertAlign w:val="subscript"/>
        </w:rPr>
        <w:t>1</w:t>
      </w:r>
      <w:r>
        <w:rPr>
          <w:rFonts w:ascii="Times New Roman" w:hAnsi="Times New Roman"/>
          <w:szCs w:val="24"/>
        </w:rPr>
        <w:t>zh）孔隙潜水～裂隙承压水含水岩组影响较小。</w:t>
      </w:r>
    </w:p>
    <w:p>
      <w:pPr>
        <w:spacing w:line="440" w:lineRule="exact"/>
        <w:ind w:firstLine="480" w:firstLineChars="200"/>
        <w:rPr>
          <w:rFonts w:ascii="Times New Roman" w:hAnsi="Times New Roman"/>
          <w:szCs w:val="24"/>
          <w:lang w:bidi="ar"/>
        </w:rPr>
      </w:pPr>
      <w:r>
        <w:rPr>
          <w:rFonts w:ascii="Times New Roman" w:hAnsi="Times New Roman"/>
          <w:szCs w:val="24"/>
          <w:lang w:bidi="ar"/>
        </w:rPr>
        <w:t>2）煤炭开采对地下水水位的影响</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szCs w:val="24"/>
        </w:rPr>
        <w:t>第四系含水层水位埋藏浅，一般在0.2～36.24m，主要由大气降水补给。</w:t>
      </w:r>
      <w:r>
        <w:rPr>
          <w:rFonts w:ascii="Times New Roman" w:hAnsi="Times New Roman"/>
          <w:kern w:val="0"/>
          <w:szCs w:val="24"/>
        </w:rPr>
        <w:t>导裂带距第四系</w:t>
      </w:r>
      <w:r>
        <w:rPr>
          <w:rFonts w:ascii="Times New Roman" w:hAnsi="Times New Roman"/>
          <w:szCs w:val="24"/>
        </w:rPr>
        <w:t>46.9~294.19</w:t>
      </w:r>
      <w:r>
        <w:rPr>
          <w:rFonts w:ascii="Times New Roman" w:hAnsi="Times New Roman"/>
          <w:kern w:val="0"/>
          <w:szCs w:val="24"/>
        </w:rPr>
        <w:t>m，平均798.88m，导裂带远未波及第四系含水层，故煤炭开采对第四系含水层水位影响较小。</w:t>
      </w:r>
    </w:p>
    <w:p>
      <w:pPr>
        <w:spacing w:line="440" w:lineRule="exact"/>
        <w:ind w:firstLine="480" w:firstLineChars="200"/>
        <w:rPr>
          <w:rFonts w:ascii="Times New Roman" w:hAnsi="Times New Roman"/>
          <w:szCs w:val="24"/>
        </w:rPr>
      </w:pPr>
      <w:r>
        <w:rPr>
          <w:rFonts w:ascii="Times New Roman" w:hAnsi="Times New Roman"/>
          <w:szCs w:val="24"/>
        </w:rPr>
        <w:t>志丹群含水岩组全区发育，导水裂缝带距离含水岩组46.9~294.19m，平均147.66m，未波及到该含水岩组，且下部分布矿区大部分连续，隔水性能较好侏罗系中统安定组隔水层，局部会导入安定组，但导入区仍具有较厚的隔水层段，白垩系含水层与下部含水层水力联系弱，煤炭开采对志丹群（K</w:t>
      </w:r>
      <w:r>
        <w:rPr>
          <w:rFonts w:ascii="Times New Roman" w:hAnsi="Times New Roman"/>
          <w:szCs w:val="24"/>
          <w:vertAlign w:val="subscript"/>
        </w:rPr>
        <w:t>1</w:t>
      </w:r>
      <w:r>
        <w:rPr>
          <w:rFonts w:ascii="Times New Roman" w:hAnsi="Times New Roman"/>
          <w:szCs w:val="24"/>
        </w:rPr>
        <w:t>zh）孔隙潜水～裂隙承压水含水岩组地下水水位影响不大。</w:t>
      </w:r>
    </w:p>
    <w:p>
      <w:pPr>
        <w:numPr>
          <w:ilvl w:val="0"/>
          <w:numId w:val="7"/>
        </w:numPr>
        <w:spacing w:line="440" w:lineRule="exact"/>
        <w:ind w:firstLine="480" w:firstLineChars="200"/>
        <w:rPr>
          <w:rFonts w:ascii="Times New Roman" w:hAnsi="Times New Roman"/>
          <w:szCs w:val="24"/>
        </w:rPr>
      </w:pPr>
      <w:r>
        <w:rPr>
          <w:rFonts w:ascii="Times New Roman" w:hAnsi="Times New Roman"/>
          <w:szCs w:val="24"/>
        </w:rPr>
        <w:t>煤炭开采对地下水水质的影响</w:t>
      </w:r>
    </w:p>
    <w:p>
      <w:pPr>
        <w:spacing w:line="440" w:lineRule="exact"/>
        <w:ind w:firstLine="480" w:firstLineChars="200"/>
        <w:rPr>
          <w:rFonts w:ascii="Times New Roman" w:hAnsi="Times New Roman"/>
          <w:szCs w:val="24"/>
        </w:rPr>
      </w:pPr>
      <w:r>
        <w:rPr>
          <w:rFonts w:ascii="Times New Roman" w:hAnsi="Times New Roman"/>
          <w:szCs w:val="24"/>
        </w:rPr>
        <w:t>根据上面对第四系含水层影响分析，导水裂缝带发育高度距第四系大于600m，远未影响到第四系含水层。第四系含水层与受煤炭开采影响含水层间存在全区发育且隔水性能较好侏罗系中统安定组隔水层，与煤系上覆侏罗系中统直罗组碎屑岩类承压水含水岩组、煤系含水岩组水力联系弱，煤矿开采疏排下部含水层对第四系含水层水质影响不大。</w:t>
      </w:r>
    </w:p>
    <w:p>
      <w:pPr>
        <w:spacing w:line="440" w:lineRule="exact"/>
        <w:ind w:firstLine="480" w:firstLineChars="200"/>
        <w:rPr>
          <w:rFonts w:ascii="Times New Roman" w:hAnsi="Times New Roman"/>
          <w:szCs w:val="24"/>
          <w:lang w:bidi="ar"/>
        </w:rPr>
      </w:pPr>
      <w:r>
        <w:rPr>
          <w:rFonts w:ascii="Times New Roman" w:hAnsi="Times New Roman"/>
          <w:szCs w:val="24"/>
          <w:lang w:bidi="ar"/>
        </w:rPr>
        <w:t>导水裂缝带未扰动</w:t>
      </w:r>
      <w:r>
        <w:rPr>
          <w:rFonts w:ascii="Times New Roman" w:hAnsi="Times New Roman"/>
          <w:szCs w:val="24"/>
        </w:rPr>
        <w:t>白垩系下统志丹群（K</w:t>
      </w:r>
      <w:r>
        <w:rPr>
          <w:rFonts w:ascii="Times New Roman" w:hAnsi="Times New Roman"/>
          <w:szCs w:val="24"/>
          <w:vertAlign w:val="subscript"/>
        </w:rPr>
        <w:t>1</w:t>
      </w:r>
      <w:r>
        <w:rPr>
          <w:rFonts w:ascii="Times New Roman" w:hAnsi="Times New Roman"/>
          <w:szCs w:val="24"/>
        </w:rPr>
        <w:t>zh）孔隙潜水～裂隙承压水含水岩组，下部有全区发育、隔水性能较好侏罗系中统安定组隔水层阻隔，当煤炭开采对下部含水层地下水水质产生影响时，对该含水层影响不大。上部第四系含水层水质较好且水质受煤炭开采影响较小。</w:t>
      </w:r>
    </w:p>
    <w:p>
      <w:pPr>
        <w:spacing w:line="440" w:lineRule="exact"/>
        <w:ind w:firstLine="480" w:firstLineChars="200"/>
        <w:rPr>
          <w:rFonts w:ascii="Times New Roman" w:hAnsi="Times New Roman"/>
          <w:szCs w:val="24"/>
        </w:rPr>
      </w:pPr>
      <w:r>
        <w:rPr>
          <w:rFonts w:ascii="Times New Roman" w:hAnsi="Times New Roman"/>
          <w:szCs w:val="24"/>
          <w:lang w:bidi="ar"/>
        </w:rPr>
        <w:t>遗鸥自然保护区内桃-阿海子主要地下水补给源为第四系松散潜水含水层及白垩系碎屑岩孔隙潜水含水层。根据上述分析，煤炭开采对所形成的导水裂缝带不会对位于遗鸥自然保护区地下水流场上游的第四系松散潜水含水层及白垩系碎屑岩孔隙潜水含水层，即不会对保护区内候家海子及桃-阿海子上游地下水补给区产生直接影响。</w:t>
      </w:r>
    </w:p>
    <w:p>
      <w:pPr>
        <w:spacing w:line="440" w:lineRule="exact"/>
        <w:ind w:firstLine="482" w:firstLineChars="200"/>
        <w:rPr>
          <w:rFonts w:ascii="Times New Roman" w:hAnsi="Times New Roman"/>
          <w:b/>
          <w:szCs w:val="24"/>
        </w:rPr>
      </w:pPr>
      <w:r>
        <w:rPr>
          <w:rFonts w:ascii="Times New Roman" w:hAnsi="Times New Roman"/>
          <w:b/>
          <w:szCs w:val="24"/>
          <w:lang w:bidi="ar"/>
        </w:rPr>
        <w:t>（2）采煤沉陷对遗鸥保护区的影响分析</w:t>
      </w:r>
    </w:p>
    <w:p>
      <w:pPr>
        <w:adjustRightInd w:val="0"/>
        <w:snapToGrid w:val="0"/>
        <w:spacing w:line="440" w:lineRule="exact"/>
        <w:ind w:firstLine="480" w:firstLineChars="200"/>
        <w:rPr>
          <w:rFonts w:ascii="Times New Roman" w:hAnsi="Times New Roman"/>
        </w:rPr>
      </w:pPr>
      <w:r>
        <w:rPr>
          <w:rFonts w:ascii="Times New Roman" w:hAnsi="Times New Roman"/>
        </w:rPr>
        <w:t>遗鸥国家级自然保护区面积147.7km</w:t>
      </w:r>
      <w:r>
        <w:rPr>
          <w:rFonts w:ascii="Times New Roman" w:hAnsi="Times New Roman"/>
          <w:vertAlign w:val="superscript"/>
        </w:rPr>
        <w:t>2</w:t>
      </w:r>
      <w:r>
        <w:rPr>
          <w:rFonts w:ascii="Times New Roman" w:hAnsi="Times New Roman"/>
        </w:rPr>
        <w:t>，位于矿区北边界外，其实验区南边界紧邻矿区东北边界（奎腾沟井田东北边界）。根据本次沉陷预测，遗鸥国家级自然保护区实验区受开采沉陷影响面积约2.60km</w:t>
      </w:r>
      <w:r>
        <w:rPr>
          <w:rFonts w:ascii="Times New Roman" w:hAnsi="Times New Roman"/>
          <w:vertAlign w:val="superscript"/>
        </w:rPr>
        <w:t>2</w:t>
      </w:r>
      <w:r>
        <w:rPr>
          <w:rFonts w:ascii="Times New Roman" w:hAnsi="Times New Roman"/>
        </w:rPr>
        <w:t>，沉陷深度在0.01-7m之间。</w:t>
      </w:r>
    </w:p>
    <w:p>
      <w:pPr>
        <w:adjustRightInd w:val="0"/>
        <w:snapToGrid w:val="0"/>
        <w:spacing w:line="440" w:lineRule="exact"/>
        <w:ind w:firstLine="480" w:firstLineChars="200"/>
        <w:rPr>
          <w:rFonts w:ascii="Times New Roman" w:hAnsi="Times New Roman"/>
        </w:rPr>
      </w:pPr>
      <w:r>
        <w:rPr>
          <w:rFonts w:ascii="Times New Roman" w:hAnsi="Times New Roman"/>
        </w:rPr>
        <w:t>根据地表沉陷预测结果，奎腾沟井田最大沉陷影响半径约380m。对自然保护区维护带宽度按20m考虑，本次评价提出对矿区（奎腾沟井田）北边界内侧暂留设400m宽的保护煤柱，在项目实施阶段，留设保护煤柱根据开采情况及地表岩移观测结果实时修正，确保生态保护红线区不受开采沉陷影响。保证遗鸥国家级自然保护区不受开采沉陷影响。</w:t>
      </w:r>
    </w:p>
    <w:p>
      <w:pPr>
        <w:spacing w:line="440" w:lineRule="exact"/>
        <w:ind w:firstLine="480" w:firstLineChars="200"/>
        <w:rPr>
          <w:rFonts w:ascii="Times New Roman" w:hAnsi="Times New Roman"/>
          <w:szCs w:val="24"/>
          <w:lang w:bidi="ar"/>
        </w:rPr>
      </w:pPr>
      <w:r>
        <w:rPr>
          <w:rFonts w:ascii="Times New Roman" w:hAnsi="Times New Roman"/>
          <w:szCs w:val="24"/>
          <w:lang w:bidi="ar"/>
        </w:rPr>
        <w:t>综上所述，</w:t>
      </w:r>
      <w:r>
        <w:rPr>
          <w:rFonts w:ascii="Times New Roman" w:hAnsi="Times New Roman"/>
        </w:rPr>
        <w:t>保护区内桃-阿海子湖心岛面积大小及其离岸距离是影响遗鸥在保护区内进行繁殖栖息与否的关键性因子。</w:t>
      </w:r>
      <w:r>
        <w:rPr>
          <w:rFonts w:ascii="Times New Roman" w:hAnsi="Times New Roman"/>
          <w:szCs w:val="24"/>
          <w:lang w:bidi="ar"/>
        </w:rPr>
        <w:t>桃-阿海子主要地下水补给源为第四系松散潜水含水层及白垩系碎屑岩孔隙潜水含水层。根据本次评价影响分析，</w:t>
      </w:r>
      <w:r>
        <w:rPr>
          <w:rFonts w:ascii="Times New Roman" w:hAnsi="Times New Roman"/>
        </w:rPr>
        <w:t>纳林希里矿区距桃-阿海子约2.6km，矿区内煤层埋藏较深，煤炭开采对</w:t>
      </w:r>
      <w:r>
        <w:rPr>
          <w:rFonts w:ascii="Times New Roman" w:hAnsi="Times New Roman"/>
          <w:szCs w:val="24"/>
          <w:lang w:bidi="ar"/>
        </w:rPr>
        <w:t>第四系松散潜水含水层及白垩系碎屑岩孔隙潜水含水层水位及水质等影响较小。且本次评价提出</w:t>
      </w:r>
      <w:r>
        <w:rPr>
          <w:rFonts w:ascii="Times New Roman" w:hAnsi="Times New Roman"/>
        </w:rPr>
        <w:t>矿区北边界内侧暂留设400m宽的保护煤柱，因此矿区开发对鄂尔多斯遗鸥自然保护区影响较小。</w:t>
      </w:r>
    </w:p>
    <w:p>
      <w:pPr>
        <w:pStyle w:val="4"/>
        <w:adjustRightInd w:val="0"/>
        <w:snapToGrid w:val="0"/>
        <w:spacing w:before="140" w:after="120" w:line="440" w:lineRule="exact"/>
        <w:jc w:val="left"/>
        <w:rPr>
          <w:rFonts w:ascii="Times New Roman" w:hAnsi="Times New Roman" w:eastAsia="宋体"/>
          <w:sz w:val="28"/>
        </w:rPr>
      </w:pPr>
      <w:bookmarkStart w:id="293" w:name="_Toc329695987"/>
      <w:bookmarkStart w:id="294" w:name="_Toc32207"/>
      <w:bookmarkStart w:id="295" w:name="_Toc18838458"/>
      <w:r>
        <w:rPr>
          <w:rFonts w:ascii="Times New Roman" w:hAnsi="Times New Roman" w:eastAsia="宋体"/>
          <w:sz w:val="28"/>
        </w:rPr>
        <w:t>5.10 线性工程环境影响分析</w:t>
      </w:r>
      <w:bookmarkEnd w:id="293"/>
      <w:bookmarkEnd w:id="294"/>
      <w:bookmarkEnd w:id="295"/>
    </w:p>
    <w:p>
      <w:pPr>
        <w:adjustRightInd w:val="0"/>
        <w:snapToGrid w:val="0"/>
        <w:spacing w:line="440" w:lineRule="exact"/>
        <w:ind w:firstLine="480" w:firstLineChars="200"/>
        <w:rPr>
          <w:rFonts w:ascii="Times New Roman" w:hAnsi="Times New Roman"/>
        </w:rPr>
      </w:pPr>
      <w:r>
        <w:rPr>
          <w:rFonts w:ascii="Times New Roman" w:hAnsi="Times New Roman"/>
        </w:rPr>
        <w:t>矿区内规划建设铁路专用线，全长73.4km；</w:t>
      </w:r>
      <w:r>
        <w:rPr>
          <w:rFonts w:ascii="Times New Roman" w:hAnsi="Times New Roman"/>
          <w:snapToGrid w:val="0"/>
          <w:kern w:val="0"/>
        </w:rPr>
        <w:t>矿区公路全长28.4km。</w:t>
      </w:r>
    </w:p>
    <w:p>
      <w:pPr>
        <w:pStyle w:val="5"/>
        <w:adjustRightInd w:val="0"/>
        <w:snapToGrid w:val="0"/>
        <w:spacing w:before="0" w:after="0" w:line="440" w:lineRule="exact"/>
        <w:rPr>
          <w:sz w:val="24"/>
        </w:rPr>
      </w:pPr>
      <w:r>
        <w:rPr>
          <w:sz w:val="24"/>
        </w:rPr>
        <w:t>5.10.1 线性工程施工阶段环境影响分析</w:t>
      </w:r>
    </w:p>
    <w:p>
      <w:pPr>
        <w:autoSpaceDE w:val="0"/>
        <w:autoSpaceDN w:val="0"/>
        <w:adjustRightInd w:val="0"/>
        <w:snapToGrid w:val="0"/>
        <w:spacing w:line="440" w:lineRule="exact"/>
        <w:ind w:firstLine="480" w:firstLineChars="200"/>
        <w:jc w:val="left"/>
        <w:rPr>
          <w:rFonts w:ascii="Times New Roman" w:hAnsi="Times New Roman"/>
          <w:kern w:val="0"/>
        </w:rPr>
      </w:pPr>
      <w:r>
        <w:rPr>
          <w:rFonts w:ascii="Times New Roman" w:hAnsi="Times New Roman"/>
          <w:kern w:val="0"/>
        </w:rPr>
        <w:t>（1）水土流失</w:t>
      </w:r>
    </w:p>
    <w:p>
      <w:pPr>
        <w:autoSpaceDE w:val="0"/>
        <w:autoSpaceDN w:val="0"/>
        <w:adjustRightInd w:val="0"/>
        <w:snapToGrid w:val="0"/>
        <w:spacing w:line="440" w:lineRule="exact"/>
        <w:ind w:firstLine="480" w:firstLineChars="200"/>
        <w:jc w:val="left"/>
        <w:rPr>
          <w:rFonts w:ascii="Times New Roman" w:hAnsi="Times New Roman" w:eastAsia="SSJ0+ZFWBhL-4"/>
          <w:kern w:val="0"/>
        </w:rPr>
      </w:pPr>
      <w:r>
        <w:rPr>
          <w:rFonts w:ascii="Times New Roman" w:hAnsi="Times New Roman"/>
        </w:rPr>
        <w:t>矿区位于鄂尔多斯高原典型草原沙漠化控制生态功能区，</w:t>
      </w:r>
      <w:r>
        <w:rPr>
          <w:rFonts w:ascii="Times New Roman" w:hAnsi="Times New Roman"/>
          <w:kern w:val="0"/>
        </w:rPr>
        <w:t>线性工程建设对生态环境影响的重点是水土保持</w:t>
      </w:r>
      <w:r>
        <w:rPr>
          <w:rFonts w:ascii="Times New Roman" w:hAnsi="Times New Roman" w:eastAsia="SSJ0+ZFWBhL-4"/>
          <w:kern w:val="0"/>
        </w:rPr>
        <w:t>。</w:t>
      </w:r>
      <w:r>
        <w:rPr>
          <w:rFonts w:ascii="Times New Roman" w:hAnsi="Times New Roman"/>
          <w:kern w:val="0"/>
        </w:rPr>
        <w:t>施工过程中，由于路基的开挖和堆填，取土、弃土、弃渣的不当，预制场、施工便道、拌和站及其它施工场地造成的地表扰动，遭到暴雨或大风天气时，造成水土的流失</w:t>
      </w:r>
      <w:r>
        <w:rPr>
          <w:rFonts w:ascii="Times New Roman" w:hAnsi="Times New Roman" w:eastAsia="SSJ0+ZFWBhL-4"/>
          <w:kern w:val="0"/>
        </w:rPr>
        <w:t>。</w:t>
      </w:r>
    </w:p>
    <w:p>
      <w:pPr>
        <w:autoSpaceDE w:val="0"/>
        <w:autoSpaceDN w:val="0"/>
        <w:adjustRightInd w:val="0"/>
        <w:snapToGrid w:val="0"/>
        <w:spacing w:line="440" w:lineRule="exact"/>
        <w:ind w:firstLine="480" w:firstLineChars="200"/>
        <w:jc w:val="left"/>
        <w:rPr>
          <w:rFonts w:ascii="Times New Roman" w:hAnsi="Times New Roman"/>
          <w:kern w:val="0"/>
        </w:rPr>
      </w:pPr>
      <w:r>
        <w:rPr>
          <w:rFonts w:ascii="Times New Roman" w:hAnsi="Times New Roman"/>
          <w:kern w:val="0"/>
        </w:rPr>
        <w:t>（2）大气污染</w:t>
      </w:r>
    </w:p>
    <w:p>
      <w:pPr>
        <w:autoSpaceDE w:val="0"/>
        <w:autoSpaceDN w:val="0"/>
        <w:adjustRightInd w:val="0"/>
        <w:snapToGrid w:val="0"/>
        <w:spacing w:line="440" w:lineRule="exact"/>
        <w:ind w:firstLine="480" w:firstLineChars="200"/>
        <w:jc w:val="left"/>
        <w:rPr>
          <w:rFonts w:ascii="Times New Roman" w:hAnsi="Times New Roman" w:eastAsia="SSJ0+ZFWBhL-4"/>
          <w:kern w:val="0"/>
        </w:rPr>
      </w:pPr>
      <w:r>
        <w:rPr>
          <w:rFonts w:ascii="Times New Roman" w:hAnsi="Times New Roman"/>
          <w:kern w:val="0"/>
        </w:rPr>
        <w:t>线性工程施工期间，引起大气的污染源主要有：施工现场车辆运行过程引起的扬尘；采石场、取土场、弃土场、拌和站等场地，灰土的拌和、土的装卸都会产生扬尘；公路路面采用沥青混凝土路面，沥青的熬炼、路面的铺设会产生沥青烟</w:t>
      </w:r>
      <w:r>
        <w:rPr>
          <w:rFonts w:ascii="Times New Roman" w:hAnsi="Times New Roman" w:eastAsia="SSJ0+ZFWBhL-4"/>
          <w:kern w:val="0"/>
        </w:rPr>
        <w:t>。</w:t>
      </w:r>
    </w:p>
    <w:p>
      <w:pPr>
        <w:autoSpaceDE w:val="0"/>
        <w:autoSpaceDN w:val="0"/>
        <w:adjustRightInd w:val="0"/>
        <w:snapToGrid w:val="0"/>
        <w:spacing w:line="440" w:lineRule="exact"/>
        <w:ind w:firstLine="480" w:firstLineChars="200"/>
        <w:jc w:val="left"/>
        <w:rPr>
          <w:rFonts w:ascii="Times New Roman" w:hAnsi="Times New Roman"/>
          <w:kern w:val="0"/>
        </w:rPr>
      </w:pPr>
      <w:r>
        <w:rPr>
          <w:rFonts w:ascii="Times New Roman" w:hAnsi="Times New Roman"/>
          <w:kern w:val="0"/>
        </w:rPr>
        <w:t>（3）水污染</w:t>
      </w:r>
    </w:p>
    <w:p>
      <w:pPr>
        <w:autoSpaceDE w:val="0"/>
        <w:autoSpaceDN w:val="0"/>
        <w:adjustRightInd w:val="0"/>
        <w:snapToGrid w:val="0"/>
        <w:spacing w:line="440" w:lineRule="exact"/>
        <w:ind w:firstLine="480" w:firstLineChars="200"/>
        <w:jc w:val="left"/>
        <w:rPr>
          <w:rFonts w:ascii="Times New Roman" w:hAnsi="Times New Roman" w:eastAsia="SSJ0+ZFWBhL-4"/>
          <w:kern w:val="0"/>
        </w:rPr>
      </w:pPr>
      <w:r>
        <w:rPr>
          <w:rFonts w:ascii="Times New Roman" w:hAnsi="Times New Roman"/>
          <w:kern w:val="0"/>
        </w:rPr>
        <w:t>施工中，水污染主要是以下几点引起：弃土、弃渣等固体废物直接排放造成的水体污染；施工人员的生活污水</w:t>
      </w:r>
      <w:r>
        <w:rPr>
          <w:rFonts w:ascii="Times New Roman" w:hAnsi="Times New Roman" w:eastAsia="SSJ0+ZFWBhL-4"/>
          <w:kern w:val="0"/>
        </w:rPr>
        <w:t>。</w:t>
      </w:r>
    </w:p>
    <w:p>
      <w:pPr>
        <w:autoSpaceDE w:val="0"/>
        <w:autoSpaceDN w:val="0"/>
        <w:adjustRightInd w:val="0"/>
        <w:snapToGrid w:val="0"/>
        <w:spacing w:line="440" w:lineRule="exact"/>
        <w:ind w:firstLine="480" w:firstLineChars="200"/>
        <w:jc w:val="left"/>
        <w:rPr>
          <w:rFonts w:ascii="Times New Roman" w:hAnsi="Times New Roman"/>
          <w:kern w:val="0"/>
        </w:rPr>
      </w:pPr>
      <w:r>
        <w:rPr>
          <w:rFonts w:ascii="Times New Roman" w:hAnsi="Times New Roman"/>
          <w:kern w:val="0"/>
        </w:rPr>
        <w:t>（4）噪声污染</w:t>
      </w:r>
    </w:p>
    <w:p>
      <w:pPr>
        <w:autoSpaceDE w:val="0"/>
        <w:autoSpaceDN w:val="0"/>
        <w:adjustRightInd w:val="0"/>
        <w:snapToGrid w:val="0"/>
        <w:spacing w:line="440" w:lineRule="exact"/>
        <w:ind w:firstLine="480" w:firstLineChars="200"/>
        <w:jc w:val="left"/>
        <w:rPr>
          <w:rFonts w:ascii="Times New Roman" w:hAnsi="Times New Roman" w:eastAsia="SSJ0+ZFWBhL-4"/>
          <w:kern w:val="0"/>
        </w:rPr>
      </w:pPr>
      <w:r>
        <w:rPr>
          <w:rFonts w:ascii="Times New Roman" w:hAnsi="Times New Roman"/>
          <w:kern w:val="0"/>
        </w:rPr>
        <w:t>施工期间噪声来源主要是施工机械噪声</w:t>
      </w:r>
      <w:r>
        <w:rPr>
          <w:rFonts w:ascii="Times New Roman" w:hAnsi="Times New Roman" w:eastAsia="SSJ0+ZFWBhL-4"/>
          <w:kern w:val="0"/>
        </w:rPr>
        <w:t>。</w:t>
      </w:r>
    </w:p>
    <w:p>
      <w:pPr>
        <w:autoSpaceDE w:val="0"/>
        <w:autoSpaceDN w:val="0"/>
        <w:adjustRightInd w:val="0"/>
        <w:snapToGrid w:val="0"/>
        <w:spacing w:line="440" w:lineRule="exact"/>
        <w:ind w:firstLine="480" w:firstLineChars="200"/>
        <w:jc w:val="left"/>
        <w:rPr>
          <w:rFonts w:ascii="Times New Roman" w:hAnsi="Times New Roman"/>
          <w:kern w:val="0"/>
        </w:rPr>
      </w:pPr>
      <w:r>
        <w:rPr>
          <w:rFonts w:ascii="Times New Roman" w:hAnsi="Times New Roman"/>
          <w:kern w:val="0"/>
        </w:rPr>
        <w:t>（5）固体废物污染</w:t>
      </w:r>
    </w:p>
    <w:p>
      <w:pPr>
        <w:autoSpaceDE w:val="0"/>
        <w:autoSpaceDN w:val="0"/>
        <w:adjustRightInd w:val="0"/>
        <w:snapToGrid w:val="0"/>
        <w:spacing w:line="440" w:lineRule="exact"/>
        <w:ind w:firstLine="480" w:firstLineChars="200"/>
        <w:jc w:val="left"/>
        <w:rPr>
          <w:rFonts w:ascii="Times New Roman" w:hAnsi="Times New Roman" w:eastAsia="SSJ0+ZFWBhL-4"/>
          <w:kern w:val="0"/>
        </w:rPr>
      </w:pPr>
      <w:r>
        <w:rPr>
          <w:rFonts w:ascii="Times New Roman" w:hAnsi="Times New Roman"/>
          <w:kern w:val="0"/>
        </w:rPr>
        <w:t>施工中产生的固体废物主要有：施工中废弃的料渣、碎石、弃土；施工人员的生活垃圾</w:t>
      </w:r>
      <w:r>
        <w:rPr>
          <w:rFonts w:ascii="Times New Roman" w:hAnsi="Times New Roman" w:eastAsia="SSJ0+ZFWBhL-4"/>
          <w:kern w:val="0"/>
        </w:rPr>
        <w:t>。</w:t>
      </w:r>
    </w:p>
    <w:p>
      <w:pPr>
        <w:pStyle w:val="5"/>
        <w:adjustRightInd w:val="0"/>
        <w:snapToGrid w:val="0"/>
        <w:spacing w:before="0" w:after="0" w:line="440" w:lineRule="exact"/>
        <w:rPr>
          <w:sz w:val="24"/>
        </w:rPr>
      </w:pPr>
      <w:r>
        <w:rPr>
          <w:sz w:val="24"/>
        </w:rPr>
        <w:t>5.10.2 线性工程运营阶段环境影响分析</w:t>
      </w:r>
    </w:p>
    <w:p>
      <w:pPr>
        <w:autoSpaceDE w:val="0"/>
        <w:autoSpaceDN w:val="0"/>
        <w:adjustRightInd w:val="0"/>
        <w:snapToGrid w:val="0"/>
        <w:spacing w:line="440" w:lineRule="exact"/>
        <w:ind w:firstLine="480" w:firstLineChars="200"/>
        <w:jc w:val="left"/>
        <w:rPr>
          <w:rFonts w:ascii="Times New Roman" w:hAnsi="Times New Roman"/>
          <w:kern w:val="0"/>
        </w:rPr>
      </w:pPr>
      <w:r>
        <w:rPr>
          <w:rFonts w:ascii="Times New Roman" w:hAnsi="Times New Roman"/>
          <w:kern w:val="0"/>
        </w:rPr>
        <w:t>（1）大气污染</w:t>
      </w:r>
    </w:p>
    <w:p>
      <w:pPr>
        <w:autoSpaceDE w:val="0"/>
        <w:autoSpaceDN w:val="0"/>
        <w:adjustRightInd w:val="0"/>
        <w:snapToGrid w:val="0"/>
        <w:spacing w:line="440" w:lineRule="exact"/>
        <w:ind w:firstLine="480" w:firstLineChars="200"/>
        <w:jc w:val="left"/>
        <w:rPr>
          <w:rFonts w:ascii="Times New Roman" w:hAnsi="Times New Roman"/>
          <w:kern w:val="0"/>
        </w:rPr>
      </w:pPr>
      <w:r>
        <w:rPr>
          <w:rFonts w:ascii="Times New Roman" w:hAnsi="Times New Roman"/>
          <w:kern w:val="0"/>
        </w:rPr>
        <w:t>运营期对沿线大气环境产生的影响主要是汽车尾气和汽油挥发，其次是沿线服务设施锅炉排放的废气。</w:t>
      </w:r>
    </w:p>
    <w:p>
      <w:pPr>
        <w:autoSpaceDE w:val="0"/>
        <w:autoSpaceDN w:val="0"/>
        <w:adjustRightInd w:val="0"/>
        <w:snapToGrid w:val="0"/>
        <w:spacing w:line="440" w:lineRule="exact"/>
        <w:ind w:firstLine="480" w:firstLineChars="200"/>
        <w:jc w:val="left"/>
        <w:rPr>
          <w:rFonts w:ascii="Times New Roman" w:hAnsi="Times New Roman"/>
          <w:kern w:val="0"/>
        </w:rPr>
      </w:pPr>
      <w:r>
        <w:rPr>
          <w:rFonts w:ascii="Times New Roman" w:hAnsi="Times New Roman"/>
          <w:kern w:val="0"/>
        </w:rPr>
        <w:t>（2）水污染</w:t>
      </w:r>
    </w:p>
    <w:p>
      <w:pPr>
        <w:autoSpaceDE w:val="0"/>
        <w:autoSpaceDN w:val="0"/>
        <w:adjustRightInd w:val="0"/>
        <w:snapToGrid w:val="0"/>
        <w:spacing w:line="440" w:lineRule="exact"/>
        <w:ind w:firstLine="480" w:firstLineChars="200"/>
        <w:rPr>
          <w:rFonts w:ascii="Times New Roman" w:hAnsi="Times New Roman"/>
          <w:kern w:val="0"/>
        </w:rPr>
      </w:pPr>
      <w:r>
        <w:rPr>
          <w:rFonts w:ascii="Times New Roman" w:hAnsi="Times New Roman"/>
          <w:kern w:val="0"/>
        </w:rPr>
        <w:t>运营期易造成水污染的因素主要是路面径流对环境的影响和沿线服务设施等废水排放的影响。</w:t>
      </w:r>
    </w:p>
    <w:p>
      <w:pPr>
        <w:autoSpaceDE w:val="0"/>
        <w:autoSpaceDN w:val="0"/>
        <w:adjustRightInd w:val="0"/>
        <w:snapToGrid w:val="0"/>
        <w:spacing w:line="440" w:lineRule="exact"/>
        <w:ind w:firstLine="480" w:firstLineChars="200"/>
        <w:jc w:val="left"/>
        <w:rPr>
          <w:rFonts w:ascii="Times New Roman" w:hAnsi="Times New Roman"/>
          <w:kern w:val="0"/>
        </w:rPr>
      </w:pPr>
      <w:r>
        <w:rPr>
          <w:rFonts w:ascii="Times New Roman" w:hAnsi="Times New Roman"/>
          <w:kern w:val="0"/>
        </w:rPr>
        <w:t>（3）噪声污染</w:t>
      </w:r>
    </w:p>
    <w:p>
      <w:pPr>
        <w:adjustRightInd w:val="0"/>
        <w:snapToGrid w:val="0"/>
        <w:spacing w:line="440" w:lineRule="exact"/>
        <w:ind w:firstLine="482"/>
        <w:rPr>
          <w:rFonts w:ascii="Times New Roman" w:hAnsi="Times New Roman"/>
        </w:rPr>
      </w:pPr>
      <w:r>
        <w:rPr>
          <w:rFonts w:ascii="Times New Roman" w:hAnsi="Times New Roman"/>
        </w:rPr>
        <w:t>矿区线性工程噪声源主要有矿区公路交通噪声，这些噪声将对公路两侧沿线声环境质量造成一定的影响。矿区规划建设铁路两侧分布有部分居民点，在单个项目评价时要对铁路影响保护目标采取有效的噪声防护措施。</w:t>
      </w:r>
    </w:p>
    <w:bookmarkEnd w:id="291"/>
    <w:p>
      <w:pPr>
        <w:pStyle w:val="4"/>
        <w:adjustRightInd w:val="0"/>
        <w:snapToGrid w:val="0"/>
        <w:spacing w:line="440" w:lineRule="exact"/>
        <w:jc w:val="left"/>
        <w:rPr>
          <w:rFonts w:ascii="Times New Roman" w:hAnsi="Times New Roman" w:eastAsia="宋体"/>
          <w:sz w:val="28"/>
        </w:rPr>
      </w:pPr>
      <w:bookmarkStart w:id="296" w:name="_Toc163441019"/>
      <w:bookmarkStart w:id="297" w:name="_Toc18838461"/>
      <w:bookmarkStart w:id="298" w:name="_Toc7025"/>
      <w:r>
        <w:rPr>
          <w:rFonts w:ascii="Times New Roman" w:hAnsi="Times New Roman" w:eastAsia="宋体"/>
          <w:sz w:val="28"/>
        </w:rPr>
        <w:t>5.11 社会经济环境影响分析</w:t>
      </w:r>
      <w:bookmarkEnd w:id="296"/>
      <w:bookmarkEnd w:id="297"/>
      <w:bookmarkEnd w:id="298"/>
    </w:p>
    <w:p>
      <w:pPr>
        <w:adjustRightInd w:val="0"/>
        <w:snapToGrid w:val="0"/>
        <w:spacing w:line="440" w:lineRule="exact"/>
        <w:ind w:firstLine="480" w:firstLineChars="200"/>
        <w:rPr>
          <w:rFonts w:ascii="Times New Roman" w:hAnsi="Times New Roman"/>
        </w:rPr>
      </w:pPr>
      <w:r>
        <w:rPr>
          <w:rFonts w:ascii="Times New Roman" w:hAnsi="Times New Roman"/>
        </w:rPr>
        <w:t>矿区规划方案实施对当地社会经济的影响利弊并存。有利影响主要表现在促进当地经济发展，改善区域基础设施，增加区域经济收入；增加当地群众就业机会；促进国家矿产资源有序开发等；由于矿区内分布有大量村庄，开采沉陷对其有一定不利影响，主要表现在矿区采煤对地形地貌、地面设施造成一定不利影响，可通过生态整治减缓这种不利影响。</w:t>
      </w:r>
    </w:p>
    <w:p>
      <w:pPr>
        <w:pStyle w:val="5"/>
        <w:adjustRightInd w:val="0"/>
        <w:snapToGrid w:val="0"/>
        <w:spacing w:before="0" w:after="0" w:line="440" w:lineRule="exact"/>
        <w:rPr>
          <w:sz w:val="24"/>
        </w:rPr>
      </w:pPr>
      <w:bookmarkStart w:id="299" w:name="_Toc205632439"/>
      <w:bookmarkStart w:id="300" w:name="_Toc205776651"/>
      <w:r>
        <w:rPr>
          <w:sz w:val="24"/>
        </w:rPr>
        <w:t>5.11.1 社会经济有利影响</w:t>
      </w:r>
      <w:bookmarkEnd w:id="299"/>
      <w:bookmarkEnd w:id="300"/>
    </w:p>
    <w:p>
      <w:pPr>
        <w:adjustRightInd w:val="0"/>
        <w:snapToGrid w:val="0"/>
        <w:spacing w:line="440" w:lineRule="exact"/>
        <w:ind w:firstLine="482" w:firstLineChars="200"/>
        <w:rPr>
          <w:rFonts w:ascii="Times New Roman" w:hAnsi="Times New Roman"/>
          <w:b/>
        </w:rPr>
      </w:pPr>
      <w:r>
        <w:rPr>
          <w:rFonts w:ascii="Times New Roman" w:hAnsi="Times New Roman"/>
          <w:b/>
        </w:rPr>
        <w:t>（1）促进国家矿产资源有序开采</w:t>
      </w:r>
    </w:p>
    <w:p>
      <w:pPr>
        <w:adjustRightInd w:val="0"/>
        <w:snapToGrid w:val="0"/>
        <w:spacing w:line="440" w:lineRule="exact"/>
        <w:ind w:firstLine="540" w:firstLineChars="225"/>
        <w:rPr>
          <w:rFonts w:ascii="Times New Roman" w:hAnsi="Times New Roman"/>
          <w:szCs w:val="24"/>
        </w:rPr>
      </w:pPr>
      <w:r>
        <w:rPr>
          <w:rFonts w:ascii="Times New Roman" w:hAnsi="Times New Roman"/>
          <w:szCs w:val="24"/>
        </w:rPr>
        <w:t>2005年6月7日，国务院以“国发【2005】18号文《国务院关于促进煤炭工业健康发展的若干意见》”提出“建立规范的煤炭资源开发秩序”、“煤矿安全基础条件有较大改善”、“重大事故多发势头得到有效遏制，煤矿安全生产形势明显好转，矿区生态环境恶化的趋势初步得到控制……”等目标。只有通过统筹规划和组织有序的开发，因势利导，使煤炭资源得到合理的开发，才能从根本上保护矿区的煤炭资源。矿区总体规划的实施将有利于矿区煤炭资源的有序开采。</w:t>
      </w:r>
    </w:p>
    <w:p>
      <w:pPr>
        <w:adjustRightInd w:val="0"/>
        <w:snapToGrid w:val="0"/>
        <w:spacing w:line="440" w:lineRule="exact"/>
        <w:ind w:firstLine="540" w:firstLineChars="225"/>
        <w:rPr>
          <w:rFonts w:ascii="Times New Roman" w:hAnsi="Times New Roman"/>
          <w:szCs w:val="24"/>
        </w:rPr>
      </w:pPr>
      <w:r>
        <w:rPr>
          <w:rFonts w:ascii="Times New Roman" w:hAnsi="Times New Roman"/>
          <w:szCs w:val="24"/>
        </w:rPr>
        <w:t>矿区总体规划的实施，可以利用资源优势，对调整地区产业结构、发展循环经济、合理利用资源、繁荣区域经济进而带动地方经济全面健康的发展、共建和谐社会具有重要的现实意义；在国家发展战略层面，则</w:t>
      </w:r>
      <w:r>
        <w:rPr>
          <w:rFonts w:ascii="Times New Roman" w:hAnsi="Times New Roman"/>
          <w:kern w:val="0"/>
          <w:szCs w:val="24"/>
        </w:rPr>
        <w:t>为国家提供充足的能源保障、建立国家稳定、安全、经济、多元的全球资源供应安全体系也</w:t>
      </w:r>
      <w:r>
        <w:rPr>
          <w:rFonts w:ascii="Times New Roman" w:hAnsi="Times New Roman"/>
          <w:szCs w:val="24"/>
        </w:rPr>
        <w:t>是非常必要及可行的。</w:t>
      </w:r>
    </w:p>
    <w:p>
      <w:pPr>
        <w:adjustRightInd w:val="0"/>
        <w:snapToGrid w:val="0"/>
        <w:spacing w:line="440" w:lineRule="exact"/>
        <w:ind w:firstLine="482" w:firstLineChars="200"/>
        <w:rPr>
          <w:rFonts w:ascii="Times New Roman" w:hAnsi="Times New Roman"/>
          <w:b/>
        </w:rPr>
      </w:pPr>
      <w:r>
        <w:rPr>
          <w:rFonts w:ascii="Times New Roman" w:hAnsi="Times New Roman"/>
          <w:b/>
        </w:rPr>
        <w:t>（2）增加就业机会、缓解社会矛盾</w:t>
      </w:r>
    </w:p>
    <w:p>
      <w:pPr>
        <w:adjustRightInd w:val="0"/>
        <w:snapToGrid w:val="0"/>
        <w:spacing w:line="440" w:lineRule="exact"/>
        <w:ind w:firstLine="480" w:firstLineChars="200"/>
        <w:rPr>
          <w:rFonts w:ascii="Times New Roman" w:hAnsi="Times New Roman"/>
        </w:rPr>
      </w:pPr>
      <w:r>
        <w:rPr>
          <w:rFonts w:ascii="Times New Roman" w:hAnsi="Times New Roman"/>
        </w:rPr>
        <w:t>随着矿区项目的相继实施，开发所需人员中，除高级管理人员及技术人员采取社会聘用方式解决外，其余一般生产工人可在当地招工，因此，矿区开发对于缓解地区剩余劳动力就业问题有积极意义。</w:t>
      </w:r>
    </w:p>
    <w:p>
      <w:pPr>
        <w:adjustRightInd w:val="0"/>
        <w:snapToGrid w:val="0"/>
        <w:spacing w:line="440" w:lineRule="exact"/>
        <w:ind w:firstLine="482" w:firstLineChars="200"/>
        <w:rPr>
          <w:rFonts w:ascii="Times New Roman" w:hAnsi="Times New Roman"/>
          <w:b/>
        </w:rPr>
      </w:pPr>
      <w:r>
        <w:rPr>
          <w:rFonts w:ascii="Times New Roman" w:hAnsi="Times New Roman"/>
          <w:b/>
        </w:rPr>
        <w:t>（3）增加区域经济收入</w:t>
      </w:r>
    </w:p>
    <w:p>
      <w:pPr>
        <w:adjustRightInd w:val="0"/>
        <w:snapToGrid w:val="0"/>
        <w:spacing w:line="440" w:lineRule="exact"/>
        <w:ind w:firstLine="480" w:firstLineChars="200"/>
        <w:rPr>
          <w:rFonts w:ascii="Times New Roman" w:hAnsi="Times New Roman"/>
        </w:rPr>
      </w:pPr>
      <w:r>
        <w:rPr>
          <w:rFonts w:ascii="Times New Roman" w:hAnsi="Times New Roman"/>
        </w:rPr>
        <w:t>矿区开发是一项大规模的煤炭开发活动，矿区建设总投资4862347万元。施工期的施工材料采购、供水、供电、施工人员的生活必需品大部分从当地市场采购，可带动当地经济发展，增加地方财政收入。</w:t>
      </w:r>
    </w:p>
    <w:p>
      <w:pPr>
        <w:adjustRightInd w:val="0"/>
        <w:snapToGrid w:val="0"/>
        <w:spacing w:line="440" w:lineRule="exact"/>
        <w:ind w:firstLine="482" w:firstLineChars="200"/>
        <w:rPr>
          <w:rFonts w:ascii="Times New Roman" w:hAnsi="Times New Roman"/>
          <w:b/>
        </w:rPr>
      </w:pPr>
      <w:r>
        <w:rPr>
          <w:rFonts w:ascii="Times New Roman" w:hAnsi="Times New Roman"/>
          <w:b/>
        </w:rPr>
        <w:t>（4）改善区域基础设施</w:t>
      </w:r>
    </w:p>
    <w:p>
      <w:pPr>
        <w:adjustRightInd w:val="0"/>
        <w:snapToGrid w:val="0"/>
        <w:spacing w:line="440" w:lineRule="exact"/>
        <w:ind w:firstLine="480" w:firstLineChars="200"/>
        <w:rPr>
          <w:rFonts w:ascii="Times New Roman" w:hAnsi="Times New Roman"/>
        </w:rPr>
      </w:pPr>
      <w:r>
        <w:rPr>
          <w:rFonts w:ascii="Times New Roman" w:hAnsi="Times New Roman"/>
        </w:rPr>
        <w:t>矿区开发配套建设的生活设施等对改善地方交通运输等有益。</w:t>
      </w:r>
    </w:p>
    <w:p>
      <w:pPr>
        <w:adjustRightInd w:val="0"/>
        <w:snapToGrid w:val="0"/>
        <w:spacing w:line="440" w:lineRule="exact"/>
        <w:ind w:firstLine="480" w:firstLineChars="200"/>
        <w:rPr>
          <w:rFonts w:ascii="Times New Roman" w:hAnsi="Times New Roman"/>
        </w:rPr>
      </w:pPr>
      <w:r>
        <w:rPr>
          <w:rFonts w:ascii="Times New Roman" w:hAnsi="Times New Roman"/>
        </w:rPr>
        <w:t>另外，地方财政增加后，政府才可能有能力投入资金改善当地社会环境，如投入资金建立全民社会保险和医疗保险、投入资金进行环境污染治理、投入资金进行区域生态恢复、投入资金进行技术革新等。</w:t>
      </w:r>
    </w:p>
    <w:p>
      <w:pPr>
        <w:pStyle w:val="5"/>
        <w:adjustRightInd w:val="0"/>
        <w:snapToGrid w:val="0"/>
        <w:spacing w:before="0" w:after="0" w:line="440" w:lineRule="exact"/>
        <w:rPr>
          <w:sz w:val="24"/>
        </w:rPr>
      </w:pPr>
      <w:bookmarkStart w:id="301" w:name="_Toc205632440"/>
      <w:bookmarkStart w:id="302" w:name="_Toc205776652"/>
      <w:r>
        <w:rPr>
          <w:sz w:val="24"/>
        </w:rPr>
        <w:t>5.11.2 社会经济不利影响</w:t>
      </w:r>
      <w:bookmarkEnd w:id="301"/>
      <w:bookmarkEnd w:id="302"/>
    </w:p>
    <w:p>
      <w:pPr>
        <w:adjustRightInd w:val="0"/>
        <w:snapToGrid w:val="0"/>
        <w:spacing w:line="440" w:lineRule="exact"/>
        <w:ind w:firstLine="480" w:firstLineChars="200"/>
        <w:rPr>
          <w:rFonts w:ascii="Times New Roman" w:hAnsi="Times New Roman"/>
        </w:rPr>
      </w:pPr>
      <w:r>
        <w:rPr>
          <w:rFonts w:ascii="Times New Roman" w:hAnsi="Times New Roman"/>
        </w:rPr>
        <w:t>矿区煤炭开采引起的地表移动、变形、沉陷对地形地貌等产生一定影响，会对社会环境产生一定的不利影响。</w:t>
      </w:r>
    </w:p>
    <w:p>
      <w:pPr>
        <w:adjustRightInd w:val="0"/>
        <w:snapToGrid w:val="0"/>
        <w:spacing w:line="440" w:lineRule="exact"/>
        <w:ind w:firstLine="482" w:firstLineChars="200"/>
        <w:rPr>
          <w:rFonts w:ascii="Times New Roman" w:hAnsi="Times New Roman"/>
          <w:b/>
        </w:rPr>
      </w:pPr>
      <w:r>
        <w:rPr>
          <w:rFonts w:ascii="Times New Roman" w:hAnsi="Times New Roman"/>
          <w:b/>
        </w:rPr>
        <w:t>（1）影响范围和影响程度</w:t>
      </w:r>
    </w:p>
    <w:p>
      <w:pPr>
        <w:adjustRightInd w:val="0"/>
        <w:snapToGrid w:val="0"/>
        <w:spacing w:line="440" w:lineRule="exact"/>
        <w:ind w:firstLine="480" w:firstLineChars="200"/>
        <w:rPr>
          <w:rFonts w:ascii="Times New Roman" w:hAnsi="Times New Roman"/>
        </w:rPr>
      </w:pPr>
      <w:r>
        <w:rPr>
          <w:rFonts w:ascii="Times New Roman" w:hAnsi="Times New Roman"/>
        </w:rPr>
        <w:t>矿区主要位于伊金霍洛旗，矿区开采范围内分布有大量村庄居民。主要受影响的因素为煤炭开采破坏土地、地形地貌、地面基础设施等。</w:t>
      </w:r>
    </w:p>
    <w:p>
      <w:pPr>
        <w:adjustRightInd w:val="0"/>
        <w:snapToGrid w:val="0"/>
        <w:spacing w:line="440" w:lineRule="exact"/>
        <w:ind w:firstLine="482" w:firstLineChars="200"/>
        <w:rPr>
          <w:rFonts w:ascii="Times New Roman" w:hAnsi="Times New Roman"/>
          <w:b/>
        </w:rPr>
      </w:pPr>
      <w:r>
        <w:rPr>
          <w:rFonts w:ascii="Times New Roman" w:hAnsi="Times New Roman"/>
          <w:b/>
        </w:rPr>
        <w:t>（2）移民搬迁</w:t>
      </w:r>
    </w:p>
    <w:p>
      <w:pPr>
        <w:adjustRightInd w:val="0"/>
        <w:snapToGrid w:val="0"/>
        <w:spacing w:line="440" w:lineRule="exact"/>
        <w:ind w:firstLine="480" w:firstLineChars="200"/>
        <w:rPr>
          <w:rFonts w:ascii="Times New Roman" w:hAnsi="Times New Roman"/>
        </w:rPr>
      </w:pPr>
      <w:r>
        <w:rPr>
          <w:rFonts w:ascii="Times New Roman" w:hAnsi="Times New Roman"/>
        </w:rPr>
        <w:t>纳林希里矿区范围内涉及村庄较多，其中红庆河镇位于纳林希里井田范围内。由于井田内居民为农牧民，主要依托农牧业生产生活，因此，在受到开采沉陷影响前，可根据开采计划进度搬迁到不受沉陷影响的草场，待沉陷稳定后重建，避免出现远距离搬迁到城镇造成不便放牧的情况。搬迁工作可由地方政府组织实施，搬迁、安置费用由相关企业承担。煤矿建设单位应积极与地方政府配合，保证搬迁牧民生活环境和质量能够得到改善。</w:t>
      </w:r>
    </w:p>
    <w:p>
      <w:pPr>
        <w:pStyle w:val="5"/>
        <w:adjustRightInd w:val="0"/>
        <w:snapToGrid w:val="0"/>
        <w:spacing w:before="0" w:after="0" w:line="440" w:lineRule="exact"/>
        <w:rPr>
          <w:sz w:val="24"/>
        </w:rPr>
      </w:pPr>
      <w:r>
        <w:rPr>
          <w:sz w:val="24"/>
        </w:rPr>
        <w:t>5.11.3 对人群健康的影响及职业病防治</w:t>
      </w:r>
    </w:p>
    <w:p>
      <w:pPr>
        <w:autoSpaceDE w:val="0"/>
        <w:autoSpaceDN w:val="0"/>
        <w:adjustRightInd w:val="0"/>
        <w:snapToGrid w:val="0"/>
        <w:spacing w:line="440" w:lineRule="exact"/>
        <w:ind w:firstLine="480" w:firstLineChars="200"/>
        <w:rPr>
          <w:rFonts w:ascii="Times New Roman" w:hAnsi="Times New Roman"/>
        </w:rPr>
      </w:pPr>
      <w:r>
        <w:rPr>
          <w:rFonts w:ascii="Times New Roman" w:hAnsi="Times New Roman"/>
          <w:kern w:val="0"/>
          <w:szCs w:val="24"/>
        </w:rPr>
        <w:t>根据《卫生部办公厅关于2008年全国职业卫生监督管理工作情况的通报》（卫办监督发〔2009〕86号，2009年5月22日）指出：“根据30个省、自治区、直辖市（不包括西藏自治区）和新疆生产建设兵团职业病报告，2008年新发各类职业病13744例。职业病病例数列前3位的行业依次为煤炭、有色金属和建设行业，分别占总病例数的39.81%、12.05%和6.90%。建国以来至2008年底，累计报告职业病共704602例。”其中尘肺病：“2008年共报告尘肺病新病例10829例，死亡病例613例，晋期病例811例。建国以来至2008年底，累计报告的尘肺病病例达638234例。在10，829例尘肺病新病例中，煤工尘肺和矽肺占89.32％”。煤炭行业职业病危害形势十分严峻，尘肺病发病居高不下，群发性尘肺病时有发生，发病工龄缩短，煤炭行业预防职业病的任务艰巨。</w:t>
      </w:r>
    </w:p>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5.11.3.1 职业病危害因素识别</w:t>
      </w:r>
    </w:p>
    <w:p>
      <w:pPr>
        <w:autoSpaceDE w:val="0"/>
        <w:autoSpaceDN w:val="0"/>
        <w:adjustRightInd w:val="0"/>
        <w:snapToGrid w:val="0"/>
        <w:spacing w:line="440" w:lineRule="exact"/>
        <w:ind w:firstLine="482" w:firstLineChars="200"/>
        <w:jc w:val="left"/>
        <w:rPr>
          <w:rFonts w:ascii="Times New Roman" w:hAnsi="Times New Roman"/>
          <w:b/>
          <w:bCs/>
          <w:kern w:val="0"/>
          <w:szCs w:val="24"/>
        </w:rPr>
      </w:pPr>
      <w:r>
        <w:rPr>
          <w:rFonts w:ascii="Times New Roman" w:hAnsi="Times New Roman"/>
          <w:b/>
          <w:kern w:val="0"/>
          <w:szCs w:val="24"/>
        </w:rPr>
        <w:t>（1）</w:t>
      </w:r>
      <w:r>
        <w:rPr>
          <w:rFonts w:ascii="Times New Roman" w:hAnsi="Times New Roman"/>
          <w:b/>
          <w:bCs/>
          <w:kern w:val="0"/>
          <w:szCs w:val="24"/>
        </w:rPr>
        <w:t>生产工艺过程中产生的有害因素</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纳林希里矿区在生产过程中可能存在的职业病危害因素主要有：粉尘性危害因素（煤尘、矽尘、水泥粉尘）；物理性危害因素（噪声、振动、高温、不良气象条件、工频电场）；化学毒物性危害因素（一氧化碳、二氧化碳、二氧化氮、硫化氢、甲烷、硫酸），此外，检修工段电焊作业存在的职业病危害因素有电焊烟尘、砂轮磨尘、紫外辐射。</w:t>
      </w:r>
    </w:p>
    <w:p>
      <w:pPr>
        <w:autoSpaceDE w:val="0"/>
        <w:autoSpaceDN w:val="0"/>
        <w:adjustRightInd w:val="0"/>
        <w:snapToGrid w:val="0"/>
        <w:spacing w:line="440" w:lineRule="exact"/>
        <w:ind w:firstLine="482" w:firstLineChars="200"/>
        <w:jc w:val="left"/>
        <w:rPr>
          <w:rFonts w:ascii="Times New Roman" w:hAnsi="Times New Roman"/>
          <w:b/>
          <w:kern w:val="0"/>
          <w:szCs w:val="24"/>
        </w:rPr>
      </w:pPr>
      <w:r>
        <w:rPr>
          <w:rFonts w:ascii="Times New Roman" w:hAnsi="Times New Roman"/>
          <w:b/>
          <w:kern w:val="0"/>
          <w:szCs w:val="24"/>
        </w:rPr>
        <w:t>（2）</w:t>
      </w:r>
      <w:r>
        <w:rPr>
          <w:rFonts w:ascii="Times New Roman" w:hAnsi="Times New Roman"/>
          <w:b/>
          <w:bCs/>
          <w:kern w:val="0"/>
          <w:szCs w:val="24"/>
        </w:rPr>
        <w:t>劳动过程中的有害因素</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在生产运营过程中，如果企业相关制度不完善，对职工的培训教育或人文关怀不够，则有可能在职工劳动过程中产生如下职业病危害因素：</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1）劳动组织和制度的不合理，如劳动时间过长、劳动休息制度不健全或不合理等；</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2）劳动中的精神（心理）过度紧张，产生心理疾病；</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3）劳动强度过大或劳动安排不当，如安排的作业与劳动者的生理状况不相适应，或生产定额过高，或超负荷的加班加点等；</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4）个别器官或系统过度紧张，如由于光线不足而引起的视力紧张等；</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5）不良体位：长时间处于某种姿势，或使用不合理的工具设备等。</w:t>
      </w:r>
    </w:p>
    <w:p>
      <w:pPr>
        <w:autoSpaceDE w:val="0"/>
        <w:autoSpaceDN w:val="0"/>
        <w:adjustRightInd w:val="0"/>
        <w:snapToGrid w:val="0"/>
        <w:spacing w:line="440" w:lineRule="exact"/>
        <w:ind w:firstLine="482" w:firstLineChars="200"/>
        <w:jc w:val="left"/>
        <w:rPr>
          <w:rFonts w:ascii="Times New Roman" w:hAnsi="Times New Roman"/>
          <w:b/>
          <w:kern w:val="0"/>
          <w:szCs w:val="24"/>
        </w:rPr>
      </w:pPr>
      <w:r>
        <w:rPr>
          <w:rFonts w:ascii="Times New Roman" w:hAnsi="Times New Roman"/>
          <w:b/>
          <w:kern w:val="0"/>
          <w:szCs w:val="24"/>
        </w:rPr>
        <w:t>（3）工作环境的有害因素</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1）生产场所设计不符合卫生要求或卫生标准，如厂房矮小、狭窄，车间布置不合理（有毒和无毒工段安排在一个车间）等；</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2）缺乏必要的卫生工程技术设施，如没有通风换气或照明设备，缺乏防尘、防毒、防暑降温、防噪声等措施、设备或有而不完善、效果不好；</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3）自然环境中的因素：如夏季太阳辐射、冬季的低温、井下作业的不良气象条件等；</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4）安全防护设备和个人防护用品方面有缺陷或不能及时维修或不能正确佩戴使用等。</w:t>
      </w:r>
    </w:p>
    <w:p>
      <w:pPr>
        <w:autoSpaceDE w:val="0"/>
        <w:autoSpaceDN w:val="0"/>
        <w:adjustRightInd w:val="0"/>
        <w:snapToGrid w:val="0"/>
        <w:spacing w:line="440" w:lineRule="exact"/>
        <w:ind w:firstLine="482" w:firstLineChars="200"/>
        <w:jc w:val="left"/>
        <w:rPr>
          <w:rFonts w:ascii="Times New Roman" w:hAnsi="Times New Roman"/>
          <w:b/>
          <w:bCs/>
          <w:kern w:val="0"/>
          <w:szCs w:val="24"/>
        </w:rPr>
      </w:pPr>
      <w:r>
        <w:rPr>
          <w:rFonts w:ascii="Times New Roman" w:hAnsi="Times New Roman"/>
          <w:b/>
          <w:kern w:val="0"/>
          <w:szCs w:val="24"/>
        </w:rPr>
        <w:t>（4）</w:t>
      </w:r>
      <w:r>
        <w:rPr>
          <w:rFonts w:ascii="Times New Roman" w:hAnsi="Times New Roman"/>
          <w:b/>
          <w:bCs/>
          <w:kern w:val="0"/>
          <w:szCs w:val="24"/>
        </w:rPr>
        <w:t>重点关注的职业病危害因素</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本矿区主要存在的职业病危害因素是粉尘，特别是岩巷掘进、锅炉排渣等处存在矽尘，CO的急性中毒也要重点关注。</w:t>
      </w:r>
    </w:p>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5.11.3.2 对人群健康的影响及职业病防治措施</w:t>
      </w:r>
    </w:p>
    <w:p>
      <w:pPr>
        <w:autoSpaceDE w:val="0"/>
        <w:autoSpaceDN w:val="0"/>
        <w:adjustRightInd w:val="0"/>
        <w:snapToGrid w:val="0"/>
        <w:spacing w:line="440" w:lineRule="exact"/>
        <w:ind w:firstLine="482" w:firstLineChars="200"/>
        <w:jc w:val="left"/>
        <w:rPr>
          <w:rFonts w:ascii="Times New Roman" w:hAnsi="Times New Roman"/>
          <w:b/>
          <w:kern w:val="0"/>
          <w:szCs w:val="24"/>
        </w:rPr>
      </w:pPr>
      <w:r>
        <w:rPr>
          <w:rFonts w:ascii="Times New Roman" w:hAnsi="Times New Roman"/>
          <w:b/>
          <w:kern w:val="0"/>
          <w:szCs w:val="24"/>
        </w:rPr>
        <w:t>（1）煤和矸石粉尘对人体健康影响</w:t>
      </w:r>
    </w:p>
    <w:p>
      <w:pPr>
        <w:adjustRightInd w:val="0"/>
        <w:snapToGrid w:val="0"/>
        <w:spacing w:line="440" w:lineRule="exact"/>
        <w:ind w:firstLine="480" w:firstLineChars="200"/>
        <w:rPr>
          <w:rFonts w:ascii="Times New Roman" w:hAnsi="Times New Roman"/>
        </w:rPr>
      </w:pPr>
      <w:r>
        <w:rPr>
          <w:rFonts w:ascii="Times New Roman" w:hAnsi="Times New Roman"/>
        </w:rPr>
        <w:t>在煤矿开发过程中会产生大量的煤及矸石粉尘，受粉尘影响的人群主要是井下作业人员，其中有采煤、掘进、混合等工种，其次是洗煤工、煤炭装卸工等。此外，煤和矸石露天堆放产生的粉尘对周围大气环境产生一定的影响，并进而影响生活、工作在周围的人体健康。</w:t>
      </w:r>
    </w:p>
    <w:p>
      <w:pPr>
        <w:adjustRightInd w:val="0"/>
        <w:snapToGrid w:val="0"/>
        <w:spacing w:line="440" w:lineRule="exact"/>
        <w:ind w:firstLine="480" w:firstLineChars="200"/>
        <w:rPr>
          <w:rFonts w:ascii="Times New Roman" w:hAnsi="Times New Roman"/>
        </w:rPr>
      </w:pPr>
      <w:r>
        <w:rPr>
          <w:rFonts w:ascii="Times New Roman" w:hAnsi="Times New Roman"/>
        </w:rPr>
        <w:t>纳林希里矿区为新建矿区，根据井工矿开采经验，矿区规划矿井井下开采，将带来井下煤尘污染问题，进而对井下工人身体健康产生影响。同时将来矿区建设的集中选煤厂主厂房在煤炭洗选中会产生煤尘，这对选煤工人身体健康带来一定的影响。</w:t>
      </w:r>
    </w:p>
    <w:p>
      <w:pPr>
        <w:spacing w:line="440" w:lineRule="exact"/>
        <w:ind w:firstLine="480" w:firstLineChars="200"/>
        <w:rPr>
          <w:rFonts w:ascii="Times New Roman" w:hAnsi="Times New Roman"/>
        </w:rPr>
      </w:pPr>
      <w:r>
        <w:rPr>
          <w:rFonts w:ascii="Times New Roman" w:hAnsi="Times New Roman"/>
        </w:rPr>
        <w:t>关于煤尘致病作用问题，过去曾认为煤尘是惰性粉尘，不会导致肺组织胶原纤维化，它之所以能引起纤维性病变是由于煤尘中含有少量的游离SiO</w:t>
      </w:r>
      <w:r>
        <w:rPr>
          <w:rFonts w:ascii="Times New Roman" w:hAnsi="Times New Roman"/>
          <w:vertAlign w:val="subscript"/>
        </w:rPr>
        <w:t>2</w:t>
      </w:r>
      <w:r>
        <w:rPr>
          <w:rFonts w:ascii="Times New Roman" w:hAnsi="Times New Roman"/>
        </w:rPr>
        <w:t>的缘故。现有不少实验证明，虽然肺组织对煤尘的清除作用很强，但最终还是可以引起肺部轻度纤维性病变，病变发展不一定要SiO</w:t>
      </w:r>
      <w:r>
        <w:rPr>
          <w:rFonts w:ascii="Times New Roman" w:hAnsi="Times New Roman"/>
          <w:vertAlign w:val="subscript"/>
        </w:rPr>
        <w:t>2</w:t>
      </w:r>
      <w:r>
        <w:rPr>
          <w:rFonts w:ascii="Times New Roman" w:hAnsi="Times New Roman"/>
        </w:rPr>
        <w:t>。我国煤矿中长期从事采煤作业的工人，大多有明显的肺病变。我国由于煤矿工种的经常变动使得工人有时接触煤尘，有时接触岩尘，加之地质条件复杂，这就使得我国煤矿矿工尘肺大都是以煤矽肺为主。</w:t>
      </w:r>
    </w:p>
    <w:p>
      <w:pPr>
        <w:adjustRightInd w:val="0"/>
        <w:snapToGrid w:val="0"/>
        <w:spacing w:line="440" w:lineRule="exact"/>
        <w:ind w:firstLine="480" w:firstLineChars="200"/>
        <w:rPr>
          <w:rFonts w:ascii="Times New Roman" w:hAnsi="Times New Roman"/>
        </w:rPr>
      </w:pPr>
      <w:r>
        <w:rPr>
          <w:rFonts w:ascii="Times New Roman" w:hAnsi="Times New Roman"/>
        </w:rPr>
        <w:t>矿区开采所带来的煤尘和粉尘污染对开采作业人员的人体健康产生影响，主要以煤矽肺为主。为此，评价要求：矿区煤矿应加强井下煤尘浓度控制，实施井下洒水降尘措施；露天矿要加强开采工作面、道路运输及破碎工序降尘洒水工作和煤尘、粉尘浓度控制，达到国家要求车间粉尘浓度控制标准；除上述措施外，对作业工人配发相应防尘措施（如防尘面罩）。</w:t>
      </w:r>
    </w:p>
    <w:p>
      <w:pPr>
        <w:autoSpaceDE w:val="0"/>
        <w:autoSpaceDN w:val="0"/>
        <w:adjustRightInd w:val="0"/>
        <w:snapToGrid w:val="0"/>
        <w:spacing w:line="440" w:lineRule="exact"/>
        <w:ind w:firstLine="482" w:firstLineChars="200"/>
        <w:jc w:val="left"/>
        <w:rPr>
          <w:rFonts w:ascii="Times New Roman" w:hAnsi="Times New Roman"/>
          <w:b/>
          <w:kern w:val="0"/>
          <w:szCs w:val="24"/>
        </w:rPr>
      </w:pPr>
      <w:r>
        <w:rPr>
          <w:rFonts w:ascii="Times New Roman" w:hAnsi="Times New Roman"/>
          <w:b/>
          <w:kern w:val="0"/>
          <w:szCs w:val="24"/>
        </w:rPr>
        <w:t>（2）大气污染对人体健康影响</w:t>
      </w:r>
    </w:p>
    <w:p>
      <w:pPr>
        <w:adjustRightInd w:val="0"/>
        <w:snapToGrid w:val="0"/>
        <w:spacing w:line="440" w:lineRule="exact"/>
        <w:ind w:firstLine="480" w:firstLineChars="200"/>
        <w:rPr>
          <w:rFonts w:ascii="Times New Roman" w:hAnsi="Times New Roman"/>
        </w:rPr>
      </w:pPr>
      <w:r>
        <w:rPr>
          <w:rFonts w:ascii="Times New Roman" w:hAnsi="Times New Roman"/>
        </w:rPr>
        <w:t>矿区开发过程中排入大气的污染物主要来自建设项目工业燃煤锅炉烟囱以及居住区生活燃煤以及矿井排风等。主要污染物有：二氧化硫、烟尘、氮氧化物、一氧化氮，后两者主要来自矿井排风。</w:t>
      </w:r>
    </w:p>
    <w:p>
      <w:pPr>
        <w:adjustRightInd w:val="0"/>
        <w:snapToGrid w:val="0"/>
        <w:spacing w:line="440" w:lineRule="exact"/>
        <w:ind w:firstLine="480" w:firstLineChars="200"/>
        <w:rPr>
          <w:rFonts w:ascii="Times New Roman" w:hAnsi="Times New Roman"/>
        </w:rPr>
      </w:pPr>
      <w:r>
        <w:rPr>
          <w:rFonts w:ascii="Times New Roman" w:hAnsi="Times New Roman"/>
        </w:rPr>
        <w:t>SO</w:t>
      </w:r>
      <w:r>
        <w:rPr>
          <w:rFonts w:ascii="Times New Roman" w:hAnsi="Times New Roman"/>
          <w:vertAlign w:val="subscript"/>
        </w:rPr>
        <w:t>2</w:t>
      </w:r>
      <w:r>
        <w:rPr>
          <w:rFonts w:ascii="Times New Roman" w:hAnsi="Times New Roman"/>
        </w:rPr>
        <w:t>是窒息性气体，具腐蚀作用。它能刺激眼结膜和鼻咽等粘膜，在潮湿有雾的空气中能与水份结合形成亚硫酸，并缓慢形成硫酸，使其刺激作用加强。吸入较高浓度SO</w:t>
      </w:r>
      <w:r>
        <w:rPr>
          <w:rFonts w:ascii="Times New Roman" w:hAnsi="Times New Roman"/>
          <w:vertAlign w:val="subscript"/>
        </w:rPr>
        <w:t>2</w:t>
      </w:r>
      <w:r>
        <w:rPr>
          <w:rFonts w:ascii="Times New Roman" w:hAnsi="Times New Roman"/>
        </w:rPr>
        <w:t>的空气可引起急性支气管炎；吸入低浓度SO</w:t>
      </w:r>
      <w:r>
        <w:rPr>
          <w:rFonts w:ascii="Times New Roman" w:hAnsi="Times New Roman"/>
          <w:vertAlign w:val="subscript"/>
        </w:rPr>
        <w:t>2</w:t>
      </w:r>
      <w:r>
        <w:rPr>
          <w:rFonts w:ascii="Times New Roman" w:hAnsi="Times New Roman"/>
        </w:rPr>
        <w:t>时，主要作用是使呼吸道轻度收缩。当浓度为5-10ppm（或更低）长时间呼吸时，可引起慢性支气管炎、慢性鼻炎等。而CO进入人体后，通过末细支气管和肺泡与血液中血红蛋白结合生成碳氧血红蛋白，造成血液中氧的浓度显著下降，血液中输氧机能大大降低，导致机体出现缺氧的各种症状、皮肤血管扩张、头痛、昏迷等。</w:t>
      </w:r>
    </w:p>
    <w:p>
      <w:pPr>
        <w:adjustRightInd w:val="0"/>
        <w:snapToGrid w:val="0"/>
        <w:spacing w:line="440" w:lineRule="exact"/>
        <w:ind w:firstLine="480" w:firstLineChars="200"/>
        <w:rPr>
          <w:rFonts w:ascii="Times New Roman" w:hAnsi="Times New Roman"/>
        </w:rPr>
      </w:pPr>
      <w:r>
        <w:rPr>
          <w:rFonts w:ascii="Times New Roman" w:hAnsi="Times New Roman"/>
        </w:rPr>
        <w:t>本矿区大气污染主要来自煤矿工业场地锅炉烟气排放。本报告建议：规划煤矿工业场地锅炉烟气设置脱硫除尘措施，确保污染物达标排放。</w:t>
      </w:r>
    </w:p>
    <w:p>
      <w:pPr>
        <w:autoSpaceDE w:val="0"/>
        <w:autoSpaceDN w:val="0"/>
        <w:adjustRightInd w:val="0"/>
        <w:snapToGrid w:val="0"/>
        <w:spacing w:line="440" w:lineRule="exact"/>
        <w:ind w:firstLine="482" w:firstLineChars="200"/>
        <w:jc w:val="left"/>
        <w:rPr>
          <w:rFonts w:ascii="Times New Roman" w:hAnsi="Times New Roman"/>
          <w:b/>
          <w:kern w:val="0"/>
          <w:szCs w:val="24"/>
        </w:rPr>
      </w:pPr>
      <w:r>
        <w:rPr>
          <w:rFonts w:ascii="Times New Roman" w:hAnsi="Times New Roman"/>
          <w:b/>
          <w:kern w:val="0"/>
          <w:szCs w:val="24"/>
        </w:rPr>
        <w:t>（3）水污染对人体健康的影响</w:t>
      </w:r>
    </w:p>
    <w:p>
      <w:pPr>
        <w:adjustRightInd w:val="0"/>
        <w:snapToGrid w:val="0"/>
        <w:spacing w:line="440" w:lineRule="exact"/>
        <w:ind w:firstLine="480" w:firstLineChars="200"/>
        <w:rPr>
          <w:rFonts w:ascii="Times New Roman" w:hAnsi="Times New Roman"/>
        </w:rPr>
      </w:pPr>
      <w:r>
        <w:rPr>
          <w:rFonts w:ascii="Times New Roman" w:hAnsi="Times New Roman"/>
        </w:rPr>
        <w:t>矿区地表水污染源主要来自选煤及其他辅助企业排放的工业废水、生活污水和矿井水等。</w:t>
      </w:r>
    </w:p>
    <w:p>
      <w:pPr>
        <w:adjustRightInd w:val="0"/>
        <w:snapToGrid w:val="0"/>
        <w:spacing w:line="440" w:lineRule="exact"/>
        <w:ind w:firstLine="480" w:firstLineChars="200"/>
        <w:rPr>
          <w:rFonts w:ascii="Times New Roman" w:hAnsi="Times New Roman"/>
        </w:rPr>
      </w:pPr>
      <w:r>
        <w:rPr>
          <w:rFonts w:ascii="Times New Roman" w:hAnsi="Times New Roman"/>
        </w:rPr>
        <w:t>选煤废水中主要污染物质有悬浮性固体、有机污染物以及原煤中含有的重金属离子和其他有毒有害物质；辅助企业废水主要污染物是氰、酚、石油类、悬浮物、COD和硫化物等；矿井水主要污染物为悬浮和硫化物等。</w:t>
      </w:r>
    </w:p>
    <w:p>
      <w:pPr>
        <w:adjustRightInd w:val="0"/>
        <w:snapToGrid w:val="0"/>
        <w:spacing w:line="440" w:lineRule="exact"/>
        <w:ind w:firstLine="480" w:firstLineChars="200"/>
        <w:rPr>
          <w:rFonts w:ascii="Times New Roman" w:hAnsi="Times New Roman"/>
        </w:rPr>
      </w:pPr>
      <w:r>
        <w:rPr>
          <w:rFonts w:ascii="Times New Roman" w:hAnsi="Times New Roman"/>
        </w:rPr>
        <w:t>生产生活污废水的排放将对当地地表水环境造成污染，对当地居民人体健康造成一定程度影响。为此，本报告建议：矿区严格按照本报告提出的矿区规划各矿井的矿井水、生产、生活污水处理及回用措施，同时选煤厂采用一级闭路循环，矿区不外排污废水。</w:t>
      </w:r>
    </w:p>
    <w:p>
      <w:pPr>
        <w:autoSpaceDE w:val="0"/>
        <w:autoSpaceDN w:val="0"/>
        <w:adjustRightInd w:val="0"/>
        <w:snapToGrid w:val="0"/>
        <w:spacing w:line="440" w:lineRule="exact"/>
        <w:ind w:firstLine="482" w:firstLineChars="200"/>
        <w:jc w:val="left"/>
        <w:rPr>
          <w:rFonts w:ascii="Times New Roman" w:hAnsi="Times New Roman"/>
          <w:b/>
          <w:kern w:val="0"/>
          <w:szCs w:val="24"/>
        </w:rPr>
      </w:pPr>
      <w:r>
        <w:rPr>
          <w:rFonts w:ascii="Times New Roman" w:hAnsi="Times New Roman"/>
          <w:b/>
          <w:kern w:val="0"/>
          <w:szCs w:val="24"/>
        </w:rPr>
        <w:t>（4）噪声污染对人体健康影响</w:t>
      </w:r>
    </w:p>
    <w:p>
      <w:pPr>
        <w:adjustRightInd w:val="0"/>
        <w:snapToGrid w:val="0"/>
        <w:spacing w:line="440" w:lineRule="exact"/>
        <w:ind w:firstLine="480" w:firstLineChars="200"/>
        <w:rPr>
          <w:rFonts w:ascii="Times New Roman" w:hAnsi="Times New Roman"/>
        </w:rPr>
      </w:pPr>
      <w:r>
        <w:rPr>
          <w:rFonts w:ascii="Times New Roman" w:hAnsi="Times New Roman"/>
        </w:rPr>
        <w:t>噪声对人体健康的影响比较复杂，不仅与噪声的性质有关，而且还与人们的心理、生理和社会生活各方面有关。有关研究资料表明，成人不论接触噪声多久，不引起感觉神经性听力损伤的最大允许声强是80dB（A）。长年累月在强噪声环境工作，受其刺激可产生噪声性耳聋。</w:t>
      </w:r>
    </w:p>
    <w:p>
      <w:pPr>
        <w:adjustRightInd w:val="0"/>
        <w:snapToGrid w:val="0"/>
        <w:spacing w:line="440" w:lineRule="exact"/>
        <w:ind w:firstLine="480" w:firstLineChars="200"/>
        <w:rPr>
          <w:rFonts w:ascii="Times New Roman" w:hAnsi="Times New Roman"/>
        </w:rPr>
      </w:pPr>
      <w:r>
        <w:rPr>
          <w:rFonts w:ascii="Times New Roman" w:hAnsi="Times New Roman"/>
        </w:rPr>
        <w:t>结合本矿区实际及规划情况，矿区噪声对人体健康影响来自是企业内部作业场地噪声对作业工人健康的影响。</w:t>
      </w:r>
    </w:p>
    <w:p>
      <w:pPr>
        <w:adjustRightInd w:val="0"/>
        <w:snapToGrid w:val="0"/>
        <w:spacing w:line="440" w:lineRule="exact"/>
        <w:ind w:firstLine="480" w:firstLineChars="200"/>
        <w:rPr>
          <w:rFonts w:ascii="Times New Roman" w:hAnsi="Times New Roman"/>
        </w:rPr>
      </w:pPr>
      <w:r>
        <w:rPr>
          <w:rFonts w:ascii="Times New Roman" w:hAnsi="Times New Roman"/>
        </w:rPr>
        <w:t>矿区企业内部作业场地噪声主要来自规划矿区选煤厂筛分车间、主厂房的筛分破碎噪声等。为此，本报告建议：在规划选煤厂筛分洗选设备选型时，尽量优先选择噪声小的设备；另外，在工业场地局部中应严格遵循“闹静分开”的原则，合理布置各生产单元。</w:t>
      </w:r>
    </w:p>
    <w:p>
      <w:pPr>
        <w:autoSpaceDE w:val="0"/>
        <w:autoSpaceDN w:val="0"/>
        <w:adjustRightInd w:val="0"/>
        <w:snapToGrid w:val="0"/>
        <w:spacing w:line="440" w:lineRule="exact"/>
        <w:ind w:firstLine="482" w:firstLineChars="200"/>
        <w:jc w:val="left"/>
        <w:rPr>
          <w:rFonts w:ascii="Times New Roman" w:hAnsi="Times New Roman"/>
          <w:b/>
          <w:kern w:val="0"/>
          <w:szCs w:val="24"/>
        </w:rPr>
      </w:pPr>
      <w:r>
        <w:rPr>
          <w:rFonts w:ascii="Times New Roman" w:hAnsi="Times New Roman"/>
          <w:b/>
          <w:kern w:val="0"/>
          <w:szCs w:val="24"/>
        </w:rPr>
        <w:t>（5）应急救援措施</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要严格按《煤矿安全规程》、《煤矿矿山救护工作暂行规定》和《煤矿救护规程》规定建立矿山救护队，并设置详细的人员配置及设备配置。在今后的投入运行时应重点补充，应详细地阐述多种设备故障时拟采取的自救及互救措施。主要内容如下：</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1）工作场所职业病危害因素监控预案；</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2）职业病危害事故应急救援预案；</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3）突发性职业病紧急救援预案；</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4）急性职业中毒现场处置预案；</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5）急性传染病处置预案；</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6）应急准备与响应程序；</w:t>
      </w:r>
    </w:p>
    <w:p>
      <w:pPr>
        <w:autoSpaceDE w:val="0"/>
        <w:autoSpaceDN w:val="0"/>
        <w:adjustRightInd w:val="0"/>
        <w:snapToGrid w:val="0"/>
        <w:spacing w:line="440" w:lineRule="exact"/>
        <w:ind w:firstLine="480" w:firstLineChars="200"/>
        <w:jc w:val="left"/>
        <w:rPr>
          <w:rFonts w:ascii="Times New Roman" w:hAnsi="Times New Roman"/>
          <w:kern w:val="0"/>
          <w:szCs w:val="24"/>
        </w:rPr>
      </w:pPr>
      <w:r>
        <w:rPr>
          <w:rFonts w:ascii="Times New Roman" w:hAnsi="Times New Roman"/>
          <w:kern w:val="0"/>
          <w:szCs w:val="24"/>
        </w:rPr>
        <w:t>7）医疗救护预案；</w:t>
      </w:r>
    </w:p>
    <w:p>
      <w:pPr>
        <w:autoSpaceDE w:val="0"/>
        <w:autoSpaceDN w:val="0"/>
        <w:adjustRightInd w:val="0"/>
        <w:snapToGrid w:val="0"/>
        <w:spacing w:line="440" w:lineRule="exact"/>
        <w:ind w:firstLine="480" w:firstLineChars="200"/>
        <w:jc w:val="left"/>
        <w:rPr>
          <w:rFonts w:ascii="Times New Roman" w:hAnsi="Times New Roman"/>
          <w:b/>
          <w:bCs/>
          <w:kern w:val="0"/>
          <w:szCs w:val="24"/>
        </w:rPr>
      </w:pPr>
      <w:r>
        <w:rPr>
          <w:rFonts w:ascii="Times New Roman" w:hAnsi="Times New Roman"/>
          <w:kern w:val="0"/>
          <w:szCs w:val="24"/>
        </w:rPr>
        <w:t>上述职业卫生应急救援预案应纳入企业应急救援体系，在日常的工作安排中经常进行演练并加以完善。企业应与有资质的医疗单位签订医疗合作协议，承担职工上岗前、在岗期间和离岗时职业健康检查及职业病危害事故应急救援。</w:t>
      </w:r>
    </w:p>
    <w:p>
      <w:pPr>
        <w:adjustRightInd w:val="0"/>
        <w:snapToGrid w:val="0"/>
        <w:spacing w:line="440" w:lineRule="exact"/>
        <w:ind w:firstLine="480" w:firstLineChars="200"/>
        <w:rPr>
          <w:rFonts w:ascii="Times New Roman" w:hAnsi="Times New Roman"/>
        </w:rPr>
      </w:pPr>
      <w:r>
        <w:rPr>
          <w:rFonts w:ascii="Times New Roman" w:hAnsi="Times New Roman"/>
        </w:rPr>
        <w:t>综上所述，纳林希里矿区在将来的煤炭开发建设过程中，除了要积极开展污染防治评价工作外，还应选择合适地段进行污染与人体健康的监测工作，加强环境变化对人体健康影响的评价与预测预报工作，把矿区环境保护工作与人民身体健康密切结合起来。</w:t>
      </w:r>
    </w:p>
    <w:p>
      <w:pPr>
        <w:pStyle w:val="4"/>
        <w:adjustRightInd w:val="0"/>
        <w:snapToGrid w:val="0"/>
        <w:spacing w:line="440" w:lineRule="exact"/>
        <w:jc w:val="left"/>
        <w:rPr>
          <w:rFonts w:ascii="Times New Roman" w:hAnsi="Times New Roman" w:eastAsia="宋体"/>
          <w:sz w:val="28"/>
        </w:rPr>
      </w:pPr>
      <w:bookmarkStart w:id="303" w:name="_Toc11623"/>
      <w:bookmarkStart w:id="304" w:name="_Toc18838462"/>
      <w:r>
        <w:rPr>
          <w:rFonts w:ascii="Times New Roman" w:hAnsi="Times New Roman" w:eastAsia="宋体"/>
          <w:sz w:val="28"/>
        </w:rPr>
        <w:t>5.12环境风险影响分析</w:t>
      </w:r>
      <w:bookmarkEnd w:id="303"/>
      <w:bookmarkEnd w:id="304"/>
    </w:p>
    <w:p>
      <w:pPr>
        <w:pStyle w:val="5"/>
        <w:adjustRightInd w:val="0"/>
        <w:snapToGrid w:val="0"/>
        <w:spacing w:before="0" w:after="0" w:line="440" w:lineRule="exact"/>
        <w:rPr>
          <w:sz w:val="24"/>
        </w:rPr>
      </w:pPr>
      <w:r>
        <w:rPr>
          <w:sz w:val="24"/>
        </w:rPr>
        <w:t>5.12.1 环境风险因素识别</w:t>
      </w:r>
    </w:p>
    <w:p>
      <w:pPr>
        <w:adjustRightInd w:val="0"/>
        <w:snapToGrid w:val="0"/>
        <w:spacing w:line="440" w:lineRule="exact"/>
        <w:ind w:firstLine="480" w:firstLineChars="200"/>
        <w:rPr>
          <w:rFonts w:ascii="Times New Roman" w:hAnsi="Times New Roman"/>
        </w:rPr>
      </w:pPr>
      <w:r>
        <w:rPr>
          <w:rFonts w:ascii="Times New Roman" w:hAnsi="Times New Roman"/>
        </w:rPr>
        <w:t>环境风险评价是对建设和运行期间发生的可预测突发性事件或事故引起有毒有害、易燃易爆等物质泄漏或突发事件产生新的有毒有害物质，所造成的对人身安全与环境的影响和损害进行评估，提出防范措施、应急与减缓措施。</w:t>
      </w:r>
    </w:p>
    <w:p>
      <w:pPr>
        <w:adjustRightInd w:val="0"/>
        <w:snapToGrid w:val="0"/>
        <w:spacing w:line="440" w:lineRule="exact"/>
        <w:ind w:firstLine="480" w:firstLineChars="200"/>
        <w:rPr>
          <w:rFonts w:ascii="Times New Roman" w:hAnsi="Times New Roman"/>
        </w:rPr>
      </w:pPr>
      <w:r>
        <w:rPr>
          <w:rFonts w:ascii="Times New Roman" w:hAnsi="Times New Roman"/>
        </w:rPr>
        <w:t>井工矿煤炭生产过程中存在的潜在风险危害，主要有瓦斯、煤尘爆炸、火灾、采掘工作面冒顶、矿井透水事故、爆破事故以及排矸场溃坝事故等。其中矿井井下瓦斯、煤尘爆炸、火灾危害、冒顶和透水事故等危机煤矿安全生产的事故主要是煤矿安全生产所要解决的内容，这些内容在具体项目安全预评价报告和安全专篇涉及中将进行全面评价和设计，环评不涉及此类问题。本矿区矿井属于低瓦斯矿井，各矿井地面不设瓦斯储罐，无地面瓦斯爆炸风险。</w:t>
      </w:r>
    </w:p>
    <w:p>
      <w:pPr>
        <w:adjustRightInd w:val="0"/>
        <w:snapToGrid w:val="0"/>
        <w:spacing w:line="440" w:lineRule="exact"/>
        <w:ind w:firstLine="480" w:firstLineChars="200"/>
        <w:rPr>
          <w:rFonts w:ascii="Times New Roman" w:hAnsi="Times New Roman"/>
          <w:snapToGrid w:val="0"/>
          <w:szCs w:val="24"/>
        </w:rPr>
      </w:pPr>
      <w:r>
        <w:rPr>
          <w:rFonts w:ascii="Times New Roman" w:hAnsi="Times New Roman"/>
          <w:szCs w:val="24"/>
        </w:rPr>
        <w:t>本矿区</w:t>
      </w:r>
      <w:r>
        <w:rPr>
          <w:rFonts w:ascii="Times New Roman" w:hAnsi="Times New Roman"/>
          <w:snapToGrid w:val="0"/>
          <w:szCs w:val="24"/>
        </w:rPr>
        <w:t>选煤厂选煤废水均采用闭路循环工艺，废水不外排，避免了废水外排污染，同时也节约了清水用水量，本环评要求在项目设计过程中要贯彻节水理念，选煤废水达到一级闭路循环要求。矿区建有生活污水处理站，对生活污水处理后实行循环利用，无废水外排，因此不会对当地居民水源产生污染。</w:t>
      </w:r>
    </w:p>
    <w:p>
      <w:pPr>
        <w:pStyle w:val="5"/>
        <w:adjustRightInd w:val="0"/>
        <w:snapToGrid w:val="0"/>
        <w:spacing w:before="0" w:after="0" w:line="440" w:lineRule="exact"/>
        <w:rPr>
          <w:sz w:val="24"/>
        </w:rPr>
      </w:pPr>
      <w:r>
        <w:rPr>
          <w:sz w:val="24"/>
        </w:rPr>
        <w:t>5.12.2 矿区规划实施带来的生态风险及防治措施</w:t>
      </w:r>
    </w:p>
    <w:p>
      <w:pPr>
        <w:snapToGrid w:val="0"/>
        <w:spacing w:line="440" w:lineRule="exact"/>
        <w:ind w:firstLine="480" w:firstLineChars="200"/>
        <w:rPr>
          <w:rFonts w:ascii="Times New Roman" w:hAnsi="Times New Roman"/>
        </w:rPr>
      </w:pPr>
      <w:r>
        <w:rPr>
          <w:rFonts w:ascii="Times New Roman" w:hAnsi="Times New Roman"/>
        </w:rPr>
        <w:t>井工矿开采后会形成地表沉陷，破坏地表层，进而引发水土流失、地表裂缝、沉陷坑等一系列生态问题。因此在开发过程中，必须严格控制人为影响对当地生态环境的破坏，稍有不慎，就会导致当地生态环境恶化。</w:t>
      </w:r>
    </w:p>
    <w:p>
      <w:pPr>
        <w:pStyle w:val="5"/>
        <w:spacing w:before="120" w:after="120" w:line="440" w:lineRule="exact"/>
        <w:rPr>
          <w:sz w:val="24"/>
          <w:szCs w:val="24"/>
        </w:rPr>
      </w:pPr>
      <w:r>
        <w:rPr>
          <w:sz w:val="24"/>
          <w:szCs w:val="24"/>
        </w:rPr>
        <w:t>5.12.3火灾、爆炸及泄漏风险</w:t>
      </w:r>
    </w:p>
    <w:p>
      <w:pPr>
        <w:snapToGrid w:val="0"/>
        <w:spacing w:line="440" w:lineRule="exact"/>
        <w:ind w:firstLine="480" w:firstLineChars="200"/>
        <w:jc w:val="left"/>
        <w:rPr>
          <w:rFonts w:ascii="Times New Roman" w:hAnsi="Times New Roman"/>
        </w:rPr>
      </w:pPr>
      <w:r>
        <w:rPr>
          <w:rFonts w:ascii="Times New Roman" w:hAnsi="Times New Roman"/>
        </w:rPr>
        <w:t>矿区勘查区内爆炸材料库中易燃易爆等物质、爆炸、火灾或突发事件可能发生泄漏，是整合区环境风险源之一。</w:t>
      </w:r>
    </w:p>
    <w:p>
      <w:pPr>
        <w:snapToGrid w:val="0"/>
        <w:spacing w:line="440" w:lineRule="exact"/>
        <w:ind w:firstLine="480" w:firstLineChars="200"/>
        <w:jc w:val="left"/>
        <w:rPr>
          <w:rFonts w:ascii="Times New Roman" w:hAnsi="Times New Roman"/>
        </w:rPr>
      </w:pPr>
      <w:r>
        <w:rPr>
          <w:rFonts w:ascii="Times New Roman" w:hAnsi="Times New Roman"/>
        </w:rPr>
        <w:t>在爆炸材料库潜在的危害事故中，火灾是常见的一类灾害事故，在开放的环境中，油罐火灾产生巨大的破坏作用，造成人员的伤亡和财产损失的主要原因是热辐射。油库发生火灾时，一般火势迅猛，并伴随着可燃烧性混合气体的爆炸。</w:t>
      </w:r>
    </w:p>
    <w:p>
      <w:pPr>
        <w:snapToGrid w:val="0"/>
        <w:spacing w:line="440" w:lineRule="exact"/>
        <w:ind w:firstLine="728" w:firstLineChars="200"/>
        <w:rPr>
          <w:rFonts w:ascii="Times New Roman" w:hAnsi="Times New Roman"/>
          <w:snapToGrid w:val="0"/>
          <w:spacing w:val="2"/>
          <w:sz w:val="36"/>
        </w:rPr>
        <w:sectPr>
          <w:headerReference r:id="rId27" w:type="default"/>
          <w:footerReference r:id="rId28" w:type="default"/>
          <w:pgSz w:w="11907" w:h="16840"/>
          <w:pgMar w:top="1701" w:right="1418" w:bottom="1134" w:left="1418" w:header="1134" w:footer="851" w:gutter="0"/>
          <w:cols w:space="720" w:num="1"/>
          <w:docGrid w:linePitch="360" w:charSpace="0"/>
        </w:sectPr>
      </w:pPr>
    </w:p>
    <w:p>
      <w:pPr>
        <w:pStyle w:val="3"/>
        <w:adjustRightInd w:val="0"/>
        <w:snapToGrid w:val="0"/>
        <w:spacing w:before="360" w:after="360" w:line="440" w:lineRule="exact"/>
        <w:jc w:val="center"/>
        <w:rPr>
          <w:sz w:val="36"/>
        </w:rPr>
      </w:pPr>
      <w:bookmarkStart w:id="305" w:name="_Toc11188"/>
      <w:r>
        <w:rPr>
          <w:sz w:val="36"/>
        </w:rPr>
        <w:t>6 矿区资源、环境承载力分析</w:t>
      </w:r>
      <w:bookmarkEnd w:id="208"/>
      <w:bookmarkEnd w:id="209"/>
      <w:bookmarkEnd w:id="305"/>
    </w:p>
    <w:p>
      <w:pPr>
        <w:keepNext/>
        <w:keepLines/>
        <w:adjustRightInd w:val="0"/>
        <w:snapToGrid w:val="0"/>
        <w:spacing w:before="260" w:after="260" w:line="440" w:lineRule="exact"/>
        <w:jc w:val="left"/>
        <w:outlineLvl w:val="1"/>
        <w:rPr>
          <w:rStyle w:val="74"/>
          <w:rFonts w:ascii="Times New Roman" w:hAnsi="Times New Roman"/>
        </w:rPr>
      </w:pPr>
      <w:bookmarkStart w:id="306" w:name="_Toc163441025"/>
      <w:bookmarkStart w:id="307" w:name="_Toc18838464"/>
      <w:bookmarkStart w:id="308" w:name="_Toc28210"/>
      <w:bookmarkStart w:id="309" w:name="OLE_LINK17"/>
      <w:r>
        <w:rPr>
          <w:rFonts w:ascii="Times New Roman" w:hAnsi="Times New Roman"/>
          <w:b/>
          <w:sz w:val="28"/>
        </w:rPr>
        <w:t>6.1 矿区水资源承载力分析</w:t>
      </w:r>
      <w:bookmarkEnd w:id="306"/>
      <w:bookmarkEnd w:id="307"/>
      <w:bookmarkEnd w:id="308"/>
    </w:p>
    <w:p>
      <w:pPr>
        <w:pStyle w:val="16"/>
        <w:spacing w:line="440" w:lineRule="exact"/>
        <w:ind w:firstLine="480"/>
        <w:rPr>
          <w:rFonts w:ascii="Times New Roman" w:hAnsi="Times New Roman" w:cs="Times New Roman"/>
          <w:sz w:val="24"/>
          <w:szCs w:val="21"/>
          <w:vertAlign w:val="superscript"/>
        </w:rPr>
      </w:pPr>
      <w:r>
        <w:rPr>
          <w:rFonts w:ascii="Times New Roman" w:hAnsi="Times New Roman" w:cs="Times New Roman"/>
          <w:sz w:val="24"/>
          <w:szCs w:val="21"/>
        </w:rPr>
        <w:t>鄂尔多斯市位于内蒙古自治区西南部，根据第三次水资源调查评价成果，全市水资源总量28.58亿m</w:t>
      </w:r>
      <w:r>
        <w:rPr>
          <w:rFonts w:ascii="Times New Roman" w:hAnsi="Times New Roman" w:cs="Times New Roman"/>
          <w:sz w:val="24"/>
          <w:szCs w:val="21"/>
          <w:vertAlign w:val="superscript"/>
        </w:rPr>
        <w:t>3</w:t>
      </w:r>
      <w:r>
        <w:rPr>
          <w:rFonts w:ascii="Times New Roman" w:hAnsi="Times New Roman" w:cs="Times New Roman"/>
          <w:sz w:val="24"/>
          <w:szCs w:val="21"/>
        </w:rPr>
        <w:t>，其中，地表水资源量10.54亿m</w:t>
      </w:r>
      <w:r>
        <w:rPr>
          <w:rFonts w:ascii="Times New Roman" w:hAnsi="Times New Roman" w:cs="Times New Roman"/>
          <w:sz w:val="24"/>
          <w:szCs w:val="21"/>
          <w:vertAlign w:val="superscript"/>
        </w:rPr>
        <w:t>3</w:t>
      </w:r>
      <w:r>
        <w:rPr>
          <w:rFonts w:ascii="Times New Roman" w:hAnsi="Times New Roman" w:cs="Times New Roman"/>
          <w:sz w:val="24"/>
          <w:szCs w:val="21"/>
        </w:rPr>
        <w:t>，地下水资源量21.28亿m</w:t>
      </w:r>
      <w:r>
        <w:rPr>
          <w:rFonts w:ascii="Times New Roman" w:hAnsi="Times New Roman" w:cs="Times New Roman"/>
          <w:sz w:val="24"/>
          <w:szCs w:val="21"/>
          <w:vertAlign w:val="superscript"/>
        </w:rPr>
        <w:t>3</w:t>
      </w:r>
      <w:r>
        <w:rPr>
          <w:rFonts w:ascii="Times New Roman" w:hAnsi="Times New Roman" w:cs="Times New Roman"/>
          <w:sz w:val="24"/>
          <w:szCs w:val="21"/>
        </w:rPr>
        <w:t>；地表水可利用量为8.10亿m</w:t>
      </w:r>
      <w:r>
        <w:rPr>
          <w:rFonts w:ascii="Times New Roman" w:hAnsi="Times New Roman" w:cs="Times New Roman"/>
          <w:sz w:val="24"/>
          <w:szCs w:val="21"/>
          <w:vertAlign w:val="superscript"/>
        </w:rPr>
        <w:t>3</w:t>
      </w:r>
      <w:r>
        <w:rPr>
          <w:rFonts w:ascii="Times New Roman" w:hAnsi="Times New Roman" w:cs="Times New Roman"/>
          <w:sz w:val="24"/>
          <w:szCs w:val="21"/>
        </w:rPr>
        <w:t>（含盟市内指标、跨盟市水权转让指标及水沙置换指标），地下水可开采量13.33亿m</w:t>
      </w:r>
      <w:r>
        <w:rPr>
          <w:rFonts w:ascii="Times New Roman" w:hAnsi="Times New Roman" w:cs="Times New Roman"/>
          <w:sz w:val="24"/>
          <w:szCs w:val="21"/>
          <w:vertAlign w:val="superscript"/>
        </w:rPr>
        <w:t>3</w:t>
      </w:r>
      <w:r>
        <w:rPr>
          <w:rFonts w:ascii="Times New Roman" w:hAnsi="Times New Roman" w:cs="Times New Roman"/>
          <w:sz w:val="24"/>
          <w:szCs w:val="21"/>
        </w:rPr>
        <w:t>。</w:t>
      </w:r>
    </w:p>
    <w:p>
      <w:pPr>
        <w:pStyle w:val="16"/>
        <w:spacing w:line="440" w:lineRule="exact"/>
        <w:ind w:firstLine="480"/>
        <w:rPr>
          <w:rFonts w:ascii="Times New Roman" w:hAnsi="Times New Roman" w:cs="Times New Roman"/>
          <w:sz w:val="24"/>
          <w:szCs w:val="21"/>
        </w:rPr>
      </w:pPr>
      <w:r>
        <w:rPr>
          <w:rFonts w:ascii="Times New Roman" w:hAnsi="Times New Roman" w:cs="Times New Roman"/>
          <w:sz w:val="24"/>
          <w:szCs w:val="21"/>
        </w:rPr>
        <w:t>根据2020年《鄂尔多斯市水资源公报》，鄂尔多斯市2020年全市总供水量为172675.9913万m</w:t>
      </w:r>
      <w:r>
        <w:rPr>
          <w:rFonts w:ascii="Times New Roman" w:hAnsi="Times New Roman" w:cs="Times New Roman"/>
          <w:sz w:val="24"/>
          <w:szCs w:val="21"/>
          <w:vertAlign w:val="superscript"/>
        </w:rPr>
        <w:t>3</w:t>
      </w:r>
      <w:r>
        <w:rPr>
          <w:rFonts w:ascii="Times New Roman" w:hAnsi="Times New Roman" w:cs="Times New Roman"/>
          <w:sz w:val="24"/>
          <w:szCs w:val="21"/>
        </w:rPr>
        <w:t>。其中地表水源供水量为66210.065万m</w:t>
      </w:r>
      <w:r>
        <w:rPr>
          <w:rFonts w:ascii="Times New Roman" w:hAnsi="Times New Roman" w:cs="Times New Roman"/>
          <w:sz w:val="24"/>
          <w:szCs w:val="21"/>
          <w:vertAlign w:val="superscript"/>
        </w:rPr>
        <w:t>3</w:t>
      </w:r>
      <w:r>
        <w:rPr>
          <w:rFonts w:ascii="Times New Roman" w:hAnsi="Times New Roman" w:cs="Times New Roman"/>
          <w:sz w:val="24"/>
          <w:szCs w:val="21"/>
        </w:rPr>
        <w:t>，地下水源供水量为84664.7937万m</w:t>
      </w:r>
      <w:r>
        <w:rPr>
          <w:rFonts w:ascii="Times New Roman" w:hAnsi="Times New Roman" w:cs="Times New Roman"/>
          <w:sz w:val="24"/>
          <w:szCs w:val="21"/>
          <w:vertAlign w:val="superscript"/>
        </w:rPr>
        <w:t>3</w:t>
      </w:r>
      <w:r>
        <w:rPr>
          <w:rFonts w:ascii="Times New Roman" w:hAnsi="Times New Roman" w:cs="Times New Roman"/>
          <w:sz w:val="24"/>
          <w:szCs w:val="21"/>
        </w:rPr>
        <w:t>，其他水源供水量为21801.1326万m</w:t>
      </w:r>
      <w:r>
        <w:rPr>
          <w:rFonts w:ascii="Times New Roman" w:hAnsi="Times New Roman" w:cs="Times New Roman"/>
          <w:sz w:val="24"/>
          <w:szCs w:val="21"/>
          <w:vertAlign w:val="superscript"/>
        </w:rPr>
        <w:t>3</w:t>
      </w:r>
      <w:r>
        <w:rPr>
          <w:rFonts w:ascii="Times New Roman" w:hAnsi="Times New Roman" w:cs="Times New Roman"/>
          <w:sz w:val="24"/>
          <w:szCs w:val="21"/>
        </w:rPr>
        <w:t>。伊金霍洛旗总供水量为13932.4439万m</w:t>
      </w:r>
      <w:r>
        <w:rPr>
          <w:rFonts w:ascii="Times New Roman" w:hAnsi="Times New Roman" w:cs="Times New Roman"/>
          <w:sz w:val="24"/>
          <w:szCs w:val="21"/>
          <w:vertAlign w:val="superscript"/>
        </w:rPr>
        <w:t>3</w:t>
      </w:r>
      <w:r>
        <w:rPr>
          <w:rFonts w:ascii="Times New Roman" w:hAnsi="Times New Roman" w:cs="Times New Roman"/>
          <w:sz w:val="24"/>
          <w:szCs w:val="21"/>
        </w:rPr>
        <w:t>，其中地表水供水量1028.0715万m</w:t>
      </w:r>
      <w:r>
        <w:rPr>
          <w:rFonts w:ascii="Times New Roman" w:hAnsi="Times New Roman" w:cs="Times New Roman"/>
          <w:sz w:val="24"/>
          <w:szCs w:val="21"/>
          <w:vertAlign w:val="superscript"/>
        </w:rPr>
        <w:t>3</w:t>
      </w:r>
      <w:r>
        <w:rPr>
          <w:rFonts w:ascii="Times New Roman" w:hAnsi="Times New Roman" w:cs="Times New Roman"/>
          <w:sz w:val="24"/>
          <w:szCs w:val="21"/>
        </w:rPr>
        <w:t>，地下水供水量6370.3976万m</w:t>
      </w:r>
      <w:r>
        <w:rPr>
          <w:rFonts w:ascii="Times New Roman" w:hAnsi="Times New Roman" w:cs="Times New Roman"/>
          <w:sz w:val="24"/>
          <w:szCs w:val="21"/>
          <w:vertAlign w:val="superscript"/>
        </w:rPr>
        <w:t>3</w:t>
      </w:r>
      <w:r>
        <w:rPr>
          <w:rFonts w:ascii="Times New Roman" w:hAnsi="Times New Roman" w:cs="Times New Roman"/>
          <w:sz w:val="24"/>
          <w:szCs w:val="21"/>
        </w:rPr>
        <w:t>，其他水源供水量6533.9748万m</w:t>
      </w:r>
      <w:r>
        <w:rPr>
          <w:rFonts w:ascii="Times New Roman" w:hAnsi="Times New Roman" w:cs="Times New Roman"/>
          <w:sz w:val="24"/>
          <w:szCs w:val="21"/>
          <w:vertAlign w:val="superscript"/>
        </w:rPr>
        <w:t>3</w:t>
      </w:r>
      <w:r>
        <w:rPr>
          <w:rFonts w:ascii="Times New Roman" w:hAnsi="Times New Roman" w:cs="Times New Roman"/>
          <w:sz w:val="24"/>
          <w:szCs w:val="21"/>
        </w:rPr>
        <w:t>，其他水源主要为污水处理以及矿井水。</w:t>
      </w:r>
    </w:p>
    <w:p>
      <w:pPr>
        <w:keepNext/>
        <w:keepLines/>
        <w:adjustRightInd w:val="0"/>
        <w:snapToGrid w:val="0"/>
        <w:spacing w:line="440" w:lineRule="exact"/>
        <w:outlineLvl w:val="2"/>
        <w:rPr>
          <w:rFonts w:ascii="Times New Roman" w:hAnsi="Times New Roman"/>
          <w:b/>
        </w:rPr>
      </w:pPr>
      <w:r>
        <w:rPr>
          <w:rFonts w:ascii="Times New Roman" w:hAnsi="Times New Roman"/>
          <w:b/>
        </w:rPr>
        <w:t>6.1.1 鄂尔多斯市现状各行业用水量</w:t>
      </w:r>
    </w:p>
    <w:p>
      <w:pPr>
        <w:adjustRightInd w:val="0"/>
        <w:snapToGrid w:val="0"/>
        <w:spacing w:line="440" w:lineRule="exact"/>
        <w:ind w:firstLine="480" w:firstLineChars="200"/>
        <w:rPr>
          <w:rFonts w:ascii="Times New Roman" w:hAnsi="Times New Roman"/>
        </w:rPr>
      </w:pPr>
      <w:r>
        <w:rPr>
          <w:rFonts w:ascii="Times New Roman" w:hAnsi="Times New Roman"/>
        </w:rPr>
        <w:t>根据鄂尔多斯市水资源使用情况统计，近5年各业用水量见表6.1-1。</w:t>
      </w:r>
    </w:p>
    <w:p>
      <w:pPr>
        <w:adjustRightInd w:val="0"/>
        <w:snapToGrid w:val="0"/>
        <w:spacing w:line="440" w:lineRule="exact"/>
        <w:ind w:firstLine="480" w:firstLineChars="200"/>
        <w:rPr>
          <w:rFonts w:ascii="Times New Roman" w:hAnsi="Times New Roman"/>
        </w:rPr>
      </w:pPr>
      <w:r>
        <w:rPr>
          <w:rFonts w:ascii="Times New Roman" w:hAnsi="Times New Roman"/>
        </w:rPr>
        <w:t>2020年鄂尔多斯全市总用水量为166639万m</w:t>
      </w:r>
      <w:r>
        <w:rPr>
          <w:rFonts w:ascii="Times New Roman" w:hAnsi="Times New Roman"/>
          <w:vertAlign w:val="superscript"/>
        </w:rPr>
        <w:t>3</w:t>
      </w:r>
      <w:r>
        <w:rPr>
          <w:rFonts w:ascii="Times New Roman" w:hAnsi="Times New Roman"/>
        </w:rPr>
        <w:t>，其中农业用水量113818万m</w:t>
      </w:r>
      <w:r>
        <w:rPr>
          <w:rFonts w:ascii="Times New Roman" w:hAnsi="Times New Roman"/>
          <w:vertAlign w:val="superscript"/>
        </w:rPr>
        <w:t>3</w:t>
      </w:r>
      <w:r>
        <w:rPr>
          <w:rFonts w:ascii="Times New Roman" w:hAnsi="Times New Roman"/>
        </w:rPr>
        <w:t>，占总量的68.43%；工业用水量34716万m</w:t>
      </w:r>
      <w:r>
        <w:rPr>
          <w:rFonts w:ascii="Times New Roman" w:hAnsi="Times New Roman"/>
          <w:vertAlign w:val="superscript"/>
        </w:rPr>
        <w:t>3</w:t>
      </w:r>
      <w:r>
        <w:rPr>
          <w:rFonts w:ascii="Times New Roman" w:hAnsi="Times New Roman"/>
        </w:rPr>
        <w:t>，占总量的20.87%；生活用水量约9955万m</w:t>
      </w:r>
      <w:r>
        <w:rPr>
          <w:rFonts w:ascii="Times New Roman" w:hAnsi="Times New Roman"/>
          <w:vertAlign w:val="superscript"/>
        </w:rPr>
        <w:t>3</w:t>
      </w:r>
      <w:r>
        <w:rPr>
          <w:rFonts w:ascii="Times New Roman" w:hAnsi="Times New Roman"/>
        </w:rPr>
        <w:t>，占总量的6.01%，生态环境补水量7840万m</w:t>
      </w:r>
      <w:r>
        <w:rPr>
          <w:rFonts w:ascii="Times New Roman" w:hAnsi="Times New Roman"/>
          <w:vertAlign w:val="superscript"/>
        </w:rPr>
        <w:t>3</w:t>
      </w:r>
      <w:r>
        <w:rPr>
          <w:rFonts w:ascii="Times New Roman" w:hAnsi="Times New Roman"/>
        </w:rPr>
        <w:t>，占总量的4.69%。</w:t>
      </w:r>
    </w:p>
    <w:p>
      <w:pPr>
        <w:adjustRightInd w:val="0"/>
        <w:snapToGrid w:val="0"/>
        <w:spacing w:line="440" w:lineRule="exact"/>
        <w:jc w:val="center"/>
        <w:rPr>
          <w:rFonts w:ascii="Times New Roman" w:hAnsi="Times New Roman"/>
          <w:b/>
          <w:szCs w:val="24"/>
        </w:rPr>
      </w:pPr>
      <w:r>
        <w:rPr>
          <w:rFonts w:ascii="Times New Roman" w:hAnsi="Times New Roman"/>
          <w:b/>
          <w:szCs w:val="24"/>
        </w:rPr>
        <w:t>鄂尔多斯市近年分行业用水量一览表</w:t>
      </w:r>
    </w:p>
    <w:p>
      <w:pPr>
        <w:widowControl/>
        <w:tabs>
          <w:tab w:val="center" w:pos="4394"/>
        </w:tabs>
        <w:adjustRightInd w:val="0"/>
        <w:snapToGrid w:val="0"/>
        <w:spacing w:line="440" w:lineRule="atLeast"/>
        <w:outlineLvl w:val="4"/>
        <w:rPr>
          <w:rFonts w:ascii="Times New Roman" w:hAnsi="Times New Roman"/>
          <w:kern w:val="0"/>
        </w:rPr>
      </w:pPr>
      <w:r>
        <w:rPr>
          <w:rFonts w:ascii="Times New Roman" w:hAnsi="Times New Roman"/>
          <w:kern w:val="0"/>
        </w:rPr>
        <w:t>表6.1-1                                                       单位：万m</w:t>
      </w:r>
      <w:r>
        <w:rPr>
          <w:rFonts w:ascii="Times New Roman" w:hAnsi="Times New Roman"/>
          <w:kern w:val="0"/>
          <w:vertAlign w:val="superscript"/>
        </w:rPr>
        <w:t>3</w:t>
      </w:r>
      <w:r>
        <w:rPr>
          <w:rFonts w:ascii="Times New Roman" w:hAnsi="Times New Roman"/>
          <w:kern w:val="0"/>
        </w:rPr>
        <w:t>/a</w:t>
      </w:r>
    </w:p>
    <w:tbl>
      <w:tblPr>
        <w:tblStyle w:val="59"/>
        <w:tblW w:w="91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422"/>
        <w:gridCol w:w="1341"/>
        <w:gridCol w:w="1341"/>
        <w:gridCol w:w="1340"/>
        <w:gridCol w:w="1341"/>
        <w:gridCol w:w="1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2" w:type="dxa"/>
            <w:tcBorders>
              <w:tl2br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           年份</w:t>
            </w:r>
          </w:p>
          <w:p>
            <w:pPr>
              <w:rPr>
                <w:rFonts w:ascii="Times New Roman" w:hAnsi="Times New Roman"/>
                <w:sz w:val="21"/>
                <w:szCs w:val="21"/>
              </w:rPr>
            </w:pPr>
            <w:r>
              <w:rPr>
                <w:rFonts w:ascii="Times New Roman" w:hAnsi="Times New Roman"/>
                <w:sz w:val="21"/>
                <w:szCs w:val="21"/>
              </w:rPr>
              <w:t>用水行业</w:t>
            </w:r>
          </w:p>
        </w:tc>
        <w:tc>
          <w:tcPr>
            <w:tcW w:w="1341" w:type="dxa"/>
            <w:shd w:val="clear" w:color="auto" w:fill="auto"/>
            <w:vAlign w:val="center"/>
          </w:tcPr>
          <w:p>
            <w:pPr>
              <w:jc w:val="center"/>
              <w:rPr>
                <w:rFonts w:ascii="Times New Roman" w:hAnsi="Times New Roman"/>
                <w:sz w:val="21"/>
                <w:szCs w:val="21"/>
              </w:rPr>
            </w:pPr>
            <w:r>
              <w:rPr>
                <w:rFonts w:ascii="Times New Roman" w:hAnsi="Times New Roman"/>
                <w:sz w:val="21"/>
                <w:szCs w:val="21"/>
              </w:rPr>
              <w:t>2016</w:t>
            </w:r>
          </w:p>
        </w:tc>
        <w:tc>
          <w:tcPr>
            <w:tcW w:w="1341" w:type="dxa"/>
            <w:shd w:val="clear" w:color="auto" w:fill="auto"/>
            <w:vAlign w:val="center"/>
          </w:tcPr>
          <w:p>
            <w:pPr>
              <w:jc w:val="center"/>
              <w:rPr>
                <w:rFonts w:ascii="Times New Roman" w:hAnsi="Times New Roman"/>
                <w:sz w:val="21"/>
                <w:szCs w:val="21"/>
              </w:rPr>
            </w:pPr>
            <w:r>
              <w:rPr>
                <w:rFonts w:ascii="Times New Roman" w:hAnsi="Times New Roman"/>
                <w:sz w:val="21"/>
                <w:szCs w:val="21"/>
              </w:rPr>
              <w:t>2017</w:t>
            </w:r>
          </w:p>
        </w:tc>
        <w:tc>
          <w:tcPr>
            <w:tcW w:w="1340" w:type="dxa"/>
            <w:shd w:val="clear" w:color="auto" w:fill="auto"/>
            <w:vAlign w:val="center"/>
          </w:tcPr>
          <w:p>
            <w:pPr>
              <w:jc w:val="center"/>
              <w:rPr>
                <w:rFonts w:ascii="Times New Roman" w:hAnsi="Times New Roman"/>
                <w:sz w:val="21"/>
                <w:szCs w:val="21"/>
              </w:rPr>
            </w:pPr>
            <w:r>
              <w:rPr>
                <w:rFonts w:ascii="Times New Roman" w:hAnsi="Times New Roman"/>
                <w:sz w:val="21"/>
                <w:szCs w:val="21"/>
              </w:rPr>
              <w:t>2018</w:t>
            </w:r>
          </w:p>
        </w:tc>
        <w:tc>
          <w:tcPr>
            <w:tcW w:w="1341" w:type="dxa"/>
            <w:shd w:val="clear" w:color="auto" w:fill="auto"/>
            <w:vAlign w:val="center"/>
          </w:tcPr>
          <w:p>
            <w:pPr>
              <w:jc w:val="center"/>
              <w:rPr>
                <w:rFonts w:ascii="Times New Roman" w:hAnsi="Times New Roman"/>
                <w:sz w:val="21"/>
                <w:szCs w:val="21"/>
              </w:rPr>
            </w:pPr>
            <w:r>
              <w:rPr>
                <w:rFonts w:ascii="Times New Roman" w:hAnsi="Times New Roman"/>
                <w:sz w:val="21"/>
                <w:szCs w:val="21"/>
              </w:rPr>
              <w:t>2019</w:t>
            </w:r>
          </w:p>
        </w:tc>
        <w:tc>
          <w:tcPr>
            <w:tcW w:w="1342"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2"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农业用水</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114055</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113358</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106149</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110231</w:t>
            </w:r>
          </w:p>
        </w:tc>
        <w:tc>
          <w:tcPr>
            <w:tcW w:w="1342"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113818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2"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工业用水</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26044</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25483</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28601</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32477</w:t>
            </w:r>
          </w:p>
        </w:tc>
        <w:tc>
          <w:tcPr>
            <w:tcW w:w="1342"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34716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2"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生活用水</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7905</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8010</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8592</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9072</w:t>
            </w:r>
          </w:p>
        </w:tc>
        <w:tc>
          <w:tcPr>
            <w:tcW w:w="1342"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9955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2"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生态用水</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8576</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7117</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12782</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8842</w:t>
            </w:r>
          </w:p>
        </w:tc>
        <w:tc>
          <w:tcPr>
            <w:tcW w:w="1342"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7841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2"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合计</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156580</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153968</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156124</w:t>
            </w:r>
          </w:p>
        </w:tc>
        <w:tc>
          <w:tcPr>
            <w:tcW w:w="13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160621</w:t>
            </w:r>
          </w:p>
        </w:tc>
        <w:tc>
          <w:tcPr>
            <w:tcW w:w="1342"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166329</w:t>
            </w:r>
          </w:p>
        </w:tc>
      </w:tr>
    </w:tbl>
    <w:p>
      <w:pPr>
        <w:keepNext/>
        <w:keepLines/>
        <w:adjustRightInd w:val="0"/>
        <w:snapToGrid w:val="0"/>
        <w:spacing w:before="120" w:beforeLines="50" w:line="440" w:lineRule="exact"/>
        <w:outlineLvl w:val="2"/>
        <w:rPr>
          <w:rFonts w:ascii="Times New Roman" w:hAnsi="Times New Roman"/>
          <w:b/>
        </w:rPr>
      </w:pPr>
      <w:r>
        <w:rPr>
          <w:rFonts w:ascii="Times New Roman" w:hAnsi="Times New Roman"/>
          <w:b/>
        </w:rPr>
        <w:t>6.1.2伊金霍洛旗现状各行业用水量</w:t>
      </w:r>
    </w:p>
    <w:p>
      <w:pPr>
        <w:adjustRightInd w:val="0"/>
        <w:snapToGrid w:val="0"/>
        <w:spacing w:line="440" w:lineRule="exact"/>
        <w:ind w:firstLine="480" w:firstLineChars="200"/>
        <w:rPr>
          <w:rFonts w:ascii="Times New Roman" w:hAnsi="Times New Roman"/>
        </w:rPr>
      </w:pPr>
      <w:r>
        <w:rPr>
          <w:rFonts w:ascii="Times New Roman" w:hAnsi="Times New Roman"/>
        </w:rPr>
        <w:t>根据伊金霍洛旗水资源使用情况统计，近5年各业用水量见表6.1-2。</w:t>
      </w:r>
    </w:p>
    <w:p>
      <w:pPr>
        <w:adjustRightInd w:val="0"/>
        <w:snapToGrid w:val="0"/>
        <w:spacing w:line="440" w:lineRule="exact"/>
        <w:ind w:firstLine="480" w:firstLineChars="200"/>
        <w:rPr>
          <w:rFonts w:ascii="Times New Roman" w:hAnsi="Times New Roman"/>
        </w:rPr>
      </w:pPr>
      <w:r>
        <w:rPr>
          <w:rFonts w:ascii="Times New Roman" w:hAnsi="Times New Roman"/>
        </w:rPr>
        <w:t>2020年伊金霍洛旗总用水量为13932万m</w:t>
      </w:r>
      <w:r>
        <w:rPr>
          <w:rFonts w:ascii="Times New Roman" w:hAnsi="Times New Roman"/>
          <w:vertAlign w:val="superscript"/>
        </w:rPr>
        <w:t>3</w:t>
      </w:r>
      <w:r>
        <w:rPr>
          <w:rFonts w:ascii="Times New Roman" w:hAnsi="Times New Roman"/>
        </w:rPr>
        <w:t>，占鄂尔多斯市全市总用水量的8.38%。其中：农业5535万m</w:t>
      </w:r>
      <w:r>
        <w:rPr>
          <w:rFonts w:ascii="Times New Roman" w:hAnsi="Times New Roman"/>
          <w:vertAlign w:val="superscript"/>
        </w:rPr>
        <w:t>3</w:t>
      </w:r>
      <w:r>
        <w:rPr>
          <w:rFonts w:ascii="Times New Roman" w:hAnsi="Times New Roman"/>
        </w:rPr>
        <w:t>，占总量的39.73%；工业4015万m</w:t>
      </w:r>
      <w:r>
        <w:rPr>
          <w:rFonts w:ascii="Times New Roman" w:hAnsi="Times New Roman"/>
          <w:vertAlign w:val="superscript"/>
        </w:rPr>
        <w:t>3</w:t>
      </w:r>
      <w:r>
        <w:rPr>
          <w:rFonts w:ascii="Times New Roman" w:hAnsi="Times New Roman"/>
        </w:rPr>
        <w:t>，占总量的28.82%；生活用水量1073万m</w:t>
      </w:r>
      <w:r>
        <w:rPr>
          <w:rFonts w:ascii="Times New Roman" w:hAnsi="Times New Roman"/>
          <w:vertAlign w:val="superscript"/>
        </w:rPr>
        <w:t>3</w:t>
      </w:r>
      <w:r>
        <w:rPr>
          <w:rFonts w:ascii="Times New Roman" w:hAnsi="Times New Roman"/>
        </w:rPr>
        <w:t>，占总量的7.70%；生态3308万m</w:t>
      </w:r>
      <w:r>
        <w:rPr>
          <w:rFonts w:ascii="Times New Roman" w:hAnsi="Times New Roman"/>
          <w:vertAlign w:val="superscript"/>
        </w:rPr>
        <w:t>3</w:t>
      </w:r>
      <w:r>
        <w:rPr>
          <w:rFonts w:ascii="Times New Roman" w:hAnsi="Times New Roman"/>
        </w:rPr>
        <w:t>，占总量的23.74%。</w:t>
      </w:r>
    </w:p>
    <w:p>
      <w:pPr>
        <w:adjustRightInd w:val="0"/>
        <w:snapToGrid w:val="0"/>
        <w:spacing w:line="440" w:lineRule="exact"/>
        <w:jc w:val="center"/>
        <w:rPr>
          <w:rFonts w:ascii="Times New Roman" w:hAnsi="Times New Roman"/>
          <w:b/>
          <w:szCs w:val="24"/>
        </w:rPr>
      </w:pPr>
      <w:r>
        <w:rPr>
          <w:rFonts w:ascii="Times New Roman" w:hAnsi="Times New Roman"/>
          <w:b/>
          <w:szCs w:val="24"/>
        </w:rPr>
        <w:t>伊金霍洛旗近年分行业用水量一览表</w:t>
      </w:r>
    </w:p>
    <w:p>
      <w:pPr>
        <w:widowControl/>
        <w:tabs>
          <w:tab w:val="center" w:pos="4394"/>
        </w:tabs>
        <w:adjustRightInd w:val="0"/>
        <w:snapToGrid w:val="0"/>
        <w:spacing w:line="440" w:lineRule="atLeast"/>
        <w:ind w:firstLine="240" w:firstLineChars="100"/>
        <w:outlineLvl w:val="4"/>
        <w:rPr>
          <w:rFonts w:ascii="Times New Roman" w:hAnsi="Times New Roman"/>
          <w:kern w:val="0"/>
        </w:rPr>
      </w:pPr>
      <w:r>
        <w:rPr>
          <w:rFonts w:ascii="Times New Roman" w:hAnsi="Times New Roman"/>
          <w:kern w:val="0"/>
        </w:rPr>
        <w:t>表6.1-2                                                      单位：万m</w:t>
      </w:r>
      <w:r>
        <w:rPr>
          <w:rFonts w:ascii="Times New Roman" w:hAnsi="Times New Roman"/>
          <w:kern w:val="0"/>
          <w:vertAlign w:val="superscript"/>
        </w:rPr>
        <w:t>3</w:t>
      </w:r>
      <w:r>
        <w:rPr>
          <w:rFonts w:ascii="Times New Roman" w:hAnsi="Times New Roman"/>
          <w:kern w:val="0"/>
        </w:rPr>
        <w:t>/a</w:t>
      </w:r>
    </w:p>
    <w:tbl>
      <w:tblPr>
        <w:tblStyle w:val="59"/>
        <w:tblW w:w="91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428"/>
        <w:gridCol w:w="1340"/>
        <w:gridCol w:w="1340"/>
        <w:gridCol w:w="1339"/>
        <w:gridCol w:w="1340"/>
        <w:gridCol w:w="1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8" w:type="dxa"/>
            <w:tcBorders>
              <w:tl2br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        年份</w:t>
            </w:r>
          </w:p>
          <w:p>
            <w:pPr>
              <w:rPr>
                <w:rFonts w:ascii="Times New Roman" w:hAnsi="Times New Roman"/>
                <w:sz w:val="21"/>
                <w:szCs w:val="21"/>
              </w:rPr>
            </w:pPr>
            <w:r>
              <w:rPr>
                <w:rFonts w:ascii="Times New Roman" w:hAnsi="Times New Roman"/>
                <w:sz w:val="21"/>
                <w:szCs w:val="21"/>
              </w:rPr>
              <w:t>用水行业</w:t>
            </w:r>
          </w:p>
        </w:tc>
        <w:tc>
          <w:tcPr>
            <w:tcW w:w="1340" w:type="dxa"/>
            <w:shd w:val="clear" w:color="auto" w:fill="auto"/>
            <w:vAlign w:val="center"/>
          </w:tcPr>
          <w:p>
            <w:pPr>
              <w:jc w:val="center"/>
              <w:rPr>
                <w:rFonts w:ascii="Times New Roman" w:hAnsi="Times New Roman"/>
                <w:sz w:val="21"/>
                <w:szCs w:val="21"/>
              </w:rPr>
            </w:pPr>
            <w:r>
              <w:rPr>
                <w:rFonts w:ascii="Times New Roman" w:hAnsi="Times New Roman"/>
                <w:sz w:val="21"/>
                <w:szCs w:val="21"/>
              </w:rPr>
              <w:t>2016</w:t>
            </w:r>
          </w:p>
        </w:tc>
        <w:tc>
          <w:tcPr>
            <w:tcW w:w="1340" w:type="dxa"/>
            <w:shd w:val="clear" w:color="auto" w:fill="auto"/>
            <w:vAlign w:val="center"/>
          </w:tcPr>
          <w:p>
            <w:pPr>
              <w:jc w:val="center"/>
              <w:rPr>
                <w:rFonts w:ascii="Times New Roman" w:hAnsi="Times New Roman"/>
                <w:sz w:val="21"/>
                <w:szCs w:val="21"/>
              </w:rPr>
            </w:pPr>
            <w:r>
              <w:rPr>
                <w:rFonts w:ascii="Times New Roman" w:hAnsi="Times New Roman"/>
                <w:sz w:val="21"/>
                <w:szCs w:val="21"/>
              </w:rPr>
              <w:t>2017</w:t>
            </w:r>
          </w:p>
        </w:tc>
        <w:tc>
          <w:tcPr>
            <w:tcW w:w="1339" w:type="dxa"/>
            <w:shd w:val="clear" w:color="auto" w:fill="auto"/>
            <w:vAlign w:val="center"/>
          </w:tcPr>
          <w:p>
            <w:pPr>
              <w:jc w:val="center"/>
              <w:rPr>
                <w:rFonts w:ascii="Times New Roman" w:hAnsi="Times New Roman"/>
                <w:sz w:val="21"/>
                <w:szCs w:val="21"/>
              </w:rPr>
            </w:pPr>
            <w:r>
              <w:rPr>
                <w:rFonts w:ascii="Times New Roman" w:hAnsi="Times New Roman"/>
                <w:sz w:val="21"/>
                <w:szCs w:val="21"/>
              </w:rPr>
              <w:t>2018</w:t>
            </w:r>
          </w:p>
        </w:tc>
        <w:tc>
          <w:tcPr>
            <w:tcW w:w="1340" w:type="dxa"/>
            <w:shd w:val="clear" w:color="auto" w:fill="auto"/>
            <w:vAlign w:val="center"/>
          </w:tcPr>
          <w:p>
            <w:pPr>
              <w:jc w:val="center"/>
              <w:rPr>
                <w:rFonts w:ascii="Times New Roman" w:hAnsi="Times New Roman"/>
                <w:sz w:val="21"/>
                <w:szCs w:val="21"/>
              </w:rPr>
            </w:pPr>
            <w:r>
              <w:rPr>
                <w:rFonts w:ascii="Times New Roman" w:hAnsi="Times New Roman"/>
                <w:sz w:val="21"/>
                <w:szCs w:val="21"/>
              </w:rPr>
              <w:t>2019</w:t>
            </w:r>
          </w:p>
        </w:tc>
        <w:tc>
          <w:tcPr>
            <w:tcW w:w="1340" w:type="dxa"/>
            <w:shd w:val="clear" w:color="auto" w:fill="auto"/>
            <w:vAlign w:val="center"/>
          </w:tcPr>
          <w:p>
            <w:pPr>
              <w:jc w:val="center"/>
              <w:rPr>
                <w:rFonts w:ascii="Times New Roman" w:hAnsi="Times New Roman"/>
                <w:sz w:val="21"/>
                <w:szCs w:val="21"/>
              </w:rPr>
            </w:pPr>
            <w:r>
              <w:rPr>
                <w:rFonts w:ascii="Times New Roman" w:hAnsi="Times New Roman"/>
                <w:sz w:val="21"/>
                <w:szCs w:val="21"/>
              </w:rPr>
              <w:t>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8"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农业用水</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8023</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7992 </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6651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6847</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5535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8"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工业用水</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3415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3030 </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3923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3960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4015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8"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生活用水</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763</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776</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912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1124</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1073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8"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生态用水</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911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1006 </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1695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1594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3308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2428" w:type="dxa"/>
            <w:tcBorders>
              <w:top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合计</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13112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12804 </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13181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 xml:space="preserve">13525 </w:t>
            </w:r>
          </w:p>
        </w:tc>
        <w:tc>
          <w:tcPr>
            <w:tcW w:w="134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1"/>
                <w:szCs w:val="21"/>
              </w:rPr>
            </w:pPr>
            <w:r>
              <w:rPr>
                <w:rFonts w:ascii="Times New Roman" w:hAnsi="Times New Roman"/>
                <w:sz w:val="21"/>
                <w:szCs w:val="21"/>
              </w:rPr>
              <w:t>13932</w:t>
            </w:r>
          </w:p>
        </w:tc>
      </w:tr>
    </w:tbl>
    <w:p>
      <w:pPr>
        <w:keepNext/>
        <w:keepLines/>
        <w:adjustRightInd w:val="0"/>
        <w:snapToGrid w:val="0"/>
        <w:spacing w:before="100" w:beforeAutospacing="1" w:line="440" w:lineRule="exact"/>
        <w:outlineLvl w:val="2"/>
        <w:rPr>
          <w:rFonts w:ascii="Times New Roman" w:hAnsi="Times New Roman"/>
          <w:b/>
        </w:rPr>
      </w:pPr>
      <w:r>
        <w:rPr>
          <w:rFonts w:ascii="Times New Roman" w:hAnsi="Times New Roman"/>
          <w:b/>
        </w:rPr>
        <w:t>6.1.3 鄂尔多斯市2015、2020年和2030年水资源管理控制指标</w:t>
      </w:r>
    </w:p>
    <w:p>
      <w:pPr>
        <w:adjustRightInd w:val="0"/>
        <w:snapToGrid w:val="0"/>
        <w:spacing w:line="440" w:lineRule="exact"/>
        <w:ind w:firstLine="547" w:firstLineChars="228"/>
        <w:rPr>
          <w:rFonts w:ascii="Times New Roman" w:hAnsi="Times New Roman"/>
          <w:szCs w:val="24"/>
        </w:rPr>
      </w:pPr>
      <w:r>
        <w:rPr>
          <w:rFonts w:ascii="Times New Roman" w:hAnsi="Times New Roman"/>
          <w:szCs w:val="24"/>
        </w:rPr>
        <w:t>2014年6月24日，鄂尔多斯市人民政府下发了《鄂尔多斯市人民政府关于下达最严格水资源管理制度控制目标任务的通知》（鄂府发[2014]36号）。根据该通知，到2015、2020年和2030年内，全市用水总量分别控制在16.58、16.79和19.94亿立方米以内。其中伊金霍洛旗到2015、2020年和2030年内，用水总量分别控制在1.33、1.35、1.71亿立方米以内。根据本次评价收集资料，</w:t>
      </w:r>
      <w:r>
        <w:rPr>
          <w:rFonts w:ascii="Times New Roman" w:hAnsi="Times New Roman"/>
        </w:rPr>
        <w:t>2020年鄂尔多斯全市总用水量为16.66</w:t>
      </w:r>
      <w:r>
        <w:rPr>
          <w:rFonts w:ascii="Times New Roman" w:hAnsi="Times New Roman"/>
          <w:szCs w:val="24"/>
        </w:rPr>
        <w:t>亿立方米，满足鄂尔多斯市用水总量控制指标。</w:t>
      </w:r>
    </w:p>
    <w:p>
      <w:pPr>
        <w:adjustRightInd w:val="0"/>
        <w:snapToGrid w:val="0"/>
        <w:spacing w:line="440" w:lineRule="exact"/>
        <w:ind w:firstLine="547" w:firstLineChars="228"/>
        <w:rPr>
          <w:rFonts w:ascii="Times New Roman" w:hAnsi="Times New Roman"/>
          <w:szCs w:val="24"/>
        </w:rPr>
      </w:pPr>
      <w:r>
        <w:rPr>
          <w:rFonts w:ascii="Times New Roman" w:hAnsi="Times New Roman"/>
          <w:szCs w:val="24"/>
        </w:rPr>
        <w:t>2017年11月9日，鄂尔多斯市人民政府办公厅下发了《鄂尔多斯市人民政府办公厅关于印发鄂尔多斯市“十三五”水资源消耗总量和强度双控实施方案的通知》（鄂府办发[2017]160号）。根据该通知，伊金霍洛旗2020年用水总量控制指标为1.45亿立方米。根据本次评价收集资料，</w:t>
      </w:r>
      <w:r>
        <w:rPr>
          <w:rFonts w:ascii="Times New Roman" w:hAnsi="Times New Roman"/>
        </w:rPr>
        <w:t>2020年伊金霍洛旗总用水量为1.39</w:t>
      </w:r>
      <w:r>
        <w:rPr>
          <w:rFonts w:ascii="Times New Roman" w:hAnsi="Times New Roman"/>
          <w:szCs w:val="24"/>
        </w:rPr>
        <w:t>亿立方米，满足双控方案要求。</w:t>
      </w:r>
    </w:p>
    <w:p>
      <w:pPr>
        <w:keepNext/>
        <w:keepLines/>
        <w:adjustRightInd w:val="0"/>
        <w:snapToGrid w:val="0"/>
        <w:spacing w:line="440" w:lineRule="exact"/>
        <w:outlineLvl w:val="2"/>
        <w:rPr>
          <w:rFonts w:ascii="Times New Roman" w:hAnsi="Times New Roman"/>
          <w:b/>
        </w:rPr>
      </w:pPr>
      <w:r>
        <w:rPr>
          <w:rFonts w:ascii="Times New Roman" w:hAnsi="Times New Roman"/>
          <w:b/>
        </w:rPr>
        <w:t>6.1.4 矿区规划用水量</w:t>
      </w:r>
    </w:p>
    <w:p>
      <w:pPr>
        <w:adjustRightInd w:val="0"/>
        <w:snapToGrid w:val="0"/>
        <w:spacing w:line="440" w:lineRule="exact"/>
        <w:ind w:firstLine="480" w:firstLineChars="200"/>
        <w:rPr>
          <w:rFonts w:ascii="Times New Roman" w:hAnsi="Times New Roman"/>
          <w:szCs w:val="24"/>
        </w:rPr>
      </w:pPr>
      <w:r>
        <w:rPr>
          <w:rFonts w:ascii="Times New Roman" w:hAnsi="Times New Roman"/>
        </w:rPr>
        <w:t>由于总规用水指标较大，本次评价按照最新《</w:t>
      </w:r>
      <w:r>
        <w:rPr>
          <w:rStyle w:val="74"/>
          <w:rFonts w:ascii="Times New Roman" w:hAnsi="Times New Roman"/>
          <w:sz w:val="24"/>
          <w:szCs w:val="24"/>
        </w:rPr>
        <w:t>内蒙古自治区行业用水定额标准</w:t>
      </w:r>
      <w:r>
        <w:rPr>
          <w:rFonts w:ascii="Times New Roman" w:hAnsi="Times New Roman"/>
        </w:rPr>
        <w:t>》</w:t>
      </w:r>
      <w:r>
        <w:rPr>
          <w:rFonts w:ascii="Times New Roman" w:hAnsi="Times New Roman"/>
          <w:szCs w:val="24"/>
        </w:rPr>
        <w:t>（DB15/T385-2020）中井工煤矿先进</w:t>
      </w:r>
      <w:r>
        <w:rPr>
          <w:rFonts w:ascii="Times New Roman" w:hAnsi="Times New Roman"/>
        </w:rPr>
        <w:t>用水定额</w:t>
      </w:r>
      <w:r>
        <w:rPr>
          <w:rFonts w:ascii="Times New Roman" w:hAnsi="Times New Roman"/>
          <w:szCs w:val="24"/>
        </w:rPr>
        <w:t>≤0.15m</w:t>
      </w:r>
      <w:r>
        <w:rPr>
          <w:rFonts w:ascii="Times New Roman" w:hAnsi="Times New Roman"/>
          <w:szCs w:val="24"/>
          <w:vertAlign w:val="superscript"/>
        </w:rPr>
        <w:t>3</w:t>
      </w:r>
      <w:r>
        <w:rPr>
          <w:rFonts w:ascii="Times New Roman" w:hAnsi="Times New Roman"/>
          <w:szCs w:val="24"/>
        </w:rPr>
        <w:t>/t，动力煤洗选</w:t>
      </w:r>
      <w:r>
        <w:rPr>
          <w:rFonts w:ascii="Times New Roman" w:hAnsi="Times New Roman"/>
        </w:rPr>
        <w:t>用水定额</w:t>
      </w:r>
      <w:r>
        <w:rPr>
          <w:rFonts w:ascii="Times New Roman" w:hAnsi="Times New Roman"/>
          <w:szCs w:val="24"/>
        </w:rPr>
        <w:t>≤0.06m</w:t>
      </w:r>
      <w:r>
        <w:rPr>
          <w:rFonts w:ascii="Times New Roman" w:hAnsi="Times New Roman"/>
          <w:szCs w:val="24"/>
          <w:vertAlign w:val="superscript"/>
        </w:rPr>
        <w:t>3</w:t>
      </w:r>
      <w:r>
        <w:rPr>
          <w:rFonts w:ascii="Times New Roman" w:hAnsi="Times New Roman"/>
          <w:szCs w:val="24"/>
        </w:rPr>
        <w:t>/t，重新核算矿区用水量。</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经计算，纳林希里矿区开发需水总量为</w:t>
      </w:r>
      <w:r>
        <w:rPr>
          <w:rFonts w:ascii="Times New Roman" w:hAnsi="Times New Roman" w:eastAsia="等线"/>
          <w:kern w:val="0"/>
          <w:szCs w:val="24"/>
          <w:lang w:bidi="ar"/>
        </w:rPr>
        <w:t>21482.38</w:t>
      </w:r>
      <w:r>
        <w:rPr>
          <w:rFonts w:ascii="Times New Roman" w:hAnsi="Times New Roman"/>
          <w:kern w:val="0"/>
          <w:szCs w:val="24"/>
        </w:rPr>
        <w:t>m</w:t>
      </w:r>
      <w:r>
        <w:rPr>
          <w:rFonts w:ascii="Times New Roman" w:hAnsi="Times New Roman"/>
          <w:kern w:val="0"/>
          <w:szCs w:val="24"/>
          <w:vertAlign w:val="superscript"/>
        </w:rPr>
        <w:t>3</w:t>
      </w:r>
      <w:r>
        <w:rPr>
          <w:rFonts w:ascii="Times New Roman" w:hAnsi="Times New Roman"/>
          <w:kern w:val="0"/>
          <w:szCs w:val="24"/>
        </w:rPr>
        <w:t>/d，其中生活用水</w:t>
      </w:r>
      <w:r>
        <w:rPr>
          <w:rFonts w:ascii="Times New Roman" w:hAnsi="Times New Roman" w:eastAsia="等线"/>
          <w:kern w:val="0"/>
          <w:szCs w:val="24"/>
          <w:lang w:bidi="ar"/>
        </w:rPr>
        <w:t>818.77</w:t>
      </w:r>
      <w:r>
        <w:rPr>
          <w:rFonts w:ascii="Times New Roman" w:hAnsi="Times New Roman"/>
          <w:kern w:val="0"/>
          <w:szCs w:val="24"/>
        </w:rPr>
        <w:t>m</w:t>
      </w:r>
      <w:r>
        <w:rPr>
          <w:rFonts w:ascii="Times New Roman" w:hAnsi="Times New Roman"/>
          <w:kern w:val="0"/>
          <w:szCs w:val="24"/>
          <w:vertAlign w:val="superscript"/>
        </w:rPr>
        <w:t>3</w:t>
      </w:r>
      <w:r>
        <w:rPr>
          <w:rFonts w:ascii="Times New Roman" w:hAnsi="Times New Roman"/>
          <w:kern w:val="0"/>
          <w:szCs w:val="24"/>
        </w:rPr>
        <w:t>/d，生产用水20663.61m</w:t>
      </w:r>
      <w:r>
        <w:rPr>
          <w:rFonts w:ascii="Times New Roman" w:hAnsi="Times New Roman"/>
          <w:kern w:val="0"/>
          <w:szCs w:val="24"/>
          <w:vertAlign w:val="superscript"/>
        </w:rPr>
        <w:t>3</w:t>
      </w:r>
      <w:r>
        <w:rPr>
          <w:rFonts w:ascii="Times New Roman" w:hAnsi="Times New Roman"/>
          <w:kern w:val="0"/>
          <w:szCs w:val="24"/>
        </w:rPr>
        <w:t>/d。</w:t>
      </w:r>
      <w:r>
        <w:rPr>
          <w:rFonts w:ascii="Times New Roman" w:hAnsi="Times New Roman"/>
          <w:szCs w:val="24"/>
        </w:rPr>
        <w:t>详见表6.1-3。</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sectPr>
          <w:headerReference r:id="rId29" w:type="default"/>
          <w:pgSz w:w="11907" w:h="16840"/>
          <w:pgMar w:top="1701" w:right="1418" w:bottom="1418" w:left="1418" w:header="1134" w:footer="851" w:gutter="0"/>
          <w:cols w:space="720" w:num="1"/>
          <w:docGrid w:linePitch="312" w:charSpace="0"/>
        </w:sectPr>
      </w:pPr>
    </w:p>
    <w:p>
      <w:pPr>
        <w:adjustRightInd w:val="0"/>
        <w:snapToGrid w:val="0"/>
        <w:spacing w:line="440" w:lineRule="exact"/>
        <w:jc w:val="center"/>
        <w:rPr>
          <w:rFonts w:ascii="Times New Roman" w:hAnsi="Times New Roman"/>
          <w:b/>
        </w:rPr>
      </w:pPr>
      <w:r>
        <w:rPr>
          <w:rFonts w:ascii="Times New Roman" w:hAnsi="Times New Roman"/>
          <w:b/>
        </w:rPr>
        <w:t>矿区</w:t>
      </w:r>
      <w:r>
        <w:rPr>
          <w:rFonts w:ascii="Times New Roman" w:hAnsi="Times New Roman"/>
          <w:b/>
          <w:szCs w:val="24"/>
        </w:rPr>
        <w:t>规划</w:t>
      </w:r>
      <w:r>
        <w:rPr>
          <w:rFonts w:ascii="Times New Roman" w:hAnsi="Times New Roman"/>
          <w:b/>
        </w:rPr>
        <w:t>用水量表</w:t>
      </w:r>
    </w:p>
    <w:p>
      <w:pPr>
        <w:widowControl/>
        <w:tabs>
          <w:tab w:val="center" w:pos="4394"/>
        </w:tabs>
        <w:adjustRightInd w:val="0"/>
        <w:snapToGrid w:val="0"/>
        <w:spacing w:line="440" w:lineRule="atLeast"/>
        <w:outlineLvl w:val="4"/>
        <w:rPr>
          <w:rFonts w:ascii="Times New Roman" w:hAnsi="Times New Roman"/>
          <w:kern w:val="0"/>
        </w:rPr>
      </w:pPr>
      <w:r>
        <w:rPr>
          <w:rFonts w:ascii="Times New Roman" w:hAnsi="Times New Roman"/>
          <w:kern w:val="0"/>
        </w:rPr>
        <w:t>表6.1-3</w:t>
      </w:r>
    </w:p>
    <w:tbl>
      <w:tblPr>
        <w:tblStyle w:val="59"/>
        <w:tblW w:w="92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2"/>
        <w:gridCol w:w="1686"/>
        <w:gridCol w:w="1331"/>
        <w:gridCol w:w="1283"/>
        <w:gridCol w:w="1716"/>
        <w:gridCol w:w="1595"/>
        <w:gridCol w:w="10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序号</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名称</w:t>
            </w:r>
          </w:p>
        </w:tc>
        <w:tc>
          <w:tcPr>
            <w:tcW w:w="1283" w:type="dxa"/>
            <w:noWrap/>
            <w:vAlign w:val="center"/>
          </w:tcPr>
          <w:p>
            <w:pPr>
              <w:spacing w:line="60" w:lineRule="atLeast"/>
              <w:jc w:val="center"/>
              <w:rPr>
                <w:rFonts w:ascii="Times New Roman" w:hAnsi="Times New Roman"/>
                <w:kern w:val="0"/>
                <w:sz w:val="21"/>
              </w:rPr>
            </w:pPr>
            <w:r>
              <w:rPr>
                <w:rFonts w:ascii="Times New Roman" w:hAnsi="Times New Roman"/>
                <w:kern w:val="0"/>
                <w:sz w:val="21"/>
                <w:szCs w:val="21"/>
              </w:rPr>
              <w:t>规模(Mt/a）</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用水量指标</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用水量（m</w:t>
            </w:r>
            <w:r>
              <w:rPr>
                <w:rFonts w:ascii="Times New Roman" w:hAnsi="Times New Roman"/>
                <w:kern w:val="0"/>
                <w:sz w:val="21"/>
                <w:szCs w:val="21"/>
                <w:vertAlign w:val="superscript"/>
              </w:rPr>
              <w:t>3</w:t>
            </w:r>
            <w:r>
              <w:rPr>
                <w:rFonts w:ascii="Times New Roman" w:hAnsi="Times New Roman"/>
                <w:kern w:val="0"/>
                <w:sz w:val="21"/>
                <w:szCs w:val="21"/>
              </w:rPr>
              <w:t>/d）</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一</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主体工程</w:t>
            </w:r>
          </w:p>
        </w:tc>
        <w:tc>
          <w:tcPr>
            <w:tcW w:w="1283" w:type="dxa"/>
            <w:noWrap/>
            <w:vAlign w:val="center"/>
          </w:tcPr>
          <w:p>
            <w:pPr>
              <w:spacing w:line="60" w:lineRule="atLeast"/>
              <w:jc w:val="center"/>
              <w:rPr>
                <w:rFonts w:ascii="Times New Roman" w:hAnsi="Times New Roman"/>
                <w:kern w:val="0"/>
                <w:sz w:val="21"/>
              </w:rPr>
            </w:pP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jc w:val="center"/>
              <w:rPr>
                <w:rFonts w:ascii="Times New Roman" w:hAnsi="Times New Roman"/>
                <w:kern w:val="0"/>
                <w:sz w:val="21"/>
              </w:rPr>
            </w:pPr>
            <w:r>
              <w:rPr>
                <w:rFonts w:ascii="Times New Roman" w:hAnsi="Times New Roman"/>
                <w:bCs/>
                <w:kern w:val="0"/>
                <w:sz w:val="21"/>
                <w:szCs w:val="21"/>
              </w:rPr>
              <w:t>1</w:t>
            </w:r>
          </w:p>
        </w:tc>
        <w:tc>
          <w:tcPr>
            <w:tcW w:w="3017" w:type="dxa"/>
            <w:gridSpan w:val="2"/>
            <w:noWrap/>
            <w:vAlign w:val="center"/>
          </w:tcPr>
          <w:p>
            <w:pPr>
              <w:jc w:val="center"/>
              <w:rPr>
                <w:rFonts w:ascii="Times New Roman" w:hAnsi="Times New Roman"/>
                <w:kern w:val="0"/>
                <w:sz w:val="21"/>
              </w:rPr>
            </w:pPr>
            <w:r>
              <w:rPr>
                <w:rFonts w:ascii="Times New Roman" w:hAnsi="Times New Roman"/>
                <w:bCs/>
                <w:kern w:val="0"/>
                <w:sz w:val="21"/>
                <w:szCs w:val="21"/>
              </w:rPr>
              <w:t>奎腾沟矿井</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restart"/>
            <w:noWrap/>
            <w:vAlign w:val="center"/>
          </w:tcPr>
          <w:p>
            <w:pPr>
              <w:widowControl/>
              <w:spacing w:line="60" w:lineRule="atLeast"/>
              <w:jc w:val="center"/>
              <w:rPr>
                <w:rFonts w:ascii="Times New Roman" w:hAnsi="Times New Roman"/>
                <w:kern w:val="0"/>
                <w:sz w:val="21"/>
              </w:rPr>
            </w:pPr>
          </w:p>
        </w:tc>
        <w:tc>
          <w:tcPr>
            <w:tcW w:w="1686" w:type="dxa"/>
            <w:vMerge w:val="restart"/>
            <w:noWrap/>
            <w:vAlign w:val="center"/>
          </w:tcPr>
          <w:p>
            <w:pPr>
              <w:jc w:val="center"/>
              <w:rPr>
                <w:rFonts w:ascii="Times New Roman" w:hAnsi="Times New Roman"/>
                <w:bCs/>
                <w:kern w:val="0"/>
                <w:sz w:val="21"/>
              </w:rPr>
            </w:pPr>
            <w:r>
              <w:rPr>
                <w:rFonts w:ascii="Times New Roman" w:hAnsi="Times New Roman"/>
                <w:bCs/>
                <w:kern w:val="0"/>
                <w:sz w:val="21"/>
                <w:szCs w:val="21"/>
              </w:rPr>
              <w:t>奎腾沟矿井</w:t>
            </w:r>
          </w:p>
        </w:tc>
        <w:tc>
          <w:tcPr>
            <w:tcW w:w="1331" w:type="dxa"/>
            <w:vAlign w:val="center"/>
          </w:tcPr>
          <w:p>
            <w:pPr>
              <w:jc w:val="center"/>
              <w:rPr>
                <w:rFonts w:ascii="Times New Roman" w:hAnsi="Times New Roman"/>
                <w:bCs/>
                <w:kern w:val="0"/>
                <w:sz w:val="21"/>
              </w:rPr>
            </w:pPr>
            <w:r>
              <w:rPr>
                <w:rFonts w:ascii="Times New Roman" w:hAnsi="Times New Roman"/>
                <w:bCs/>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0.15 m</w:t>
            </w:r>
            <w:r>
              <w:rPr>
                <w:rFonts w:ascii="Times New Roman" w:hAnsi="Times New Roman"/>
                <w:kern w:val="0"/>
                <w:sz w:val="21"/>
                <w:szCs w:val="21"/>
                <w:vertAlign w:val="superscript"/>
              </w:rPr>
              <w:t>3</w:t>
            </w:r>
            <w:r>
              <w:rPr>
                <w:rFonts w:ascii="Times New Roman" w:hAnsi="Times New Roman"/>
                <w:kern w:val="0"/>
                <w:sz w:val="21"/>
                <w:szCs w:val="21"/>
              </w:rPr>
              <w:t>/t</w:t>
            </w:r>
          </w:p>
        </w:tc>
        <w:tc>
          <w:tcPr>
            <w:tcW w:w="1595" w:type="dxa"/>
            <w:noWrap/>
            <w:vAlign w:val="bottom"/>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3636.36</w:t>
            </w: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2" w:type="dxa"/>
            <w:vMerge w:val="continue"/>
            <w:noWrap/>
            <w:vAlign w:val="center"/>
          </w:tcPr>
          <w:p>
            <w:pPr>
              <w:widowControl/>
              <w:spacing w:line="60" w:lineRule="atLeast"/>
              <w:jc w:val="center"/>
              <w:rPr>
                <w:rFonts w:ascii="Times New Roman" w:hAnsi="Times New Roman"/>
                <w:kern w:val="0"/>
                <w:sz w:val="21"/>
              </w:rPr>
            </w:pPr>
          </w:p>
        </w:tc>
        <w:tc>
          <w:tcPr>
            <w:tcW w:w="1686" w:type="dxa"/>
            <w:vMerge w:val="continue"/>
            <w:noWrap/>
            <w:vAlign w:val="center"/>
          </w:tcPr>
          <w:p>
            <w:pPr>
              <w:jc w:val="center"/>
              <w:rPr>
                <w:rFonts w:ascii="Times New Roman" w:hAnsi="Times New Roman"/>
                <w:bCs/>
                <w:kern w:val="0"/>
                <w:sz w:val="21"/>
              </w:rPr>
            </w:pPr>
          </w:p>
        </w:tc>
        <w:tc>
          <w:tcPr>
            <w:tcW w:w="1331" w:type="dxa"/>
            <w:vAlign w:val="center"/>
          </w:tcPr>
          <w:p>
            <w:pPr>
              <w:jc w:val="center"/>
              <w:rPr>
                <w:rFonts w:ascii="Times New Roman" w:hAnsi="Times New Roman"/>
                <w:bCs/>
                <w:kern w:val="0"/>
                <w:sz w:val="21"/>
              </w:rPr>
            </w:pPr>
            <w:r>
              <w:rPr>
                <w:rFonts w:ascii="Times New Roman" w:hAnsi="Times New Roman"/>
                <w:bCs/>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150L/（人·d）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92.25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615人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restart"/>
            <w:noWrap/>
            <w:vAlign w:val="center"/>
          </w:tcPr>
          <w:p>
            <w:pPr>
              <w:jc w:val="center"/>
              <w:rPr>
                <w:rFonts w:ascii="Times New Roman" w:hAnsi="Times New Roman"/>
                <w:bCs/>
                <w:kern w:val="0"/>
                <w:sz w:val="21"/>
              </w:rPr>
            </w:pPr>
          </w:p>
        </w:tc>
        <w:tc>
          <w:tcPr>
            <w:tcW w:w="1686" w:type="dxa"/>
            <w:vMerge w:val="restart"/>
            <w:noWrap/>
            <w:vAlign w:val="center"/>
          </w:tcPr>
          <w:p>
            <w:pPr>
              <w:rPr>
                <w:rFonts w:ascii="Times New Roman" w:hAnsi="Times New Roman"/>
                <w:bCs/>
                <w:kern w:val="0"/>
                <w:sz w:val="21"/>
              </w:rPr>
            </w:pPr>
            <w:r>
              <w:rPr>
                <w:rFonts w:ascii="Times New Roman" w:hAnsi="Times New Roman"/>
                <w:bCs/>
                <w:kern w:val="0"/>
                <w:sz w:val="21"/>
                <w:szCs w:val="21"/>
              </w:rPr>
              <w:t>奎腾沟选煤厂</w:t>
            </w: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生产用水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0.06 m</w:t>
            </w:r>
            <w:r>
              <w:rPr>
                <w:rFonts w:ascii="Times New Roman" w:hAnsi="Times New Roman"/>
                <w:kern w:val="0"/>
                <w:sz w:val="21"/>
                <w:szCs w:val="21"/>
                <w:vertAlign w:val="superscript"/>
              </w:rPr>
              <w:t>3</w:t>
            </w:r>
            <w:r>
              <w:rPr>
                <w:rFonts w:ascii="Times New Roman" w:hAnsi="Times New Roman"/>
                <w:kern w:val="0"/>
                <w:sz w:val="21"/>
                <w:szCs w:val="21"/>
              </w:rPr>
              <w:t>/t</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1454.55</w:t>
            </w: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continue"/>
            <w:noWrap/>
            <w:vAlign w:val="center"/>
          </w:tcPr>
          <w:p>
            <w:pPr>
              <w:jc w:val="center"/>
              <w:rPr>
                <w:rFonts w:ascii="Times New Roman" w:hAnsi="Times New Roman"/>
                <w:bCs/>
                <w:kern w:val="0"/>
                <w:sz w:val="21"/>
              </w:rPr>
            </w:pPr>
          </w:p>
        </w:tc>
        <w:tc>
          <w:tcPr>
            <w:tcW w:w="1686" w:type="dxa"/>
            <w:vMerge w:val="continue"/>
            <w:noWrap/>
            <w:vAlign w:val="center"/>
          </w:tcPr>
          <w:p>
            <w:pPr>
              <w:jc w:val="center"/>
              <w:rPr>
                <w:rFonts w:ascii="Times New Roman" w:hAnsi="Times New Roman"/>
                <w:bCs/>
                <w:kern w:val="0"/>
                <w:sz w:val="21"/>
              </w:rPr>
            </w:pP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生活用水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150L/（人·d）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25.8</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172人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jc w:val="center"/>
              <w:rPr>
                <w:rFonts w:ascii="Times New Roman" w:hAnsi="Times New Roman"/>
                <w:kern w:val="0"/>
                <w:sz w:val="21"/>
              </w:rPr>
            </w:pPr>
            <w:r>
              <w:rPr>
                <w:rFonts w:ascii="Times New Roman" w:hAnsi="Times New Roman"/>
                <w:bCs/>
                <w:kern w:val="0"/>
                <w:sz w:val="21"/>
                <w:szCs w:val="21"/>
              </w:rPr>
              <w:t>2</w:t>
            </w:r>
          </w:p>
        </w:tc>
        <w:tc>
          <w:tcPr>
            <w:tcW w:w="3017" w:type="dxa"/>
            <w:gridSpan w:val="2"/>
            <w:noWrap/>
            <w:vAlign w:val="center"/>
          </w:tcPr>
          <w:p>
            <w:pPr>
              <w:jc w:val="center"/>
              <w:rPr>
                <w:rFonts w:ascii="Times New Roman" w:hAnsi="Times New Roman"/>
                <w:bCs/>
                <w:kern w:val="0"/>
                <w:sz w:val="21"/>
              </w:rPr>
            </w:pPr>
            <w:r>
              <w:rPr>
                <w:rFonts w:ascii="Times New Roman" w:hAnsi="Times New Roman"/>
                <w:bCs/>
                <w:kern w:val="0"/>
                <w:sz w:val="21"/>
                <w:szCs w:val="21"/>
              </w:rPr>
              <w:t>苏布尔嘎矿井</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restart"/>
            <w:noWrap/>
            <w:vAlign w:val="center"/>
          </w:tcPr>
          <w:p>
            <w:pPr>
              <w:jc w:val="center"/>
              <w:rPr>
                <w:rFonts w:ascii="Times New Roman" w:hAnsi="Times New Roman"/>
                <w:bCs/>
                <w:kern w:val="0"/>
                <w:sz w:val="21"/>
              </w:rPr>
            </w:pPr>
          </w:p>
        </w:tc>
        <w:tc>
          <w:tcPr>
            <w:tcW w:w="1686" w:type="dxa"/>
            <w:vMerge w:val="restart"/>
            <w:noWrap/>
            <w:vAlign w:val="center"/>
          </w:tcPr>
          <w:p>
            <w:pPr>
              <w:rPr>
                <w:rFonts w:ascii="Times New Roman" w:hAnsi="Times New Roman"/>
                <w:bCs/>
                <w:kern w:val="0"/>
                <w:sz w:val="21"/>
              </w:rPr>
            </w:pPr>
            <w:r>
              <w:rPr>
                <w:rFonts w:ascii="Times New Roman" w:hAnsi="Times New Roman"/>
                <w:bCs/>
                <w:kern w:val="0"/>
                <w:sz w:val="21"/>
                <w:szCs w:val="21"/>
              </w:rPr>
              <w:t>苏布尔嘎矿井</w:t>
            </w: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生产用水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0.15 m</w:t>
            </w:r>
            <w:r>
              <w:rPr>
                <w:rFonts w:ascii="Times New Roman" w:hAnsi="Times New Roman"/>
                <w:kern w:val="0"/>
                <w:sz w:val="21"/>
                <w:szCs w:val="21"/>
                <w:vertAlign w:val="superscript"/>
              </w:rPr>
              <w:t>3</w:t>
            </w:r>
            <w:r>
              <w:rPr>
                <w:rFonts w:ascii="Times New Roman" w:hAnsi="Times New Roman"/>
                <w:kern w:val="0"/>
                <w:sz w:val="21"/>
                <w:szCs w:val="21"/>
              </w:rPr>
              <w:t>/t</w:t>
            </w:r>
          </w:p>
        </w:tc>
        <w:tc>
          <w:tcPr>
            <w:tcW w:w="1595"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3636.36</w:t>
            </w: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continue"/>
            <w:noWrap/>
            <w:vAlign w:val="center"/>
          </w:tcPr>
          <w:p>
            <w:pPr>
              <w:jc w:val="center"/>
              <w:rPr>
                <w:rFonts w:ascii="Times New Roman" w:hAnsi="Times New Roman"/>
                <w:bCs/>
                <w:kern w:val="0"/>
                <w:sz w:val="21"/>
              </w:rPr>
            </w:pPr>
          </w:p>
        </w:tc>
        <w:tc>
          <w:tcPr>
            <w:tcW w:w="1686" w:type="dxa"/>
            <w:vMerge w:val="continue"/>
            <w:noWrap/>
            <w:vAlign w:val="center"/>
          </w:tcPr>
          <w:p>
            <w:pPr>
              <w:jc w:val="center"/>
              <w:rPr>
                <w:rFonts w:ascii="Times New Roman" w:hAnsi="Times New Roman"/>
                <w:bCs/>
                <w:kern w:val="0"/>
                <w:sz w:val="21"/>
              </w:rPr>
            </w:pP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生活用水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150L/（人·d）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92.25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615人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632" w:type="dxa"/>
            <w:vMerge w:val="restart"/>
            <w:noWrap/>
            <w:vAlign w:val="center"/>
          </w:tcPr>
          <w:p>
            <w:pPr>
              <w:jc w:val="center"/>
              <w:rPr>
                <w:rFonts w:ascii="Times New Roman" w:hAnsi="Times New Roman"/>
                <w:bCs/>
                <w:kern w:val="0"/>
                <w:sz w:val="21"/>
              </w:rPr>
            </w:pPr>
          </w:p>
        </w:tc>
        <w:tc>
          <w:tcPr>
            <w:tcW w:w="1686" w:type="dxa"/>
            <w:vMerge w:val="restart"/>
            <w:noWrap/>
            <w:vAlign w:val="center"/>
          </w:tcPr>
          <w:p>
            <w:pPr>
              <w:rPr>
                <w:rFonts w:ascii="Times New Roman" w:hAnsi="Times New Roman"/>
                <w:bCs/>
                <w:kern w:val="0"/>
                <w:sz w:val="21"/>
              </w:rPr>
            </w:pPr>
            <w:r>
              <w:rPr>
                <w:rFonts w:ascii="Times New Roman" w:hAnsi="Times New Roman"/>
                <w:bCs/>
                <w:kern w:val="0"/>
                <w:sz w:val="21"/>
                <w:szCs w:val="21"/>
              </w:rPr>
              <w:t>苏布尔嘎选煤厂</w:t>
            </w: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生产用水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0.06 m</w:t>
            </w:r>
            <w:r>
              <w:rPr>
                <w:rFonts w:ascii="Times New Roman" w:hAnsi="Times New Roman"/>
                <w:kern w:val="0"/>
                <w:sz w:val="21"/>
                <w:szCs w:val="21"/>
                <w:vertAlign w:val="superscript"/>
              </w:rPr>
              <w:t>3</w:t>
            </w:r>
            <w:r>
              <w:rPr>
                <w:rFonts w:ascii="Times New Roman" w:hAnsi="Times New Roman"/>
                <w:kern w:val="0"/>
                <w:sz w:val="21"/>
                <w:szCs w:val="21"/>
              </w:rPr>
              <w:t>/t</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1454.55</w:t>
            </w: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continue"/>
            <w:noWrap/>
            <w:vAlign w:val="center"/>
          </w:tcPr>
          <w:p>
            <w:pPr>
              <w:jc w:val="center"/>
              <w:rPr>
                <w:rFonts w:ascii="Times New Roman" w:hAnsi="Times New Roman"/>
                <w:bCs/>
                <w:kern w:val="0"/>
                <w:sz w:val="21"/>
              </w:rPr>
            </w:pPr>
          </w:p>
        </w:tc>
        <w:tc>
          <w:tcPr>
            <w:tcW w:w="1686" w:type="dxa"/>
            <w:vMerge w:val="continue"/>
            <w:noWrap/>
            <w:vAlign w:val="center"/>
          </w:tcPr>
          <w:p>
            <w:pPr>
              <w:jc w:val="center"/>
              <w:rPr>
                <w:rFonts w:ascii="Times New Roman" w:hAnsi="Times New Roman"/>
                <w:bCs/>
                <w:kern w:val="0"/>
                <w:sz w:val="21"/>
              </w:rPr>
            </w:pP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生活用水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150L/（人·d）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25.8</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172人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jc w:val="center"/>
              <w:rPr>
                <w:rFonts w:ascii="Times New Roman" w:hAnsi="Times New Roman"/>
                <w:kern w:val="0"/>
                <w:sz w:val="21"/>
              </w:rPr>
            </w:pPr>
            <w:r>
              <w:rPr>
                <w:rFonts w:ascii="Times New Roman" w:hAnsi="Times New Roman"/>
                <w:bCs/>
                <w:kern w:val="0"/>
                <w:sz w:val="21"/>
                <w:szCs w:val="21"/>
              </w:rPr>
              <w:t>3</w:t>
            </w:r>
          </w:p>
        </w:tc>
        <w:tc>
          <w:tcPr>
            <w:tcW w:w="3017" w:type="dxa"/>
            <w:gridSpan w:val="2"/>
            <w:noWrap/>
            <w:vAlign w:val="center"/>
          </w:tcPr>
          <w:p>
            <w:pPr>
              <w:jc w:val="center"/>
              <w:rPr>
                <w:rFonts w:ascii="Times New Roman" w:hAnsi="Times New Roman"/>
                <w:bCs/>
                <w:kern w:val="0"/>
                <w:sz w:val="21"/>
              </w:rPr>
            </w:pPr>
            <w:r>
              <w:rPr>
                <w:rFonts w:ascii="Times New Roman" w:hAnsi="Times New Roman"/>
                <w:bCs/>
                <w:kern w:val="0"/>
                <w:sz w:val="21"/>
                <w:szCs w:val="21"/>
              </w:rPr>
              <w:t>壕赖苏矿井</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restart"/>
            <w:noWrap/>
            <w:vAlign w:val="center"/>
          </w:tcPr>
          <w:p>
            <w:pPr>
              <w:jc w:val="center"/>
              <w:rPr>
                <w:rFonts w:ascii="Times New Roman" w:hAnsi="Times New Roman"/>
                <w:bCs/>
                <w:kern w:val="0"/>
                <w:sz w:val="21"/>
              </w:rPr>
            </w:pPr>
          </w:p>
        </w:tc>
        <w:tc>
          <w:tcPr>
            <w:tcW w:w="1686" w:type="dxa"/>
            <w:vMerge w:val="restart"/>
            <w:noWrap/>
            <w:vAlign w:val="center"/>
          </w:tcPr>
          <w:p>
            <w:pPr>
              <w:jc w:val="center"/>
              <w:rPr>
                <w:rFonts w:ascii="Times New Roman" w:hAnsi="Times New Roman"/>
                <w:bCs/>
                <w:kern w:val="0"/>
                <w:sz w:val="21"/>
              </w:rPr>
            </w:pPr>
            <w:r>
              <w:rPr>
                <w:rFonts w:ascii="Times New Roman" w:hAnsi="Times New Roman"/>
                <w:bCs/>
                <w:kern w:val="0"/>
                <w:sz w:val="21"/>
                <w:szCs w:val="21"/>
              </w:rPr>
              <w:t>壕赖苏矿井</w:t>
            </w: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生产用水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0.15 m</w:t>
            </w:r>
            <w:r>
              <w:rPr>
                <w:rFonts w:ascii="Times New Roman" w:hAnsi="Times New Roman"/>
                <w:kern w:val="0"/>
                <w:sz w:val="21"/>
                <w:szCs w:val="21"/>
                <w:vertAlign w:val="superscript"/>
              </w:rPr>
              <w:t>3</w:t>
            </w:r>
            <w:r>
              <w:rPr>
                <w:rFonts w:ascii="Times New Roman" w:hAnsi="Times New Roman"/>
                <w:kern w:val="0"/>
                <w:sz w:val="21"/>
                <w:szCs w:val="21"/>
              </w:rPr>
              <w:t>/t</w:t>
            </w:r>
          </w:p>
        </w:tc>
        <w:tc>
          <w:tcPr>
            <w:tcW w:w="1595"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3636.36</w:t>
            </w: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continue"/>
            <w:noWrap/>
            <w:vAlign w:val="center"/>
          </w:tcPr>
          <w:p>
            <w:pPr>
              <w:jc w:val="center"/>
              <w:rPr>
                <w:rFonts w:ascii="Times New Roman" w:hAnsi="Times New Roman"/>
                <w:bCs/>
                <w:kern w:val="0"/>
                <w:sz w:val="21"/>
              </w:rPr>
            </w:pPr>
          </w:p>
        </w:tc>
        <w:tc>
          <w:tcPr>
            <w:tcW w:w="1686" w:type="dxa"/>
            <w:vMerge w:val="continue"/>
            <w:noWrap/>
            <w:vAlign w:val="center"/>
          </w:tcPr>
          <w:p>
            <w:pPr>
              <w:jc w:val="center"/>
              <w:rPr>
                <w:rFonts w:ascii="Times New Roman" w:hAnsi="Times New Roman"/>
                <w:bCs/>
                <w:kern w:val="0"/>
                <w:sz w:val="21"/>
              </w:rPr>
            </w:pP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生活用水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150L/（人·d）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92.25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615人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restart"/>
            <w:noWrap/>
            <w:vAlign w:val="center"/>
          </w:tcPr>
          <w:p>
            <w:pPr>
              <w:jc w:val="center"/>
              <w:rPr>
                <w:rFonts w:ascii="Times New Roman" w:hAnsi="Times New Roman"/>
                <w:bCs/>
                <w:kern w:val="0"/>
                <w:sz w:val="21"/>
              </w:rPr>
            </w:pPr>
          </w:p>
        </w:tc>
        <w:tc>
          <w:tcPr>
            <w:tcW w:w="1686" w:type="dxa"/>
            <w:vMerge w:val="restart"/>
            <w:noWrap/>
            <w:vAlign w:val="center"/>
          </w:tcPr>
          <w:p>
            <w:pPr>
              <w:jc w:val="center"/>
              <w:rPr>
                <w:rFonts w:ascii="Times New Roman" w:hAnsi="Times New Roman"/>
                <w:bCs/>
                <w:kern w:val="0"/>
                <w:sz w:val="21"/>
              </w:rPr>
            </w:pPr>
            <w:r>
              <w:rPr>
                <w:rFonts w:ascii="Times New Roman" w:hAnsi="Times New Roman"/>
                <w:bCs/>
                <w:kern w:val="0"/>
                <w:sz w:val="21"/>
                <w:szCs w:val="21"/>
              </w:rPr>
              <w:t>壕赖苏选煤厂</w:t>
            </w: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生产用水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0.06 m</w:t>
            </w:r>
            <w:r>
              <w:rPr>
                <w:rFonts w:ascii="Times New Roman" w:hAnsi="Times New Roman"/>
                <w:kern w:val="0"/>
                <w:sz w:val="21"/>
                <w:szCs w:val="21"/>
                <w:vertAlign w:val="superscript"/>
              </w:rPr>
              <w:t>3</w:t>
            </w:r>
            <w:r>
              <w:rPr>
                <w:rFonts w:ascii="Times New Roman" w:hAnsi="Times New Roman"/>
                <w:kern w:val="0"/>
                <w:sz w:val="21"/>
                <w:szCs w:val="21"/>
              </w:rPr>
              <w:t>/t</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1454.55</w:t>
            </w: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continue"/>
            <w:noWrap/>
            <w:vAlign w:val="center"/>
          </w:tcPr>
          <w:p>
            <w:pPr>
              <w:jc w:val="center"/>
              <w:rPr>
                <w:rFonts w:ascii="Times New Roman" w:hAnsi="Times New Roman"/>
                <w:bCs/>
                <w:kern w:val="0"/>
                <w:sz w:val="21"/>
              </w:rPr>
            </w:pPr>
          </w:p>
        </w:tc>
        <w:tc>
          <w:tcPr>
            <w:tcW w:w="1686" w:type="dxa"/>
            <w:vMerge w:val="continue"/>
            <w:noWrap/>
            <w:vAlign w:val="center"/>
          </w:tcPr>
          <w:p>
            <w:pPr>
              <w:jc w:val="center"/>
              <w:rPr>
                <w:rFonts w:ascii="Times New Roman" w:hAnsi="Times New Roman"/>
                <w:bCs/>
                <w:kern w:val="0"/>
                <w:sz w:val="21"/>
              </w:rPr>
            </w:pP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生活用水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150L/（人·d）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25.8</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172人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jc w:val="center"/>
              <w:rPr>
                <w:rFonts w:ascii="Times New Roman" w:hAnsi="Times New Roman"/>
                <w:kern w:val="0"/>
                <w:sz w:val="21"/>
              </w:rPr>
            </w:pPr>
            <w:r>
              <w:rPr>
                <w:rFonts w:ascii="Times New Roman" w:hAnsi="Times New Roman"/>
                <w:bCs/>
                <w:kern w:val="0"/>
                <w:sz w:val="21"/>
                <w:szCs w:val="21"/>
              </w:rPr>
              <w:t>4</w:t>
            </w:r>
          </w:p>
        </w:tc>
        <w:tc>
          <w:tcPr>
            <w:tcW w:w="3017" w:type="dxa"/>
            <w:gridSpan w:val="2"/>
            <w:noWrap/>
            <w:vAlign w:val="center"/>
          </w:tcPr>
          <w:p>
            <w:pPr>
              <w:jc w:val="center"/>
              <w:rPr>
                <w:rFonts w:ascii="Times New Roman" w:hAnsi="Times New Roman"/>
                <w:bCs/>
                <w:kern w:val="0"/>
                <w:sz w:val="21"/>
              </w:rPr>
            </w:pPr>
            <w:r>
              <w:rPr>
                <w:rFonts w:ascii="Times New Roman" w:hAnsi="Times New Roman"/>
                <w:bCs/>
                <w:kern w:val="0"/>
                <w:sz w:val="21"/>
                <w:szCs w:val="21"/>
              </w:rPr>
              <w:t>纳林希里矿井</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restart"/>
            <w:noWrap/>
            <w:vAlign w:val="center"/>
          </w:tcPr>
          <w:p>
            <w:pPr>
              <w:jc w:val="center"/>
              <w:rPr>
                <w:rFonts w:ascii="Times New Roman" w:hAnsi="Times New Roman"/>
                <w:bCs/>
                <w:kern w:val="0"/>
                <w:sz w:val="21"/>
              </w:rPr>
            </w:pPr>
          </w:p>
        </w:tc>
        <w:tc>
          <w:tcPr>
            <w:tcW w:w="1686" w:type="dxa"/>
            <w:vMerge w:val="restart"/>
            <w:noWrap/>
            <w:vAlign w:val="center"/>
          </w:tcPr>
          <w:p>
            <w:pPr>
              <w:jc w:val="center"/>
              <w:rPr>
                <w:rFonts w:ascii="Times New Roman" w:hAnsi="Times New Roman"/>
                <w:bCs/>
                <w:kern w:val="0"/>
                <w:sz w:val="21"/>
              </w:rPr>
            </w:pPr>
            <w:r>
              <w:rPr>
                <w:rFonts w:ascii="Times New Roman" w:hAnsi="Times New Roman"/>
                <w:bCs/>
                <w:kern w:val="0"/>
                <w:sz w:val="21"/>
                <w:szCs w:val="21"/>
              </w:rPr>
              <w:t>纳林希里矿井</w:t>
            </w: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生产用水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0.15 m</w:t>
            </w:r>
            <w:r>
              <w:rPr>
                <w:rFonts w:ascii="Times New Roman" w:hAnsi="Times New Roman"/>
                <w:kern w:val="0"/>
                <w:sz w:val="21"/>
                <w:szCs w:val="21"/>
                <w:vertAlign w:val="superscript"/>
              </w:rPr>
              <w:t>3</w:t>
            </w:r>
            <w:r>
              <w:rPr>
                <w:rFonts w:ascii="Times New Roman" w:hAnsi="Times New Roman"/>
                <w:kern w:val="0"/>
                <w:sz w:val="21"/>
                <w:szCs w:val="21"/>
              </w:rPr>
              <w:t>/t</w:t>
            </w:r>
          </w:p>
        </w:tc>
        <w:tc>
          <w:tcPr>
            <w:tcW w:w="1595"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3636.36</w:t>
            </w:r>
          </w:p>
        </w:tc>
        <w:tc>
          <w:tcPr>
            <w:tcW w:w="1042" w:type="dxa"/>
            <w:noWrap/>
            <w:vAlign w:val="center"/>
          </w:tcPr>
          <w:p>
            <w:pPr>
              <w:widowControl/>
              <w:spacing w:line="60" w:lineRule="atLeas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continue"/>
            <w:noWrap/>
            <w:vAlign w:val="center"/>
          </w:tcPr>
          <w:p>
            <w:pPr>
              <w:jc w:val="center"/>
              <w:rPr>
                <w:rFonts w:ascii="Times New Roman" w:hAnsi="Times New Roman"/>
                <w:bCs/>
                <w:kern w:val="0"/>
                <w:sz w:val="21"/>
              </w:rPr>
            </w:pPr>
          </w:p>
        </w:tc>
        <w:tc>
          <w:tcPr>
            <w:tcW w:w="1686" w:type="dxa"/>
            <w:vMerge w:val="continue"/>
            <w:noWrap/>
            <w:vAlign w:val="center"/>
          </w:tcPr>
          <w:p>
            <w:pPr>
              <w:jc w:val="center"/>
              <w:rPr>
                <w:rFonts w:ascii="Times New Roman" w:hAnsi="Times New Roman"/>
                <w:bCs/>
                <w:kern w:val="0"/>
                <w:sz w:val="21"/>
              </w:rPr>
            </w:pP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生活用水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150L/（人·d）</w:t>
            </w:r>
          </w:p>
        </w:tc>
        <w:tc>
          <w:tcPr>
            <w:tcW w:w="1595"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92.25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615人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restart"/>
            <w:noWrap/>
            <w:vAlign w:val="center"/>
          </w:tcPr>
          <w:p>
            <w:pPr>
              <w:jc w:val="center"/>
              <w:rPr>
                <w:rFonts w:ascii="Times New Roman" w:hAnsi="Times New Roman"/>
                <w:bCs/>
                <w:kern w:val="0"/>
                <w:sz w:val="21"/>
              </w:rPr>
            </w:pPr>
          </w:p>
        </w:tc>
        <w:tc>
          <w:tcPr>
            <w:tcW w:w="1686" w:type="dxa"/>
            <w:vMerge w:val="restart"/>
            <w:noWrap/>
            <w:vAlign w:val="center"/>
          </w:tcPr>
          <w:p>
            <w:pPr>
              <w:jc w:val="center"/>
              <w:rPr>
                <w:rFonts w:ascii="Times New Roman" w:hAnsi="Times New Roman"/>
                <w:bCs/>
                <w:kern w:val="0"/>
                <w:sz w:val="21"/>
              </w:rPr>
            </w:pPr>
            <w:r>
              <w:rPr>
                <w:rFonts w:ascii="Times New Roman" w:hAnsi="Times New Roman"/>
                <w:bCs/>
                <w:kern w:val="0"/>
                <w:sz w:val="21"/>
                <w:szCs w:val="21"/>
              </w:rPr>
              <w:t>纳林希里选煤厂</w:t>
            </w: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生产用水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8.00</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0.06 m</w:t>
            </w:r>
            <w:r>
              <w:rPr>
                <w:rFonts w:ascii="Times New Roman" w:hAnsi="Times New Roman"/>
                <w:kern w:val="0"/>
                <w:sz w:val="21"/>
                <w:szCs w:val="21"/>
                <w:vertAlign w:val="superscript"/>
              </w:rPr>
              <w:t>3</w:t>
            </w:r>
            <w:r>
              <w:rPr>
                <w:rFonts w:ascii="Times New Roman" w:hAnsi="Times New Roman"/>
                <w:kern w:val="0"/>
                <w:sz w:val="21"/>
                <w:szCs w:val="21"/>
              </w:rPr>
              <w:t>/t</w:t>
            </w:r>
          </w:p>
        </w:tc>
        <w:tc>
          <w:tcPr>
            <w:tcW w:w="1595"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1454.55</w:t>
            </w: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vMerge w:val="continue"/>
            <w:noWrap/>
            <w:vAlign w:val="center"/>
          </w:tcPr>
          <w:p>
            <w:pPr>
              <w:jc w:val="center"/>
              <w:rPr>
                <w:rFonts w:ascii="Times New Roman" w:hAnsi="Times New Roman"/>
                <w:bCs/>
                <w:kern w:val="0"/>
                <w:sz w:val="21"/>
              </w:rPr>
            </w:pPr>
          </w:p>
        </w:tc>
        <w:tc>
          <w:tcPr>
            <w:tcW w:w="1686" w:type="dxa"/>
            <w:vMerge w:val="continue"/>
            <w:noWrap/>
            <w:vAlign w:val="center"/>
          </w:tcPr>
          <w:p>
            <w:pPr>
              <w:jc w:val="center"/>
              <w:rPr>
                <w:rFonts w:ascii="Times New Roman" w:hAnsi="Times New Roman"/>
                <w:bCs/>
                <w:kern w:val="0"/>
                <w:sz w:val="21"/>
              </w:rPr>
            </w:pPr>
          </w:p>
        </w:tc>
        <w:tc>
          <w:tcPr>
            <w:tcW w:w="1331" w:type="dxa"/>
            <w:noWrap/>
            <w:vAlign w:val="center"/>
          </w:tcPr>
          <w:p>
            <w:pPr>
              <w:jc w:val="center"/>
              <w:rPr>
                <w:rFonts w:ascii="Times New Roman" w:hAnsi="Times New Roman"/>
                <w:bCs/>
                <w:kern w:val="0"/>
                <w:sz w:val="21"/>
              </w:rPr>
            </w:pPr>
            <w:r>
              <w:rPr>
                <w:rFonts w:ascii="Times New Roman" w:hAnsi="Times New Roman"/>
                <w:bCs/>
                <w:kern w:val="0"/>
                <w:sz w:val="21"/>
                <w:szCs w:val="21"/>
              </w:rPr>
              <w:t>生活用水</w:t>
            </w:r>
          </w:p>
        </w:tc>
        <w:tc>
          <w:tcPr>
            <w:tcW w:w="1283" w:type="dxa"/>
            <w:noWrap/>
            <w:vAlign w:val="center"/>
          </w:tcPr>
          <w:p>
            <w:pPr>
              <w:widowControl/>
              <w:adjustRightInd w:val="0"/>
              <w:snapToGrid w:val="0"/>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150L/（人·d）</w:t>
            </w:r>
          </w:p>
        </w:tc>
        <w:tc>
          <w:tcPr>
            <w:tcW w:w="1595"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25.8</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172人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二</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配套设施</w:t>
            </w:r>
          </w:p>
        </w:tc>
        <w:tc>
          <w:tcPr>
            <w:tcW w:w="1283" w:type="dxa"/>
            <w:noWrap/>
            <w:vAlign w:val="center"/>
          </w:tcPr>
          <w:p>
            <w:pPr>
              <w:widowControl/>
              <w:spacing w:line="60" w:lineRule="atLeast"/>
              <w:jc w:val="center"/>
              <w:rPr>
                <w:rFonts w:ascii="Times New Roman" w:hAnsi="Times New Roman"/>
                <w:kern w:val="0"/>
                <w:sz w:val="21"/>
              </w:rPr>
            </w:pP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矿山救护队</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95L/（人·班）</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18.53</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65人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0.3m</w:t>
            </w:r>
            <w:r>
              <w:rPr>
                <w:rFonts w:ascii="Times New Roman" w:hAnsi="Times New Roman"/>
                <w:kern w:val="0"/>
                <w:sz w:val="21"/>
                <w:szCs w:val="21"/>
                <w:vertAlign w:val="superscript"/>
              </w:rPr>
              <w:t>3</w:t>
            </w:r>
            <w:r>
              <w:rPr>
                <w:rFonts w:ascii="Times New Roman" w:hAnsi="Times New Roman"/>
                <w:kern w:val="0"/>
                <w:sz w:val="21"/>
                <w:szCs w:val="21"/>
              </w:rPr>
              <w:t>/100m</w:t>
            </w:r>
            <w:r>
              <w:rPr>
                <w:rFonts w:ascii="Times New Roman" w:hAnsi="Times New Roman"/>
                <w:kern w:val="0"/>
                <w:sz w:val="21"/>
                <w:szCs w:val="21"/>
                <w:vertAlign w:val="superscript"/>
              </w:rPr>
              <w:t>2</w:t>
            </w:r>
            <w:r>
              <w:rPr>
                <w:rFonts w:ascii="Times New Roman" w:hAnsi="Times New Roman"/>
                <w:kern w:val="0"/>
                <w:sz w:val="21"/>
                <w:szCs w:val="21"/>
              </w:rPr>
              <w:t>·d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7.8</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0"/>
              </w:rPr>
              <w:t>2600</w:t>
            </w:r>
            <w:r>
              <w:rPr>
                <w:rFonts w:ascii="Times New Roman" w:hAnsi="Times New Roman"/>
                <w:kern w:val="0"/>
                <w:sz w:val="21"/>
                <w:szCs w:val="21"/>
              </w:rPr>
              <w:t>m</w:t>
            </w:r>
            <w:r>
              <w:rPr>
                <w:rFonts w:ascii="Times New Roman" w:hAnsi="Times New Roman"/>
                <w:kern w:val="0"/>
                <w:sz w:val="21"/>
                <w:szCs w:val="2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2</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矿区消防站</w:t>
            </w:r>
          </w:p>
        </w:tc>
        <w:tc>
          <w:tcPr>
            <w:tcW w:w="1283" w:type="dxa"/>
            <w:noWrap/>
            <w:vAlign w:val="center"/>
          </w:tcPr>
          <w:p>
            <w:pPr>
              <w:widowControl/>
              <w:spacing w:line="60" w:lineRule="atLeast"/>
              <w:jc w:val="center"/>
              <w:rPr>
                <w:rFonts w:ascii="Times New Roman" w:hAnsi="Times New Roman"/>
                <w:kern w:val="0"/>
                <w:sz w:val="21"/>
              </w:rPr>
            </w:pP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95L/（人·班）</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8.55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30人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0.3m</w:t>
            </w:r>
            <w:r>
              <w:rPr>
                <w:rFonts w:ascii="Times New Roman" w:hAnsi="Times New Roman"/>
                <w:kern w:val="0"/>
                <w:sz w:val="21"/>
                <w:szCs w:val="21"/>
                <w:vertAlign w:val="superscript"/>
              </w:rPr>
              <w:t>3</w:t>
            </w:r>
            <w:r>
              <w:rPr>
                <w:rFonts w:ascii="Times New Roman" w:hAnsi="Times New Roman"/>
                <w:kern w:val="0"/>
                <w:sz w:val="21"/>
                <w:szCs w:val="21"/>
              </w:rPr>
              <w:t>/100m</w:t>
            </w:r>
            <w:r>
              <w:rPr>
                <w:rFonts w:ascii="Times New Roman" w:hAnsi="Times New Roman"/>
                <w:kern w:val="0"/>
                <w:sz w:val="21"/>
                <w:szCs w:val="21"/>
                <w:vertAlign w:val="superscript"/>
              </w:rPr>
              <w:t>2</w:t>
            </w:r>
            <w:r>
              <w:rPr>
                <w:rFonts w:ascii="Times New Roman" w:hAnsi="Times New Roman"/>
                <w:kern w:val="0"/>
                <w:sz w:val="21"/>
                <w:szCs w:val="21"/>
              </w:rPr>
              <w:t>·d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3.6</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0"/>
              </w:rPr>
              <w:t>1200</w:t>
            </w:r>
            <w:r>
              <w:rPr>
                <w:rFonts w:ascii="Times New Roman" w:hAnsi="Times New Roman"/>
                <w:kern w:val="0"/>
                <w:sz w:val="21"/>
                <w:szCs w:val="21"/>
              </w:rPr>
              <w:t>m</w:t>
            </w:r>
            <w:r>
              <w:rPr>
                <w:rFonts w:ascii="Times New Roman" w:hAnsi="Times New Roman"/>
                <w:kern w:val="0"/>
                <w:sz w:val="21"/>
                <w:szCs w:val="2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3</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矿区机电设备修理厂</w:t>
            </w:r>
          </w:p>
        </w:tc>
        <w:tc>
          <w:tcPr>
            <w:tcW w:w="1283" w:type="dxa"/>
            <w:noWrap/>
            <w:vAlign w:val="center"/>
          </w:tcPr>
          <w:p>
            <w:pPr>
              <w:widowControl/>
              <w:spacing w:line="60" w:lineRule="atLeast"/>
              <w:jc w:val="center"/>
              <w:rPr>
                <w:rFonts w:ascii="Times New Roman" w:hAnsi="Times New Roman"/>
                <w:kern w:val="0"/>
                <w:sz w:val="21"/>
              </w:rPr>
            </w:pP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95L/（人·班）</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185.25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650人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0.3m</w:t>
            </w:r>
            <w:r>
              <w:rPr>
                <w:rFonts w:ascii="Times New Roman" w:hAnsi="Times New Roman"/>
                <w:kern w:val="0"/>
                <w:sz w:val="21"/>
                <w:szCs w:val="21"/>
                <w:vertAlign w:val="superscript"/>
              </w:rPr>
              <w:t>3</w:t>
            </w:r>
            <w:r>
              <w:rPr>
                <w:rFonts w:ascii="Times New Roman" w:hAnsi="Times New Roman"/>
                <w:kern w:val="0"/>
                <w:sz w:val="21"/>
                <w:szCs w:val="21"/>
              </w:rPr>
              <w:t>/100m</w:t>
            </w:r>
            <w:r>
              <w:rPr>
                <w:rFonts w:ascii="Times New Roman" w:hAnsi="Times New Roman"/>
                <w:kern w:val="0"/>
                <w:sz w:val="21"/>
                <w:szCs w:val="21"/>
                <w:vertAlign w:val="superscript"/>
              </w:rPr>
              <w:t>2</w:t>
            </w:r>
            <w:r>
              <w:rPr>
                <w:rFonts w:ascii="Times New Roman" w:hAnsi="Times New Roman"/>
                <w:kern w:val="0"/>
                <w:sz w:val="21"/>
                <w:szCs w:val="21"/>
              </w:rPr>
              <w:t>·d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12.15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0"/>
              </w:rPr>
              <w:t>40500</w:t>
            </w:r>
            <w:r>
              <w:rPr>
                <w:rFonts w:ascii="Times New Roman" w:hAnsi="Times New Roman"/>
                <w:kern w:val="0"/>
                <w:sz w:val="21"/>
                <w:szCs w:val="21"/>
              </w:rPr>
              <w:t>m</w:t>
            </w:r>
            <w:r>
              <w:rPr>
                <w:rFonts w:ascii="Times New Roman" w:hAnsi="Times New Roman"/>
                <w:kern w:val="0"/>
                <w:sz w:val="21"/>
                <w:szCs w:val="2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4</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矿区机电设备租赁站</w:t>
            </w:r>
          </w:p>
        </w:tc>
        <w:tc>
          <w:tcPr>
            <w:tcW w:w="1283" w:type="dxa"/>
            <w:noWrap/>
            <w:vAlign w:val="center"/>
          </w:tcPr>
          <w:p>
            <w:pPr>
              <w:widowControl/>
              <w:spacing w:line="60" w:lineRule="atLeast"/>
              <w:jc w:val="center"/>
              <w:rPr>
                <w:rFonts w:ascii="Times New Roman" w:hAnsi="Times New Roman"/>
                <w:kern w:val="0"/>
                <w:sz w:val="21"/>
              </w:rPr>
            </w:pP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95L/（人·班）</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18.53</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65人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0.3m</w:t>
            </w:r>
            <w:r>
              <w:rPr>
                <w:rFonts w:ascii="Times New Roman" w:hAnsi="Times New Roman"/>
                <w:kern w:val="0"/>
                <w:sz w:val="21"/>
                <w:szCs w:val="21"/>
                <w:vertAlign w:val="superscript"/>
              </w:rPr>
              <w:t>3</w:t>
            </w:r>
            <w:r>
              <w:rPr>
                <w:rFonts w:ascii="Times New Roman" w:hAnsi="Times New Roman"/>
                <w:kern w:val="0"/>
                <w:sz w:val="21"/>
                <w:szCs w:val="21"/>
              </w:rPr>
              <w:t>/100m</w:t>
            </w:r>
            <w:r>
              <w:rPr>
                <w:rFonts w:ascii="Times New Roman" w:hAnsi="Times New Roman"/>
                <w:kern w:val="0"/>
                <w:sz w:val="21"/>
                <w:szCs w:val="21"/>
                <w:vertAlign w:val="superscript"/>
              </w:rPr>
              <w:t>2</w:t>
            </w:r>
            <w:r>
              <w:rPr>
                <w:rFonts w:ascii="Times New Roman" w:hAnsi="Times New Roman"/>
                <w:kern w:val="0"/>
                <w:sz w:val="21"/>
                <w:szCs w:val="21"/>
              </w:rPr>
              <w:t>·d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48.6</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0"/>
              </w:rPr>
              <w:t>16200</w:t>
            </w:r>
            <w:r>
              <w:rPr>
                <w:rFonts w:ascii="Times New Roman" w:hAnsi="Times New Roman"/>
                <w:kern w:val="0"/>
                <w:sz w:val="21"/>
                <w:szCs w:val="21"/>
              </w:rPr>
              <w:t>m</w:t>
            </w:r>
            <w:r>
              <w:rPr>
                <w:rFonts w:ascii="Times New Roman" w:hAnsi="Times New Roman"/>
                <w:kern w:val="0"/>
                <w:sz w:val="21"/>
                <w:szCs w:val="2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5</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中心试验站</w:t>
            </w:r>
          </w:p>
        </w:tc>
        <w:tc>
          <w:tcPr>
            <w:tcW w:w="1283" w:type="dxa"/>
            <w:noWrap/>
            <w:vAlign w:val="center"/>
          </w:tcPr>
          <w:p>
            <w:pPr>
              <w:widowControl/>
              <w:spacing w:line="60" w:lineRule="atLeast"/>
              <w:jc w:val="center"/>
              <w:rPr>
                <w:rFonts w:ascii="Times New Roman" w:hAnsi="Times New Roman"/>
                <w:kern w:val="0"/>
                <w:sz w:val="21"/>
              </w:rPr>
            </w:pP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95L/（人·班）</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24.225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85人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0.3m</w:t>
            </w:r>
            <w:r>
              <w:rPr>
                <w:rFonts w:ascii="Times New Roman" w:hAnsi="Times New Roman"/>
                <w:kern w:val="0"/>
                <w:sz w:val="21"/>
                <w:szCs w:val="21"/>
                <w:vertAlign w:val="superscript"/>
              </w:rPr>
              <w:t>3</w:t>
            </w:r>
            <w:r>
              <w:rPr>
                <w:rFonts w:ascii="Times New Roman" w:hAnsi="Times New Roman"/>
                <w:kern w:val="0"/>
                <w:sz w:val="21"/>
                <w:szCs w:val="21"/>
              </w:rPr>
              <w:t>/100m</w:t>
            </w:r>
            <w:r>
              <w:rPr>
                <w:rFonts w:ascii="Times New Roman" w:hAnsi="Times New Roman"/>
                <w:kern w:val="0"/>
                <w:sz w:val="21"/>
                <w:szCs w:val="21"/>
                <w:vertAlign w:val="superscript"/>
              </w:rPr>
              <w:t>2</w:t>
            </w:r>
            <w:r>
              <w:rPr>
                <w:rFonts w:ascii="Times New Roman" w:hAnsi="Times New Roman"/>
                <w:kern w:val="0"/>
                <w:sz w:val="21"/>
                <w:szCs w:val="21"/>
              </w:rPr>
              <w:t>·d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12.15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0"/>
              </w:rPr>
              <w:t>4050</w:t>
            </w:r>
            <w:r>
              <w:rPr>
                <w:rFonts w:ascii="Times New Roman" w:hAnsi="Times New Roman"/>
                <w:kern w:val="0"/>
                <w:sz w:val="21"/>
                <w:szCs w:val="21"/>
              </w:rPr>
              <w:t>m</w:t>
            </w:r>
            <w:r>
              <w:rPr>
                <w:rFonts w:ascii="Times New Roman" w:hAnsi="Times New Roman"/>
                <w:kern w:val="0"/>
                <w:sz w:val="21"/>
                <w:szCs w:val="2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6</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矿区总器材库</w:t>
            </w:r>
          </w:p>
        </w:tc>
        <w:tc>
          <w:tcPr>
            <w:tcW w:w="1283" w:type="dxa"/>
            <w:noWrap/>
            <w:vAlign w:val="center"/>
          </w:tcPr>
          <w:p>
            <w:pPr>
              <w:widowControl/>
              <w:spacing w:line="60" w:lineRule="atLeast"/>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95L/（人·班）</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25.65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90人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0.3m</w:t>
            </w:r>
            <w:r>
              <w:rPr>
                <w:rFonts w:ascii="Times New Roman" w:hAnsi="Times New Roman"/>
                <w:kern w:val="0"/>
                <w:sz w:val="21"/>
                <w:szCs w:val="21"/>
                <w:vertAlign w:val="superscript"/>
              </w:rPr>
              <w:t>3</w:t>
            </w:r>
            <w:r>
              <w:rPr>
                <w:rFonts w:ascii="Times New Roman" w:hAnsi="Times New Roman"/>
                <w:kern w:val="0"/>
                <w:sz w:val="21"/>
                <w:szCs w:val="21"/>
              </w:rPr>
              <w:t>/100m</w:t>
            </w:r>
            <w:r>
              <w:rPr>
                <w:rFonts w:ascii="Times New Roman" w:hAnsi="Times New Roman"/>
                <w:kern w:val="0"/>
                <w:sz w:val="21"/>
                <w:szCs w:val="21"/>
                <w:vertAlign w:val="superscript"/>
              </w:rPr>
              <w:t>2</w:t>
            </w:r>
            <w:r>
              <w:rPr>
                <w:rFonts w:ascii="Times New Roman" w:hAnsi="Times New Roman"/>
                <w:kern w:val="0"/>
                <w:sz w:val="21"/>
                <w:szCs w:val="21"/>
              </w:rPr>
              <w:t>·d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89.1</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0"/>
              </w:rPr>
              <w:t>29700</w:t>
            </w:r>
            <w:r>
              <w:rPr>
                <w:rFonts w:ascii="Times New Roman" w:hAnsi="Times New Roman"/>
                <w:kern w:val="0"/>
                <w:sz w:val="21"/>
                <w:szCs w:val="21"/>
              </w:rPr>
              <w:t>m</w:t>
            </w:r>
            <w:r>
              <w:rPr>
                <w:rFonts w:ascii="Times New Roman" w:hAnsi="Times New Roman"/>
                <w:kern w:val="0"/>
                <w:sz w:val="21"/>
                <w:szCs w:val="2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7</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矿区爆破材料库</w:t>
            </w:r>
          </w:p>
        </w:tc>
        <w:tc>
          <w:tcPr>
            <w:tcW w:w="1283" w:type="dxa"/>
            <w:noWrap/>
            <w:vAlign w:val="center"/>
          </w:tcPr>
          <w:p>
            <w:pPr>
              <w:widowControl/>
              <w:spacing w:line="60" w:lineRule="atLeast"/>
              <w:jc w:val="center"/>
              <w:rPr>
                <w:rFonts w:ascii="Times New Roman" w:hAnsi="Times New Roman"/>
                <w:kern w:val="0"/>
                <w:sz w:val="21"/>
              </w:rPr>
            </w:pPr>
          </w:p>
        </w:tc>
        <w:tc>
          <w:tcPr>
            <w:tcW w:w="1716" w:type="dxa"/>
            <w:noWrap/>
            <w:vAlign w:val="center"/>
          </w:tcPr>
          <w:p>
            <w:pPr>
              <w:widowControl/>
              <w:spacing w:line="60" w:lineRule="atLeast"/>
              <w:jc w:val="center"/>
              <w:rPr>
                <w:rFonts w:ascii="Times New Roman" w:hAnsi="Times New Roman"/>
                <w:kern w:val="0"/>
                <w:sz w:val="21"/>
              </w:rPr>
            </w:pPr>
          </w:p>
        </w:tc>
        <w:tc>
          <w:tcPr>
            <w:tcW w:w="1595" w:type="dxa"/>
            <w:noWrap/>
            <w:vAlign w:val="center"/>
          </w:tcPr>
          <w:p>
            <w:pPr>
              <w:widowControl/>
              <w:spacing w:line="60" w:lineRule="atLeast"/>
              <w:jc w:val="center"/>
              <w:rPr>
                <w:rFonts w:ascii="Times New Roman" w:hAnsi="Times New Roman"/>
                <w:kern w:val="0"/>
                <w:sz w:val="21"/>
              </w:rPr>
            </w:pPr>
          </w:p>
        </w:tc>
        <w:tc>
          <w:tcPr>
            <w:tcW w:w="1042" w:type="dxa"/>
            <w:noWrap/>
            <w:vAlign w:val="center"/>
          </w:tcPr>
          <w:p>
            <w:pPr>
              <w:widowControl/>
              <w:spacing w:line="60" w:lineRule="atLeast"/>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95L/（人·班）</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28.5</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100人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0.3m</w:t>
            </w:r>
            <w:r>
              <w:rPr>
                <w:rFonts w:ascii="Times New Roman" w:hAnsi="Times New Roman"/>
                <w:kern w:val="0"/>
                <w:sz w:val="21"/>
                <w:szCs w:val="21"/>
                <w:vertAlign w:val="superscript"/>
              </w:rPr>
              <w:t>3</w:t>
            </w:r>
            <w:r>
              <w:rPr>
                <w:rFonts w:ascii="Times New Roman" w:hAnsi="Times New Roman"/>
                <w:kern w:val="0"/>
                <w:sz w:val="21"/>
                <w:szCs w:val="21"/>
              </w:rPr>
              <w:t>/100m</w:t>
            </w:r>
            <w:r>
              <w:rPr>
                <w:rFonts w:ascii="Times New Roman" w:hAnsi="Times New Roman"/>
                <w:kern w:val="0"/>
                <w:sz w:val="21"/>
                <w:szCs w:val="21"/>
                <w:vertAlign w:val="superscript"/>
              </w:rPr>
              <w:t>2</w:t>
            </w:r>
            <w:r>
              <w:rPr>
                <w:rFonts w:ascii="Times New Roman" w:hAnsi="Times New Roman"/>
                <w:kern w:val="0"/>
                <w:sz w:val="21"/>
                <w:szCs w:val="21"/>
              </w:rPr>
              <w:t>·d</w:t>
            </w:r>
          </w:p>
        </w:tc>
        <w:tc>
          <w:tcPr>
            <w:tcW w:w="1595"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6.00</w:t>
            </w:r>
          </w:p>
        </w:tc>
        <w:tc>
          <w:tcPr>
            <w:tcW w:w="104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0"/>
              </w:rPr>
              <w:t>2000</w:t>
            </w:r>
            <w:r>
              <w:rPr>
                <w:rFonts w:ascii="Times New Roman" w:hAnsi="Times New Roman"/>
                <w:kern w:val="0"/>
                <w:sz w:val="21"/>
                <w:szCs w:val="21"/>
              </w:rPr>
              <w:t>m</w:t>
            </w:r>
            <w:r>
              <w:rPr>
                <w:rFonts w:ascii="Times New Roman" w:hAnsi="Times New Roman"/>
                <w:kern w:val="0"/>
                <w:sz w:val="21"/>
                <w:szCs w:val="2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rPr>
              <w:t>8</w:t>
            </w:r>
          </w:p>
        </w:tc>
        <w:tc>
          <w:tcPr>
            <w:tcW w:w="3017" w:type="dxa"/>
            <w:gridSpan w:val="2"/>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行政办公楼</w:t>
            </w:r>
          </w:p>
        </w:tc>
        <w:tc>
          <w:tcPr>
            <w:tcW w:w="1283" w:type="dxa"/>
            <w:noWrap/>
            <w:vAlign w:val="center"/>
          </w:tcPr>
          <w:p>
            <w:pPr>
              <w:widowControl/>
              <w:spacing w:line="60" w:lineRule="atLeast"/>
              <w:jc w:val="center"/>
              <w:rPr>
                <w:rFonts w:ascii="Times New Roman" w:hAnsi="Times New Roman"/>
                <w:kern w:val="0"/>
                <w:sz w:val="21"/>
                <w:szCs w:val="21"/>
              </w:rPr>
            </w:pPr>
          </w:p>
        </w:tc>
        <w:tc>
          <w:tcPr>
            <w:tcW w:w="1716" w:type="dxa"/>
            <w:noWrap/>
            <w:vAlign w:val="center"/>
          </w:tcPr>
          <w:p>
            <w:pPr>
              <w:widowControl/>
              <w:spacing w:line="60" w:lineRule="atLeast"/>
              <w:jc w:val="center"/>
              <w:rPr>
                <w:rFonts w:ascii="Times New Roman" w:hAnsi="Times New Roman"/>
                <w:kern w:val="0"/>
                <w:sz w:val="21"/>
                <w:szCs w:val="21"/>
              </w:rPr>
            </w:pPr>
          </w:p>
        </w:tc>
        <w:tc>
          <w:tcPr>
            <w:tcW w:w="1595" w:type="dxa"/>
            <w:noWrap/>
            <w:vAlign w:val="center"/>
          </w:tcPr>
          <w:p>
            <w:pPr>
              <w:widowControl/>
              <w:spacing w:line="60" w:lineRule="atLeast"/>
              <w:jc w:val="center"/>
              <w:rPr>
                <w:rFonts w:ascii="Times New Roman" w:hAnsi="Times New Roman"/>
                <w:kern w:val="0"/>
                <w:sz w:val="21"/>
                <w:szCs w:val="21"/>
              </w:rPr>
            </w:pPr>
          </w:p>
        </w:tc>
        <w:tc>
          <w:tcPr>
            <w:tcW w:w="1042" w:type="dxa"/>
            <w:noWrap/>
            <w:vAlign w:val="center"/>
          </w:tcPr>
          <w:p>
            <w:pPr>
              <w:widowControl/>
              <w:spacing w:line="60" w:lineRule="atLeas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95L/（人·班）</w:t>
            </w:r>
          </w:p>
        </w:tc>
        <w:tc>
          <w:tcPr>
            <w:tcW w:w="1595"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5.13</w:t>
            </w:r>
          </w:p>
        </w:tc>
        <w:tc>
          <w:tcPr>
            <w:tcW w:w="1042" w:type="dxa"/>
            <w:noWrap/>
            <w:vAlign w:val="center"/>
          </w:tcPr>
          <w:p>
            <w:pPr>
              <w:widowControl/>
              <w:spacing w:line="60" w:lineRule="atLeast"/>
              <w:jc w:val="center"/>
              <w:rPr>
                <w:rFonts w:ascii="Times New Roman" w:hAnsi="Times New Roman"/>
                <w:kern w:val="0"/>
                <w:sz w:val="20"/>
              </w:rPr>
            </w:pPr>
            <w:r>
              <w:rPr>
                <w:rFonts w:ascii="Times New Roman" w:hAnsi="Times New Roman"/>
                <w:kern w:val="0"/>
                <w:sz w:val="20"/>
              </w:rPr>
              <w:t>18人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0.3m</w:t>
            </w:r>
            <w:r>
              <w:rPr>
                <w:rFonts w:ascii="Times New Roman" w:hAnsi="Times New Roman"/>
                <w:kern w:val="0"/>
                <w:sz w:val="21"/>
                <w:szCs w:val="21"/>
                <w:vertAlign w:val="superscript"/>
              </w:rPr>
              <w:t>3</w:t>
            </w:r>
            <w:r>
              <w:rPr>
                <w:rFonts w:ascii="Times New Roman" w:hAnsi="Times New Roman"/>
                <w:kern w:val="0"/>
                <w:sz w:val="21"/>
                <w:szCs w:val="21"/>
              </w:rPr>
              <w:t>/100m</w:t>
            </w:r>
            <w:r>
              <w:rPr>
                <w:rFonts w:ascii="Times New Roman" w:hAnsi="Times New Roman"/>
                <w:kern w:val="0"/>
                <w:sz w:val="21"/>
                <w:szCs w:val="21"/>
                <w:vertAlign w:val="superscript"/>
              </w:rPr>
              <w:t>2</w:t>
            </w:r>
            <w:r>
              <w:rPr>
                <w:rFonts w:ascii="Times New Roman" w:hAnsi="Times New Roman"/>
                <w:kern w:val="0"/>
                <w:sz w:val="21"/>
                <w:szCs w:val="21"/>
              </w:rPr>
              <w:t>·d</w:t>
            </w:r>
          </w:p>
        </w:tc>
        <w:tc>
          <w:tcPr>
            <w:tcW w:w="1595"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11.22</w:t>
            </w:r>
          </w:p>
        </w:tc>
        <w:tc>
          <w:tcPr>
            <w:tcW w:w="1042" w:type="dxa"/>
            <w:noWrap/>
            <w:vAlign w:val="center"/>
          </w:tcPr>
          <w:p>
            <w:pPr>
              <w:widowControl/>
              <w:spacing w:line="60" w:lineRule="atLeast"/>
              <w:jc w:val="center"/>
              <w:rPr>
                <w:rFonts w:ascii="Times New Roman" w:hAnsi="Times New Roman"/>
                <w:kern w:val="0"/>
                <w:sz w:val="20"/>
              </w:rPr>
            </w:pPr>
            <w:r>
              <w:rPr>
                <w:rFonts w:ascii="Times New Roman" w:hAnsi="Times New Roman"/>
                <w:kern w:val="0"/>
                <w:sz w:val="20"/>
              </w:rPr>
              <w:t>3740</w:t>
            </w:r>
            <w:r>
              <w:rPr>
                <w:rFonts w:ascii="Times New Roman" w:hAnsi="Times New Roman"/>
                <w:kern w:val="0"/>
                <w:sz w:val="21"/>
                <w:szCs w:val="21"/>
              </w:rPr>
              <w:t>m</w:t>
            </w:r>
            <w:r>
              <w:rPr>
                <w:rFonts w:ascii="Times New Roman" w:hAnsi="Times New Roman"/>
                <w:kern w:val="0"/>
                <w:sz w:val="21"/>
                <w:szCs w:val="2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rPr>
              <w:t>9</w:t>
            </w:r>
          </w:p>
        </w:tc>
        <w:tc>
          <w:tcPr>
            <w:tcW w:w="3017" w:type="dxa"/>
            <w:gridSpan w:val="2"/>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其他人员（后勤人员等）</w:t>
            </w:r>
          </w:p>
        </w:tc>
        <w:tc>
          <w:tcPr>
            <w:tcW w:w="1283" w:type="dxa"/>
            <w:noWrap/>
            <w:vAlign w:val="center"/>
          </w:tcPr>
          <w:p>
            <w:pPr>
              <w:widowControl/>
              <w:spacing w:line="60" w:lineRule="atLeast"/>
              <w:jc w:val="center"/>
              <w:rPr>
                <w:rFonts w:ascii="Times New Roman" w:hAnsi="Times New Roman"/>
                <w:kern w:val="0"/>
                <w:sz w:val="21"/>
                <w:szCs w:val="21"/>
              </w:rPr>
            </w:pPr>
          </w:p>
        </w:tc>
        <w:tc>
          <w:tcPr>
            <w:tcW w:w="1716" w:type="dxa"/>
            <w:noWrap/>
            <w:vAlign w:val="center"/>
          </w:tcPr>
          <w:p>
            <w:pPr>
              <w:widowControl/>
              <w:spacing w:line="60" w:lineRule="atLeast"/>
              <w:jc w:val="center"/>
              <w:rPr>
                <w:rFonts w:ascii="Times New Roman" w:hAnsi="Times New Roman"/>
                <w:kern w:val="0"/>
                <w:sz w:val="21"/>
                <w:szCs w:val="21"/>
              </w:rPr>
            </w:pPr>
          </w:p>
        </w:tc>
        <w:tc>
          <w:tcPr>
            <w:tcW w:w="1595" w:type="dxa"/>
            <w:noWrap/>
            <w:vAlign w:val="center"/>
          </w:tcPr>
          <w:p>
            <w:pPr>
              <w:widowControl/>
              <w:spacing w:line="60" w:lineRule="atLeast"/>
              <w:jc w:val="center"/>
              <w:rPr>
                <w:rFonts w:ascii="Times New Roman" w:hAnsi="Times New Roman"/>
                <w:kern w:val="0"/>
                <w:sz w:val="21"/>
                <w:szCs w:val="21"/>
              </w:rPr>
            </w:pPr>
          </w:p>
        </w:tc>
        <w:tc>
          <w:tcPr>
            <w:tcW w:w="1042" w:type="dxa"/>
            <w:noWrap/>
            <w:vAlign w:val="center"/>
          </w:tcPr>
          <w:p>
            <w:pPr>
              <w:widowControl/>
              <w:spacing w:line="60" w:lineRule="atLeast"/>
              <w:jc w:val="center"/>
              <w:rPr>
                <w:rFonts w:ascii="Times New Roman" w:hAnsi="Times New Roman"/>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w:t>
            </w:r>
          </w:p>
        </w:tc>
        <w:tc>
          <w:tcPr>
            <w:tcW w:w="1716"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95L/（人·班）</w:t>
            </w:r>
          </w:p>
        </w:tc>
        <w:tc>
          <w:tcPr>
            <w:tcW w:w="1595" w:type="dxa"/>
            <w:noWrap/>
            <w:vAlign w:val="center"/>
          </w:tcPr>
          <w:p>
            <w:pPr>
              <w:widowControl/>
              <w:spacing w:line="60" w:lineRule="atLeast"/>
              <w:jc w:val="center"/>
              <w:rPr>
                <w:rFonts w:ascii="Times New Roman" w:hAnsi="Times New Roman"/>
                <w:kern w:val="0"/>
                <w:sz w:val="21"/>
                <w:szCs w:val="21"/>
              </w:rPr>
            </w:pPr>
            <w:r>
              <w:rPr>
                <w:rFonts w:ascii="Times New Roman" w:hAnsi="Times New Roman"/>
                <w:kern w:val="0"/>
                <w:sz w:val="21"/>
                <w:szCs w:val="21"/>
              </w:rPr>
              <w:t>32.205</w:t>
            </w:r>
          </w:p>
        </w:tc>
        <w:tc>
          <w:tcPr>
            <w:tcW w:w="1042" w:type="dxa"/>
            <w:noWrap/>
            <w:vAlign w:val="center"/>
          </w:tcPr>
          <w:p>
            <w:pPr>
              <w:widowControl/>
              <w:spacing w:line="60" w:lineRule="atLeast"/>
              <w:jc w:val="center"/>
              <w:rPr>
                <w:rFonts w:ascii="Times New Roman" w:hAnsi="Times New Roman"/>
                <w:kern w:val="0"/>
                <w:sz w:val="20"/>
              </w:rPr>
            </w:pPr>
            <w:r>
              <w:rPr>
                <w:rFonts w:ascii="Times New Roman" w:hAnsi="Times New Roman"/>
                <w:kern w:val="0"/>
                <w:sz w:val="20"/>
              </w:rPr>
              <w:t>113人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三</w:t>
            </w: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矿区用水量合计</w:t>
            </w:r>
          </w:p>
        </w:tc>
        <w:tc>
          <w:tcPr>
            <w:tcW w:w="1283" w:type="dxa"/>
            <w:noWrap/>
            <w:vAlign w:val="center"/>
          </w:tcPr>
          <w:p>
            <w:pPr>
              <w:widowControl/>
              <w:spacing w:line="60" w:lineRule="atLeast"/>
              <w:jc w:val="center"/>
              <w:rPr>
                <w:rFonts w:ascii="Times New Roman" w:hAnsi="Times New Roman"/>
                <w:kern w:val="0"/>
                <w:sz w:val="21"/>
                <w:szCs w:val="21"/>
              </w:rPr>
            </w:pPr>
          </w:p>
        </w:tc>
        <w:tc>
          <w:tcPr>
            <w:tcW w:w="1716" w:type="dxa"/>
            <w:noWrap/>
            <w:vAlign w:val="center"/>
          </w:tcPr>
          <w:p>
            <w:pPr>
              <w:widowControl/>
              <w:spacing w:line="60" w:lineRule="atLeast"/>
              <w:jc w:val="center"/>
              <w:rPr>
                <w:rFonts w:ascii="Times New Roman" w:hAnsi="Times New Roman"/>
                <w:kern w:val="0"/>
                <w:sz w:val="21"/>
                <w:szCs w:val="21"/>
              </w:rPr>
            </w:pPr>
          </w:p>
        </w:tc>
        <w:tc>
          <w:tcPr>
            <w:tcW w:w="1595" w:type="dxa"/>
            <w:shd w:val="clear" w:color="auto" w:fill="auto"/>
            <w:noWrap/>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21482.38</w:t>
            </w:r>
          </w:p>
        </w:tc>
        <w:tc>
          <w:tcPr>
            <w:tcW w:w="1042" w:type="dxa"/>
            <w:noWrap/>
            <w:vAlign w:val="center"/>
          </w:tcPr>
          <w:p>
            <w:pPr>
              <w:widowControl/>
              <w:spacing w:line="60" w:lineRule="atLeas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生活用水</w:t>
            </w:r>
          </w:p>
        </w:tc>
        <w:tc>
          <w:tcPr>
            <w:tcW w:w="1283" w:type="dxa"/>
            <w:noWrap/>
            <w:vAlign w:val="center"/>
          </w:tcPr>
          <w:p>
            <w:pPr>
              <w:widowControl/>
              <w:spacing w:line="60" w:lineRule="atLeast"/>
              <w:jc w:val="center"/>
              <w:rPr>
                <w:rFonts w:ascii="Times New Roman" w:hAnsi="Times New Roman"/>
                <w:kern w:val="0"/>
                <w:sz w:val="21"/>
                <w:szCs w:val="21"/>
              </w:rPr>
            </w:pPr>
          </w:p>
        </w:tc>
        <w:tc>
          <w:tcPr>
            <w:tcW w:w="1716" w:type="dxa"/>
            <w:noWrap/>
            <w:vAlign w:val="center"/>
          </w:tcPr>
          <w:p>
            <w:pPr>
              <w:widowControl/>
              <w:spacing w:line="60" w:lineRule="atLeast"/>
              <w:jc w:val="center"/>
              <w:rPr>
                <w:rFonts w:ascii="Times New Roman" w:hAnsi="Times New Roman"/>
                <w:kern w:val="0"/>
                <w:sz w:val="21"/>
                <w:szCs w:val="21"/>
              </w:rPr>
            </w:pPr>
          </w:p>
        </w:tc>
        <w:tc>
          <w:tcPr>
            <w:tcW w:w="1595" w:type="dxa"/>
            <w:shd w:val="clear" w:color="auto" w:fill="auto"/>
            <w:noWrap/>
            <w:vAlign w:val="bottom"/>
          </w:tcPr>
          <w:p>
            <w:pPr>
              <w:widowControl/>
              <w:jc w:val="center"/>
              <w:textAlignment w:val="bottom"/>
              <w:rPr>
                <w:rFonts w:ascii="Times New Roman" w:hAnsi="Times New Roman"/>
                <w:kern w:val="0"/>
                <w:sz w:val="21"/>
                <w:szCs w:val="21"/>
              </w:rPr>
            </w:pPr>
            <w:r>
              <w:rPr>
                <w:rFonts w:ascii="Times New Roman" w:hAnsi="Times New Roman" w:eastAsia="等线"/>
                <w:kern w:val="0"/>
                <w:sz w:val="21"/>
                <w:szCs w:val="21"/>
                <w:lang w:bidi="ar"/>
              </w:rPr>
              <w:t>818.77</w:t>
            </w:r>
          </w:p>
        </w:tc>
        <w:tc>
          <w:tcPr>
            <w:tcW w:w="1042" w:type="dxa"/>
            <w:noWrap/>
            <w:vAlign w:val="center"/>
          </w:tcPr>
          <w:p>
            <w:pPr>
              <w:widowControl/>
              <w:spacing w:line="60" w:lineRule="atLeas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32" w:type="dxa"/>
            <w:noWrap/>
            <w:vAlign w:val="center"/>
          </w:tcPr>
          <w:p>
            <w:pPr>
              <w:widowControl/>
              <w:spacing w:line="60" w:lineRule="atLeast"/>
              <w:jc w:val="center"/>
              <w:rPr>
                <w:rFonts w:ascii="Times New Roman" w:hAnsi="Times New Roman"/>
                <w:kern w:val="0"/>
                <w:sz w:val="21"/>
              </w:rPr>
            </w:pPr>
          </w:p>
        </w:tc>
        <w:tc>
          <w:tcPr>
            <w:tcW w:w="3017" w:type="dxa"/>
            <w:gridSpan w:val="2"/>
            <w:noWrap/>
            <w:vAlign w:val="center"/>
          </w:tcPr>
          <w:p>
            <w:pPr>
              <w:widowControl/>
              <w:spacing w:line="60" w:lineRule="atLeast"/>
              <w:jc w:val="center"/>
              <w:rPr>
                <w:rFonts w:ascii="Times New Roman" w:hAnsi="Times New Roman"/>
                <w:kern w:val="0"/>
                <w:sz w:val="21"/>
              </w:rPr>
            </w:pPr>
            <w:r>
              <w:rPr>
                <w:rFonts w:ascii="Times New Roman" w:hAnsi="Times New Roman"/>
                <w:kern w:val="0"/>
                <w:sz w:val="21"/>
                <w:szCs w:val="21"/>
              </w:rPr>
              <w:t>生产用水</w:t>
            </w:r>
          </w:p>
        </w:tc>
        <w:tc>
          <w:tcPr>
            <w:tcW w:w="1283" w:type="dxa"/>
            <w:noWrap/>
            <w:vAlign w:val="center"/>
          </w:tcPr>
          <w:p>
            <w:pPr>
              <w:widowControl/>
              <w:spacing w:line="60" w:lineRule="atLeast"/>
              <w:jc w:val="center"/>
              <w:rPr>
                <w:rFonts w:ascii="Times New Roman" w:hAnsi="Times New Roman"/>
                <w:kern w:val="0"/>
                <w:sz w:val="21"/>
                <w:szCs w:val="21"/>
              </w:rPr>
            </w:pPr>
          </w:p>
        </w:tc>
        <w:tc>
          <w:tcPr>
            <w:tcW w:w="1716" w:type="dxa"/>
            <w:noWrap/>
            <w:vAlign w:val="center"/>
          </w:tcPr>
          <w:p>
            <w:pPr>
              <w:widowControl/>
              <w:spacing w:line="60" w:lineRule="atLeast"/>
              <w:jc w:val="center"/>
              <w:rPr>
                <w:rFonts w:ascii="Times New Roman" w:hAnsi="Times New Roman"/>
                <w:kern w:val="0"/>
                <w:sz w:val="21"/>
                <w:szCs w:val="21"/>
              </w:rPr>
            </w:pPr>
          </w:p>
        </w:tc>
        <w:tc>
          <w:tcPr>
            <w:tcW w:w="1595" w:type="dxa"/>
            <w:shd w:val="clear" w:color="auto" w:fill="auto"/>
            <w:noWrap/>
            <w:vAlign w:val="bottom"/>
          </w:tcPr>
          <w:p>
            <w:pPr>
              <w:widowControl/>
              <w:jc w:val="center"/>
              <w:textAlignment w:val="bottom"/>
              <w:rPr>
                <w:rFonts w:ascii="Times New Roman" w:hAnsi="Times New Roman"/>
                <w:kern w:val="0"/>
                <w:sz w:val="21"/>
                <w:szCs w:val="21"/>
              </w:rPr>
            </w:pPr>
            <w:r>
              <w:rPr>
                <w:rFonts w:ascii="Times New Roman" w:hAnsi="Times New Roman"/>
                <w:kern w:val="0"/>
                <w:sz w:val="21"/>
                <w:szCs w:val="21"/>
              </w:rPr>
              <w:t>20663.61</w:t>
            </w:r>
          </w:p>
        </w:tc>
        <w:tc>
          <w:tcPr>
            <w:tcW w:w="1042" w:type="dxa"/>
            <w:noWrap/>
            <w:vAlign w:val="center"/>
          </w:tcPr>
          <w:p>
            <w:pPr>
              <w:widowControl/>
              <w:spacing w:line="60" w:lineRule="atLeast"/>
              <w:jc w:val="center"/>
              <w:rPr>
                <w:rFonts w:ascii="Times New Roman" w:hAnsi="Times New Roman"/>
                <w:kern w:val="0"/>
                <w:sz w:val="21"/>
                <w:szCs w:val="21"/>
              </w:rPr>
            </w:pPr>
          </w:p>
        </w:tc>
      </w:tr>
    </w:tbl>
    <w:p>
      <w:pPr>
        <w:keepNext/>
        <w:keepLines/>
        <w:adjustRightInd w:val="0"/>
        <w:snapToGrid w:val="0"/>
        <w:spacing w:before="120" w:beforeLines="50" w:line="440" w:lineRule="exact"/>
        <w:outlineLvl w:val="2"/>
        <w:rPr>
          <w:rFonts w:ascii="Times New Roman" w:hAnsi="Times New Roman"/>
          <w:b/>
        </w:rPr>
      </w:pPr>
      <w:r>
        <w:rPr>
          <w:rFonts w:ascii="Times New Roman" w:hAnsi="Times New Roman"/>
          <w:b/>
        </w:rPr>
        <w:t>6.1.5 矿区水源选择及可供水量</w:t>
      </w:r>
    </w:p>
    <w:p>
      <w:pPr>
        <w:keepNext/>
        <w:keepLines/>
        <w:adjustRightInd w:val="0"/>
        <w:snapToGrid w:val="0"/>
        <w:spacing w:line="440" w:lineRule="exact"/>
        <w:outlineLvl w:val="3"/>
        <w:rPr>
          <w:rFonts w:ascii="Times New Roman" w:hAnsi="Times New Roman"/>
          <w:b/>
        </w:rPr>
      </w:pPr>
      <w:r>
        <w:rPr>
          <w:rFonts w:ascii="Times New Roman" w:hAnsi="Times New Roman"/>
          <w:b/>
        </w:rPr>
        <w:t>6.1.5.1 矿区水源选择</w:t>
      </w:r>
    </w:p>
    <w:p>
      <w:pPr>
        <w:adjustRightInd w:val="0"/>
        <w:snapToGrid w:val="0"/>
        <w:spacing w:line="440" w:lineRule="exact"/>
        <w:ind w:firstLine="480" w:firstLineChars="200"/>
        <w:rPr>
          <w:rFonts w:ascii="Times New Roman" w:hAnsi="Times New Roman"/>
        </w:rPr>
      </w:pPr>
      <w:r>
        <w:rPr>
          <w:rFonts w:ascii="Times New Roman" w:hAnsi="Times New Roman"/>
        </w:rPr>
        <w:t>（1）生产用水</w:t>
      </w:r>
    </w:p>
    <w:p>
      <w:pPr>
        <w:adjustRightInd w:val="0"/>
        <w:snapToGrid w:val="0"/>
        <w:spacing w:line="440" w:lineRule="exact"/>
        <w:ind w:firstLine="480" w:firstLineChars="200"/>
        <w:rPr>
          <w:rFonts w:ascii="Times New Roman" w:hAnsi="Times New Roman"/>
        </w:rPr>
      </w:pPr>
      <w:r>
        <w:rPr>
          <w:rFonts w:ascii="Times New Roman" w:hAnsi="Times New Roman"/>
        </w:rPr>
        <w:t>生产用水优先取用处理后矿井水回用水、生产生活污水回用，不足部分取用深井取水。</w:t>
      </w:r>
    </w:p>
    <w:p>
      <w:pPr>
        <w:adjustRightInd w:val="0"/>
        <w:snapToGrid w:val="0"/>
        <w:spacing w:line="440" w:lineRule="exact"/>
        <w:ind w:firstLine="480" w:firstLineChars="200"/>
        <w:rPr>
          <w:rFonts w:ascii="Times New Roman" w:hAnsi="Times New Roman"/>
        </w:rPr>
      </w:pPr>
      <w:r>
        <w:rPr>
          <w:rFonts w:ascii="Times New Roman" w:hAnsi="Times New Roman"/>
        </w:rPr>
        <w:t>（2）生活用水</w:t>
      </w:r>
    </w:p>
    <w:p>
      <w:pPr>
        <w:adjustRightInd w:val="0"/>
        <w:snapToGrid w:val="0"/>
        <w:spacing w:line="440" w:lineRule="exact"/>
        <w:ind w:firstLine="480" w:firstLineChars="200"/>
        <w:rPr>
          <w:rFonts w:ascii="Times New Roman" w:hAnsi="Times New Roman"/>
        </w:rPr>
      </w:pPr>
      <w:r>
        <w:rPr>
          <w:rFonts w:ascii="Times New Roman" w:hAnsi="Times New Roman"/>
        </w:rPr>
        <w:t>开发前期矿区生活用水取用水源井供水，达产后井下排水经深度处理后用于矿井生活用水。</w:t>
      </w:r>
    </w:p>
    <w:p>
      <w:pPr>
        <w:keepNext/>
        <w:keepLines/>
        <w:adjustRightInd w:val="0"/>
        <w:snapToGrid w:val="0"/>
        <w:spacing w:line="440" w:lineRule="exact"/>
        <w:outlineLvl w:val="3"/>
        <w:rPr>
          <w:rFonts w:ascii="Times New Roman" w:hAnsi="Times New Roman"/>
          <w:b/>
        </w:rPr>
      </w:pPr>
      <w:r>
        <w:rPr>
          <w:rFonts w:ascii="Times New Roman" w:hAnsi="Times New Roman"/>
          <w:b/>
        </w:rPr>
        <w:t>6.1.5.2 矿区矿井水</w:t>
      </w:r>
    </w:p>
    <w:p>
      <w:pPr>
        <w:pStyle w:val="428"/>
        <w:spacing w:line="440" w:lineRule="exact"/>
        <w:ind w:firstLine="480"/>
        <w:rPr>
          <w:rFonts w:ascii="Times New Roman" w:hAnsi="Times New Roman" w:eastAsia="宋体" w:cs="Times New Roman"/>
        </w:rPr>
      </w:pPr>
      <w:r>
        <w:rPr>
          <w:rFonts w:ascii="Times New Roman" w:hAnsi="Times New Roman" w:eastAsia="宋体" w:cs="Times New Roman"/>
          <w:snapToGrid w:val="0"/>
        </w:rPr>
        <w:t>矿区达产时，矿井正常涌水量3300m</w:t>
      </w:r>
      <w:r>
        <w:rPr>
          <w:rFonts w:ascii="Times New Roman" w:hAnsi="Times New Roman" w:eastAsia="宋体" w:cs="Times New Roman"/>
          <w:snapToGrid w:val="0"/>
          <w:vertAlign w:val="superscript"/>
        </w:rPr>
        <w:t>3</w:t>
      </w:r>
      <w:r>
        <w:rPr>
          <w:rFonts w:ascii="Times New Roman" w:hAnsi="Times New Roman" w:eastAsia="宋体" w:cs="Times New Roman"/>
          <w:snapToGrid w:val="0"/>
        </w:rPr>
        <w:t>/h，年正常涌水量2613.6×10</w:t>
      </w:r>
      <w:r>
        <w:rPr>
          <w:rFonts w:ascii="Times New Roman" w:hAnsi="Times New Roman" w:eastAsia="宋体" w:cs="Times New Roman"/>
          <w:snapToGrid w:val="0"/>
          <w:vertAlign w:val="superscript"/>
        </w:rPr>
        <w:t>4</w:t>
      </w:r>
      <w:r>
        <w:rPr>
          <w:rFonts w:ascii="Times New Roman" w:hAnsi="Times New Roman" w:eastAsia="宋体" w:cs="Times New Roman"/>
          <w:snapToGrid w:val="0"/>
        </w:rPr>
        <w:t>m</w:t>
      </w:r>
      <w:r>
        <w:rPr>
          <w:rFonts w:ascii="Times New Roman" w:hAnsi="Times New Roman" w:eastAsia="宋体" w:cs="Times New Roman"/>
          <w:snapToGrid w:val="0"/>
          <w:vertAlign w:val="superscript"/>
        </w:rPr>
        <w:t>3</w:t>
      </w:r>
      <w:r>
        <w:rPr>
          <w:rFonts w:ascii="Times New Roman" w:hAnsi="Times New Roman" w:eastAsia="宋体" w:cs="Times New Roman"/>
          <w:snapToGrid w:val="0"/>
        </w:rPr>
        <w:t>/a（330天计）。考虑井下排水的不确定因素，回用量按矿井正常涌水量的70%计，</w:t>
      </w:r>
      <w:r>
        <w:rPr>
          <w:rFonts w:ascii="Times New Roman" w:hAnsi="Times New Roman" w:eastAsia="宋体" w:cs="Times New Roman"/>
          <w:snapToGrid w:val="0"/>
          <w:lang w:val="zh-CN"/>
        </w:rPr>
        <w:t>矿区达到规划设计规模时井下排水可复用量总计</w:t>
      </w:r>
      <w:r>
        <w:rPr>
          <w:rFonts w:ascii="Times New Roman" w:hAnsi="Times New Roman" w:eastAsia="宋体" w:cs="Times New Roman"/>
          <w:snapToGrid w:val="0"/>
        </w:rPr>
        <w:t>55440</w:t>
      </w:r>
      <w:r>
        <w:rPr>
          <w:rFonts w:ascii="Times New Roman" w:hAnsi="Times New Roman" w:eastAsia="宋体" w:cs="Times New Roman"/>
          <w:snapToGrid w:val="0"/>
          <w:lang w:val="zh-CN"/>
        </w:rPr>
        <w:t>m</w:t>
      </w:r>
      <w:r>
        <w:rPr>
          <w:rFonts w:ascii="Times New Roman" w:hAnsi="Times New Roman" w:eastAsia="宋体" w:cs="Times New Roman"/>
          <w:snapToGrid w:val="0"/>
          <w:vertAlign w:val="superscript"/>
          <w:lang w:val="zh-CN"/>
        </w:rPr>
        <w:t>3</w:t>
      </w:r>
      <w:r>
        <w:rPr>
          <w:rFonts w:ascii="Times New Roman" w:hAnsi="Times New Roman" w:eastAsia="宋体" w:cs="Times New Roman"/>
          <w:snapToGrid w:val="0"/>
          <w:lang w:val="zh-CN"/>
        </w:rPr>
        <w:t>/d。</w:t>
      </w:r>
    </w:p>
    <w:p>
      <w:pPr>
        <w:adjustRightInd w:val="0"/>
        <w:snapToGrid w:val="0"/>
        <w:spacing w:line="440" w:lineRule="exact"/>
        <w:jc w:val="center"/>
        <w:rPr>
          <w:rFonts w:ascii="Times New Roman" w:hAnsi="Times New Roman"/>
          <w:b/>
          <w:bCs/>
          <w:snapToGrid w:val="0"/>
          <w:kern w:val="0"/>
          <w:szCs w:val="24"/>
        </w:rPr>
      </w:pPr>
      <w:r>
        <w:rPr>
          <w:rFonts w:ascii="Times New Roman" w:hAnsi="Times New Roman"/>
          <w:b/>
          <w:kern w:val="0"/>
        </w:rPr>
        <w:t>矿区规划达产时矿井井下排水量估算表</w:t>
      </w:r>
    </w:p>
    <w:p>
      <w:pPr>
        <w:widowControl/>
        <w:adjustRightInd w:val="0"/>
        <w:snapToGrid w:val="0"/>
        <w:spacing w:line="440" w:lineRule="exact"/>
        <w:ind w:firstLine="120" w:firstLineChars="50"/>
        <w:outlineLvl w:val="4"/>
        <w:rPr>
          <w:rFonts w:ascii="Times New Roman" w:hAnsi="Times New Roman"/>
          <w:kern w:val="0"/>
        </w:rPr>
      </w:pPr>
      <w:r>
        <w:rPr>
          <w:rFonts w:ascii="Times New Roman" w:hAnsi="Times New Roman"/>
        </w:rPr>
        <w:t>表6.1-4</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2175"/>
        <w:gridCol w:w="1935"/>
        <w:gridCol w:w="2017"/>
        <w:gridCol w:w="22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877" w:type="dxa"/>
            <w:vAlign w:val="center"/>
          </w:tcPr>
          <w:p>
            <w:pPr>
              <w:jc w:val="center"/>
              <w:rPr>
                <w:rFonts w:ascii="Times New Roman" w:hAnsi="Times New Roman"/>
                <w:bCs/>
                <w:kern w:val="0"/>
                <w:sz w:val="21"/>
              </w:rPr>
            </w:pPr>
            <w:r>
              <w:rPr>
                <w:rFonts w:ascii="Times New Roman" w:hAnsi="Times New Roman"/>
                <w:bCs/>
                <w:kern w:val="0"/>
                <w:sz w:val="21"/>
                <w:szCs w:val="21"/>
              </w:rPr>
              <w:t>序号</w:t>
            </w:r>
          </w:p>
        </w:tc>
        <w:tc>
          <w:tcPr>
            <w:tcW w:w="2175" w:type="dxa"/>
            <w:vAlign w:val="center"/>
          </w:tcPr>
          <w:p>
            <w:pPr>
              <w:jc w:val="center"/>
              <w:rPr>
                <w:rFonts w:ascii="Times New Roman" w:hAnsi="Times New Roman"/>
                <w:bCs/>
                <w:kern w:val="0"/>
                <w:sz w:val="21"/>
              </w:rPr>
            </w:pPr>
            <w:r>
              <w:rPr>
                <w:rFonts w:ascii="Times New Roman" w:hAnsi="Times New Roman"/>
                <w:bCs/>
                <w:kern w:val="0"/>
                <w:sz w:val="21"/>
                <w:szCs w:val="21"/>
              </w:rPr>
              <w:t>项目名称</w:t>
            </w:r>
          </w:p>
        </w:tc>
        <w:tc>
          <w:tcPr>
            <w:tcW w:w="1935" w:type="dxa"/>
            <w:vAlign w:val="center"/>
          </w:tcPr>
          <w:p>
            <w:pPr>
              <w:jc w:val="center"/>
              <w:rPr>
                <w:rFonts w:ascii="Times New Roman" w:hAnsi="Times New Roman"/>
                <w:bCs/>
                <w:kern w:val="0"/>
                <w:sz w:val="21"/>
              </w:rPr>
            </w:pPr>
            <w:r>
              <w:rPr>
                <w:rFonts w:ascii="Times New Roman" w:hAnsi="Times New Roman"/>
                <w:bCs/>
                <w:kern w:val="0"/>
                <w:sz w:val="21"/>
                <w:szCs w:val="21"/>
              </w:rPr>
              <w:t>矿井规模（</w:t>
            </w:r>
            <w:r>
              <w:rPr>
                <w:rFonts w:ascii="Times New Roman" w:hAnsi="Times New Roman" w:eastAsia="汉鼎简书"/>
                <w:kern w:val="0"/>
                <w:sz w:val="18"/>
                <w:szCs w:val="18"/>
              </w:rPr>
              <w:t>Mt/a</w:t>
            </w:r>
            <w:r>
              <w:rPr>
                <w:rFonts w:ascii="Times New Roman" w:hAnsi="Times New Roman"/>
                <w:bCs/>
                <w:kern w:val="0"/>
                <w:sz w:val="21"/>
                <w:szCs w:val="21"/>
              </w:rPr>
              <w:t>）</w:t>
            </w:r>
          </w:p>
        </w:tc>
        <w:tc>
          <w:tcPr>
            <w:tcW w:w="2017" w:type="dxa"/>
            <w:vAlign w:val="center"/>
          </w:tcPr>
          <w:p>
            <w:pPr>
              <w:jc w:val="center"/>
              <w:rPr>
                <w:rFonts w:ascii="Times New Roman" w:hAnsi="Times New Roman"/>
                <w:bCs/>
                <w:kern w:val="0"/>
                <w:sz w:val="21"/>
              </w:rPr>
            </w:pPr>
            <w:r>
              <w:rPr>
                <w:rFonts w:ascii="Times New Roman" w:hAnsi="Times New Roman"/>
                <w:bCs/>
                <w:kern w:val="0"/>
                <w:sz w:val="21"/>
                <w:szCs w:val="21"/>
              </w:rPr>
              <w:t>正常涌水量（m</w:t>
            </w:r>
            <w:r>
              <w:rPr>
                <w:rFonts w:ascii="Times New Roman" w:hAnsi="Times New Roman"/>
                <w:bCs/>
                <w:kern w:val="0"/>
                <w:sz w:val="21"/>
                <w:szCs w:val="21"/>
                <w:vertAlign w:val="superscript"/>
              </w:rPr>
              <w:t>3</w:t>
            </w:r>
            <w:r>
              <w:rPr>
                <w:rFonts w:ascii="Times New Roman" w:hAnsi="Times New Roman"/>
                <w:bCs/>
                <w:kern w:val="0"/>
                <w:sz w:val="21"/>
                <w:szCs w:val="21"/>
              </w:rPr>
              <w:t>/d）</w:t>
            </w:r>
          </w:p>
        </w:tc>
        <w:tc>
          <w:tcPr>
            <w:tcW w:w="2283" w:type="dxa"/>
          </w:tcPr>
          <w:p>
            <w:pPr>
              <w:spacing w:line="240" w:lineRule="exact"/>
              <w:jc w:val="center"/>
              <w:rPr>
                <w:rFonts w:ascii="Times New Roman" w:hAnsi="Times New Roman"/>
                <w:sz w:val="21"/>
              </w:rPr>
            </w:pPr>
            <w:r>
              <w:rPr>
                <w:rFonts w:ascii="Times New Roman" w:hAnsi="Times New Roman"/>
                <w:bCs/>
                <w:kern w:val="0"/>
                <w:sz w:val="21"/>
                <w:szCs w:val="21"/>
              </w:rPr>
              <w:t>可保证利用水量</w:t>
            </w:r>
            <w:r>
              <w:rPr>
                <w:rFonts w:ascii="Times New Roman" w:hAnsi="Times New Roman" w:eastAsiaTheme="minorEastAsia"/>
                <w:sz w:val="21"/>
                <w:szCs w:val="21"/>
              </w:rPr>
              <w:t>（</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r>
              <w:rPr>
                <w:rFonts w:ascii="Times New Roman" w:hAnsi="Times New Roman" w:eastAsiaTheme="minor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7" w:type="dxa"/>
            <w:vAlign w:val="center"/>
          </w:tcPr>
          <w:p>
            <w:pPr>
              <w:jc w:val="center"/>
              <w:rPr>
                <w:rFonts w:ascii="Times New Roman" w:hAnsi="Times New Roman"/>
                <w:bCs/>
                <w:kern w:val="0"/>
                <w:sz w:val="21"/>
              </w:rPr>
            </w:pPr>
            <w:r>
              <w:rPr>
                <w:rFonts w:ascii="Times New Roman" w:hAnsi="Times New Roman"/>
                <w:bCs/>
                <w:kern w:val="0"/>
                <w:sz w:val="21"/>
                <w:szCs w:val="21"/>
              </w:rPr>
              <w:t>1</w:t>
            </w:r>
          </w:p>
        </w:tc>
        <w:tc>
          <w:tcPr>
            <w:tcW w:w="2175" w:type="dxa"/>
            <w:vAlign w:val="center"/>
          </w:tcPr>
          <w:p>
            <w:pPr>
              <w:jc w:val="center"/>
              <w:rPr>
                <w:rFonts w:ascii="Times New Roman" w:hAnsi="Times New Roman"/>
                <w:bCs/>
                <w:kern w:val="0"/>
                <w:sz w:val="21"/>
              </w:rPr>
            </w:pPr>
            <w:r>
              <w:rPr>
                <w:rFonts w:ascii="Times New Roman" w:hAnsi="Times New Roman"/>
                <w:bCs/>
                <w:kern w:val="0"/>
                <w:sz w:val="21"/>
                <w:szCs w:val="21"/>
              </w:rPr>
              <w:t>奎腾沟矿井</w:t>
            </w:r>
          </w:p>
        </w:tc>
        <w:tc>
          <w:tcPr>
            <w:tcW w:w="1935" w:type="dxa"/>
            <w:vAlign w:val="center"/>
          </w:tcPr>
          <w:p>
            <w:pPr>
              <w:widowControl/>
              <w:adjustRightInd w:val="0"/>
              <w:snapToGrid w:val="0"/>
              <w:jc w:val="center"/>
              <w:rPr>
                <w:rFonts w:ascii="Times New Roman" w:hAnsi="Times New Roman"/>
                <w:bCs/>
                <w:kern w:val="0"/>
                <w:sz w:val="21"/>
              </w:rPr>
            </w:pPr>
            <w:r>
              <w:rPr>
                <w:rFonts w:ascii="Times New Roman" w:hAnsi="Times New Roman" w:eastAsia="汉鼎简书"/>
                <w:kern w:val="0"/>
                <w:sz w:val="21"/>
                <w:szCs w:val="21"/>
              </w:rPr>
              <w:t>8.00</w:t>
            </w:r>
          </w:p>
        </w:tc>
        <w:tc>
          <w:tcPr>
            <w:tcW w:w="2017" w:type="dxa"/>
            <w:vAlign w:val="center"/>
          </w:tcPr>
          <w:p>
            <w:pPr>
              <w:jc w:val="center"/>
              <w:rPr>
                <w:rFonts w:ascii="Times New Roman" w:hAnsi="Times New Roman"/>
                <w:bCs/>
                <w:kern w:val="0"/>
                <w:sz w:val="21"/>
              </w:rPr>
            </w:pPr>
            <w:r>
              <w:rPr>
                <w:rFonts w:ascii="Times New Roman" w:hAnsi="Times New Roman"/>
                <w:bCs/>
                <w:kern w:val="0"/>
                <w:sz w:val="21"/>
                <w:szCs w:val="21"/>
              </w:rPr>
              <w:t>25200</w:t>
            </w:r>
          </w:p>
        </w:tc>
        <w:tc>
          <w:tcPr>
            <w:tcW w:w="2283" w:type="dxa"/>
            <w:vAlign w:val="center"/>
          </w:tcPr>
          <w:p>
            <w:pPr>
              <w:jc w:val="center"/>
              <w:rPr>
                <w:rFonts w:ascii="Times New Roman" w:hAnsi="Times New Roman" w:eastAsiaTheme="minorEastAsia"/>
                <w:sz w:val="21"/>
              </w:rPr>
            </w:pPr>
            <w:r>
              <w:rPr>
                <w:rFonts w:ascii="Times New Roman" w:hAnsi="Times New Roman" w:eastAsiaTheme="minorEastAsia"/>
                <w:sz w:val="21"/>
                <w:szCs w:val="21"/>
              </w:rPr>
              <w:t>17640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7" w:type="dxa"/>
            <w:vAlign w:val="center"/>
          </w:tcPr>
          <w:p>
            <w:pPr>
              <w:jc w:val="center"/>
              <w:rPr>
                <w:rFonts w:ascii="Times New Roman" w:hAnsi="Times New Roman"/>
                <w:bCs/>
                <w:kern w:val="0"/>
                <w:sz w:val="21"/>
              </w:rPr>
            </w:pPr>
            <w:r>
              <w:rPr>
                <w:rFonts w:ascii="Times New Roman" w:hAnsi="Times New Roman"/>
                <w:bCs/>
                <w:kern w:val="0"/>
                <w:sz w:val="21"/>
                <w:szCs w:val="21"/>
              </w:rPr>
              <w:t>2</w:t>
            </w:r>
          </w:p>
        </w:tc>
        <w:tc>
          <w:tcPr>
            <w:tcW w:w="2175" w:type="dxa"/>
            <w:vAlign w:val="center"/>
          </w:tcPr>
          <w:p>
            <w:pPr>
              <w:jc w:val="center"/>
              <w:rPr>
                <w:rFonts w:ascii="Times New Roman" w:hAnsi="Times New Roman"/>
                <w:bCs/>
                <w:kern w:val="0"/>
                <w:sz w:val="21"/>
              </w:rPr>
            </w:pPr>
            <w:r>
              <w:rPr>
                <w:rFonts w:ascii="Times New Roman" w:hAnsi="Times New Roman"/>
                <w:bCs/>
                <w:kern w:val="0"/>
                <w:sz w:val="21"/>
                <w:szCs w:val="21"/>
              </w:rPr>
              <w:t>苏布尔嘎矿井</w:t>
            </w:r>
          </w:p>
        </w:tc>
        <w:tc>
          <w:tcPr>
            <w:tcW w:w="1935" w:type="dxa"/>
            <w:vAlign w:val="center"/>
          </w:tcPr>
          <w:p>
            <w:pPr>
              <w:widowControl/>
              <w:adjustRightInd w:val="0"/>
              <w:snapToGrid w:val="0"/>
              <w:jc w:val="center"/>
              <w:rPr>
                <w:rFonts w:ascii="Times New Roman" w:hAnsi="Times New Roman"/>
                <w:bCs/>
                <w:kern w:val="0"/>
                <w:sz w:val="21"/>
              </w:rPr>
            </w:pPr>
            <w:r>
              <w:rPr>
                <w:rFonts w:ascii="Times New Roman" w:hAnsi="Times New Roman" w:eastAsia="汉鼎简书"/>
                <w:kern w:val="0"/>
                <w:sz w:val="21"/>
                <w:szCs w:val="21"/>
              </w:rPr>
              <w:t>8.00</w:t>
            </w:r>
          </w:p>
        </w:tc>
        <w:tc>
          <w:tcPr>
            <w:tcW w:w="2017" w:type="dxa"/>
            <w:vAlign w:val="center"/>
          </w:tcPr>
          <w:p>
            <w:pPr>
              <w:jc w:val="center"/>
              <w:rPr>
                <w:rFonts w:ascii="Times New Roman" w:hAnsi="Times New Roman"/>
                <w:bCs/>
                <w:kern w:val="0"/>
                <w:sz w:val="21"/>
              </w:rPr>
            </w:pPr>
            <w:r>
              <w:rPr>
                <w:rFonts w:ascii="Times New Roman" w:hAnsi="Times New Roman"/>
                <w:bCs/>
                <w:kern w:val="0"/>
                <w:sz w:val="21"/>
                <w:szCs w:val="21"/>
              </w:rPr>
              <w:t>22800</w:t>
            </w:r>
          </w:p>
        </w:tc>
        <w:tc>
          <w:tcPr>
            <w:tcW w:w="2283" w:type="dxa"/>
            <w:vAlign w:val="center"/>
          </w:tcPr>
          <w:p>
            <w:pPr>
              <w:jc w:val="center"/>
              <w:rPr>
                <w:rFonts w:ascii="Times New Roman" w:hAnsi="Times New Roman" w:eastAsiaTheme="minorEastAsia"/>
                <w:sz w:val="21"/>
              </w:rPr>
            </w:pPr>
            <w:r>
              <w:rPr>
                <w:rFonts w:ascii="Times New Roman" w:hAnsi="Times New Roman" w:eastAsiaTheme="minorEastAsia"/>
                <w:sz w:val="21"/>
                <w:szCs w:val="21"/>
              </w:rPr>
              <w:t>15960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7" w:type="dxa"/>
            <w:vAlign w:val="center"/>
          </w:tcPr>
          <w:p>
            <w:pPr>
              <w:jc w:val="center"/>
              <w:rPr>
                <w:rFonts w:ascii="Times New Roman" w:hAnsi="Times New Roman"/>
                <w:bCs/>
                <w:kern w:val="0"/>
                <w:sz w:val="21"/>
              </w:rPr>
            </w:pPr>
            <w:r>
              <w:rPr>
                <w:rFonts w:ascii="Times New Roman" w:hAnsi="Times New Roman"/>
                <w:bCs/>
                <w:kern w:val="0"/>
                <w:sz w:val="21"/>
                <w:szCs w:val="21"/>
              </w:rPr>
              <w:t>3</w:t>
            </w:r>
          </w:p>
        </w:tc>
        <w:tc>
          <w:tcPr>
            <w:tcW w:w="2175" w:type="dxa"/>
            <w:vAlign w:val="center"/>
          </w:tcPr>
          <w:p>
            <w:pPr>
              <w:jc w:val="center"/>
              <w:rPr>
                <w:rFonts w:ascii="Times New Roman" w:hAnsi="Times New Roman"/>
                <w:bCs/>
                <w:kern w:val="0"/>
                <w:sz w:val="21"/>
              </w:rPr>
            </w:pPr>
            <w:r>
              <w:rPr>
                <w:rFonts w:ascii="Times New Roman" w:hAnsi="Times New Roman"/>
                <w:bCs/>
                <w:kern w:val="0"/>
                <w:sz w:val="21"/>
                <w:szCs w:val="21"/>
              </w:rPr>
              <w:t>壕赖苏矿井</w:t>
            </w:r>
          </w:p>
        </w:tc>
        <w:tc>
          <w:tcPr>
            <w:tcW w:w="1935" w:type="dxa"/>
            <w:vAlign w:val="center"/>
          </w:tcPr>
          <w:p>
            <w:pPr>
              <w:widowControl/>
              <w:adjustRightInd w:val="0"/>
              <w:snapToGrid w:val="0"/>
              <w:jc w:val="center"/>
              <w:rPr>
                <w:rFonts w:ascii="Times New Roman" w:hAnsi="Times New Roman"/>
                <w:bCs/>
                <w:kern w:val="0"/>
                <w:sz w:val="21"/>
              </w:rPr>
            </w:pPr>
            <w:r>
              <w:rPr>
                <w:rFonts w:ascii="Times New Roman" w:hAnsi="Times New Roman" w:eastAsia="汉鼎简书"/>
                <w:kern w:val="0"/>
                <w:sz w:val="21"/>
                <w:szCs w:val="21"/>
              </w:rPr>
              <w:t>8.00</w:t>
            </w:r>
          </w:p>
        </w:tc>
        <w:tc>
          <w:tcPr>
            <w:tcW w:w="2017" w:type="dxa"/>
            <w:vAlign w:val="center"/>
          </w:tcPr>
          <w:p>
            <w:pPr>
              <w:jc w:val="center"/>
              <w:rPr>
                <w:rFonts w:ascii="Times New Roman" w:hAnsi="Times New Roman"/>
                <w:bCs/>
                <w:kern w:val="0"/>
                <w:sz w:val="21"/>
              </w:rPr>
            </w:pPr>
            <w:r>
              <w:rPr>
                <w:rFonts w:ascii="Times New Roman" w:hAnsi="Times New Roman"/>
                <w:bCs/>
                <w:kern w:val="0"/>
                <w:sz w:val="21"/>
                <w:szCs w:val="21"/>
              </w:rPr>
              <w:t>16800</w:t>
            </w:r>
          </w:p>
        </w:tc>
        <w:tc>
          <w:tcPr>
            <w:tcW w:w="2283" w:type="dxa"/>
            <w:vAlign w:val="center"/>
          </w:tcPr>
          <w:p>
            <w:pPr>
              <w:jc w:val="center"/>
              <w:rPr>
                <w:rFonts w:ascii="Times New Roman" w:hAnsi="Times New Roman" w:eastAsiaTheme="minorEastAsia"/>
                <w:sz w:val="21"/>
              </w:rPr>
            </w:pPr>
            <w:r>
              <w:rPr>
                <w:rFonts w:ascii="Times New Roman" w:hAnsi="Times New Roman" w:eastAsiaTheme="minorEastAsia"/>
                <w:sz w:val="21"/>
                <w:szCs w:val="21"/>
              </w:rPr>
              <w:t>11760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7" w:type="dxa"/>
            <w:vAlign w:val="center"/>
          </w:tcPr>
          <w:p>
            <w:pPr>
              <w:jc w:val="center"/>
              <w:rPr>
                <w:rFonts w:ascii="Times New Roman" w:hAnsi="Times New Roman"/>
                <w:bCs/>
                <w:kern w:val="0"/>
                <w:sz w:val="21"/>
              </w:rPr>
            </w:pPr>
            <w:r>
              <w:rPr>
                <w:rFonts w:ascii="Times New Roman" w:hAnsi="Times New Roman"/>
                <w:bCs/>
                <w:kern w:val="0"/>
                <w:sz w:val="21"/>
                <w:szCs w:val="21"/>
              </w:rPr>
              <w:t>4</w:t>
            </w:r>
          </w:p>
        </w:tc>
        <w:tc>
          <w:tcPr>
            <w:tcW w:w="2175" w:type="dxa"/>
            <w:vAlign w:val="center"/>
          </w:tcPr>
          <w:p>
            <w:pPr>
              <w:jc w:val="center"/>
              <w:rPr>
                <w:rFonts w:ascii="Times New Roman" w:hAnsi="Times New Roman"/>
                <w:bCs/>
                <w:kern w:val="0"/>
                <w:sz w:val="21"/>
              </w:rPr>
            </w:pPr>
            <w:r>
              <w:rPr>
                <w:rFonts w:ascii="Times New Roman" w:hAnsi="Times New Roman"/>
                <w:bCs/>
                <w:kern w:val="0"/>
                <w:sz w:val="21"/>
                <w:szCs w:val="21"/>
              </w:rPr>
              <w:t>纳林希里矿井</w:t>
            </w:r>
          </w:p>
        </w:tc>
        <w:tc>
          <w:tcPr>
            <w:tcW w:w="1935" w:type="dxa"/>
            <w:vAlign w:val="center"/>
          </w:tcPr>
          <w:p>
            <w:pPr>
              <w:widowControl/>
              <w:adjustRightInd w:val="0"/>
              <w:snapToGrid w:val="0"/>
              <w:jc w:val="center"/>
              <w:rPr>
                <w:rFonts w:ascii="Times New Roman" w:hAnsi="Times New Roman"/>
                <w:bCs/>
                <w:kern w:val="0"/>
                <w:sz w:val="21"/>
              </w:rPr>
            </w:pPr>
            <w:r>
              <w:rPr>
                <w:rFonts w:ascii="Times New Roman" w:hAnsi="Times New Roman" w:eastAsia="汉鼎简书"/>
                <w:kern w:val="0"/>
                <w:sz w:val="21"/>
                <w:szCs w:val="21"/>
              </w:rPr>
              <w:t>8.00</w:t>
            </w:r>
          </w:p>
        </w:tc>
        <w:tc>
          <w:tcPr>
            <w:tcW w:w="2017" w:type="dxa"/>
            <w:vAlign w:val="center"/>
          </w:tcPr>
          <w:p>
            <w:pPr>
              <w:jc w:val="center"/>
              <w:rPr>
                <w:rFonts w:ascii="Times New Roman" w:hAnsi="Times New Roman"/>
                <w:bCs/>
                <w:kern w:val="0"/>
                <w:sz w:val="21"/>
              </w:rPr>
            </w:pPr>
            <w:r>
              <w:rPr>
                <w:rFonts w:ascii="Times New Roman" w:hAnsi="Times New Roman"/>
                <w:bCs/>
                <w:kern w:val="0"/>
                <w:sz w:val="21"/>
                <w:szCs w:val="21"/>
              </w:rPr>
              <w:t>14400</w:t>
            </w:r>
          </w:p>
        </w:tc>
        <w:tc>
          <w:tcPr>
            <w:tcW w:w="2283" w:type="dxa"/>
            <w:vAlign w:val="center"/>
          </w:tcPr>
          <w:p>
            <w:pPr>
              <w:jc w:val="center"/>
              <w:rPr>
                <w:rFonts w:ascii="Times New Roman" w:hAnsi="Times New Roman" w:eastAsiaTheme="minorEastAsia"/>
                <w:sz w:val="21"/>
              </w:rPr>
            </w:pPr>
            <w:r>
              <w:rPr>
                <w:rFonts w:ascii="Times New Roman" w:hAnsi="Times New Roman" w:eastAsiaTheme="minorEastAsia"/>
                <w:sz w:val="21"/>
                <w:szCs w:val="21"/>
              </w:rPr>
              <w:t>10080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7" w:type="dxa"/>
            <w:shd w:val="clear" w:color="auto" w:fill="auto"/>
            <w:vAlign w:val="center"/>
          </w:tcPr>
          <w:p>
            <w:pPr>
              <w:jc w:val="center"/>
              <w:rPr>
                <w:rFonts w:ascii="Times New Roman" w:hAnsi="Times New Roman"/>
                <w:bCs/>
                <w:kern w:val="0"/>
                <w:sz w:val="21"/>
              </w:rPr>
            </w:pPr>
            <w:r>
              <w:rPr>
                <w:rFonts w:ascii="Times New Roman" w:hAnsi="Times New Roman"/>
                <w:bCs/>
                <w:kern w:val="0"/>
                <w:sz w:val="21"/>
                <w:szCs w:val="21"/>
              </w:rPr>
              <w:t>5</w:t>
            </w:r>
          </w:p>
        </w:tc>
        <w:tc>
          <w:tcPr>
            <w:tcW w:w="2175" w:type="dxa"/>
            <w:shd w:val="clear" w:color="000000" w:fill="FFFFFF"/>
            <w:vAlign w:val="center"/>
          </w:tcPr>
          <w:p>
            <w:pPr>
              <w:jc w:val="center"/>
              <w:rPr>
                <w:rFonts w:ascii="Times New Roman" w:hAnsi="Times New Roman"/>
                <w:bCs/>
                <w:kern w:val="0"/>
                <w:sz w:val="21"/>
              </w:rPr>
            </w:pPr>
            <w:r>
              <w:rPr>
                <w:rFonts w:ascii="Times New Roman" w:hAnsi="Times New Roman"/>
                <w:bCs/>
                <w:kern w:val="0"/>
                <w:sz w:val="21"/>
                <w:szCs w:val="21"/>
              </w:rPr>
              <w:t>合计</w:t>
            </w:r>
          </w:p>
        </w:tc>
        <w:tc>
          <w:tcPr>
            <w:tcW w:w="1935" w:type="dxa"/>
            <w:shd w:val="clear" w:color="000000" w:fill="FFFFFF"/>
            <w:vAlign w:val="center"/>
          </w:tcPr>
          <w:p>
            <w:pPr>
              <w:jc w:val="center"/>
              <w:rPr>
                <w:rFonts w:ascii="Times New Roman" w:hAnsi="Times New Roman"/>
                <w:bCs/>
                <w:kern w:val="0"/>
                <w:sz w:val="21"/>
              </w:rPr>
            </w:pPr>
            <w:r>
              <w:rPr>
                <w:rFonts w:ascii="Times New Roman" w:hAnsi="Times New Roman"/>
                <w:bCs/>
                <w:kern w:val="0"/>
                <w:sz w:val="21"/>
                <w:szCs w:val="21"/>
              </w:rPr>
              <w:t>32.00</w:t>
            </w:r>
          </w:p>
        </w:tc>
        <w:tc>
          <w:tcPr>
            <w:tcW w:w="2017" w:type="dxa"/>
            <w:shd w:val="clear" w:color="000000" w:fill="FFFFFF"/>
            <w:vAlign w:val="center"/>
          </w:tcPr>
          <w:p>
            <w:pPr>
              <w:jc w:val="center"/>
              <w:rPr>
                <w:rFonts w:ascii="Times New Roman" w:hAnsi="Times New Roman"/>
                <w:bCs/>
                <w:kern w:val="0"/>
                <w:sz w:val="21"/>
              </w:rPr>
            </w:pPr>
            <w:r>
              <w:rPr>
                <w:rFonts w:ascii="Times New Roman" w:hAnsi="Times New Roman"/>
                <w:bCs/>
                <w:kern w:val="0"/>
                <w:sz w:val="21"/>
                <w:szCs w:val="21"/>
              </w:rPr>
              <w:t>79200</w:t>
            </w:r>
          </w:p>
        </w:tc>
        <w:tc>
          <w:tcPr>
            <w:tcW w:w="2283" w:type="dxa"/>
            <w:vAlign w:val="center"/>
          </w:tcPr>
          <w:p>
            <w:pPr>
              <w:jc w:val="center"/>
              <w:rPr>
                <w:rFonts w:ascii="Times New Roman" w:hAnsi="Times New Roman"/>
                <w:bCs/>
                <w:kern w:val="0"/>
                <w:sz w:val="21"/>
              </w:rPr>
            </w:pPr>
            <w:r>
              <w:rPr>
                <w:rFonts w:ascii="Times New Roman" w:hAnsi="Times New Roman"/>
                <w:bCs/>
                <w:kern w:val="0"/>
                <w:sz w:val="21"/>
                <w:szCs w:val="21"/>
              </w:rPr>
              <w:t>55440</w:t>
            </w:r>
          </w:p>
        </w:tc>
      </w:tr>
    </w:tbl>
    <w:p>
      <w:pPr>
        <w:keepNext/>
        <w:keepLines/>
        <w:adjustRightInd w:val="0"/>
        <w:snapToGrid w:val="0"/>
        <w:spacing w:line="440" w:lineRule="exact"/>
        <w:outlineLvl w:val="3"/>
        <w:rPr>
          <w:rFonts w:ascii="Times New Roman" w:hAnsi="Times New Roman"/>
          <w:b/>
        </w:rPr>
      </w:pPr>
      <w:r>
        <w:rPr>
          <w:rFonts w:ascii="Times New Roman" w:hAnsi="Times New Roman"/>
          <w:b/>
        </w:rPr>
        <w:t>6.1.5.3 矿区生活污水</w:t>
      </w:r>
    </w:p>
    <w:p>
      <w:pPr>
        <w:adjustRightInd w:val="0"/>
        <w:snapToGrid w:val="0"/>
        <w:spacing w:line="440" w:lineRule="exact"/>
        <w:ind w:firstLine="480" w:firstLineChars="200"/>
        <w:rPr>
          <w:rFonts w:ascii="Times New Roman" w:hAnsi="Times New Roman"/>
        </w:rPr>
      </w:pPr>
      <w:r>
        <w:rPr>
          <w:rFonts w:ascii="Times New Roman" w:hAnsi="Times New Roman"/>
        </w:rPr>
        <w:t>本次矿区达产时，规划考虑生活用水回用量取生活用水量的80%，生活污水经二级处理后全部</w:t>
      </w:r>
      <w:r>
        <w:rPr>
          <w:rStyle w:val="74"/>
          <w:rFonts w:ascii="Times New Roman" w:hAnsi="Times New Roman"/>
          <w:sz w:val="24"/>
          <w:szCs w:val="22"/>
        </w:rPr>
        <w:t>回用</w:t>
      </w:r>
      <w:r>
        <w:rPr>
          <w:rStyle w:val="74"/>
          <w:rFonts w:ascii="Times New Roman" w:hAnsi="Times New Roman"/>
        </w:rPr>
        <w:t>，</w:t>
      </w:r>
      <w:r>
        <w:rPr>
          <w:rStyle w:val="74"/>
          <w:rFonts w:ascii="Times New Roman" w:hAnsi="Times New Roman"/>
          <w:sz w:val="24"/>
          <w:szCs w:val="22"/>
        </w:rPr>
        <w:t>由于规划已充分考虑生活污水损耗，因此本次评价生活污水</w:t>
      </w:r>
      <w:r>
        <w:rPr>
          <w:rFonts w:ascii="Times New Roman" w:hAnsi="Times New Roman"/>
          <w:kern w:val="0"/>
        </w:rPr>
        <w:t>可利用水量即为生活用水量的80%。</w:t>
      </w:r>
    </w:p>
    <w:p>
      <w:pPr>
        <w:autoSpaceDE w:val="0"/>
        <w:autoSpaceDN w:val="0"/>
        <w:adjustRightInd w:val="0"/>
        <w:snapToGrid w:val="0"/>
        <w:spacing w:line="440" w:lineRule="exact"/>
        <w:jc w:val="center"/>
        <w:rPr>
          <w:rFonts w:ascii="Times New Roman" w:hAnsi="Times New Roman"/>
          <w:b/>
          <w:kern w:val="0"/>
        </w:rPr>
      </w:pPr>
      <w:r>
        <w:rPr>
          <w:rFonts w:ascii="Times New Roman" w:hAnsi="Times New Roman"/>
          <w:b/>
          <w:kern w:val="0"/>
        </w:rPr>
        <w:t>矿区规划达产时生活污水产生量估算表</w:t>
      </w:r>
    </w:p>
    <w:p>
      <w:pPr>
        <w:widowControl/>
        <w:adjustRightInd w:val="0"/>
        <w:snapToGrid w:val="0"/>
        <w:spacing w:line="440" w:lineRule="exact"/>
        <w:ind w:firstLine="120" w:firstLineChars="50"/>
        <w:outlineLvl w:val="4"/>
        <w:rPr>
          <w:rFonts w:ascii="Times New Roman" w:hAnsi="Times New Roman"/>
          <w:kern w:val="0"/>
        </w:rPr>
      </w:pPr>
      <w:r>
        <w:rPr>
          <w:rFonts w:ascii="Times New Roman" w:hAnsi="Times New Roman"/>
        </w:rPr>
        <w:t>表6.1-5</w:t>
      </w:r>
    </w:p>
    <w:tbl>
      <w:tblPr>
        <w:tblStyle w:val="59"/>
        <w:tblW w:w="9287" w:type="dxa"/>
        <w:jc w:val="center"/>
        <w:tblLayout w:type="fixed"/>
        <w:tblCellMar>
          <w:top w:w="0" w:type="dxa"/>
          <w:left w:w="108" w:type="dxa"/>
          <w:bottom w:w="0" w:type="dxa"/>
          <w:right w:w="108" w:type="dxa"/>
        </w:tblCellMar>
      </w:tblPr>
      <w:tblGrid>
        <w:gridCol w:w="1004"/>
        <w:gridCol w:w="1951"/>
        <w:gridCol w:w="1734"/>
        <w:gridCol w:w="2026"/>
        <w:gridCol w:w="2572"/>
      </w:tblGrid>
      <w:tr>
        <w:tblPrEx>
          <w:tblCellMar>
            <w:top w:w="0" w:type="dxa"/>
            <w:left w:w="108" w:type="dxa"/>
            <w:bottom w:w="0" w:type="dxa"/>
            <w:right w:w="108" w:type="dxa"/>
          </w:tblCellMar>
        </w:tblPrEx>
        <w:trPr>
          <w:trHeight w:val="397" w:hRule="atLeast"/>
          <w:jc w:val="center"/>
        </w:trPr>
        <w:tc>
          <w:tcPr>
            <w:tcW w:w="1004"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序号</w:t>
            </w:r>
          </w:p>
        </w:tc>
        <w:tc>
          <w:tcPr>
            <w:tcW w:w="1951"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项目名称</w:t>
            </w:r>
          </w:p>
        </w:tc>
        <w:tc>
          <w:tcPr>
            <w:tcW w:w="1734" w:type="dxa"/>
            <w:tcBorders>
              <w:top w:val="single" w:color="auto" w:sz="4" w:space="0"/>
              <w:left w:val="nil"/>
              <w:bottom w:val="single" w:color="auto"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矿井规模（</w:t>
            </w:r>
            <w:r>
              <w:rPr>
                <w:rFonts w:ascii="Times New Roman" w:hAnsi="Times New Roman" w:eastAsia="汉鼎简书"/>
                <w:kern w:val="0"/>
                <w:sz w:val="18"/>
                <w:szCs w:val="18"/>
              </w:rPr>
              <w:t>Mt/a</w:t>
            </w:r>
            <w:r>
              <w:rPr>
                <w:rFonts w:ascii="Times New Roman" w:hAnsi="Times New Roman"/>
                <w:bCs/>
                <w:kern w:val="0"/>
                <w:sz w:val="21"/>
                <w:szCs w:val="21"/>
              </w:rPr>
              <w:t>）</w:t>
            </w:r>
          </w:p>
        </w:tc>
        <w:tc>
          <w:tcPr>
            <w:tcW w:w="2026"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rPr>
              <w:t>生活污水用水量</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2572"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bCs/>
                <w:kern w:val="0"/>
                <w:sz w:val="21"/>
              </w:rPr>
            </w:pPr>
            <w:r>
              <w:rPr>
                <w:rFonts w:ascii="Times New Roman" w:hAnsi="Times New Roman"/>
                <w:sz w:val="21"/>
                <w:szCs w:val="21"/>
              </w:rPr>
              <w:t>可利用量(m</w:t>
            </w:r>
            <w:r>
              <w:rPr>
                <w:rFonts w:ascii="Times New Roman" w:hAnsi="Times New Roman"/>
                <w:sz w:val="21"/>
                <w:szCs w:val="21"/>
                <w:vertAlign w:val="superscript"/>
              </w:rPr>
              <w:t>3</w:t>
            </w:r>
            <w:r>
              <w:rPr>
                <w:rFonts w:ascii="Times New Roman" w:hAnsi="Times New Roman"/>
                <w:sz w:val="21"/>
                <w:szCs w:val="21"/>
              </w:rPr>
              <w:t>/d)</w:t>
            </w:r>
          </w:p>
        </w:tc>
      </w:tr>
      <w:tr>
        <w:tblPrEx>
          <w:tblCellMar>
            <w:top w:w="0" w:type="dxa"/>
            <w:left w:w="108" w:type="dxa"/>
            <w:bottom w:w="0" w:type="dxa"/>
            <w:right w:w="108" w:type="dxa"/>
          </w:tblCellMar>
        </w:tblPrEx>
        <w:trPr>
          <w:trHeight w:val="417" w:hRule="atLeast"/>
          <w:jc w:val="center"/>
        </w:trPr>
        <w:tc>
          <w:tcPr>
            <w:tcW w:w="1004"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1</w:t>
            </w:r>
          </w:p>
        </w:tc>
        <w:tc>
          <w:tcPr>
            <w:tcW w:w="1951"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奎腾沟矿井</w:t>
            </w:r>
          </w:p>
        </w:tc>
        <w:tc>
          <w:tcPr>
            <w:tcW w:w="1734"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lang w:bidi="ar"/>
              </w:rPr>
            </w:pPr>
            <w:r>
              <w:rPr>
                <w:rFonts w:ascii="Times New Roman" w:hAnsi="Times New Roman" w:eastAsia="汉鼎简书"/>
                <w:kern w:val="0"/>
                <w:sz w:val="21"/>
                <w:szCs w:val="21"/>
              </w:rPr>
              <w:t>8.00</w:t>
            </w:r>
          </w:p>
        </w:tc>
        <w:tc>
          <w:tcPr>
            <w:tcW w:w="202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szCs w:val="21"/>
                <w:lang w:bidi="ar"/>
              </w:rPr>
            </w:pPr>
            <w:r>
              <w:rPr>
                <w:rFonts w:ascii="Times New Roman" w:hAnsi="Times New Roman" w:eastAsia="汉鼎简书"/>
                <w:kern w:val="0"/>
                <w:sz w:val="21"/>
                <w:szCs w:val="21"/>
                <w:lang w:bidi="ar"/>
              </w:rPr>
              <w:t>1188</w:t>
            </w:r>
          </w:p>
        </w:tc>
        <w:tc>
          <w:tcPr>
            <w:tcW w:w="257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rPr>
            </w:pPr>
            <w:r>
              <w:rPr>
                <w:rFonts w:ascii="Times New Roman" w:hAnsi="Times New Roman" w:eastAsia="汉鼎简书"/>
                <w:kern w:val="0"/>
                <w:sz w:val="21"/>
                <w:szCs w:val="21"/>
                <w:lang w:bidi="ar"/>
              </w:rPr>
              <w:t>950</w:t>
            </w:r>
          </w:p>
        </w:tc>
      </w:tr>
      <w:tr>
        <w:tblPrEx>
          <w:tblCellMar>
            <w:top w:w="0" w:type="dxa"/>
            <w:left w:w="108" w:type="dxa"/>
            <w:bottom w:w="0" w:type="dxa"/>
            <w:right w:w="108" w:type="dxa"/>
          </w:tblCellMar>
        </w:tblPrEx>
        <w:trPr>
          <w:trHeight w:val="397" w:hRule="atLeast"/>
          <w:jc w:val="center"/>
        </w:trPr>
        <w:tc>
          <w:tcPr>
            <w:tcW w:w="1004"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2</w:t>
            </w:r>
          </w:p>
        </w:tc>
        <w:tc>
          <w:tcPr>
            <w:tcW w:w="1951"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苏布尔嘎矿井</w:t>
            </w:r>
          </w:p>
        </w:tc>
        <w:tc>
          <w:tcPr>
            <w:tcW w:w="1734"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lang w:bidi="ar"/>
              </w:rPr>
            </w:pPr>
            <w:r>
              <w:rPr>
                <w:rFonts w:ascii="Times New Roman" w:hAnsi="Times New Roman" w:eastAsia="汉鼎简书"/>
                <w:kern w:val="0"/>
                <w:sz w:val="21"/>
                <w:szCs w:val="21"/>
              </w:rPr>
              <w:t>8.00</w:t>
            </w:r>
          </w:p>
        </w:tc>
        <w:tc>
          <w:tcPr>
            <w:tcW w:w="202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szCs w:val="21"/>
                <w:lang w:bidi="ar"/>
              </w:rPr>
            </w:pPr>
            <w:r>
              <w:rPr>
                <w:rFonts w:ascii="Times New Roman" w:hAnsi="Times New Roman" w:eastAsia="汉鼎简书"/>
                <w:kern w:val="0"/>
                <w:sz w:val="21"/>
                <w:szCs w:val="21"/>
                <w:lang w:bidi="ar"/>
              </w:rPr>
              <w:t>1188</w:t>
            </w:r>
          </w:p>
        </w:tc>
        <w:tc>
          <w:tcPr>
            <w:tcW w:w="257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rPr>
            </w:pPr>
            <w:r>
              <w:rPr>
                <w:rFonts w:ascii="Times New Roman" w:hAnsi="Times New Roman" w:eastAsia="汉鼎简书"/>
                <w:kern w:val="0"/>
                <w:sz w:val="21"/>
                <w:szCs w:val="21"/>
                <w:lang w:bidi="ar"/>
              </w:rPr>
              <w:t>950</w:t>
            </w:r>
          </w:p>
        </w:tc>
      </w:tr>
      <w:tr>
        <w:tblPrEx>
          <w:tblCellMar>
            <w:top w:w="0" w:type="dxa"/>
            <w:left w:w="108" w:type="dxa"/>
            <w:bottom w:w="0" w:type="dxa"/>
            <w:right w:w="108" w:type="dxa"/>
          </w:tblCellMar>
        </w:tblPrEx>
        <w:trPr>
          <w:trHeight w:val="397" w:hRule="atLeast"/>
          <w:jc w:val="center"/>
        </w:trPr>
        <w:tc>
          <w:tcPr>
            <w:tcW w:w="1004"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3</w:t>
            </w:r>
          </w:p>
        </w:tc>
        <w:tc>
          <w:tcPr>
            <w:tcW w:w="1951"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壕赖苏矿井</w:t>
            </w:r>
          </w:p>
        </w:tc>
        <w:tc>
          <w:tcPr>
            <w:tcW w:w="1734"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lang w:bidi="ar"/>
              </w:rPr>
            </w:pPr>
            <w:r>
              <w:rPr>
                <w:rFonts w:ascii="Times New Roman" w:hAnsi="Times New Roman" w:eastAsia="汉鼎简书"/>
                <w:kern w:val="0"/>
                <w:sz w:val="21"/>
                <w:szCs w:val="21"/>
              </w:rPr>
              <w:t>8.00</w:t>
            </w:r>
          </w:p>
        </w:tc>
        <w:tc>
          <w:tcPr>
            <w:tcW w:w="202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szCs w:val="21"/>
                <w:lang w:bidi="ar"/>
              </w:rPr>
            </w:pPr>
            <w:r>
              <w:rPr>
                <w:rFonts w:ascii="Times New Roman" w:hAnsi="Times New Roman" w:eastAsia="汉鼎简书"/>
                <w:kern w:val="0"/>
                <w:sz w:val="21"/>
                <w:szCs w:val="21"/>
                <w:lang w:bidi="ar"/>
              </w:rPr>
              <w:t>1188</w:t>
            </w:r>
          </w:p>
        </w:tc>
        <w:tc>
          <w:tcPr>
            <w:tcW w:w="257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rPr>
            </w:pPr>
            <w:r>
              <w:rPr>
                <w:rFonts w:ascii="Times New Roman" w:hAnsi="Times New Roman" w:eastAsia="汉鼎简书"/>
                <w:kern w:val="0"/>
                <w:sz w:val="21"/>
                <w:szCs w:val="21"/>
                <w:lang w:bidi="ar"/>
              </w:rPr>
              <w:t>950</w:t>
            </w:r>
          </w:p>
        </w:tc>
      </w:tr>
      <w:tr>
        <w:tblPrEx>
          <w:tblCellMar>
            <w:top w:w="0" w:type="dxa"/>
            <w:left w:w="108" w:type="dxa"/>
            <w:bottom w:w="0" w:type="dxa"/>
            <w:right w:w="108" w:type="dxa"/>
          </w:tblCellMar>
        </w:tblPrEx>
        <w:trPr>
          <w:trHeight w:val="397" w:hRule="atLeast"/>
          <w:jc w:val="center"/>
        </w:trPr>
        <w:tc>
          <w:tcPr>
            <w:tcW w:w="1004"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4</w:t>
            </w:r>
          </w:p>
        </w:tc>
        <w:tc>
          <w:tcPr>
            <w:tcW w:w="1951"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纳林希里矿井</w:t>
            </w:r>
          </w:p>
        </w:tc>
        <w:tc>
          <w:tcPr>
            <w:tcW w:w="1734" w:type="dxa"/>
            <w:tcBorders>
              <w:top w:val="single" w:color="auto" w:sz="4" w:space="0"/>
              <w:left w:val="nil"/>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lang w:bidi="ar"/>
              </w:rPr>
            </w:pPr>
            <w:r>
              <w:rPr>
                <w:rFonts w:ascii="Times New Roman" w:hAnsi="Times New Roman" w:eastAsia="汉鼎简书"/>
                <w:kern w:val="0"/>
                <w:sz w:val="21"/>
                <w:szCs w:val="21"/>
              </w:rPr>
              <w:t>8.00</w:t>
            </w:r>
          </w:p>
        </w:tc>
        <w:tc>
          <w:tcPr>
            <w:tcW w:w="202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szCs w:val="21"/>
                <w:lang w:bidi="ar"/>
              </w:rPr>
            </w:pPr>
            <w:r>
              <w:rPr>
                <w:rFonts w:ascii="Times New Roman" w:hAnsi="Times New Roman" w:eastAsia="汉鼎简书"/>
                <w:kern w:val="0"/>
                <w:sz w:val="21"/>
                <w:szCs w:val="21"/>
                <w:lang w:bidi="ar"/>
              </w:rPr>
              <w:t>1188</w:t>
            </w:r>
          </w:p>
        </w:tc>
        <w:tc>
          <w:tcPr>
            <w:tcW w:w="257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rPr>
            </w:pPr>
            <w:r>
              <w:rPr>
                <w:rFonts w:ascii="Times New Roman" w:hAnsi="Times New Roman" w:eastAsia="汉鼎简书"/>
                <w:kern w:val="0"/>
                <w:sz w:val="21"/>
                <w:szCs w:val="21"/>
                <w:lang w:bidi="ar"/>
              </w:rPr>
              <w:t>950</w:t>
            </w:r>
          </w:p>
        </w:tc>
      </w:tr>
      <w:tr>
        <w:tblPrEx>
          <w:tblCellMar>
            <w:top w:w="0" w:type="dxa"/>
            <w:left w:w="108" w:type="dxa"/>
            <w:bottom w:w="0" w:type="dxa"/>
            <w:right w:w="108" w:type="dxa"/>
          </w:tblCellMar>
        </w:tblPrEx>
        <w:trPr>
          <w:trHeight w:val="397" w:hRule="atLeast"/>
          <w:jc w:val="center"/>
        </w:trPr>
        <w:tc>
          <w:tcPr>
            <w:tcW w:w="1004"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5</w:t>
            </w:r>
          </w:p>
        </w:tc>
        <w:tc>
          <w:tcPr>
            <w:tcW w:w="1951" w:type="dxa"/>
            <w:tcBorders>
              <w:top w:val="single" w:color="auto" w:sz="4" w:space="0"/>
              <w:left w:val="single" w:color="auto" w:sz="4" w:space="0"/>
              <w:bottom w:val="single" w:color="000000" w:sz="4" w:space="0"/>
              <w:right w:val="single" w:color="auto" w:sz="4" w:space="0"/>
            </w:tcBorders>
            <w:vAlign w:val="center"/>
          </w:tcPr>
          <w:p>
            <w:pPr>
              <w:jc w:val="center"/>
              <w:rPr>
                <w:rFonts w:ascii="Times New Roman" w:hAnsi="Times New Roman"/>
                <w:bCs/>
                <w:kern w:val="0"/>
                <w:sz w:val="21"/>
              </w:rPr>
            </w:pPr>
            <w:r>
              <w:rPr>
                <w:rFonts w:ascii="Times New Roman" w:hAnsi="Times New Roman"/>
                <w:bCs/>
                <w:kern w:val="0"/>
                <w:sz w:val="21"/>
                <w:szCs w:val="21"/>
              </w:rPr>
              <w:t>辅助中心区</w:t>
            </w:r>
          </w:p>
        </w:tc>
        <w:tc>
          <w:tcPr>
            <w:tcW w:w="1734" w:type="dxa"/>
            <w:tcBorders>
              <w:top w:val="single" w:color="auto" w:sz="4" w:space="0"/>
              <w:left w:val="nil"/>
              <w:bottom w:val="single" w:color="auto" w:sz="4" w:space="0"/>
              <w:right w:val="single" w:color="auto" w:sz="4" w:space="0"/>
            </w:tcBorders>
            <w:vAlign w:val="center"/>
          </w:tcPr>
          <w:p>
            <w:pPr>
              <w:jc w:val="center"/>
              <w:rPr>
                <w:rFonts w:ascii="Times New Roman" w:hAnsi="Times New Roman" w:eastAsia="汉鼎简书"/>
                <w:kern w:val="0"/>
                <w:sz w:val="21"/>
                <w:lang w:bidi="ar"/>
              </w:rPr>
            </w:pPr>
            <w:r>
              <w:rPr>
                <w:rFonts w:ascii="Times New Roman" w:hAnsi="Times New Roman" w:eastAsia="汉鼎简书"/>
                <w:kern w:val="0"/>
                <w:sz w:val="21"/>
                <w:lang w:bidi="ar"/>
              </w:rPr>
              <w:t>/</w:t>
            </w:r>
          </w:p>
        </w:tc>
        <w:tc>
          <w:tcPr>
            <w:tcW w:w="202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szCs w:val="21"/>
                <w:lang w:bidi="ar"/>
              </w:rPr>
            </w:pPr>
            <w:r>
              <w:rPr>
                <w:rFonts w:ascii="Times New Roman" w:hAnsi="Times New Roman" w:eastAsia="汉鼎简书"/>
                <w:kern w:val="0"/>
                <w:sz w:val="21"/>
                <w:szCs w:val="21"/>
                <w:lang w:bidi="ar"/>
              </w:rPr>
              <w:t>712</w:t>
            </w:r>
          </w:p>
        </w:tc>
        <w:tc>
          <w:tcPr>
            <w:tcW w:w="257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rPr>
            </w:pPr>
            <w:r>
              <w:rPr>
                <w:rFonts w:ascii="Times New Roman" w:hAnsi="Times New Roman" w:eastAsia="汉鼎简书"/>
                <w:kern w:val="0"/>
                <w:sz w:val="21"/>
                <w:szCs w:val="21"/>
                <w:lang w:bidi="ar"/>
              </w:rPr>
              <w:t>569</w:t>
            </w:r>
          </w:p>
        </w:tc>
      </w:tr>
      <w:tr>
        <w:tblPrEx>
          <w:tblCellMar>
            <w:top w:w="0" w:type="dxa"/>
            <w:left w:w="108" w:type="dxa"/>
            <w:bottom w:w="0" w:type="dxa"/>
            <w:right w:w="108" w:type="dxa"/>
          </w:tblCellMar>
        </w:tblPrEx>
        <w:trPr>
          <w:trHeight w:val="397" w:hRule="atLeast"/>
          <w:jc w:val="center"/>
        </w:trPr>
        <w:tc>
          <w:tcPr>
            <w:tcW w:w="1004"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bCs/>
                <w:kern w:val="0"/>
                <w:sz w:val="21"/>
              </w:rPr>
            </w:pPr>
          </w:p>
        </w:tc>
        <w:tc>
          <w:tcPr>
            <w:tcW w:w="1951" w:type="dxa"/>
            <w:tcBorders>
              <w:top w:val="single" w:color="auto" w:sz="4" w:space="0"/>
              <w:left w:val="nil"/>
              <w:bottom w:val="single" w:color="auto" w:sz="4" w:space="0"/>
              <w:right w:val="single" w:color="auto" w:sz="4" w:space="0"/>
            </w:tcBorders>
            <w:shd w:val="clear" w:color="000000" w:fill="FFFFFF"/>
            <w:vAlign w:val="center"/>
          </w:tcPr>
          <w:p>
            <w:pPr>
              <w:jc w:val="center"/>
              <w:rPr>
                <w:rFonts w:ascii="Times New Roman" w:hAnsi="Times New Roman"/>
                <w:bCs/>
                <w:kern w:val="0"/>
                <w:sz w:val="21"/>
              </w:rPr>
            </w:pPr>
            <w:r>
              <w:rPr>
                <w:rFonts w:ascii="Times New Roman" w:hAnsi="Times New Roman"/>
                <w:bCs/>
                <w:kern w:val="0"/>
                <w:sz w:val="21"/>
                <w:szCs w:val="21"/>
              </w:rPr>
              <w:t>合计</w:t>
            </w:r>
          </w:p>
        </w:tc>
        <w:tc>
          <w:tcPr>
            <w:tcW w:w="1734" w:type="dxa"/>
            <w:tcBorders>
              <w:top w:val="single" w:color="auto" w:sz="4" w:space="0"/>
              <w:left w:val="nil"/>
              <w:bottom w:val="single" w:color="auto" w:sz="4" w:space="0"/>
              <w:right w:val="single" w:color="auto" w:sz="4" w:space="0"/>
            </w:tcBorders>
            <w:vAlign w:val="center"/>
          </w:tcPr>
          <w:p>
            <w:pPr>
              <w:jc w:val="center"/>
              <w:rPr>
                <w:rFonts w:ascii="Times New Roman" w:hAnsi="Times New Roman" w:eastAsia="汉鼎简书"/>
                <w:kern w:val="0"/>
                <w:sz w:val="21"/>
                <w:lang w:bidi="ar"/>
              </w:rPr>
            </w:pPr>
            <w:r>
              <w:rPr>
                <w:rFonts w:ascii="Times New Roman" w:hAnsi="Times New Roman"/>
                <w:bCs/>
                <w:kern w:val="0"/>
                <w:sz w:val="21"/>
                <w:szCs w:val="21"/>
              </w:rPr>
              <w:t>32.00</w:t>
            </w:r>
          </w:p>
        </w:tc>
        <w:tc>
          <w:tcPr>
            <w:tcW w:w="2026"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汉鼎简书"/>
                <w:kern w:val="0"/>
                <w:sz w:val="21"/>
                <w:szCs w:val="21"/>
                <w:lang w:bidi="ar"/>
              </w:rPr>
            </w:pPr>
            <w:r>
              <w:rPr>
                <w:rFonts w:ascii="Times New Roman" w:hAnsi="Times New Roman" w:eastAsia="汉鼎简书"/>
                <w:kern w:val="0"/>
                <w:sz w:val="21"/>
                <w:szCs w:val="21"/>
                <w:lang w:bidi="ar"/>
              </w:rPr>
              <w:t>5463</w:t>
            </w:r>
          </w:p>
        </w:tc>
        <w:tc>
          <w:tcPr>
            <w:tcW w:w="257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bCs/>
                <w:kern w:val="0"/>
                <w:sz w:val="21"/>
              </w:rPr>
            </w:pPr>
            <w:r>
              <w:rPr>
                <w:rFonts w:ascii="Times New Roman" w:hAnsi="Times New Roman"/>
                <w:bCs/>
                <w:kern w:val="0"/>
                <w:sz w:val="21"/>
                <w:szCs w:val="21"/>
              </w:rPr>
              <w:t>4370</w:t>
            </w:r>
          </w:p>
        </w:tc>
      </w:tr>
    </w:tbl>
    <w:p>
      <w:pPr>
        <w:keepNext/>
        <w:keepLines/>
        <w:adjustRightInd w:val="0"/>
        <w:snapToGrid w:val="0"/>
        <w:spacing w:before="100" w:beforeAutospacing="1" w:line="440" w:lineRule="exact"/>
        <w:outlineLvl w:val="3"/>
        <w:rPr>
          <w:rFonts w:ascii="Times New Roman" w:hAnsi="Times New Roman"/>
          <w:b/>
        </w:rPr>
      </w:pPr>
      <w:r>
        <w:rPr>
          <w:rFonts w:ascii="Times New Roman" w:hAnsi="Times New Roman"/>
          <w:b/>
        </w:rPr>
        <w:t>6.1.5.4 矿区水源可供水量</w:t>
      </w:r>
    </w:p>
    <w:p>
      <w:pPr>
        <w:adjustRightInd w:val="0"/>
        <w:snapToGrid w:val="0"/>
        <w:spacing w:line="440" w:lineRule="exact"/>
        <w:ind w:firstLine="480" w:firstLineChars="200"/>
        <w:rPr>
          <w:rFonts w:ascii="Times New Roman" w:hAnsi="Times New Roman"/>
        </w:rPr>
      </w:pPr>
      <w:r>
        <w:rPr>
          <w:rFonts w:ascii="Times New Roman" w:hAnsi="Times New Roman"/>
        </w:rPr>
        <w:t>根据总体规划，生产用水优先取用矿井水回用水、生产生活污水回用。</w:t>
      </w:r>
    </w:p>
    <w:p>
      <w:pPr>
        <w:adjustRightInd w:val="0"/>
        <w:snapToGrid w:val="0"/>
        <w:spacing w:line="440" w:lineRule="exact"/>
        <w:jc w:val="center"/>
        <w:rPr>
          <w:rFonts w:ascii="Times New Roman" w:hAnsi="Times New Roman"/>
          <w:b/>
        </w:rPr>
      </w:pPr>
      <w:r>
        <w:rPr>
          <w:rFonts w:ascii="Times New Roman" w:hAnsi="Times New Roman"/>
          <w:b/>
        </w:rPr>
        <w:t>矿区达产时水源可供水量一览表</w:t>
      </w:r>
    </w:p>
    <w:p>
      <w:pPr>
        <w:widowControl/>
        <w:adjustRightInd w:val="0"/>
        <w:snapToGrid w:val="0"/>
        <w:outlineLvl w:val="4"/>
        <w:rPr>
          <w:rFonts w:ascii="Times New Roman" w:hAnsi="Times New Roman"/>
          <w:kern w:val="0"/>
        </w:rPr>
      </w:pPr>
      <w:r>
        <w:rPr>
          <w:rFonts w:ascii="Times New Roman" w:hAnsi="Times New Roman"/>
          <w:kern w:val="0"/>
        </w:rPr>
        <w:t>表6.1-6                                                            单位：m</w:t>
      </w:r>
      <w:r>
        <w:rPr>
          <w:rFonts w:ascii="Times New Roman" w:hAnsi="Times New Roman"/>
          <w:kern w:val="0"/>
          <w:vertAlign w:val="superscript"/>
        </w:rPr>
        <w:t>3</w:t>
      </w:r>
      <w:r>
        <w:rPr>
          <w:rFonts w:ascii="Times New Roman" w:hAnsi="Times New Roman"/>
          <w:kern w:val="0"/>
        </w:rPr>
        <w:t>/d</w:t>
      </w:r>
    </w:p>
    <w:tbl>
      <w:tblPr>
        <w:tblStyle w:val="59"/>
        <w:tblW w:w="92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5"/>
        <w:gridCol w:w="2997"/>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3105" w:type="dxa"/>
            <w:shd w:val="clear" w:color="000000" w:fill="FFFFFF"/>
            <w:vAlign w:val="center"/>
          </w:tcPr>
          <w:p>
            <w:pPr>
              <w:widowControl/>
              <w:jc w:val="center"/>
              <w:rPr>
                <w:rFonts w:ascii="Times New Roman" w:hAnsi="Times New Roman"/>
                <w:kern w:val="0"/>
                <w:sz w:val="21"/>
              </w:rPr>
            </w:pPr>
            <w:r>
              <w:rPr>
                <w:rFonts w:ascii="Times New Roman" w:hAnsi="Times New Roman"/>
                <w:kern w:val="0"/>
                <w:sz w:val="21"/>
                <w:szCs w:val="21"/>
              </w:rPr>
              <w:t>矿井水可回用量</w:t>
            </w:r>
          </w:p>
        </w:tc>
        <w:tc>
          <w:tcPr>
            <w:tcW w:w="2997" w:type="dxa"/>
            <w:shd w:val="clear" w:color="000000" w:fill="FFFFFF"/>
            <w:vAlign w:val="center"/>
          </w:tcPr>
          <w:p>
            <w:pPr>
              <w:widowControl/>
              <w:jc w:val="center"/>
              <w:rPr>
                <w:rFonts w:ascii="Times New Roman" w:hAnsi="Times New Roman"/>
                <w:kern w:val="0"/>
                <w:sz w:val="21"/>
              </w:rPr>
            </w:pPr>
            <w:r>
              <w:rPr>
                <w:rFonts w:ascii="Times New Roman" w:hAnsi="Times New Roman"/>
                <w:kern w:val="0"/>
                <w:sz w:val="21"/>
                <w:szCs w:val="21"/>
              </w:rPr>
              <w:t>生活污水可回用量</w:t>
            </w:r>
          </w:p>
        </w:tc>
        <w:tc>
          <w:tcPr>
            <w:tcW w:w="3192" w:type="dxa"/>
            <w:shd w:val="clear" w:color="000000" w:fill="FFFFFF"/>
            <w:vAlign w:val="center"/>
          </w:tcPr>
          <w:p>
            <w:pPr>
              <w:widowControl/>
              <w:jc w:val="center"/>
              <w:rPr>
                <w:rFonts w:ascii="Times New Roman" w:hAnsi="Times New Roman"/>
                <w:kern w:val="0"/>
                <w:sz w:val="21"/>
              </w:rPr>
            </w:pPr>
            <w:r>
              <w:rPr>
                <w:rFonts w:ascii="Times New Roman" w:hAnsi="Times New Roman"/>
                <w:kern w:val="0"/>
                <w:sz w:val="21"/>
                <w:szCs w:val="21"/>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3105" w:type="dxa"/>
            <w:shd w:val="clear" w:color="000000" w:fill="FFFFFF"/>
            <w:vAlign w:val="center"/>
          </w:tcPr>
          <w:p>
            <w:pPr>
              <w:jc w:val="center"/>
              <w:rPr>
                <w:rFonts w:ascii="Times New Roman" w:hAnsi="Times New Roman"/>
                <w:kern w:val="0"/>
                <w:sz w:val="21"/>
              </w:rPr>
            </w:pPr>
            <w:r>
              <w:rPr>
                <w:rFonts w:ascii="Times New Roman" w:hAnsi="Times New Roman"/>
                <w:kern w:val="0"/>
                <w:sz w:val="21"/>
                <w:szCs w:val="21"/>
              </w:rPr>
              <w:t>55440</w:t>
            </w:r>
          </w:p>
        </w:tc>
        <w:tc>
          <w:tcPr>
            <w:tcW w:w="2997" w:type="dxa"/>
            <w:shd w:val="clear" w:color="000000" w:fill="FFFFFF"/>
            <w:vAlign w:val="center"/>
          </w:tcPr>
          <w:p>
            <w:pPr>
              <w:widowControl/>
              <w:jc w:val="center"/>
              <w:rPr>
                <w:rFonts w:ascii="Times New Roman" w:hAnsi="Times New Roman"/>
                <w:kern w:val="0"/>
                <w:sz w:val="21"/>
              </w:rPr>
            </w:pPr>
            <w:r>
              <w:rPr>
                <w:rFonts w:ascii="Times New Roman" w:hAnsi="Times New Roman"/>
                <w:kern w:val="0"/>
                <w:sz w:val="21"/>
                <w:szCs w:val="21"/>
              </w:rPr>
              <w:t>4370</w:t>
            </w:r>
          </w:p>
        </w:tc>
        <w:tc>
          <w:tcPr>
            <w:tcW w:w="3192" w:type="dxa"/>
            <w:shd w:val="clear" w:color="000000" w:fill="FFFFFF"/>
            <w:vAlign w:val="center"/>
          </w:tcPr>
          <w:p>
            <w:pPr>
              <w:widowControl/>
              <w:jc w:val="center"/>
              <w:rPr>
                <w:rFonts w:ascii="Times New Roman" w:hAnsi="Times New Roman"/>
                <w:kern w:val="0"/>
                <w:sz w:val="21"/>
              </w:rPr>
            </w:pPr>
            <w:r>
              <w:rPr>
                <w:rFonts w:ascii="Times New Roman" w:hAnsi="Times New Roman"/>
                <w:kern w:val="0"/>
                <w:sz w:val="21"/>
              </w:rPr>
              <w:t>59810</w:t>
            </w:r>
          </w:p>
        </w:tc>
      </w:tr>
    </w:tbl>
    <w:p>
      <w:pPr>
        <w:keepNext/>
        <w:keepLines/>
        <w:adjustRightInd w:val="0"/>
        <w:snapToGrid w:val="0"/>
        <w:spacing w:before="100" w:beforeAutospacing="1" w:line="440" w:lineRule="exact"/>
        <w:outlineLvl w:val="2"/>
        <w:rPr>
          <w:rFonts w:ascii="Times New Roman" w:hAnsi="Times New Roman"/>
          <w:b/>
        </w:rPr>
      </w:pPr>
      <w:r>
        <w:rPr>
          <w:rFonts w:ascii="Times New Roman" w:hAnsi="Times New Roman"/>
          <w:b/>
        </w:rPr>
        <w:t>6.1.6 矿区水资源承载力分析</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矿区规划项目实施后总用水量为</w:t>
      </w:r>
      <w:r>
        <w:rPr>
          <w:rFonts w:ascii="Times New Roman" w:hAnsi="Times New Roman" w:eastAsia="等线"/>
          <w:kern w:val="0"/>
          <w:szCs w:val="24"/>
          <w:lang w:bidi="ar"/>
        </w:rPr>
        <w:t>21482.38</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/d，供水水源中矿井水与生活污水可利用水源量为</w:t>
      </w:r>
      <w:r>
        <w:rPr>
          <w:rFonts w:ascii="Times New Roman" w:hAnsi="Times New Roman"/>
          <w:kern w:val="0"/>
          <w:szCs w:val="24"/>
        </w:rPr>
        <w:t>59810</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/d，可供水量大于规划需水量，规划项目矿井水及生活污水处理后回用水资源即可满足规划项目用水需求，且有富余水量38327.62m</w:t>
      </w:r>
      <w:r>
        <w:rPr>
          <w:rFonts w:ascii="Times New Roman" w:hAnsi="Times New Roman"/>
          <w:szCs w:val="24"/>
          <w:vertAlign w:val="superscript"/>
        </w:rPr>
        <w:t>3</w:t>
      </w:r>
      <w:r>
        <w:rPr>
          <w:rFonts w:ascii="Times New Roman" w:hAnsi="Times New Roman"/>
          <w:szCs w:val="24"/>
        </w:rPr>
        <w:t>/d。</w:t>
      </w:r>
    </w:p>
    <w:p>
      <w:pPr>
        <w:topLinePunct/>
        <w:adjustRightInd w:val="0"/>
        <w:snapToGrid w:val="0"/>
        <w:spacing w:line="440" w:lineRule="exact"/>
        <w:ind w:firstLine="480" w:firstLineChars="200"/>
        <w:textAlignment w:val="baseline"/>
        <w:rPr>
          <w:rFonts w:ascii="Times New Roman" w:hAnsi="Times New Roman"/>
          <w:szCs w:val="24"/>
        </w:rPr>
      </w:pPr>
      <w:r>
        <w:rPr>
          <w:rFonts w:hint="eastAsia" w:ascii="Times New Roman" w:hAnsi="Times New Roman"/>
          <w:szCs w:val="24"/>
        </w:rPr>
        <w:t>本次评价</w:t>
      </w:r>
      <w:r>
        <w:rPr>
          <w:rFonts w:ascii="Times New Roman" w:hAnsi="Times New Roman"/>
          <w:szCs w:val="24"/>
        </w:rPr>
        <w:t>建议矿区优先利用处理后的矿井水及生产生活污水等作为水源，生产生活污水全部回用。</w:t>
      </w:r>
      <w:r>
        <w:rPr>
          <w:rFonts w:hint="eastAsia" w:ascii="Times New Roman" w:hAnsi="Times New Roman"/>
          <w:szCs w:val="24"/>
        </w:rPr>
        <w:t>矿井水</w:t>
      </w:r>
      <w:r>
        <w:rPr>
          <w:rFonts w:ascii="Times New Roman" w:hAnsi="Times New Roman"/>
        </w:rPr>
        <w:t>剩余部分可处理达到地表水III类水水质标准后，</w:t>
      </w:r>
      <w:r>
        <w:rPr>
          <w:rFonts w:hint="eastAsia" w:ascii="Times New Roman" w:hAnsi="Times New Roman"/>
        </w:rPr>
        <w:t>送至临近的蒙苏经济开发区及纳林希里4×1000MW煤电一体化电厂项目</w:t>
      </w:r>
      <w:r>
        <w:rPr>
          <w:rFonts w:ascii="Times New Roman" w:hAnsi="Times New Roman"/>
        </w:rPr>
        <w:t>作为生产、生活及园区绿化用水等综合利用。</w:t>
      </w:r>
      <w:r>
        <w:rPr>
          <w:rFonts w:hint="eastAsia" w:ascii="Times New Roman" w:hAnsi="Times New Roman"/>
        </w:rPr>
        <w:t>如有多余可</w:t>
      </w:r>
      <w:r>
        <w:rPr>
          <w:rFonts w:ascii="Times New Roman" w:hAnsi="Times New Roman"/>
        </w:rPr>
        <w:t>就近排入井田内地势低洼的淖尔，增加淖尔水量，改善淖尔水质及周边生态。</w:t>
      </w:r>
    </w:p>
    <w:p>
      <w:pPr>
        <w:pStyle w:val="2"/>
        <w:rPr>
          <w:color w:val="auto"/>
        </w:rPr>
      </w:pPr>
    </w:p>
    <w:p>
      <w:pPr>
        <w:spacing w:line="529" w:lineRule="exact"/>
        <w:jc w:val="center"/>
        <w:rPr>
          <w:rFonts w:ascii="Times New Roman" w:hAnsi="Times New Roman"/>
          <w:b/>
          <w:kern w:val="0"/>
          <w:szCs w:val="24"/>
        </w:rPr>
      </w:pPr>
    </w:p>
    <w:p>
      <w:pPr>
        <w:spacing w:line="529" w:lineRule="exact"/>
        <w:jc w:val="center"/>
        <w:rPr>
          <w:rFonts w:ascii="Times New Roman" w:hAnsi="Times New Roman"/>
          <w:b/>
          <w:kern w:val="0"/>
          <w:szCs w:val="24"/>
        </w:rPr>
      </w:pPr>
      <w:r>
        <w:rPr>
          <w:rFonts w:ascii="Times New Roman" w:hAnsi="Times New Roman"/>
          <w:b/>
          <w:kern w:val="0"/>
          <w:szCs w:val="24"/>
        </w:rPr>
        <w:t>矿区水资源供需平衡表</w:t>
      </w:r>
    </w:p>
    <w:p>
      <w:pPr>
        <w:widowControl/>
        <w:tabs>
          <w:tab w:val="center" w:pos="4394"/>
        </w:tabs>
        <w:adjustRightInd w:val="0"/>
        <w:snapToGrid w:val="0"/>
        <w:spacing w:line="440" w:lineRule="atLeast"/>
        <w:outlineLvl w:val="4"/>
        <w:rPr>
          <w:rFonts w:ascii="Times New Roman" w:hAnsi="Times New Roman"/>
          <w:kern w:val="0"/>
        </w:rPr>
      </w:pPr>
      <w:r>
        <w:rPr>
          <w:rFonts w:ascii="Times New Roman" w:hAnsi="Times New Roman"/>
          <w:kern w:val="0"/>
        </w:rPr>
        <w:t>表6.1-7                                                                 m</w:t>
      </w:r>
      <w:r>
        <w:rPr>
          <w:rFonts w:ascii="Times New Roman" w:hAnsi="Times New Roman"/>
          <w:kern w:val="0"/>
          <w:vertAlign w:val="superscript"/>
        </w:rPr>
        <w:t>3</w:t>
      </w:r>
      <w:r>
        <w:rPr>
          <w:rFonts w:ascii="Times New Roman" w:hAnsi="Times New Roman"/>
          <w:kern w:val="0"/>
        </w:rPr>
        <w:t>/d</w:t>
      </w:r>
    </w:p>
    <w:tbl>
      <w:tblPr>
        <w:tblStyle w:val="59"/>
        <w:tblW w:w="91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68"/>
        <w:gridCol w:w="925"/>
        <w:gridCol w:w="903"/>
        <w:gridCol w:w="897"/>
        <w:gridCol w:w="898"/>
        <w:gridCol w:w="1047"/>
        <w:gridCol w:w="1047"/>
        <w:gridCol w:w="1039"/>
        <w:gridCol w:w="1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68" w:type="dxa"/>
            <w:vMerge w:val="restart"/>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名称</w:t>
            </w:r>
          </w:p>
        </w:tc>
        <w:tc>
          <w:tcPr>
            <w:tcW w:w="925" w:type="dxa"/>
            <w:vMerge w:val="restart"/>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规模</w:t>
            </w:r>
          </w:p>
        </w:tc>
        <w:tc>
          <w:tcPr>
            <w:tcW w:w="2698" w:type="dxa"/>
            <w:gridSpan w:val="3"/>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用水量</w:t>
            </w:r>
          </w:p>
        </w:tc>
        <w:tc>
          <w:tcPr>
            <w:tcW w:w="3133" w:type="dxa"/>
            <w:gridSpan w:val="3"/>
            <w:shd w:val="clear" w:color="auto" w:fill="auto"/>
            <w:noWrap/>
            <w:vAlign w:val="center"/>
          </w:tcPr>
          <w:p>
            <w:pPr>
              <w:widowControl/>
              <w:jc w:val="center"/>
              <w:rPr>
                <w:rFonts w:ascii="Times New Roman" w:hAnsi="Times New Roman"/>
                <w:kern w:val="0"/>
                <w:sz w:val="21"/>
              </w:rPr>
            </w:pPr>
            <w:r>
              <w:rPr>
                <w:rFonts w:ascii="Times New Roman" w:hAnsi="Times New Roman"/>
                <w:kern w:val="0"/>
                <w:sz w:val="21"/>
                <w:szCs w:val="21"/>
              </w:rPr>
              <w:t>可供水水源水量</w:t>
            </w:r>
          </w:p>
        </w:tc>
        <w:tc>
          <w:tcPr>
            <w:tcW w:w="1203" w:type="dxa"/>
            <w:vMerge w:val="restart"/>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供需平衡情况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68" w:type="dxa"/>
            <w:vMerge w:val="continue"/>
            <w:vAlign w:val="center"/>
          </w:tcPr>
          <w:p>
            <w:pPr>
              <w:widowControl/>
              <w:jc w:val="left"/>
              <w:rPr>
                <w:rFonts w:ascii="Times New Roman" w:hAnsi="Times New Roman"/>
                <w:kern w:val="0"/>
                <w:sz w:val="21"/>
              </w:rPr>
            </w:pPr>
          </w:p>
        </w:tc>
        <w:tc>
          <w:tcPr>
            <w:tcW w:w="925" w:type="dxa"/>
            <w:vMerge w:val="continue"/>
            <w:vAlign w:val="center"/>
          </w:tcPr>
          <w:p>
            <w:pPr>
              <w:widowControl/>
              <w:jc w:val="left"/>
              <w:rPr>
                <w:rFonts w:ascii="Times New Roman" w:hAnsi="Times New Roman"/>
                <w:kern w:val="0"/>
                <w:sz w:val="21"/>
              </w:rPr>
            </w:pPr>
          </w:p>
        </w:tc>
        <w:tc>
          <w:tcPr>
            <w:tcW w:w="903"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生产</w:t>
            </w:r>
          </w:p>
          <w:p>
            <w:pPr>
              <w:widowControl/>
              <w:jc w:val="center"/>
              <w:rPr>
                <w:rFonts w:ascii="Times New Roman" w:hAnsi="Times New Roman"/>
                <w:kern w:val="0"/>
                <w:sz w:val="21"/>
              </w:rPr>
            </w:pPr>
            <w:r>
              <w:rPr>
                <w:rFonts w:ascii="Times New Roman" w:hAnsi="Times New Roman"/>
                <w:kern w:val="0"/>
                <w:sz w:val="21"/>
                <w:szCs w:val="21"/>
              </w:rPr>
              <w:t>用水</w:t>
            </w:r>
          </w:p>
        </w:tc>
        <w:tc>
          <w:tcPr>
            <w:tcW w:w="897"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生活</w:t>
            </w:r>
          </w:p>
          <w:p>
            <w:pPr>
              <w:widowControl/>
              <w:jc w:val="center"/>
              <w:rPr>
                <w:rFonts w:ascii="Times New Roman" w:hAnsi="Times New Roman"/>
                <w:kern w:val="0"/>
                <w:sz w:val="21"/>
              </w:rPr>
            </w:pPr>
            <w:r>
              <w:rPr>
                <w:rFonts w:ascii="Times New Roman" w:hAnsi="Times New Roman"/>
                <w:kern w:val="0"/>
                <w:sz w:val="21"/>
                <w:szCs w:val="21"/>
              </w:rPr>
              <w:t>用水</w:t>
            </w:r>
          </w:p>
        </w:tc>
        <w:tc>
          <w:tcPr>
            <w:tcW w:w="898"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总量</w:t>
            </w:r>
          </w:p>
        </w:tc>
        <w:tc>
          <w:tcPr>
            <w:tcW w:w="1047"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矿井水</w:t>
            </w:r>
          </w:p>
        </w:tc>
        <w:tc>
          <w:tcPr>
            <w:tcW w:w="1047"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生产生活污水</w:t>
            </w:r>
          </w:p>
        </w:tc>
        <w:tc>
          <w:tcPr>
            <w:tcW w:w="1039"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总量</w:t>
            </w:r>
          </w:p>
        </w:tc>
        <w:tc>
          <w:tcPr>
            <w:tcW w:w="1203" w:type="dxa"/>
            <w:vMerge w:val="continue"/>
            <w:shd w:val="clear" w:color="auto" w:fill="auto"/>
            <w:vAlign w:val="center"/>
          </w:tcPr>
          <w:p>
            <w:pPr>
              <w:widowControl/>
              <w:jc w:val="center"/>
              <w:rPr>
                <w:rFonts w:ascii="Times New Roman" w:hAnsi="Times New Roman"/>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16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纳林希里</w:t>
            </w:r>
          </w:p>
          <w:p>
            <w:pPr>
              <w:widowControl/>
              <w:jc w:val="center"/>
              <w:rPr>
                <w:rFonts w:ascii="Times New Roman" w:hAnsi="Times New Roman"/>
                <w:kern w:val="0"/>
                <w:sz w:val="21"/>
              </w:rPr>
            </w:pPr>
            <w:r>
              <w:rPr>
                <w:rFonts w:ascii="Times New Roman" w:hAnsi="Times New Roman"/>
                <w:kern w:val="0"/>
                <w:sz w:val="21"/>
                <w:szCs w:val="21"/>
              </w:rPr>
              <w:t>矿区</w:t>
            </w:r>
          </w:p>
        </w:tc>
        <w:tc>
          <w:tcPr>
            <w:tcW w:w="925"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32Mt/a</w:t>
            </w:r>
          </w:p>
        </w:tc>
        <w:tc>
          <w:tcPr>
            <w:tcW w:w="903" w:type="dxa"/>
            <w:shd w:val="clear" w:color="auto" w:fill="auto"/>
            <w:vAlign w:val="center"/>
          </w:tcPr>
          <w:p>
            <w:pPr>
              <w:widowControl/>
              <w:jc w:val="center"/>
              <w:rPr>
                <w:rFonts w:ascii="Times New Roman" w:hAnsi="Times New Roman" w:eastAsia="等线"/>
                <w:kern w:val="0"/>
                <w:sz w:val="21"/>
                <w:szCs w:val="21"/>
                <w:lang w:bidi="ar"/>
              </w:rPr>
            </w:pPr>
            <w:r>
              <w:rPr>
                <w:rFonts w:ascii="Times New Roman" w:hAnsi="Times New Roman"/>
                <w:kern w:val="0"/>
                <w:sz w:val="21"/>
                <w:szCs w:val="21"/>
              </w:rPr>
              <w:t>20663.61</w:t>
            </w:r>
          </w:p>
        </w:tc>
        <w:tc>
          <w:tcPr>
            <w:tcW w:w="897" w:type="dxa"/>
            <w:shd w:val="clear" w:color="auto" w:fill="auto"/>
            <w:vAlign w:val="center"/>
          </w:tcPr>
          <w:p>
            <w:pPr>
              <w:widowControl/>
              <w:jc w:val="center"/>
              <w:rPr>
                <w:rFonts w:ascii="Times New Roman" w:hAnsi="Times New Roman" w:eastAsia="等线"/>
                <w:kern w:val="0"/>
                <w:sz w:val="21"/>
                <w:szCs w:val="21"/>
                <w:lang w:bidi="ar"/>
              </w:rPr>
            </w:pPr>
            <w:r>
              <w:rPr>
                <w:rFonts w:ascii="Times New Roman" w:hAnsi="Times New Roman" w:eastAsia="等线"/>
                <w:kern w:val="0"/>
                <w:sz w:val="21"/>
                <w:szCs w:val="21"/>
                <w:lang w:bidi="ar"/>
              </w:rPr>
              <w:t>818.77</w:t>
            </w:r>
          </w:p>
        </w:tc>
        <w:tc>
          <w:tcPr>
            <w:tcW w:w="898" w:type="dxa"/>
            <w:shd w:val="clear" w:color="auto" w:fill="auto"/>
            <w:vAlign w:val="center"/>
          </w:tcPr>
          <w:p>
            <w:pPr>
              <w:widowControl/>
              <w:jc w:val="center"/>
              <w:rPr>
                <w:rFonts w:ascii="Times New Roman" w:hAnsi="Times New Roman"/>
                <w:kern w:val="0"/>
                <w:sz w:val="21"/>
                <w:szCs w:val="21"/>
              </w:rPr>
            </w:pPr>
            <w:r>
              <w:rPr>
                <w:rFonts w:ascii="Times New Roman" w:hAnsi="Times New Roman"/>
                <w:kern w:val="0"/>
                <w:sz w:val="21"/>
                <w:szCs w:val="21"/>
              </w:rPr>
              <w:t>21482.38</w:t>
            </w:r>
          </w:p>
        </w:tc>
        <w:tc>
          <w:tcPr>
            <w:tcW w:w="1047" w:type="dxa"/>
            <w:shd w:val="clear" w:color="auto" w:fill="auto"/>
            <w:noWrap/>
            <w:vAlign w:val="center"/>
          </w:tcPr>
          <w:p>
            <w:pPr>
              <w:widowControl/>
              <w:jc w:val="center"/>
              <w:rPr>
                <w:rFonts w:ascii="Times New Roman" w:hAnsi="Times New Roman"/>
                <w:kern w:val="0"/>
                <w:sz w:val="21"/>
              </w:rPr>
            </w:pPr>
            <w:r>
              <w:rPr>
                <w:rFonts w:ascii="Times New Roman" w:hAnsi="Times New Roman"/>
                <w:kern w:val="0"/>
                <w:sz w:val="21"/>
                <w:szCs w:val="21"/>
              </w:rPr>
              <w:t>55440</w:t>
            </w:r>
          </w:p>
        </w:tc>
        <w:tc>
          <w:tcPr>
            <w:tcW w:w="1047"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4370</w:t>
            </w:r>
          </w:p>
        </w:tc>
        <w:tc>
          <w:tcPr>
            <w:tcW w:w="1039" w:type="dxa"/>
            <w:shd w:val="clear" w:color="auto" w:fill="auto"/>
            <w:noWrap/>
            <w:vAlign w:val="center"/>
          </w:tcPr>
          <w:p>
            <w:pPr>
              <w:widowControl/>
              <w:jc w:val="center"/>
              <w:rPr>
                <w:rFonts w:ascii="Times New Roman" w:hAnsi="Times New Roman"/>
                <w:kern w:val="0"/>
                <w:sz w:val="21"/>
              </w:rPr>
            </w:pPr>
            <w:r>
              <w:rPr>
                <w:rFonts w:ascii="Times New Roman" w:hAnsi="Times New Roman"/>
                <w:kern w:val="0"/>
                <w:sz w:val="21"/>
                <w:szCs w:val="21"/>
              </w:rPr>
              <w:t>59810</w:t>
            </w:r>
          </w:p>
        </w:tc>
        <w:tc>
          <w:tcPr>
            <w:tcW w:w="1203" w:type="dxa"/>
            <w:shd w:val="clear" w:color="auto" w:fill="auto"/>
            <w:noWrap/>
            <w:vAlign w:val="center"/>
          </w:tcPr>
          <w:p>
            <w:pPr>
              <w:widowControl/>
              <w:jc w:val="center"/>
              <w:rPr>
                <w:rFonts w:ascii="Times New Roman" w:hAnsi="Times New Roman"/>
                <w:kern w:val="0"/>
                <w:sz w:val="21"/>
              </w:rPr>
            </w:pPr>
            <w:r>
              <w:rPr>
                <w:rFonts w:ascii="Times New Roman" w:hAnsi="Times New Roman"/>
                <w:kern w:val="0"/>
                <w:sz w:val="21"/>
                <w:szCs w:val="21"/>
              </w:rPr>
              <w:t>富余38327.62</w:t>
            </w:r>
          </w:p>
        </w:tc>
      </w:tr>
    </w:tbl>
    <w:p>
      <w:pPr>
        <w:keepNext/>
        <w:keepLines/>
        <w:adjustRightInd w:val="0"/>
        <w:snapToGrid w:val="0"/>
        <w:spacing w:line="440" w:lineRule="exact"/>
        <w:outlineLvl w:val="2"/>
        <w:rPr>
          <w:rFonts w:ascii="Times New Roman" w:hAnsi="Times New Roman"/>
          <w:b/>
        </w:rPr>
      </w:pPr>
      <w:r>
        <w:rPr>
          <w:rFonts w:ascii="Times New Roman" w:hAnsi="Times New Roman"/>
          <w:b/>
        </w:rPr>
        <w:t>6.1.7 水资源承载力分析结论</w:t>
      </w:r>
    </w:p>
    <w:p>
      <w:pPr>
        <w:adjustRightInd w:val="0"/>
        <w:snapToGrid w:val="0"/>
        <w:spacing w:line="440" w:lineRule="exact"/>
        <w:ind w:firstLine="480" w:firstLineChars="200"/>
        <w:rPr>
          <w:rFonts w:ascii="Times New Roman" w:hAnsi="Times New Roman"/>
        </w:rPr>
      </w:pPr>
      <w:r>
        <w:rPr>
          <w:rFonts w:ascii="Times New Roman" w:hAnsi="Times New Roman"/>
        </w:rPr>
        <w:t>本区地下水水资源较为丰富，从节约水资源及满足环保要求出发，设计优先考虑将井下排水、生活污水经处理后回用。分析结果表明，规划项目矿井水及生活污水处理后回用水资源即可</w:t>
      </w:r>
      <w:r>
        <w:rPr>
          <w:rFonts w:ascii="Times New Roman" w:hAnsi="Times New Roman"/>
          <w:szCs w:val="24"/>
        </w:rPr>
        <w:t>满足规划项目用水需求，且有富余水量38327.62</w:t>
      </w:r>
      <w:r>
        <w:rPr>
          <w:rFonts w:ascii="Times New Roman" w:hAnsi="Times New Roman"/>
        </w:rPr>
        <w:t>m</w:t>
      </w:r>
      <w:r>
        <w:rPr>
          <w:rFonts w:ascii="Times New Roman" w:hAnsi="Times New Roman"/>
          <w:vertAlign w:val="superscript"/>
        </w:rPr>
        <w:t>3</w:t>
      </w:r>
      <w:r>
        <w:rPr>
          <w:rFonts w:ascii="Times New Roman" w:hAnsi="Times New Roman"/>
        </w:rPr>
        <w:t>/d</w:t>
      </w:r>
      <w:r>
        <w:rPr>
          <w:rFonts w:ascii="Times New Roman" w:hAnsi="Times New Roman"/>
          <w:szCs w:val="24"/>
        </w:rPr>
        <w:t>，不需要额外取用新鲜水，满足水资源总量控制指标要求，</w:t>
      </w:r>
      <w:r>
        <w:rPr>
          <w:rFonts w:ascii="Times New Roman" w:hAnsi="Times New Roman"/>
        </w:rPr>
        <w:t>区域水资源可以承载矿区开发建设需要。</w:t>
      </w:r>
    </w:p>
    <w:p>
      <w:pPr>
        <w:pStyle w:val="4"/>
        <w:adjustRightInd w:val="0"/>
        <w:snapToGrid w:val="0"/>
        <w:spacing w:before="140" w:after="140" w:line="440" w:lineRule="exact"/>
        <w:jc w:val="left"/>
        <w:rPr>
          <w:rFonts w:ascii="Times New Roman" w:hAnsi="Times New Roman" w:eastAsia="宋体"/>
          <w:sz w:val="28"/>
        </w:rPr>
      </w:pPr>
      <w:bookmarkStart w:id="310" w:name="_Toc8373"/>
      <w:bookmarkStart w:id="311" w:name="_Toc18838465"/>
      <w:r>
        <w:rPr>
          <w:rFonts w:ascii="Times New Roman" w:hAnsi="Times New Roman" w:eastAsia="宋体"/>
          <w:sz w:val="28"/>
        </w:rPr>
        <w:t>6.2 矿区生态承载力分析</w:t>
      </w:r>
      <w:bookmarkEnd w:id="310"/>
      <w:bookmarkEnd w:id="311"/>
    </w:p>
    <w:bookmarkEnd w:id="309"/>
    <w:p>
      <w:pPr>
        <w:spacing w:line="440" w:lineRule="exact"/>
        <w:ind w:firstLine="482"/>
        <w:rPr>
          <w:rFonts w:ascii="Times New Roman" w:hAnsi="Times New Roman" w:eastAsia="MS Mincho"/>
          <w:szCs w:val="24"/>
        </w:rPr>
      </w:pPr>
      <w:bookmarkStart w:id="312" w:name="_Toc171214277"/>
      <w:r>
        <w:rPr>
          <w:rFonts w:ascii="Times New Roman" w:hAnsi="Times New Roman"/>
          <w:szCs w:val="24"/>
        </w:rPr>
        <w:t>生态承载支持能力大小取决于三个方面，分别为生态弹性能力，即生态系统的自恢复能力；资源承载能力，即生态系统主要要素的承载能力；承载压力度，即生态系统的负荷水平。因此反应生态承载力大小的生态承载指数也需从这三个方面确定，分别称为生态弹性力指数、资源承载指数和生态压力度指数。各指数评价分级标准见表6.2-1。</w:t>
      </w:r>
    </w:p>
    <w:p>
      <w:pPr>
        <w:spacing w:before="120" w:beforeLines="50" w:line="360" w:lineRule="auto"/>
        <w:jc w:val="center"/>
        <w:rPr>
          <w:rFonts w:ascii="Times New Roman" w:hAnsi="Times New Roman"/>
          <w:b/>
          <w:szCs w:val="24"/>
        </w:rPr>
      </w:pPr>
      <w:r>
        <w:rPr>
          <w:rFonts w:ascii="Times New Roman" w:hAnsi="Times New Roman"/>
          <w:b/>
          <w:szCs w:val="24"/>
        </w:rPr>
        <w:t>各级评价分级表</w:t>
      </w:r>
    </w:p>
    <w:p>
      <w:pPr>
        <w:spacing w:line="240" w:lineRule="exact"/>
        <w:jc w:val="left"/>
        <w:outlineLvl w:val="4"/>
        <w:rPr>
          <w:rFonts w:ascii="Times New Roman" w:hAnsi="Times New Roman"/>
          <w:szCs w:val="24"/>
        </w:rPr>
      </w:pPr>
      <w:r>
        <w:rPr>
          <w:rFonts w:ascii="Times New Roman" w:hAnsi="Times New Roman"/>
          <w:szCs w:val="24"/>
        </w:rPr>
        <w:t>表6.2-1</w:t>
      </w:r>
    </w:p>
    <w:tbl>
      <w:tblPr>
        <w:tblStyle w:val="5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434"/>
        <w:gridCol w:w="1547"/>
        <w:gridCol w:w="1547"/>
        <w:gridCol w:w="1549"/>
        <w:gridCol w:w="15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62"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分值</w:t>
            </w:r>
          </w:p>
        </w:tc>
        <w:tc>
          <w:tcPr>
            <w:tcW w:w="1434"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&lt;20</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21-40</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41-60</w:t>
            </w:r>
          </w:p>
        </w:tc>
        <w:tc>
          <w:tcPr>
            <w:tcW w:w="1549"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61-80</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&gt;80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62"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生态弹性</w:t>
            </w:r>
          </w:p>
        </w:tc>
        <w:tc>
          <w:tcPr>
            <w:tcW w:w="1434"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弱稳定</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不稳定</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中等稳定</w:t>
            </w:r>
          </w:p>
        </w:tc>
        <w:tc>
          <w:tcPr>
            <w:tcW w:w="1549"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较稳定</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很稳定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62"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资源承载</w:t>
            </w:r>
          </w:p>
        </w:tc>
        <w:tc>
          <w:tcPr>
            <w:tcW w:w="1434"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弱承载</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低承载</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中等承载</w:t>
            </w:r>
          </w:p>
        </w:tc>
        <w:tc>
          <w:tcPr>
            <w:tcW w:w="1549"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较高承载</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高承载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62"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承载压力</w:t>
            </w:r>
          </w:p>
        </w:tc>
        <w:tc>
          <w:tcPr>
            <w:tcW w:w="1434"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弱压</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低压</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中压</w:t>
            </w:r>
          </w:p>
        </w:tc>
        <w:tc>
          <w:tcPr>
            <w:tcW w:w="1549"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较高压</w:t>
            </w:r>
          </w:p>
        </w:tc>
        <w:tc>
          <w:tcPr>
            <w:tcW w:w="1547"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高压</w:t>
            </w:r>
          </w:p>
        </w:tc>
      </w:tr>
    </w:tbl>
    <w:p>
      <w:pPr>
        <w:keepNext/>
        <w:keepLines/>
        <w:adjustRightInd w:val="0"/>
        <w:snapToGrid w:val="0"/>
        <w:spacing w:line="440" w:lineRule="exact"/>
        <w:outlineLvl w:val="2"/>
        <w:rPr>
          <w:rFonts w:ascii="Times New Roman" w:hAnsi="Times New Roman"/>
          <w:b/>
        </w:rPr>
      </w:pPr>
      <w:r>
        <w:rPr>
          <w:rFonts w:ascii="Times New Roman" w:hAnsi="Times New Roman"/>
          <w:b/>
        </w:rPr>
        <w:t>6.2.1生态弹性度评价</w:t>
      </w:r>
    </w:p>
    <w:p>
      <w:pPr>
        <w:spacing w:line="440" w:lineRule="exact"/>
        <w:ind w:firstLine="480" w:firstLineChars="200"/>
        <w:rPr>
          <w:rFonts w:ascii="Times New Roman" w:hAnsi="Times New Roman"/>
          <w:szCs w:val="24"/>
        </w:rPr>
      </w:pPr>
      <w:r>
        <w:rPr>
          <w:rFonts w:ascii="Times New Roman" w:hAnsi="Times New Roman"/>
          <w:szCs w:val="24"/>
        </w:rPr>
        <w:t>生态系统弹性度衡量区域生态系统的自然承载能力。依据《可持续发展理论探索》（高吉喜，2001），影响生态系统弹性度的主要因素是地质地貌、气候、土壤、植被和水文，因此选择这五个指标进行评价。具体指标体系、权重及数值见表6.2-2。</w:t>
      </w:r>
    </w:p>
    <w:p>
      <w:pPr>
        <w:spacing w:before="120" w:beforeLines="50" w:line="360" w:lineRule="auto"/>
        <w:jc w:val="center"/>
        <w:rPr>
          <w:rFonts w:ascii="Times New Roman" w:hAnsi="Times New Roman"/>
          <w:b/>
          <w:szCs w:val="24"/>
        </w:rPr>
      </w:pPr>
      <w:r>
        <w:rPr>
          <w:rFonts w:ascii="Times New Roman" w:hAnsi="Times New Roman"/>
          <w:b/>
          <w:szCs w:val="24"/>
        </w:rPr>
        <w:t>生态弹性度指标体系及计算表</w:t>
      </w:r>
    </w:p>
    <w:p>
      <w:pPr>
        <w:spacing w:line="240" w:lineRule="exact"/>
        <w:jc w:val="left"/>
        <w:outlineLvl w:val="4"/>
        <w:rPr>
          <w:rFonts w:ascii="Times New Roman" w:hAnsi="Times New Roman"/>
          <w:szCs w:val="24"/>
        </w:rPr>
      </w:pPr>
      <w:r>
        <w:rPr>
          <w:rFonts w:ascii="Times New Roman" w:hAnsi="Times New Roman"/>
          <w:szCs w:val="24"/>
        </w:rPr>
        <w:t>表6.2-2</w:t>
      </w:r>
    </w:p>
    <w:tbl>
      <w:tblPr>
        <w:tblStyle w:val="59"/>
        <w:tblW w:w="91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2"/>
        <w:gridCol w:w="1461"/>
        <w:gridCol w:w="1762"/>
        <w:gridCol w:w="1530"/>
        <w:gridCol w:w="1557"/>
        <w:gridCol w:w="1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blHeader/>
          <w:jc w:val="center"/>
        </w:trPr>
        <w:tc>
          <w:tcPr>
            <w:tcW w:w="14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目标层</w:t>
            </w:r>
          </w:p>
        </w:tc>
        <w:tc>
          <w:tcPr>
            <w:tcW w:w="146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准则层</w:t>
            </w: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指标层</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权重</w:t>
            </w:r>
          </w:p>
        </w:tc>
        <w:tc>
          <w:tcPr>
            <w:tcW w:w="1557"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数值</w:t>
            </w:r>
          </w:p>
        </w:tc>
        <w:tc>
          <w:tcPr>
            <w:tcW w:w="1345"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restart"/>
            <w:vAlign w:val="center"/>
          </w:tcPr>
          <w:p>
            <w:pPr>
              <w:adjustRightInd w:val="0"/>
              <w:snapToGrid w:val="0"/>
              <w:jc w:val="center"/>
              <w:rPr>
                <w:rFonts w:ascii="Times New Roman" w:hAnsi="Times New Roman"/>
                <w:sz w:val="21"/>
                <w:szCs w:val="21"/>
              </w:rPr>
            </w:pPr>
            <w:r>
              <w:rPr>
                <w:rFonts w:ascii="Times New Roman" w:hAnsi="Times New Roman"/>
                <w:sz w:val="21"/>
                <w:szCs w:val="21"/>
              </w:rPr>
              <w:t>生态弹性度</w:t>
            </w:r>
          </w:p>
        </w:tc>
        <w:tc>
          <w:tcPr>
            <w:tcW w:w="1461" w:type="dxa"/>
            <w:vMerge w:val="restart"/>
            <w:vAlign w:val="center"/>
          </w:tcPr>
          <w:p>
            <w:pPr>
              <w:adjustRightInd w:val="0"/>
              <w:snapToGrid w:val="0"/>
              <w:jc w:val="center"/>
              <w:rPr>
                <w:rFonts w:ascii="Times New Roman" w:hAnsi="Times New Roman"/>
                <w:sz w:val="21"/>
                <w:szCs w:val="21"/>
              </w:rPr>
            </w:pPr>
            <w:r>
              <w:rPr>
                <w:rFonts w:ascii="Times New Roman" w:hAnsi="Times New Roman"/>
                <w:sz w:val="21"/>
                <w:szCs w:val="21"/>
              </w:rPr>
              <w:t>气候</w:t>
            </w: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年&gt;10℃积温</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0.03850</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3440℃</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eastAsia="等线"/>
                <w:kern w:val="0"/>
                <w:sz w:val="21"/>
                <w:szCs w:val="21"/>
                <w:lang w:bidi="ar"/>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continue"/>
            <w:vAlign w:val="center"/>
          </w:tcPr>
          <w:p>
            <w:pPr>
              <w:adjustRightInd w:val="0"/>
              <w:snapToGrid w:val="0"/>
              <w:ind w:firstLine="420" w:firstLineChars="200"/>
              <w:jc w:val="center"/>
              <w:rPr>
                <w:rFonts w:ascii="Times New Roman" w:hAnsi="Times New Roman"/>
                <w:sz w:val="21"/>
                <w:szCs w:val="21"/>
              </w:rPr>
            </w:pP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年平均降水量</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0.01284</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434.1毫米</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continue"/>
            <w:vAlign w:val="center"/>
          </w:tcPr>
          <w:p>
            <w:pPr>
              <w:adjustRightInd w:val="0"/>
              <w:snapToGrid w:val="0"/>
              <w:ind w:firstLine="420" w:firstLineChars="200"/>
              <w:jc w:val="center"/>
              <w:rPr>
                <w:rFonts w:ascii="Times New Roman" w:hAnsi="Times New Roman"/>
                <w:sz w:val="21"/>
                <w:szCs w:val="21"/>
              </w:rPr>
            </w:pP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年干燥度</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0.03049</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eastAsia="等线"/>
                <w:kern w:val="0"/>
                <w:sz w:val="21"/>
                <w:szCs w:val="21"/>
                <w:lang w:bidi="ar"/>
              </w:rPr>
              <w:t>3.94</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eastAsia="等线"/>
                <w:kern w:val="0"/>
                <w:sz w:val="21"/>
                <w:szCs w:val="21"/>
                <w:lang w:bidi="ar"/>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continue"/>
            <w:vAlign w:val="center"/>
          </w:tcPr>
          <w:p>
            <w:pPr>
              <w:adjustRightInd w:val="0"/>
              <w:snapToGrid w:val="0"/>
              <w:ind w:firstLine="420" w:firstLineChars="200"/>
              <w:jc w:val="center"/>
              <w:rPr>
                <w:rFonts w:ascii="Times New Roman" w:hAnsi="Times New Roman"/>
                <w:sz w:val="21"/>
                <w:szCs w:val="21"/>
              </w:rPr>
            </w:pP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无霜期</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0.01177</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150天</w:t>
            </w:r>
          </w:p>
        </w:tc>
        <w:tc>
          <w:tcPr>
            <w:tcW w:w="1345" w:type="dxa"/>
            <w:vAlign w:val="center"/>
          </w:tcPr>
          <w:p>
            <w:pPr>
              <w:widowControl/>
              <w:jc w:val="center"/>
              <w:textAlignment w:val="center"/>
              <w:rPr>
                <w:rFonts w:ascii="Times New Roman" w:hAnsi="Times New Roman"/>
                <w:sz w:val="21"/>
                <w:szCs w:val="24"/>
              </w:rPr>
            </w:pPr>
            <w:r>
              <w:rPr>
                <w:rFonts w:ascii="Times New Roman" w:hAnsi="Times New Roman"/>
                <w:kern w:val="0"/>
                <w:sz w:val="21"/>
                <w:szCs w:val="21"/>
                <w:lang w:bidi="ar"/>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restart"/>
            <w:vAlign w:val="center"/>
          </w:tcPr>
          <w:p>
            <w:pPr>
              <w:adjustRightInd w:val="0"/>
              <w:snapToGrid w:val="0"/>
              <w:jc w:val="center"/>
              <w:rPr>
                <w:rFonts w:ascii="Times New Roman" w:hAnsi="Times New Roman"/>
                <w:sz w:val="21"/>
                <w:szCs w:val="21"/>
              </w:rPr>
            </w:pPr>
            <w:r>
              <w:rPr>
                <w:rFonts w:ascii="Times New Roman" w:hAnsi="Times New Roman"/>
                <w:sz w:val="21"/>
                <w:szCs w:val="21"/>
              </w:rPr>
              <w:t>地物覆盖</w:t>
            </w: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类型</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0.07894</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林地、草地</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continue"/>
            <w:vAlign w:val="center"/>
          </w:tcPr>
          <w:p>
            <w:pPr>
              <w:adjustRightInd w:val="0"/>
              <w:snapToGrid w:val="0"/>
              <w:ind w:firstLine="420" w:firstLineChars="200"/>
              <w:jc w:val="center"/>
              <w:rPr>
                <w:rFonts w:ascii="Times New Roman" w:hAnsi="Times New Roman"/>
                <w:sz w:val="21"/>
                <w:szCs w:val="21"/>
              </w:rPr>
            </w:pP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质量</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0.03049</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一般</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restart"/>
            <w:vAlign w:val="center"/>
          </w:tcPr>
          <w:p>
            <w:pPr>
              <w:adjustRightInd w:val="0"/>
              <w:snapToGrid w:val="0"/>
              <w:jc w:val="center"/>
              <w:rPr>
                <w:rFonts w:ascii="Times New Roman" w:hAnsi="Times New Roman"/>
                <w:sz w:val="21"/>
                <w:szCs w:val="21"/>
              </w:rPr>
            </w:pPr>
            <w:r>
              <w:rPr>
                <w:rFonts w:ascii="Times New Roman" w:hAnsi="Times New Roman"/>
                <w:sz w:val="21"/>
                <w:szCs w:val="21"/>
              </w:rPr>
              <w:t>土壤</w:t>
            </w: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类型</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0.05294</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栗钙土、粗骨土、风沙土</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continue"/>
            <w:vAlign w:val="center"/>
          </w:tcPr>
          <w:p>
            <w:pPr>
              <w:adjustRightInd w:val="0"/>
              <w:snapToGrid w:val="0"/>
              <w:ind w:firstLine="420" w:firstLineChars="200"/>
              <w:jc w:val="center"/>
              <w:rPr>
                <w:rFonts w:ascii="Times New Roman" w:hAnsi="Times New Roman"/>
                <w:sz w:val="21"/>
                <w:szCs w:val="21"/>
              </w:rPr>
            </w:pP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质量</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0.03530</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较好</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restart"/>
            <w:vAlign w:val="center"/>
          </w:tcPr>
          <w:p>
            <w:pPr>
              <w:adjustRightInd w:val="0"/>
              <w:snapToGrid w:val="0"/>
              <w:jc w:val="center"/>
              <w:rPr>
                <w:rFonts w:ascii="Times New Roman" w:hAnsi="Times New Roman"/>
                <w:sz w:val="21"/>
                <w:szCs w:val="21"/>
              </w:rPr>
            </w:pPr>
            <w:r>
              <w:rPr>
                <w:rFonts w:ascii="Times New Roman" w:hAnsi="Times New Roman"/>
                <w:sz w:val="21"/>
                <w:szCs w:val="21"/>
              </w:rPr>
              <w:t>地形地貌</w:t>
            </w: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海拔高度</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0.13035</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1300-1500m</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continue"/>
            <w:vAlign w:val="center"/>
          </w:tcPr>
          <w:p>
            <w:pPr>
              <w:adjustRightInd w:val="0"/>
              <w:snapToGrid w:val="0"/>
              <w:ind w:firstLine="420" w:firstLineChars="200"/>
              <w:jc w:val="center"/>
              <w:rPr>
                <w:rFonts w:ascii="Times New Roman" w:hAnsi="Times New Roman"/>
                <w:sz w:val="21"/>
                <w:szCs w:val="21"/>
              </w:rPr>
            </w:pP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地貌类型</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0.13035</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风积丘陵</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eastAsia="等线"/>
                <w:kern w:val="0"/>
                <w:sz w:val="21"/>
                <w:szCs w:val="21"/>
                <w:lang w:bidi="ar"/>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restart"/>
            <w:vAlign w:val="center"/>
          </w:tcPr>
          <w:p>
            <w:pPr>
              <w:adjustRightInd w:val="0"/>
              <w:snapToGrid w:val="0"/>
              <w:jc w:val="center"/>
              <w:rPr>
                <w:rFonts w:ascii="Times New Roman" w:hAnsi="Times New Roman"/>
                <w:sz w:val="21"/>
                <w:szCs w:val="21"/>
              </w:rPr>
            </w:pPr>
            <w:r>
              <w:rPr>
                <w:rFonts w:ascii="Times New Roman" w:hAnsi="Times New Roman"/>
                <w:sz w:val="21"/>
                <w:szCs w:val="21"/>
              </w:rPr>
              <w:t>水文</w:t>
            </w: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地表径流</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0.3734</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有</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462" w:type="dxa"/>
            <w:vMerge w:val="continue"/>
            <w:vAlign w:val="center"/>
          </w:tcPr>
          <w:p>
            <w:pPr>
              <w:adjustRightInd w:val="0"/>
              <w:snapToGrid w:val="0"/>
              <w:ind w:firstLine="420" w:firstLineChars="200"/>
              <w:jc w:val="center"/>
              <w:rPr>
                <w:rFonts w:ascii="Times New Roman" w:hAnsi="Times New Roman"/>
                <w:sz w:val="21"/>
                <w:szCs w:val="21"/>
              </w:rPr>
            </w:pPr>
          </w:p>
        </w:tc>
        <w:tc>
          <w:tcPr>
            <w:tcW w:w="1461" w:type="dxa"/>
            <w:vMerge w:val="continue"/>
            <w:vAlign w:val="center"/>
          </w:tcPr>
          <w:p>
            <w:pPr>
              <w:adjustRightInd w:val="0"/>
              <w:snapToGrid w:val="0"/>
              <w:ind w:firstLine="420" w:firstLineChars="200"/>
              <w:jc w:val="center"/>
              <w:rPr>
                <w:rFonts w:ascii="Times New Roman" w:hAnsi="Times New Roman"/>
                <w:sz w:val="21"/>
                <w:szCs w:val="21"/>
              </w:rPr>
            </w:pPr>
          </w:p>
        </w:tc>
        <w:tc>
          <w:tcPr>
            <w:tcW w:w="176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地下水</w:t>
            </w:r>
          </w:p>
        </w:tc>
        <w:tc>
          <w:tcPr>
            <w:tcW w:w="1530"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0.07469</w:t>
            </w:r>
          </w:p>
        </w:tc>
        <w:tc>
          <w:tcPr>
            <w:tcW w:w="1557"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有</w:t>
            </w:r>
          </w:p>
        </w:tc>
        <w:tc>
          <w:tcPr>
            <w:tcW w:w="1345" w:type="dxa"/>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4685" w:type="dxa"/>
            <w:gridSpan w:val="3"/>
            <w:vAlign w:val="center"/>
          </w:tcPr>
          <w:p>
            <w:pPr>
              <w:adjustRightInd w:val="0"/>
              <w:snapToGrid w:val="0"/>
              <w:ind w:firstLine="420" w:firstLineChars="200"/>
              <w:jc w:val="center"/>
              <w:rPr>
                <w:rFonts w:ascii="Times New Roman" w:hAnsi="Times New Roman"/>
                <w:sz w:val="21"/>
                <w:szCs w:val="21"/>
              </w:rPr>
            </w:pPr>
            <w:r>
              <w:rPr>
                <w:rFonts w:ascii="Times New Roman" w:hAnsi="Times New Roman"/>
                <w:sz w:val="21"/>
                <w:szCs w:val="21"/>
              </w:rPr>
              <w:t>生态弹性力指数</w:t>
            </w:r>
          </w:p>
        </w:tc>
        <w:tc>
          <w:tcPr>
            <w:tcW w:w="4432" w:type="dxa"/>
            <w:gridSpan w:val="3"/>
            <w:vAlign w:val="center"/>
          </w:tcPr>
          <w:p>
            <w:pPr>
              <w:adjustRightInd w:val="0"/>
              <w:snapToGrid w:val="0"/>
              <w:jc w:val="center"/>
              <w:rPr>
                <w:rFonts w:ascii="Times New Roman" w:hAnsi="Times New Roman"/>
                <w:sz w:val="21"/>
                <w:szCs w:val="21"/>
              </w:rPr>
            </w:pPr>
            <w:r>
              <w:rPr>
                <w:rFonts w:ascii="Times New Roman" w:hAnsi="Times New Roman"/>
                <w:sz w:val="21"/>
                <w:szCs w:val="21"/>
              </w:rPr>
              <w:t>55.49</w:t>
            </w:r>
          </w:p>
        </w:tc>
      </w:tr>
    </w:tbl>
    <w:p>
      <w:pPr>
        <w:spacing w:before="100" w:beforeAutospacing="1" w:line="440" w:lineRule="exact"/>
        <w:ind w:firstLine="480" w:firstLineChars="200"/>
        <w:rPr>
          <w:rFonts w:ascii="Times New Roman" w:hAnsi="Times New Roman"/>
          <w:szCs w:val="24"/>
        </w:rPr>
      </w:pPr>
      <w:r>
        <w:rPr>
          <w:rFonts w:ascii="Times New Roman" w:hAnsi="Times New Roman"/>
          <w:szCs w:val="24"/>
        </w:rPr>
        <w:t>评价区生态弹性力指数计算结果为55.49，表明该区域为中等稳定区域，生态系统中等稳定，遭受外界干扰后有一定的自我恢复能力，但自我恢复能力较弱，破坏后的生态环境仍需要人为的干预、能量的持续输入才能得以恢复。</w:t>
      </w:r>
    </w:p>
    <w:p>
      <w:pPr>
        <w:keepNext/>
        <w:keepLines/>
        <w:adjustRightInd w:val="0"/>
        <w:snapToGrid w:val="0"/>
        <w:spacing w:line="440" w:lineRule="exact"/>
        <w:outlineLvl w:val="2"/>
        <w:rPr>
          <w:rFonts w:ascii="Times New Roman" w:hAnsi="Times New Roman"/>
          <w:b/>
        </w:rPr>
      </w:pPr>
      <w:r>
        <w:rPr>
          <w:rFonts w:ascii="Times New Roman" w:hAnsi="Times New Roman"/>
          <w:b/>
        </w:rPr>
        <w:t>6.2.2资源承载能力评价</w:t>
      </w:r>
    </w:p>
    <w:p>
      <w:pPr>
        <w:spacing w:line="440" w:lineRule="exact"/>
        <w:ind w:firstLine="480" w:firstLineChars="200"/>
        <w:rPr>
          <w:rFonts w:ascii="Times New Roman" w:hAnsi="Times New Roman"/>
          <w:szCs w:val="24"/>
        </w:rPr>
      </w:pPr>
      <w:r>
        <w:rPr>
          <w:rFonts w:ascii="Times New Roman" w:hAnsi="Times New Roman"/>
          <w:szCs w:val="24"/>
        </w:rPr>
        <w:t>水是制约该区域生态系统的关键因素，由于水资源的时空分布，导致区域土地利用类型的转化，最终决定土地承载力，本次评价通过水资源承载力和土地资源承载力分析，来分析区域资源承载力状况。</w:t>
      </w:r>
    </w:p>
    <w:p>
      <w:pPr>
        <w:keepNext/>
        <w:keepLines/>
        <w:adjustRightInd w:val="0"/>
        <w:snapToGrid w:val="0"/>
        <w:spacing w:line="440" w:lineRule="exact"/>
        <w:outlineLvl w:val="2"/>
        <w:rPr>
          <w:rFonts w:ascii="Times New Roman" w:hAnsi="Times New Roman"/>
          <w:b/>
        </w:rPr>
      </w:pPr>
      <w:r>
        <w:rPr>
          <w:rFonts w:ascii="Times New Roman" w:hAnsi="Times New Roman"/>
          <w:b/>
        </w:rPr>
        <w:t>6.2.2.1水资源承载力</w:t>
      </w:r>
    </w:p>
    <w:p>
      <w:pPr>
        <w:spacing w:line="440" w:lineRule="exact"/>
        <w:ind w:firstLine="480" w:firstLineChars="200"/>
        <w:rPr>
          <w:rFonts w:ascii="Times New Roman" w:hAnsi="Times New Roman"/>
          <w:szCs w:val="24"/>
        </w:rPr>
      </w:pPr>
      <w:r>
        <w:rPr>
          <w:rFonts w:ascii="Times New Roman" w:hAnsi="Times New Roman"/>
          <w:szCs w:val="24"/>
        </w:rPr>
        <w:t>（1）规划矿区水资源现状</w:t>
      </w:r>
    </w:p>
    <w:p>
      <w:pPr>
        <w:spacing w:line="440" w:lineRule="exact"/>
        <w:ind w:firstLine="480" w:firstLineChars="200"/>
        <w:rPr>
          <w:rFonts w:ascii="Times New Roman" w:hAnsi="Times New Roman"/>
          <w:szCs w:val="24"/>
        </w:rPr>
      </w:pPr>
      <w:r>
        <w:rPr>
          <w:rFonts w:ascii="Times New Roman" w:hAnsi="Times New Roman"/>
        </w:rPr>
        <w:t>规划矿区位于一个封闭的内陆湖淖水系内，矿区内仅有季节性河流分布，其水受大气降水控制，无外来地表径流补给。</w:t>
      </w:r>
    </w:p>
    <w:p>
      <w:pPr>
        <w:spacing w:line="440" w:lineRule="exact"/>
        <w:ind w:firstLine="480" w:firstLineChars="200"/>
        <w:rPr>
          <w:rFonts w:ascii="Times New Roman" w:hAnsi="Times New Roman"/>
          <w:szCs w:val="24"/>
        </w:rPr>
      </w:pPr>
      <w:r>
        <w:rPr>
          <w:rFonts w:ascii="Times New Roman" w:hAnsi="Times New Roman"/>
          <w:szCs w:val="24"/>
        </w:rPr>
        <w:t>矿区内无地表径流式河流。</w:t>
      </w:r>
    </w:p>
    <w:p>
      <w:pPr>
        <w:spacing w:line="440" w:lineRule="exact"/>
        <w:ind w:firstLine="480" w:firstLineChars="200"/>
        <w:rPr>
          <w:rFonts w:ascii="Times New Roman" w:hAnsi="Times New Roman"/>
          <w:szCs w:val="24"/>
        </w:rPr>
      </w:pPr>
      <w:r>
        <w:rPr>
          <w:rFonts w:ascii="Times New Roman" w:hAnsi="Times New Roman"/>
          <w:szCs w:val="24"/>
        </w:rPr>
        <w:t>（2）分值确定</w:t>
      </w:r>
    </w:p>
    <w:p>
      <w:pPr>
        <w:spacing w:line="440" w:lineRule="exact"/>
        <w:ind w:firstLine="480" w:firstLineChars="200"/>
        <w:rPr>
          <w:rFonts w:ascii="Times New Roman" w:hAnsi="Times New Roman"/>
          <w:szCs w:val="24"/>
        </w:rPr>
      </w:pPr>
      <w:r>
        <w:rPr>
          <w:rFonts w:ascii="Times New Roman" w:hAnsi="Times New Roman"/>
          <w:szCs w:val="24"/>
        </w:rPr>
        <w:t>根据《中国自然资源手册（程鸿，1990）》提供资料，我国单位面积年地表径流量在0.0002～0.0107亿m</w:t>
      </w:r>
      <w:r>
        <w:rPr>
          <w:rFonts w:ascii="Times New Roman" w:hAnsi="Times New Roman"/>
          <w:szCs w:val="24"/>
          <w:vertAlign w:val="superscript"/>
        </w:rPr>
        <w:t>3</w:t>
      </w:r>
      <w:r>
        <w:rPr>
          <w:rFonts w:ascii="Times New Roman" w:hAnsi="Times New Roman"/>
          <w:szCs w:val="24"/>
        </w:rPr>
        <w:t>之间，据此我们将其分成10个段次，然后径流量大小赋予不同的分值，见表6.2-3。</w:t>
      </w:r>
    </w:p>
    <w:p>
      <w:pPr>
        <w:spacing w:line="440" w:lineRule="exact"/>
        <w:jc w:val="center"/>
        <w:rPr>
          <w:rFonts w:ascii="Times New Roman" w:hAnsi="Times New Roman"/>
          <w:b/>
          <w:szCs w:val="24"/>
        </w:rPr>
      </w:pPr>
      <w:r>
        <w:rPr>
          <w:rFonts w:ascii="Times New Roman" w:hAnsi="Times New Roman"/>
          <w:b/>
          <w:szCs w:val="24"/>
        </w:rPr>
        <w:t>地表径流等级划分</w:t>
      </w:r>
    </w:p>
    <w:p>
      <w:pPr>
        <w:spacing w:line="240" w:lineRule="exact"/>
        <w:jc w:val="left"/>
        <w:outlineLvl w:val="4"/>
        <w:rPr>
          <w:rFonts w:ascii="Times New Roman" w:hAnsi="Times New Roman"/>
          <w:szCs w:val="24"/>
        </w:rPr>
      </w:pPr>
      <w:r>
        <w:rPr>
          <w:rFonts w:ascii="Times New Roman" w:hAnsi="Times New Roman"/>
          <w:szCs w:val="24"/>
        </w:rPr>
        <w:t>表6.2-3</w:t>
      </w:r>
    </w:p>
    <w:tbl>
      <w:tblPr>
        <w:tblStyle w:val="5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7"/>
        <w:gridCol w:w="812"/>
        <w:gridCol w:w="866"/>
        <w:gridCol w:w="866"/>
        <w:gridCol w:w="866"/>
        <w:gridCol w:w="866"/>
        <w:gridCol w:w="866"/>
        <w:gridCol w:w="866"/>
        <w:gridCol w:w="868"/>
        <w:gridCol w:w="8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7"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径流量（10</w:t>
            </w:r>
            <w:r>
              <w:rPr>
                <w:rFonts w:ascii="Times New Roman" w:hAnsi="Times New Roman"/>
                <w:sz w:val="21"/>
                <w:szCs w:val="21"/>
                <w:vertAlign w:val="superscript"/>
              </w:rPr>
              <w:t>4</w:t>
            </w: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/km</w:t>
            </w:r>
            <w:r>
              <w:rPr>
                <w:rFonts w:ascii="Times New Roman" w:hAnsi="Times New Roman"/>
                <w:sz w:val="21"/>
                <w:szCs w:val="21"/>
                <w:vertAlign w:val="superscript"/>
              </w:rPr>
              <w:t>2</w:t>
            </w:r>
            <w:r>
              <w:rPr>
                <w:rFonts w:ascii="Times New Roman" w:hAnsi="Times New Roman"/>
                <w:sz w:val="21"/>
                <w:szCs w:val="21"/>
              </w:rPr>
              <w:t>）</w:t>
            </w:r>
          </w:p>
        </w:tc>
        <w:tc>
          <w:tcPr>
            <w:tcW w:w="81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&lt;0.5</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0.5-1.0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1.0-2.0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2.0-3.0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3.0-4.0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4.0-5.0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5.0-6.0</w:t>
            </w:r>
          </w:p>
        </w:tc>
        <w:tc>
          <w:tcPr>
            <w:tcW w:w="868"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6.0-7.0</w:t>
            </w:r>
          </w:p>
        </w:tc>
        <w:tc>
          <w:tcPr>
            <w:tcW w:w="86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7.0-8.0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7"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分值</w:t>
            </w:r>
          </w:p>
        </w:tc>
        <w:tc>
          <w:tcPr>
            <w:tcW w:w="812"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0-20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20-30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30-40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40-50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50-60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60-70</w:t>
            </w:r>
          </w:p>
        </w:tc>
        <w:tc>
          <w:tcPr>
            <w:tcW w:w="866"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70-80</w:t>
            </w:r>
          </w:p>
        </w:tc>
        <w:tc>
          <w:tcPr>
            <w:tcW w:w="868"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80-90</w:t>
            </w:r>
          </w:p>
        </w:tc>
        <w:tc>
          <w:tcPr>
            <w:tcW w:w="86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&gt;90</w:t>
            </w:r>
          </w:p>
        </w:tc>
      </w:tr>
    </w:tbl>
    <w:p>
      <w:pPr>
        <w:spacing w:before="120" w:beforeLines="50" w:line="440" w:lineRule="exact"/>
        <w:ind w:firstLine="480" w:firstLineChars="200"/>
        <w:rPr>
          <w:rFonts w:ascii="Times New Roman" w:hAnsi="Times New Roman"/>
          <w:szCs w:val="24"/>
        </w:rPr>
      </w:pPr>
      <w:r>
        <w:rPr>
          <w:rFonts w:ascii="Times New Roman" w:hAnsi="Times New Roman"/>
          <w:szCs w:val="24"/>
        </w:rPr>
        <w:t>降水分值的确定依据两个方面：一是我国全年的平均降水量水平，二是植物对水分的需求。根据统计资料表明，我国多年平均降水量高值区为1400～2200mm，低值区为35～100mm。大多数农作物在生长期的需水量在500～800之间。根据这两方面情况，确定不同降水量的分值如表6.2-4。</w:t>
      </w:r>
    </w:p>
    <w:p>
      <w:pPr>
        <w:spacing w:line="360" w:lineRule="auto"/>
        <w:jc w:val="center"/>
        <w:rPr>
          <w:rFonts w:ascii="Times New Roman" w:hAnsi="Times New Roman"/>
          <w:b/>
          <w:szCs w:val="24"/>
        </w:rPr>
      </w:pPr>
      <w:r>
        <w:rPr>
          <w:rFonts w:ascii="Times New Roman" w:hAnsi="Times New Roman"/>
          <w:b/>
          <w:szCs w:val="24"/>
        </w:rPr>
        <w:t>降水量分级表</w:t>
      </w:r>
    </w:p>
    <w:p>
      <w:pPr>
        <w:spacing w:line="240" w:lineRule="exact"/>
        <w:jc w:val="left"/>
        <w:outlineLvl w:val="4"/>
        <w:rPr>
          <w:rFonts w:ascii="Times New Roman" w:hAnsi="Times New Roman"/>
          <w:szCs w:val="24"/>
        </w:rPr>
      </w:pPr>
      <w:r>
        <w:rPr>
          <w:rFonts w:ascii="Times New Roman" w:hAnsi="Times New Roman"/>
          <w:szCs w:val="24"/>
        </w:rPr>
        <w:t>表6.2-4</w:t>
      </w:r>
    </w:p>
    <w:tbl>
      <w:tblPr>
        <w:tblStyle w:val="59"/>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6"/>
        <w:gridCol w:w="1326"/>
        <w:gridCol w:w="1326"/>
        <w:gridCol w:w="1326"/>
        <w:gridCol w:w="1326"/>
        <w:gridCol w:w="1328"/>
        <w:gridCol w:w="13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降水量</w:t>
            </w:r>
          </w:p>
          <w:p>
            <w:pPr>
              <w:adjustRightInd w:val="0"/>
              <w:snapToGrid w:val="0"/>
              <w:spacing w:line="240" w:lineRule="exact"/>
              <w:jc w:val="center"/>
              <w:rPr>
                <w:rFonts w:ascii="Times New Roman" w:hAnsi="Times New Roman"/>
                <w:szCs w:val="21"/>
              </w:rPr>
            </w:pPr>
            <w:r>
              <w:rPr>
                <w:rFonts w:ascii="Times New Roman" w:hAnsi="Times New Roman"/>
                <w:sz w:val="21"/>
                <w:szCs w:val="21"/>
              </w:rPr>
              <w:t>（mm）</w:t>
            </w:r>
          </w:p>
        </w:tc>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&lt;100</w:t>
            </w:r>
          </w:p>
        </w:tc>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100-200</w:t>
            </w:r>
          </w:p>
        </w:tc>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200-400</w:t>
            </w:r>
          </w:p>
        </w:tc>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400-600</w:t>
            </w:r>
          </w:p>
        </w:tc>
        <w:tc>
          <w:tcPr>
            <w:tcW w:w="1328"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600-800</w:t>
            </w:r>
          </w:p>
        </w:tc>
        <w:tc>
          <w:tcPr>
            <w:tcW w:w="1328"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&gt;800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分值</w:t>
            </w:r>
          </w:p>
        </w:tc>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0-20</w:t>
            </w:r>
          </w:p>
        </w:tc>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20-40</w:t>
            </w:r>
          </w:p>
        </w:tc>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40-60</w:t>
            </w:r>
          </w:p>
        </w:tc>
        <w:tc>
          <w:tcPr>
            <w:tcW w:w="1326"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60-70</w:t>
            </w:r>
          </w:p>
        </w:tc>
        <w:tc>
          <w:tcPr>
            <w:tcW w:w="1328"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70-80</w:t>
            </w:r>
          </w:p>
        </w:tc>
        <w:tc>
          <w:tcPr>
            <w:tcW w:w="1328" w:type="dxa"/>
            <w:vAlign w:val="center"/>
          </w:tcPr>
          <w:p>
            <w:pPr>
              <w:adjustRightInd w:val="0"/>
              <w:snapToGrid w:val="0"/>
              <w:spacing w:line="240" w:lineRule="exact"/>
              <w:jc w:val="center"/>
              <w:rPr>
                <w:rFonts w:ascii="Times New Roman" w:hAnsi="Times New Roman"/>
                <w:sz w:val="21"/>
                <w:szCs w:val="21"/>
              </w:rPr>
            </w:pPr>
            <w:r>
              <w:rPr>
                <w:rFonts w:ascii="Times New Roman" w:hAnsi="Times New Roman"/>
                <w:sz w:val="21"/>
                <w:szCs w:val="21"/>
              </w:rPr>
              <w:t>&gt;80</w:t>
            </w:r>
          </w:p>
        </w:tc>
      </w:tr>
    </w:tbl>
    <w:p>
      <w:pPr>
        <w:spacing w:line="440" w:lineRule="exact"/>
        <w:ind w:firstLine="480" w:firstLineChars="200"/>
        <w:rPr>
          <w:rFonts w:ascii="Times New Roman" w:hAnsi="Times New Roman"/>
          <w:szCs w:val="24"/>
        </w:rPr>
      </w:pPr>
      <w:r>
        <w:rPr>
          <w:rFonts w:ascii="Times New Roman" w:hAnsi="Times New Roman"/>
          <w:szCs w:val="24"/>
        </w:rPr>
        <w:t>（3）权重确定</w:t>
      </w:r>
    </w:p>
    <w:p>
      <w:pPr>
        <w:spacing w:line="440" w:lineRule="exact"/>
        <w:ind w:firstLine="480" w:firstLineChars="200"/>
        <w:rPr>
          <w:rFonts w:ascii="Times New Roman" w:hAnsi="Times New Roman"/>
          <w:szCs w:val="24"/>
        </w:rPr>
      </w:pPr>
      <w:r>
        <w:rPr>
          <w:rFonts w:ascii="Times New Roman" w:hAnsi="Times New Roman"/>
          <w:szCs w:val="24"/>
        </w:rPr>
        <w:t>水资源承载力的大小不仅决定于水资源的绝对数量，而且还决定于水资源的功效，因此在进行水资源承载指数分析时，必须对不同水资源给予重要性或功效值，即权重，该区域几乎为区外地表径流补充，生态需水全部由降雨过程补充，降雨量的重要性大于地表径流，因为确定地表径流的权重为0.35，降雨量的权重为0.65。</w:t>
      </w:r>
    </w:p>
    <w:p>
      <w:pPr>
        <w:spacing w:line="440" w:lineRule="exact"/>
        <w:ind w:firstLine="480" w:firstLineChars="200"/>
        <w:rPr>
          <w:rFonts w:ascii="Times New Roman" w:hAnsi="Times New Roman"/>
          <w:szCs w:val="24"/>
        </w:rPr>
      </w:pPr>
      <w:r>
        <w:rPr>
          <w:rFonts w:ascii="Times New Roman" w:hAnsi="Times New Roman"/>
          <w:szCs w:val="24"/>
        </w:rPr>
        <w:t>（4）水资源承载力指数</w:t>
      </w:r>
    </w:p>
    <w:p>
      <w:pPr>
        <w:spacing w:line="440" w:lineRule="exact"/>
        <w:ind w:firstLine="480" w:firstLineChars="200"/>
        <w:rPr>
          <w:rFonts w:ascii="Times New Roman" w:hAnsi="Times New Roman"/>
          <w:szCs w:val="24"/>
        </w:rPr>
      </w:pPr>
      <w:r>
        <w:rPr>
          <w:rFonts w:ascii="Times New Roman" w:hAnsi="Times New Roman"/>
          <w:szCs w:val="24"/>
        </w:rPr>
        <w:t>评价区无地表径流式河流，本次分析为其赋值为0，区域多年平均降雨量为376.5mm，为其赋值为62，加权平均后，该区域水资源承载力指数为40.3，因此评价区水资源属于低承载水平。</w:t>
      </w:r>
    </w:p>
    <w:p>
      <w:pPr>
        <w:keepNext/>
        <w:keepLines/>
        <w:adjustRightInd w:val="0"/>
        <w:snapToGrid w:val="0"/>
        <w:spacing w:line="440" w:lineRule="exact"/>
        <w:outlineLvl w:val="2"/>
        <w:rPr>
          <w:rFonts w:ascii="Times New Roman" w:hAnsi="Times New Roman"/>
          <w:b/>
          <w:szCs w:val="21"/>
        </w:rPr>
      </w:pPr>
      <w:r>
        <w:rPr>
          <w:rFonts w:ascii="Times New Roman" w:hAnsi="Times New Roman"/>
          <w:b/>
          <w:szCs w:val="21"/>
        </w:rPr>
        <w:t>6.2.2.2土地资源承载力</w:t>
      </w:r>
    </w:p>
    <w:p>
      <w:pPr>
        <w:spacing w:line="440" w:lineRule="exact"/>
        <w:ind w:firstLine="480" w:firstLineChars="200"/>
        <w:rPr>
          <w:rFonts w:ascii="Times New Roman" w:hAnsi="Times New Roman"/>
          <w:szCs w:val="24"/>
        </w:rPr>
      </w:pPr>
      <w:r>
        <w:rPr>
          <w:rFonts w:ascii="Times New Roman" w:hAnsi="Times New Roman"/>
          <w:szCs w:val="24"/>
        </w:rPr>
        <w:t>土地资源承载力是指土地的生产潜力大小，因此土地质量好，承载能力就高。所以通过衡量土地质量的高低来确定土地承载力大小。将土地按其生产潜力分成不同等级，给予相应的分值，具体见表6.2-5。评价区土地等级划分以八大类土地利用分类作为参照，并结合区域具体情况作适当调整，权重通过该级土地占区域面积比例进行确定，土地等级划分结果见表6.2-6。</w:t>
      </w:r>
    </w:p>
    <w:p>
      <w:pPr>
        <w:spacing w:before="240" w:beforeLines="100"/>
        <w:jc w:val="center"/>
        <w:rPr>
          <w:rFonts w:ascii="Times New Roman" w:hAnsi="Times New Roman"/>
          <w:b/>
          <w:szCs w:val="24"/>
        </w:rPr>
      </w:pPr>
      <w:r>
        <w:rPr>
          <w:rFonts w:ascii="Times New Roman" w:hAnsi="Times New Roman"/>
          <w:b/>
          <w:szCs w:val="24"/>
        </w:rPr>
        <w:t>不同等级土地分级表</w:t>
      </w:r>
    </w:p>
    <w:p>
      <w:pPr>
        <w:spacing w:line="240" w:lineRule="exact"/>
        <w:jc w:val="left"/>
        <w:outlineLvl w:val="4"/>
        <w:rPr>
          <w:rFonts w:ascii="Times New Roman" w:hAnsi="Times New Roman"/>
          <w:szCs w:val="24"/>
        </w:rPr>
      </w:pPr>
      <w:r>
        <w:rPr>
          <w:rFonts w:ascii="Times New Roman" w:hAnsi="Times New Roman"/>
          <w:szCs w:val="24"/>
        </w:rPr>
        <w:t>表6.2-5</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9"/>
        <w:gridCol w:w="1031"/>
        <w:gridCol w:w="1031"/>
        <w:gridCol w:w="1031"/>
        <w:gridCol w:w="1033"/>
        <w:gridCol w:w="1033"/>
        <w:gridCol w:w="1033"/>
        <w:gridCol w:w="1033"/>
        <w:gridCol w:w="1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29"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等级</w:t>
            </w:r>
          </w:p>
        </w:tc>
        <w:tc>
          <w:tcPr>
            <w:tcW w:w="1031"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一级</w:t>
            </w:r>
          </w:p>
        </w:tc>
        <w:tc>
          <w:tcPr>
            <w:tcW w:w="1031"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二级</w:t>
            </w:r>
          </w:p>
        </w:tc>
        <w:tc>
          <w:tcPr>
            <w:tcW w:w="1031"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三级</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四级</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五级</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六级</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七级</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八级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29"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分值</w:t>
            </w:r>
          </w:p>
        </w:tc>
        <w:tc>
          <w:tcPr>
            <w:tcW w:w="1031"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100</w:t>
            </w:r>
          </w:p>
        </w:tc>
        <w:tc>
          <w:tcPr>
            <w:tcW w:w="1031"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90</w:t>
            </w:r>
          </w:p>
        </w:tc>
        <w:tc>
          <w:tcPr>
            <w:tcW w:w="1031"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80</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70</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60</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50</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40</w:t>
            </w:r>
          </w:p>
        </w:tc>
        <w:tc>
          <w:tcPr>
            <w:tcW w:w="1033" w:type="dxa"/>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&lt;30</w:t>
            </w:r>
          </w:p>
        </w:tc>
      </w:tr>
    </w:tbl>
    <w:p>
      <w:pPr>
        <w:spacing w:before="240" w:beforeLines="100"/>
        <w:jc w:val="center"/>
        <w:rPr>
          <w:rFonts w:ascii="Times New Roman" w:hAnsi="Times New Roman"/>
          <w:b/>
          <w:szCs w:val="24"/>
        </w:rPr>
      </w:pPr>
      <w:r>
        <w:rPr>
          <w:rFonts w:ascii="Times New Roman" w:hAnsi="Times New Roman"/>
          <w:b/>
          <w:szCs w:val="24"/>
        </w:rPr>
        <w:t>评价区土地等级划分表</w:t>
      </w:r>
    </w:p>
    <w:p>
      <w:pPr>
        <w:spacing w:line="240" w:lineRule="exact"/>
        <w:jc w:val="left"/>
        <w:outlineLvl w:val="4"/>
        <w:rPr>
          <w:rFonts w:ascii="Times New Roman" w:hAnsi="Times New Roman"/>
          <w:szCs w:val="24"/>
        </w:rPr>
      </w:pPr>
      <w:r>
        <w:rPr>
          <w:rFonts w:ascii="Times New Roman" w:hAnsi="Times New Roman"/>
          <w:szCs w:val="24"/>
        </w:rPr>
        <w:t>表6.2-6</w:t>
      </w:r>
    </w:p>
    <w:tbl>
      <w:tblPr>
        <w:tblStyle w:val="59"/>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6"/>
        <w:gridCol w:w="3786"/>
        <w:gridCol w:w="1056"/>
        <w:gridCol w:w="1245"/>
        <w:gridCol w:w="13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89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八大类</w:t>
            </w: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土地利用现状分类</w:t>
            </w:r>
          </w:p>
        </w:tc>
        <w:tc>
          <w:tcPr>
            <w:tcW w:w="105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土地等级</w:t>
            </w:r>
          </w:p>
        </w:tc>
        <w:tc>
          <w:tcPr>
            <w:tcW w:w="1245"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分值</w:t>
            </w:r>
          </w:p>
        </w:tc>
        <w:tc>
          <w:tcPr>
            <w:tcW w:w="1304"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耕地</w:t>
            </w: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水浇地</w:t>
            </w:r>
          </w:p>
        </w:tc>
        <w:tc>
          <w:tcPr>
            <w:tcW w:w="105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一级</w:t>
            </w:r>
          </w:p>
        </w:tc>
        <w:tc>
          <w:tcPr>
            <w:tcW w:w="1245"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100</w:t>
            </w:r>
          </w:p>
        </w:tc>
        <w:tc>
          <w:tcPr>
            <w:tcW w:w="1304"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29.10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旱地</w:t>
            </w:r>
          </w:p>
        </w:tc>
        <w:tc>
          <w:tcPr>
            <w:tcW w:w="105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园地</w:t>
            </w: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w:t>
            </w:r>
          </w:p>
        </w:tc>
        <w:tc>
          <w:tcPr>
            <w:tcW w:w="105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二级</w:t>
            </w:r>
          </w:p>
        </w:tc>
        <w:tc>
          <w:tcPr>
            <w:tcW w:w="1245"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90</w:t>
            </w:r>
          </w:p>
        </w:tc>
        <w:tc>
          <w:tcPr>
            <w:tcW w:w="1304"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9.54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林地</w:t>
            </w: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乔木林地</w:t>
            </w:r>
          </w:p>
        </w:tc>
        <w:tc>
          <w:tcPr>
            <w:tcW w:w="105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三级</w:t>
            </w:r>
          </w:p>
        </w:tc>
        <w:tc>
          <w:tcPr>
            <w:tcW w:w="1245"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80</w:t>
            </w:r>
          </w:p>
        </w:tc>
        <w:tc>
          <w:tcPr>
            <w:tcW w:w="1304"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43.72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灌木林地</w:t>
            </w:r>
          </w:p>
        </w:tc>
        <w:tc>
          <w:tcPr>
            <w:tcW w:w="105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其他林地</w:t>
            </w:r>
          </w:p>
        </w:tc>
        <w:tc>
          <w:tcPr>
            <w:tcW w:w="105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牧草地</w:t>
            </w: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天然牧草地</w:t>
            </w:r>
          </w:p>
        </w:tc>
        <w:tc>
          <w:tcPr>
            <w:tcW w:w="105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四级</w:t>
            </w:r>
          </w:p>
        </w:tc>
        <w:tc>
          <w:tcPr>
            <w:tcW w:w="1245"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70</w:t>
            </w:r>
          </w:p>
        </w:tc>
        <w:tc>
          <w:tcPr>
            <w:tcW w:w="1304"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人工牧草地</w:t>
            </w:r>
          </w:p>
        </w:tc>
        <w:tc>
          <w:tcPr>
            <w:tcW w:w="105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居民点及工矿用地</w:t>
            </w: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采矿用地</w:t>
            </w:r>
          </w:p>
        </w:tc>
        <w:tc>
          <w:tcPr>
            <w:tcW w:w="105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五级</w:t>
            </w:r>
          </w:p>
        </w:tc>
        <w:tc>
          <w:tcPr>
            <w:tcW w:w="1245"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60</w:t>
            </w:r>
          </w:p>
        </w:tc>
        <w:tc>
          <w:tcPr>
            <w:tcW w:w="1304"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1.68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城镇住宅用地</w:t>
            </w:r>
          </w:p>
        </w:tc>
        <w:tc>
          <w:tcPr>
            <w:tcW w:w="105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农村宅基地</w:t>
            </w:r>
          </w:p>
        </w:tc>
        <w:tc>
          <w:tcPr>
            <w:tcW w:w="105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设施农用地</w:t>
            </w:r>
          </w:p>
        </w:tc>
        <w:tc>
          <w:tcPr>
            <w:tcW w:w="105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交通用地</w:t>
            </w: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铁路用地</w:t>
            </w:r>
          </w:p>
        </w:tc>
        <w:tc>
          <w:tcPr>
            <w:tcW w:w="105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六级</w:t>
            </w:r>
          </w:p>
        </w:tc>
        <w:tc>
          <w:tcPr>
            <w:tcW w:w="1245"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50</w:t>
            </w:r>
          </w:p>
        </w:tc>
        <w:tc>
          <w:tcPr>
            <w:tcW w:w="1304"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公路用地</w:t>
            </w:r>
          </w:p>
        </w:tc>
        <w:tc>
          <w:tcPr>
            <w:tcW w:w="1056"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shd w:val="clear" w:color="auto" w:fill="auto"/>
            <w:noWrap/>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农村道路</w:t>
            </w:r>
          </w:p>
        </w:tc>
        <w:tc>
          <w:tcPr>
            <w:tcW w:w="1056" w:type="dxa"/>
            <w:vMerge w:val="continue"/>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水域</w:t>
            </w: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河流水面</w:t>
            </w:r>
          </w:p>
        </w:tc>
        <w:tc>
          <w:tcPr>
            <w:tcW w:w="105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七级</w:t>
            </w:r>
          </w:p>
        </w:tc>
        <w:tc>
          <w:tcPr>
            <w:tcW w:w="1245"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40</w:t>
            </w:r>
          </w:p>
        </w:tc>
        <w:tc>
          <w:tcPr>
            <w:tcW w:w="1304"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湖泊水面</w:t>
            </w:r>
          </w:p>
        </w:tc>
        <w:tc>
          <w:tcPr>
            <w:tcW w:w="1056" w:type="dxa"/>
            <w:vMerge w:val="continue"/>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坑塘水面</w:t>
            </w:r>
          </w:p>
        </w:tc>
        <w:tc>
          <w:tcPr>
            <w:tcW w:w="1056" w:type="dxa"/>
            <w:vMerge w:val="continue"/>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内陆滩涂</w:t>
            </w:r>
          </w:p>
        </w:tc>
        <w:tc>
          <w:tcPr>
            <w:tcW w:w="1056" w:type="dxa"/>
            <w:vMerge w:val="continue"/>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未利用地</w:t>
            </w: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其他草地</w:t>
            </w:r>
          </w:p>
        </w:tc>
        <w:tc>
          <w:tcPr>
            <w:tcW w:w="1056"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八级</w:t>
            </w:r>
          </w:p>
        </w:tc>
        <w:tc>
          <w:tcPr>
            <w:tcW w:w="1245"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&lt;30</w:t>
            </w:r>
          </w:p>
        </w:tc>
        <w:tc>
          <w:tcPr>
            <w:tcW w:w="1304" w:type="dxa"/>
            <w:vMerge w:val="restart"/>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14.47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盐碱地</w:t>
            </w:r>
          </w:p>
        </w:tc>
        <w:tc>
          <w:tcPr>
            <w:tcW w:w="1056" w:type="dxa"/>
            <w:vMerge w:val="continue"/>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沙地</w:t>
            </w:r>
          </w:p>
        </w:tc>
        <w:tc>
          <w:tcPr>
            <w:tcW w:w="1056" w:type="dxa"/>
            <w:vMerge w:val="continue"/>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vAlign w:val="center"/>
          </w:tcPr>
          <w:p>
            <w:pPr>
              <w:widowControl/>
              <w:adjustRightInd w:val="0"/>
              <w:spacing w:line="240" w:lineRule="exact"/>
              <w:jc w:val="center"/>
              <w:rPr>
                <w:rFonts w:ascii="Times New Roman" w:hAnsi="Times New Roman"/>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6" w:type="dxa"/>
            <w:vMerge w:val="continue"/>
            <w:vAlign w:val="center"/>
          </w:tcPr>
          <w:p>
            <w:pPr>
              <w:widowControl/>
              <w:adjustRightInd w:val="0"/>
              <w:spacing w:line="240" w:lineRule="exact"/>
              <w:jc w:val="center"/>
              <w:rPr>
                <w:rFonts w:ascii="Times New Roman" w:hAnsi="Times New Roman"/>
                <w:kern w:val="0"/>
                <w:sz w:val="21"/>
                <w:szCs w:val="21"/>
              </w:rPr>
            </w:pPr>
          </w:p>
        </w:tc>
        <w:tc>
          <w:tcPr>
            <w:tcW w:w="3786" w:type="dxa"/>
            <w:shd w:val="clear" w:color="auto" w:fill="auto"/>
            <w:noWrap/>
            <w:vAlign w:val="center"/>
          </w:tcPr>
          <w:p>
            <w:pPr>
              <w:widowControl/>
              <w:adjustRightInd w:val="0"/>
              <w:spacing w:line="240" w:lineRule="exact"/>
              <w:jc w:val="center"/>
              <w:rPr>
                <w:rFonts w:ascii="Times New Roman" w:hAnsi="Times New Roman"/>
                <w:kern w:val="0"/>
                <w:sz w:val="21"/>
                <w:szCs w:val="21"/>
              </w:rPr>
            </w:pPr>
            <w:r>
              <w:rPr>
                <w:rFonts w:ascii="Times New Roman" w:hAnsi="Times New Roman"/>
                <w:kern w:val="0"/>
                <w:sz w:val="21"/>
                <w:szCs w:val="21"/>
              </w:rPr>
              <w:t>裸土地</w:t>
            </w:r>
          </w:p>
        </w:tc>
        <w:tc>
          <w:tcPr>
            <w:tcW w:w="1056" w:type="dxa"/>
            <w:vMerge w:val="continue"/>
            <w:vAlign w:val="center"/>
          </w:tcPr>
          <w:p>
            <w:pPr>
              <w:widowControl/>
              <w:adjustRightInd w:val="0"/>
              <w:spacing w:line="240" w:lineRule="exact"/>
              <w:jc w:val="center"/>
              <w:rPr>
                <w:rFonts w:ascii="Times New Roman" w:hAnsi="Times New Roman"/>
                <w:kern w:val="0"/>
                <w:sz w:val="21"/>
                <w:szCs w:val="21"/>
              </w:rPr>
            </w:pPr>
          </w:p>
        </w:tc>
        <w:tc>
          <w:tcPr>
            <w:tcW w:w="1245" w:type="dxa"/>
            <w:vMerge w:val="continue"/>
            <w:vAlign w:val="center"/>
          </w:tcPr>
          <w:p>
            <w:pPr>
              <w:widowControl/>
              <w:adjustRightInd w:val="0"/>
              <w:spacing w:line="240" w:lineRule="exact"/>
              <w:jc w:val="center"/>
              <w:rPr>
                <w:rFonts w:ascii="Times New Roman" w:hAnsi="Times New Roman"/>
                <w:kern w:val="0"/>
                <w:sz w:val="21"/>
                <w:szCs w:val="21"/>
              </w:rPr>
            </w:pPr>
          </w:p>
        </w:tc>
        <w:tc>
          <w:tcPr>
            <w:tcW w:w="1304" w:type="dxa"/>
            <w:vMerge w:val="continue"/>
            <w:vAlign w:val="center"/>
          </w:tcPr>
          <w:p>
            <w:pPr>
              <w:widowControl/>
              <w:adjustRightInd w:val="0"/>
              <w:spacing w:line="240" w:lineRule="exact"/>
              <w:jc w:val="center"/>
              <w:rPr>
                <w:rFonts w:ascii="Times New Roman" w:hAnsi="Times New Roman"/>
                <w:kern w:val="0"/>
                <w:sz w:val="21"/>
                <w:szCs w:val="21"/>
              </w:rPr>
            </w:pPr>
          </w:p>
        </w:tc>
      </w:tr>
    </w:tbl>
    <w:p>
      <w:pPr>
        <w:spacing w:before="120" w:beforeLines="50" w:line="440" w:lineRule="exact"/>
        <w:ind w:firstLine="480" w:firstLineChars="200"/>
        <w:rPr>
          <w:rFonts w:ascii="Times New Roman" w:hAnsi="Times New Roman"/>
          <w:szCs w:val="24"/>
        </w:rPr>
      </w:pPr>
      <w:r>
        <w:rPr>
          <w:rFonts w:ascii="Times New Roman" w:hAnsi="Times New Roman"/>
          <w:szCs w:val="24"/>
        </w:rPr>
        <w:t>经计算评价区的土地资源承载力指数为73.38，属于较高承载水平。</w:t>
      </w:r>
    </w:p>
    <w:p>
      <w:pPr>
        <w:spacing w:line="440" w:lineRule="exact"/>
        <w:ind w:firstLine="480" w:firstLineChars="200"/>
        <w:rPr>
          <w:rFonts w:ascii="Times New Roman" w:hAnsi="Times New Roman"/>
          <w:szCs w:val="24"/>
        </w:rPr>
      </w:pPr>
      <w:r>
        <w:rPr>
          <w:rFonts w:ascii="Times New Roman" w:hAnsi="Times New Roman"/>
          <w:szCs w:val="24"/>
        </w:rPr>
        <w:t>该区域水资源低承载水平，土地资源较高承载水平，综合确定该区域总体资源承载能力属于中等承载水平。</w:t>
      </w:r>
    </w:p>
    <w:p>
      <w:pPr>
        <w:keepNext/>
        <w:keepLines/>
        <w:adjustRightInd w:val="0"/>
        <w:snapToGrid w:val="0"/>
        <w:spacing w:line="440" w:lineRule="exact"/>
        <w:outlineLvl w:val="2"/>
        <w:rPr>
          <w:rFonts w:ascii="Times New Roman" w:hAnsi="Times New Roman"/>
          <w:b/>
        </w:rPr>
      </w:pPr>
      <w:r>
        <w:rPr>
          <w:rFonts w:ascii="Times New Roman" w:hAnsi="Times New Roman"/>
          <w:b/>
        </w:rPr>
        <w:t>6.2.3承载压力度评价</w:t>
      </w:r>
    </w:p>
    <w:p>
      <w:pPr>
        <w:spacing w:line="440" w:lineRule="exact"/>
        <w:ind w:firstLine="480" w:firstLineChars="200"/>
        <w:rPr>
          <w:rFonts w:ascii="Times New Roman" w:hAnsi="Times New Roman"/>
          <w:szCs w:val="24"/>
        </w:rPr>
      </w:pPr>
      <w:r>
        <w:rPr>
          <w:rFonts w:ascii="Times New Roman" w:hAnsi="Times New Roman"/>
          <w:szCs w:val="24"/>
        </w:rPr>
        <w:t>承载压力度评价是对生态系统现有承载状况的直接反映。气候变化及人类活动给自然生态系统带来的风险和危害日趋增大，生态系统压力分析和评价是适应和减缓人为干扰的关键和基础。</w:t>
      </w:r>
    </w:p>
    <w:p>
      <w:pPr>
        <w:spacing w:line="440" w:lineRule="exact"/>
        <w:ind w:firstLine="480" w:firstLineChars="200"/>
        <w:rPr>
          <w:rFonts w:ascii="Times New Roman" w:hAnsi="Times New Roman"/>
          <w:szCs w:val="24"/>
        </w:rPr>
      </w:pPr>
      <w:r>
        <w:rPr>
          <w:rFonts w:ascii="Times New Roman" w:hAnsi="Times New Roman"/>
          <w:szCs w:val="24"/>
        </w:rPr>
        <w:t>（1）水资源压力度</w:t>
      </w:r>
    </w:p>
    <w:p>
      <w:pPr>
        <w:spacing w:line="440" w:lineRule="exact"/>
        <w:ind w:firstLine="480" w:firstLineChars="200"/>
        <w:rPr>
          <w:rFonts w:ascii="Times New Roman" w:hAnsi="Times New Roman"/>
          <w:szCs w:val="24"/>
        </w:rPr>
      </w:pPr>
      <w:r>
        <w:rPr>
          <w:rFonts w:ascii="Times New Roman" w:hAnsi="Times New Roman"/>
          <w:szCs w:val="24"/>
        </w:rPr>
        <w:t>水资源承载指数客观反映了一个区域的水资源相对丰富程度与承载水平，但并不能反映出该区域的水资源可供给情况，因为一个区域的水资源能否满足需要除取决于水资源的拥有量外，还取决于区域对水资源的需求压力。</w:t>
      </w:r>
    </w:p>
    <w:p>
      <w:pPr>
        <w:spacing w:line="440" w:lineRule="exact"/>
        <w:ind w:firstLine="480" w:firstLineChars="200"/>
        <w:rPr>
          <w:rFonts w:ascii="Times New Roman" w:hAnsi="Times New Roman"/>
          <w:szCs w:val="24"/>
        </w:rPr>
      </w:pPr>
      <w:r>
        <w:rPr>
          <w:rFonts w:ascii="Times New Roman" w:hAnsi="Times New Roman"/>
          <w:szCs w:val="24"/>
        </w:rPr>
        <w:t>鄂尔多斯市为控制全市水资源消耗，实施水资源消耗总量和强度双控行动，根据《鄂尔多斯市人民政府办公厅关于印发鄂尔多斯市“十三五”水资源消耗总量和强度双控实施方案的通知》（鄂府办发[2017]160号），2020年伊金霍洛旗用水总量控制目标14500万m</w:t>
      </w:r>
      <w:r>
        <w:rPr>
          <w:rFonts w:ascii="Times New Roman" w:hAnsi="Times New Roman"/>
          <w:szCs w:val="24"/>
          <w:vertAlign w:val="superscript"/>
        </w:rPr>
        <w:t>3</w:t>
      </w:r>
      <w:r>
        <w:rPr>
          <w:rFonts w:ascii="Times New Roman" w:hAnsi="Times New Roman"/>
          <w:szCs w:val="24"/>
        </w:rPr>
        <w:t>。根据《鄂尔多斯市2020年水资源公报》，</w:t>
      </w:r>
      <w:r>
        <w:rPr>
          <w:rFonts w:ascii="Times New Roman" w:hAnsi="Times New Roman"/>
        </w:rPr>
        <w:t>2020年伊金霍洛旗总用水量为13932万m</w:t>
      </w:r>
      <w:r>
        <w:rPr>
          <w:rFonts w:ascii="Times New Roman" w:hAnsi="Times New Roman"/>
          <w:vertAlign w:val="superscript"/>
        </w:rPr>
        <w:t>3</w:t>
      </w:r>
      <w:r>
        <w:rPr>
          <w:rFonts w:ascii="Times New Roman" w:hAnsi="Times New Roman"/>
        </w:rPr>
        <w:t>，</w:t>
      </w:r>
      <w:r>
        <w:rPr>
          <w:rFonts w:ascii="Times New Roman" w:hAnsi="Times New Roman"/>
          <w:szCs w:val="24"/>
        </w:rPr>
        <w:t>距控制目标仅有568万m</w:t>
      </w:r>
      <w:r>
        <w:rPr>
          <w:rFonts w:ascii="Times New Roman" w:hAnsi="Times New Roman"/>
          <w:szCs w:val="24"/>
          <w:vertAlign w:val="superscript"/>
        </w:rPr>
        <w:t>3</w:t>
      </w:r>
      <w:r>
        <w:rPr>
          <w:rFonts w:ascii="Times New Roman" w:hAnsi="Times New Roman"/>
          <w:szCs w:val="24"/>
        </w:rPr>
        <w:t>余量，水资源压力属于高压水平。</w:t>
      </w:r>
    </w:p>
    <w:p>
      <w:pPr>
        <w:spacing w:line="440" w:lineRule="exact"/>
        <w:ind w:firstLine="480" w:firstLineChars="200"/>
        <w:rPr>
          <w:rFonts w:ascii="Times New Roman" w:hAnsi="Times New Roman"/>
          <w:szCs w:val="24"/>
        </w:rPr>
      </w:pPr>
      <w:r>
        <w:rPr>
          <w:rFonts w:ascii="Times New Roman" w:hAnsi="Times New Roman"/>
          <w:szCs w:val="24"/>
        </w:rPr>
        <w:t>（2）土地资源压力度</w:t>
      </w:r>
    </w:p>
    <w:p>
      <w:pPr>
        <w:spacing w:line="440" w:lineRule="exact"/>
        <w:ind w:firstLine="480" w:firstLineChars="200"/>
        <w:rPr>
          <w:rFonts w:ascii="Times New Roman" w:hAnsi="Times New Roman"/>
        </w:rPr>
      </w:pPr>
      <w:r>
        <w:rPr>
          <w:rFonts w:ascii="Times New Roman" w:hAnsi="Times New Roman"/>
        </w:rPr>
        <w:t>本次评价以耕地和草地的承载力压力作为区域土地资源承载压力。首先计算评价区内草地的理论载畜量，然后按出栏率0.3，每只羊体重12kg计算产肉量，依据李毓堂教授提出的料肉比4:1折粮的方法进行计算，得出折算后的粮食产量和相应的耕地承载力。人均粮食标准采用</w:t>
      </w:r>
      <w:r>
        <w:rPr>
          <w:rFonts w:ascii="Times New Roman" w:hAnsi="Times New Roman"/>
          <w:szCs w:val="24"/>
        </w:rPr>
        <w:t>国际粮食安全标准线人均400kg计算</w:t>
      </w:r>
      <w:r>
        <w:rPr>
          <w:rFonts w:ascii="Times New Roman" w:hAnsi="Times New Roman"/>
        </w:rPr>
        <w:t>。经计算该区域土地资源压力属于中压水平。</w:t>
      </w:r>
    </w:p>
    <w:p>
      <w:pPr>
        <w:spacing w:line="440" w:lineRule="exact"/>
        <w:ind w:firstLine="480" w:firstLineChars="200"/>
        <w:rPr>
          <w:rFonts w:ascii="Times New Roman" w:hAnsi="Times New Roman"/>
          <w:szCs w:val="24"/>
        </w:rPr>
      </w:pPr>
      <w:r>
        <w:rPr>
          <w:rFonts w:ascii="Times New Roman" w:hAnsi="Times New Roman"/>
          <w:szCs w:val="24"/>
        </w:rPr>
        <w:t>综上所述，评价区由于生态环境一般，生态弹性度中等稳定，水资源属于低承载、高压水平，土地资源属于较高承载、中压水平。生态系统稳定性一般，遭受外界干扰后生态，生态系统具有一定的自我恢复能力，但自我恢复能力较弱，破坏后的生态环境仍需要人为的干预、能量的持续输入才能得以恢复。</w:t>
      </w:r>
    </w:p>
    <w:p>
      <w:pPr>
        <w:spacing w:line="440" w:lineRule="exact"/>
        <w:ind w:firstLine="480" w:firstLineChars="200"/>
        <w:rPr>
          <w:rFonts w:ascii="Times New Roman" w:hAnsi="Times New Roman"/>
          <w:szCs w:val="24"/>
        </w:rPr>
      </w:pPr>
      <w:r>
        <w:rPr>
          <w:rFonts w:ascii="Times New Roman" w:hAnsi="Times New Roman"/>
          <w:szCs w:val="24"/>
        </w:rPr>
        <w:t>土地资源不会成为该区域开发的限制因素，水资源是矿区大规模开发的限制因素。矿区开发过程中，应加强土地资源保护，尽量减少永久占用土地，沉陷造成的土地破坏应及时采取措施加以减缓、恢复；开展清洁生产，提高污废水资源化利用率，减少新鲜水消耗，缓解矿区开发对区域水资源的影响；另外要加强矿区开发“三废”治理力度，使“三废”100％达标排放，污废水排放必须满足水环境功能区划要求；应尽量减少矿区开发固体废弃物产生量，不可避免产生的应进行综合利用和无害化处理。</w:t>
      </w:r>
    </w:p>
    <w:bookmarkEnd w:id="312"/>
    <w:p>
      <w:pPr>
        <w:keepNext/>
        <w:keepLines/>
        <w:adjustRightInd w:val="0"/>
        <w:snapToGrid w:val="0"/>
        <w:spacing w:before="260" w:after="260" w:line="440" w:lineRule="exact"/>
        <w:jc w:val="left"/>
        <w:outlineLvl w:val="1"/>
        <w:rPr>
          <w:rFonts w:ascii="Times New Roman" w:hAnsi="Times New Roman"/>
          <w:b/>
          <w:sz w:val="28"/>
        </w:rPr>
      </w:pPr>
      <w:bookmarkStart w:id="313" w:name="_Toc18838466"/>
      <w:bookmarkStart w:id="314" w:name="_Toc17578"/>
      <w:bookmarkStart w:id="315" w:name="_Toc11087516"/>
      <w:bookmarkStart w:id="316" w:name="_Toc163441029"/>
      <w:r>
        <w:rPr>
          <w:rFonts w:ascii="Times New Roman" w:hAnsi="Times New Roman"/>
          <w:b/>
          <w:sz w:val="28"/>
        </w:rPr>
        <w:t>6.3矿区大气环境容量与承载能力分析</w:t>
      </w:r>
      <w:bookmarkEnd w:id="313"/>
      <w:bookmarkEnd w:id="314"/>
      <w:bookmarkEnd w:id="315"/>
    </w:p>
    <w:p>
      <w:pPr>
        <w:keepNext/>
        <w:keepLines/>
        <w:adjustRightInd w:val="0"/>
        <w:snapToGrid w:val="0"/>
        <w:spacing w:line="440" w:lineRule="exact"/>
        <w:outlineLvl w:val="2"/>
        <w:rPr>
          <w:rFonts w:ascii="Times New Roman" w:hAnsi="Times New Roman"/>
          <w:b/>
        </w:rPr>
      </w:pPr>
      <w:r>
        <w:rPr>
          <w:rFonts w:ascii="Times New Roman" w:hAnsi="Times New Roman"/>
          <w:b/>
        </w:rPr>
        <w:t>6.3.1 矿区大气容量计算</w:t>
      </w:r>
    </w:p>
    <w:p>
      <w:pPr>
        <w:adjustRightInd w:val="0"/>
        <w:snapToGrid w:val="0"/>
        <w:spacing w:line="440" w:lineRule="exact"/>
        <w:ind w:firstLine="480" w:firstLineChars="200"/>
        <w:rPr>
          <w:rFonts w:ascii="Times New Roman" w:hAnsi="Times New Roman"/>
        </w:rPr>
      </w:pPr>
      <w:r>
        <w:rPr>
          <w:rFonts w:ascii="Times New Roman" w:hAnsi="Times New Roman"/>
        </w:rPr>
        <w:t>根据矿区总体规划，纳林希里矿区规划总面积</w:t>
      </w:r>
      <w:r>
        <w:rPr>
          <w:rFonts w:ascii="Times New Roman" w:hAnsi="Times New Roman"/>
          <w:szCs w:val="24"/>
        </w:rPr>
        <w:t>708.16</w:t>
      </w:r>
      <w:r>
        <w:rPr>
          <w:rFonts w:ascii="Times New Roman" w:hAnsi="Times New Roman"/>
        </w:rPr>
        <w:t>km</w:t>
      </w:r>
      <w:r>
        <w:rPr>
          <w:rFonts w:ascii="Times New Roman" w:hAnsi="Times New Roman"/>
          <w:vertAlign w:val="superscript"/>
        </w:rPr>
        <w:t>2</w:t>
      </w:r>
      <w:r>
        <w:rPr>
          <w:rFonts w:ascii="Times New Roman" w:hAnsi="Times New Roman"/>
        </w:rPr>
        <w:t>，其形状为不规则多边形。故本次大气环境容量核算将以规划区范围作为大气环境容量计算空间范围。</w:t>
      </w:r>
    </w:p>
    <w:p>
      <w:pPr>
        <w:adjustRightInd w:val="0"/>
        <w:snapToGrid w:val="0"/>
        <w:spacing w:line="440" w:lineRule="exact"/>
        <w:ind w:firstLine="482" w:firstLineChars="200"/>
        <w:rPr>
          <w:rFonts w:ascii="Times New Roman" w:hAnsi="Times New Roman"/>
          <w:b/>
        </w:rPr>
      </w:pPr>
      <w:r>
        <w:rPr>
          <w:rFonts w:ascii="Times New Roman" w:hAnsi="Times New Roman"/>
          <w:b/>
        </w:rPr>
        <w:t>（1）容量计算模型</w:t>
      </w:r>
    </w:p>
    <w:p>
      <w:pPr>
        <w:adjustRightInd w:val="0"/>
        <w:snapToGrid w:val="0"/>
        <w:spacing w:line="440" w:lineRule="exact"/>
        <w:ind w:firstLine="480" w:firstLineChars="200"/>
        <w:rPr>
          <w:rFonts w:ascii="Times New Roman" w:hAnsi="Times New Roman"/>
        </w:rPr>
      </w:pPr>
      <w:r>
        <w:rPr>
          <w:rFonts w:ascii="Times New Roman" w:hAnsi="Times New Roman"/>
        </w:rPr>
        <w:t>根据《制定地方大气污染物排放标准的技术方法》（GB/T13201-91），应用A值法计算评价区的大气环境容量。</w:t>
      </w:r>
    </w:p>
    <w:p>
      <w:pPr>
        <w:adjustRightInd w:val="0"/>
        <w:snapToGrid w:val="0"/>
        <w:spacing w:line="440" w:lineRule="exact"/>
        <w:ind w:firstLine="480" w:firstLineChars="200"/>
        <w:rPr>
          <w:rFonts w:ascii="Times New Roman" w:hAnsi="Times New Roman"/>
        </w:rPr>
      </w:pPr>
      <w:r>
        <w:rPr>
          <w:rFonts w:ascii="Times New Roman" w:hAnsi="Times New Roman"/>
        </w:rPr>
        <w:t>评价区大气污染物年允许排放总量为：</w:t>
      </w:r>
    </w:p>
    <w:p>
      <w:pPr>
        <w:adjustRightInd w:val="0"/>
        <w:snapToGrid w:val="0"/>
        <w:ind w:firstLine="1440" w:firstLineChars="600"/>
        <w:rPr>
          <w:rFonts w:ascii="Times New Roman" w:hAnsi="Times New Roman"/>
        </w:rPr>
      </w:pPr>
      <w:r>
        <w:rPr>
          <w:rFonts w:ascii="Times New Roman" w:hAnsi="Times New Roman"/>
        </w:rPr>
        <w:object>
          <v:shape id="_x0000_i1068" o:spt="75" type="#_x0000_t75" style="height:37.05pt;width:65.25pt;" o:ole="t" filled="f" o:preferrelative="t" stroked="f" coordsize="21600,21600">
            <v:path/>
            <v:fill on="f" focussize="0,0"/>
            <v:stroke on="f" joinstyle="miter"/>
            <v:imagedata r:id="rId167" o:title=""/>
            <o:lock v:ext="edit" aspectratio="t"/>
            <w10:wrap type="none"/>
            <w10:anchorlock/>
          </v:shape>
          <o:OLEObject Type="Embed" ProgID="Equation.3" ShapeID="_x0000_i1068" DrawAspect="Content" ObjectID="_1468075769" r:id="rId166">
            <o:LockedField>false</o:LockedField>
          </o:OLEObject>
        </w:object>
      </w:r>
    </w:p>
    <w:p>
      <w:pPr>
        <w:adjustRightInd w:val="0"/>
        <w:snapToGrid w:val="0"/>
        <w:ind w:firstLine="1440" w:firstLineChars="600"/>
        <w:rPr>
          <w:rFonts w:ascii="Times New Roman" w:hAnsi="Times New Roman"/>
        </w:rPr>
      </w:pPr>
      <w:r>
        <w:rPr>
          <w:rFonts w:ascii="Times New Roman" w:hAnsi="Times New Roman"/>
        </w:rPr>
        <w:object>
          <v:shape id="_x0000_i1069" o:spt="75" type="#_x0000_t75" style="height:37.05pt;width:114.4pt;" o:ole="t" filled="f" o:preferrelative="t" stroked="f" coordsize="21600,21600">
            <v:path/>
            <v:fill on="f" focussize="0,0"/>
            <v:stroke on="f" joinstyle="miter"/>
            <v:imagedata r:id="rId169" o:title=""/>
            <o:lock v:ext="edit" aspectratio="t"/>
            <w10:wrap type="none"/>
            <w10:anchorlock/>
          </v:shape>
          <o:OLEObject Type="Embed" ProgID="Equation.3" ShapeID="_x0000_i1069" DrawAspect="Content" ObjectID="_1468075770" r:id="rId168">
            <o:LockedField>false</o:LockedField>
          </o:OLEObject>
        </w:object>
      </w:r>
    </w:p>
    <w:p>
      <w:pPr>
        <w:adjustRightInd w:val="0"/>
        <w:snapToGrid w:val="0"/>
        <w:spacing w:line="440" w:lineRule="exact"/>
        <w:ind w:firstLine="480" w:firstLineChars="200"/>
        <w:rPr>
          <w:rFonts w:ascii="Times New Roman" w:hAnsi="Times New Roman"/>
        </w:rPr>
      </w:pPr>
      <w:r>
        <w:rPr>
          <w:rFonts w:ascii="Times New Roman" w:hAnsi="Times New Roman"/>
        </w:rPr>
        <w:t>式中：Q</w:t>
      </w:r>
      <w:r>
        <w:rPr>
          <w:rFonts w:ascii="Times New Roman" w:hAnsi="Times New Roman"/>
          <w:vertAlign w:val="subscript"/>
        </w:rPr>
        <w:t>ai</w:t>
      </w:r>
      <w:r>
        <w:rPr>
          <w:rFonts w:ascii="Times New Roman" w:hAnsi="Times New Roman"/>
        </w:rPr>
        <w:t>——第i功能区大气污染物年允许排放总量；</w:t>
      </w:r>
    </w:p>
    <w:p>
      <w:pPr>
        <w:adjustRightInd w:val="0"/>
        <w:snapToGrid w:val="0"/>
        <w:spacing w:line="440" w:lineRule="exact"/>
        <w:ind w:firstLine="1260" w:firstLineChars="525"/>
        <w:rPr>
          <w:rFonts w:ascii="Times New Roman" w:hAnsi="Times New Roman"/>
        </w:rPr>
      </w:pPr>
      <w:r>
        <w:rPr>
          <w:rFonts w:ascii="Times New Roman" w:hAnsi="Times New Roman"/>
        </w:rPr>
        <w:t>n——功能区总数；</w:t>
      </w:r>
    </w:p>
    <w:p>
      <w:pPr>
        <w:adjustRightInd w:val="0"/>
        <w:snapToGrid w:val="0"/>
        <w:spacing w:line="440" w:lineRule="exact"/>
        <w:ind w:firstLine="1260" w:firstLineChars="525"/>
        <w:rPr>
          <w:rFonts w:ascii="Times New Roman" w:hAnsi="Times New Roman"/>
        </w:rPr>
      </w:pPr>
      <w:r>
        <w:rPr>
          <w:rFonts w:ascii="Times New Roman" w:hAnsi="Times New Roman"/>
        </w:rPr>
        <w:t>Q</w:t>
      </w:r>
      <w:r>
        <w:rPr>
          <w:rFonts w:ascii="Times New Roman" w:hAnsi="Times New Roman"/>
          <w:vertAlign w:val="subscript"/>
        </w:rPr>
        <w:t>ai</w:t>
      </w:r>
      <w:r>
        <w:rPr>
          <w:rFonts w:ascii="Times New Roman" w:hAnsi="Times New Roman"/>
        </w:rPr>
        <w:t>——某区污染物年允许排放总量，10</w:t>
      </w:r>
      <w:r>
        <w:rPr>
          <w:rFonts w:ascii="Times New Roman" w:hAnsi="Times New Roman"/>
          <w:vertAlign w:val="superscript"/>
        </w:rPr>
        <w:t>4</w:t>
      </w:r>
      <w:r>
        <w:rPr>
          <w:rFonts w:ascii="Times New Roman" w:hAnsi="Times New Roman"/>
        </w:rPr>
        <w:t xml:space="preserve">t/a； </w:t>
      </w:r>
    </w:p>
    <w:p>
      <w:pPr>
        <w:adjustRightInd w:val="0"/>
        <w:snapToGrid w:val="0"/>
        <w:spacing w:line="440" w:lineRule="exact"/>
        <w:ind w:firstLine="1260" w:firstLineChars="525"/>
        <w:rPr>
          <w:rFonts w:ascii="Times New Roman" w:hAnsi="Times New Roman"/>
        </w:rPr>
      </w:pPr>
      <w:r>
        <w:rPr>
          <w:rFonts w:ascii="Times New Roman" w:hAnsi="Times New Roman"/>
        </w:rPr>
        <w:t>A——地理区域性总量控制系数，10</w:t>
      </w:r>
      <w:r>
        <w:rPr>
          <w:rFonts w:ascii="Times New Roman" w:hAnsi="Times New Roman"/>
          <w:vertAlign w:val="superscript"/>
        </w:rPr>
        <w:t>4</w:t>
      </w:r>
      <w:r>
        <w:rPr>
          <w:rFonts w:ascii="Times New Roman" w:hAnsi="Times New Roman"/>
        </w:rPr>
        <w:t>km</w:t>
      </w:r>
      <w:r>
        <w:rPr>
          <w:rFonts w:ascii="Times New Roman" w:hAnsi="Times New Roman"/>
          <w:vertAlign w:val="superscript"/>
        </w:rPr>
        <w:t>2</w:t>
      </w:r>
      <w:r>
        <w:rPr>
          <w:rFonts w:ascii="Times New Roman" w:hAnsi="Times New Roman"/>
        </w:rPr>
        <w:t>/a；</w:t>
      </w:r>
    </w:p>
    <w:p>
      <w:pPr>
        <w:adjustRightInd w:val="0"/>
        <w:snapToGrid w:val="0"/>
        <w:spacing w:line="440" w:lineRule="exact"/>
        <w:ind w:firstLine="1260" w:firstLineChars="525"/>
        <w:rPr>
          <w:rFonts w:ascii="Times New Roman" w:hAnsi="Times New Roman"/>
        </w:rPr>
      </w:pPr>
      <w:r>
        <w:rPr>
          <w:rFonts w:ascii="Times New Roman" w:hAnsi="Times New Roman"/>
        </w:rPr>
        <w:t>S——城区控制区域总面积，km</w:t>
      </w:r>
      <w:r>
        <w:rPr>
          <w:rFonts w:ascii="Times New Roman" w:hAnsi="Times New Roman"/>
          <w:vertAlign w:val="superscript"/>
        </w:rPr>
        <w:t>2</w:t>
      </w:r>
      <w:r>
        <w:rPr>
          <w:rFonts w:ascii="Times New Roman" w:hAnsi="Times New Roman"/>
        </w:rPr>
        <w:t>；</w:t>
      </w:r>
    </w:p>
    <w:p>
      <w:pPr>
        <w:adjustRightInd w:val="0"/>
        <w:snapToGrid w:val="0"/>
        <w:spacing w:line="440" w:lineRule="exact"/>
        <w:ind w:firstLine="1260" w:firstLineChars="525"/>
        <w:rPr>
          <w:rFonts w:ascii="Times New Roman" w:hAnsi="Times New Roman"/>
        </w:rPr>
      </w:pPr>
      <w:r>
        <w:rPr>
          <w:rFonts w:ascii="Times New Roman" w:hAnsi="Times New Roman"/>
        </w:rPr>
        <w:t>S</w:t>
      </w:r>
      <w:r>
        <w:rPr>
          <w:rFonts w:ascii="Times New Roman" w:hAnsi="Times New Roman"/>
          <w:vertAlign w:val="subscript"/>
        </w:rPr>
        <w:t>i</w:t>
      </w:r>
      <w:r>
        <w:rPr>
          <w:rFonts w:ascii="Times New Roman" w:hAnsi="Times New Roman"/>
        </w:rPr>
        <w:t>——城区第i个分区面积，km</w:t>
      </w:r>
      <w:r>
        <w:rPr>
          <w:rFonts w:ascii="Times New Roman" w:hAnsi="Times New Roman"/>
          <w:vertAlign w:val="superscript"/>
        </w:rPr>
        <w:t>2</w:t>
      </w:r>
      <w:r>
        <w:rPr>
          <w:rFonts w:ascii="Times New Roman" w:hAnsi="Times New Roman"/>
        </w:rPr>
        <w:t>；</w:t>
      </w:r>
    </w:p>
    <w:p>
      <w:pPr>
        <w:adjustRightInd w:val="0"/>
        <w:snapToGrid w:val="0"/>
        <w:spacing w:line="440" w:lineRule="exact"/>
        <w:ind w:firstLine="1260" w:firstLineChars="525"/>
        <w:rPr>
          <w:rFonts w:ascii="Times New Roman" w:hAnsi="Times New Roman"/>
        </w:rPr>
      </w:pPr>
      <w:r>
        <w:rPr>
          <w:rFonts w:ascii="Times New Roman" w:hAnsi="Times New Roman"/>
        </w:rPr>
        <w:t>C</w:t>
      </w:r>
      <w:r>
        <w:rPr>
          <w:rFonts w:ascii="Times New Roman" w:hAnsi="Times New Roman"/>
          <w:vertAlign w:val="subscript"/>
        </w:rPr>
        <w:t>si</w:t>
      </w:r>
      <w:r>
        <w:rPr>
          <w:rFonts w:ascii="Times New Roman" w:hAnsi="Times New Roman"/>
        </w:rPr>
        <w:t>——第i个区域某种污染物的年平均浓度限值，mg/m</w:t>
      </w:r>
      <w:r>
        <w:rPr>
          <w:rFonts w:ascii="Times New Roman" w:hAnsi="Times New Roman"/>
          <w:vertAlign w:val="superscript"/>
        </w:rPr>
        <w:t>3</w:t>
      </w:r>
      <w:r>
        <w:rPr>
          <w:rFonts w:ascii="Times New Roman" w:hAnsi="Times New Roman"/>
        </w:rPr>
        <w:t>；</w:t>
      </w:r>
    </w:p>
    <w:p>
      <w:pPr>
        <w:adjustRightInd w:val="0"/>
        <w:snapToGrid w:val="0"/>
        <w:spacing w:line="440" w:lineRule="exact"/>
        <w:ind w:firstLine="1260" w:firstLineChars="525"/>
        <w:rPr>
          <w:rFonts w:ascii="Times New Roman" w:hAnsi="Times New Roman"/>
        </w:rPr>
      </w:pPr>
      <w:r>
        <w:rPr>
          <w:rFonts w:ascii="Times New Roman" w:hAnsi="Times New Roman"/>
        </w:rPr>
        <w:t>C</w:t>
      </w:r>
      <w:r>
        <w:rPr>
          <w:rFonts w:ascii="Times New Roman" w:hAnsi="Times New Roman"/>
          <w:vertAlign w:val="subscript"/>
        </w:rPr>
        <w:t>b</w:t>
      </w:r>
      <w:r>
        <w:rPr>
          <w:rFonts w:ascii="Times New Roman" w:hAnsi="Times New Roman"/>
        </w:rPr>
        <w:t>——城区控制区的本底浓度，mg/m</w:t>
      </w:r>
      <w:r>
        <w:rPr>
          <w:rFonts w:ascii="Times New Roman" w:hAnsi="Times New Roman"/>
          <w:vertAlign w:val="superscript"/>
        </w:rPr>
        <w:t>3</w:t>
      </w:r>
      <w:r>
        <w:rPr>
          <w:rFonts w:ascii="Times New Roman" w:hAnsi="Times New Roman"/>
        </w:rPr>
        <w:t>。</w:t>
      </w:r>
    </w:p>
    <w:p>
      <w:pPr>
        <w:adjustRightInd w:val="0"/>
        <w:snapToGrid w:val="0"/>
        <w:spacing w:line="440" w:lineRule="exact"/>
        <w:ind w:firstLine="482" w:firstLineChars="200"/>
        <w:rPr>
          <w:rFonts w:ascii="Times New Roman" w:hAnsi="Times New Roman"/>
          <w:b/>
        </w:rPr>
      </w:pPr>
      <w:r>
        <w:rPr>
          <w:rFonts w:ascii="Times New Roman" w:hAnsi="Times New Roman"/>
          <w:b/>
        </w:rPr>
        <w:t>（2）控制因子</w:t>
      </w:r>
    </w:p>
    <w:p>
      <w:pPr>
        <w:adjustRightInd w:val="0"/>
        <w:snapToGrid w:val="0"/>
        <w:spacing w:line="440" w:lineRule="exact"/>
        <w:ind w:firstLine="480" w:firstLineChars="200"/>
        <w:rPr>
          <w:rFonts w:ascii="Times New Roman" w:hAnsi="Times New Roman"/>
        </w:rPr>
      </w:pPr>
      <w:r>
        <w:rPr>
          <w:rFonts w:ascii="Times New Roman" w:hAnsi="Times New Roman"/>
        </w:rPr>
        <w:t>考虑到本矿区及国家关于加强二氧化硫减排和总量控制的要求，本次大气环境容量核算取SO</w:t>
      </w:r>
      <w:r>
        <w:rPr>
          <w:rFonts w:ascii="Times New Roman" w:hAnsi="Times New Roman"/>
          <w:vertAlign w:val="subscript"/>
        </w:rPr>
        <w:t>2</w:t>
      </w:r>
      <w:r>
        <w:rPr>
          <w:rFonts w:ascii="Times New Roman" w:hAnsi="Times New Roman"/>
        </w:rPr>
        <w:t>和NO</w:t>
      </w:r>
      <w:r>
        <w:rPr>
          <w:rFonts w:ascii="Times New Roman" w:hAnsi="Times New Roman"/>
          <w:vertAlign w:val="subscript"/>
        </w:rPr>
        <w:t>X</w:t>
      </w:r>
      <w:r>
        <w:rPr>
          <w:rFonts w:ascii="Times New Roman" w:hAnsi="Times New Roman"/>
        </w:rPr>
        <w:t>作为容量计算因子。</w:t>
      </w:r>
    </w:p>
    <w:p>
      <w:pPr>
        <w:adjustRightInd w:val="0"/>
        <w:snapToGrid w:val="0"/>
        <w:spacing w:line="440" w:lineRule="exact"/>
        <w:ind w:firstLine="482" w:firstLineChars="200"/>
        <w:rPr>
          <w:rFonts w:ascii="Times New Roman" w:hAnsi="Times New Roman"/>
          <w:b/>
        </w:rPr>
      </w:pPr>
      <w:r>
        <w:rPr>
          <w:rFonts w:ascii="Times New Roman" w:hAnsi="Times New Roman"/>
          <w:b/>
        </w:rPr>
        <w:t>（3）参数确定</w:t>
      </w:r>
    </w:p>
    <w:p>
      <w:pPr>
        <w:adjustRightInd w:val="0"/>
        <w:snapToGrid w:val="0"/>
        <w:spacing w:line="440" w:lineRule="exact"/>
        <w:ind w:firstLine="480" w:firstLineChars="200"/>
        <w:rPr>
          <w:rFonts w:ascii="Times New Roman" w:hAnsi="Times New Roman"/>
        </w:rPr>
      </w:pPr>
      <w:r>
        <w:rPr>
          <w:rFonts w:ascii="Times New Roman" w:hAnsi="Times New Roman"/>
        </w:rPr>
        <w:t xml:space="preserve">根据《制定地方大气污染物排放标准的技术方法》（GB/T13201-91），内蒙古地区（阴山以南）A值的取值范围为3.5~4.9；低矮面源排放分担率a取0.20。按照《城市区域大气环境容量总量控制技术指南》（中国环境科学出版社）推荐的A值确定原则，以达标率90%为控制目标，按公式：  </w:t>
      </w:r>
    </w:p>
    <w:p>
      <w:pPr>
        <w:adjustRightInd w:val="0"/>
        <w:snapToGrid w:val="0"/>
        <w:spacing w:line="440" w:lineRule="exact"/>
        <w:ind w:firstLine="960" w:firstLineChars="400"/>
        <w:rPr>
          <w:rFonts w:ascii="Times New Roman" w:hAnsi="Times New Roman"/>
        </w:rPr>
      </w:pPr>
      <w:r>
        <w:rPr>
          <w:rFonts w:ascii="Times New Roman" w:hAnsi="Times New Roman"/>
        </w:rPr>
        <w:t>A=A</w:t>
      </w:r>
      <w:r>
        <w:rPr>
          <w:rFonts w:ascii="Times New Roman" w:hAnsi="Times New Roman"/>
          <w:vertAlign w:val="subscript"/>
        </w:rPr>
        <w:t>min</w:t>
      </w:r>
      <w:r>
        <w:rPr>
          <w:rFonts w:ascii="Times New Roman" w:hAnsi="Times New Roman"/>
        </w:rPr>
        <w:t>+0.1×(A</w:t>
      </w:r>
      <w:r>
        <w:rPr>
          <w:rFonts w:ascii="Times New Roman" w:hAnsi="Times New Roman"/>
          <w:vertAlign w:val="subscript"/>
        </w:rPr>
        <w:t>max</w:t>
      </w:r>
      <w:r>
        <w:rPr>
          <w:rFonts w:ascii="Times New Roman" w:hAnsi="Times New Roman"/>
        </w:rPr>
        <w:t>－A</w:t>
      </w:r>
      <w:r>
        <w:rPr>
          <w:rFonts w:ascii="Times New Roman" w:hAnsi="Times New Roman"/>
          <w:vertAlign w:val="subscript"/>
        </w:rPr>
        <w:t>min</w:t>
      </w:r>
      <w:r>
        <w:rPr>
          <w:rFonts w:ascii="Times New Roman" w:hAnsi="Times New Roman"/>
        </w:rPr>
        <w:t xml:space="preserve">) </w:t>
      </w:r>
    </w:p>
    <w:p>
      <w:pPr>
        <w:adjustRightInd w:val="0"/>
        <w:snapToGrid w:val="0"/>
        <w:spacing w:line="440" w:lineRule="exact"/>
        <w:ind w:firstLine="480" w:firstLineChars="200"/>
        <w:rPr>
          <w:rFonts w:ascii="Times New Roman" w:hAnsi="Times New Roman"/>
        </w:rPr>
      </w:pPr>
      <w:r>
        <w:rPr>
          <w:rFonts w:ascii="Times New Roman" w:hAnsi="Times New Roman"/>
        </w:rPr>
        <w:t xml:space="preserve">计算出矿区所在区域的总量控制系数A值为3.64。 </w:t>
      </w:r>
    </w:p>
    <w:p>
      <w:pPr>
        <w:autoSpaceDE w:val="0"/>
        <w:autoSpaceDN w:val="0"/>
        <w:adjustRightInd w:val="0"/>
        <w:snapToGrid w:val="0"/>
        <w:spacing w:line="440" w:lineRule="exact"/>
        <w:ind w:firstLine="480" w:firstLineChars="200"/>
        <w:textAlignment w:val="baseline"/>
        <w:rPr>
          <w:rFonts w:ascii="Times New Roman" w:hAnsi="Times New Roman"/>
        </w:rPr>
      </w:pPr>
      <w:r>
        <w:rPr>
          <w:rFonts w:ascii="Times New Roman" w:hAnsi="Times New Roman"/>
        </w:rPr>
        <w:t>依据《大气环境质量标准》中功能区的划分，整个矿区按工业相对集中区执行二类区二级标准，取年均二级标准为控制目标，即：SO</w:t>
      </w:r>
      <w:r>
        <w:rPr>
          <w:rFonts w:ascii="Times New Roman" w:hAnsi="Times New Roman"/>
          <w:vertAlign w:val="subscript"/>
        </w:rPr>
        <w:t>2</w:t>
      </w:r>
      <w:r>
        <w:rPr>
          <w:rFonts w:ascii="Times New Roman" w:hAnsi="Times New Roman"/>
        </w:rPr>
        <w:t>：0.06mg/m</w:t>
      </w:r>
      <w:r>
        <w:rPr>
          <w:rFonts w:ascii="Times New Roman" w:hAnsi="Times New Roman"/>
          <w:vertAlign w:val="superscript"/>
        </w:rPr>
        <w:t>3</w:t>
      </w:r>
      <w:r>
        <w:rPr>
          <w:rFonts w:ascii="Times New Roman" w:hAnsi="Times New Roman"/>
        </w:rPr>
        <w:t>，NO</w:t>
      </w:r>
      <w:r>
        <w:rPr>
          <w:rFonts w:ascii="Times New Roman" w:hAnsi="Times New Roman"/>
          <w:vertAlign w:val="subscript"/>
        </w:rPr>
        <w:t>X</w:t>
      </w:r>
      <w:r>
        <w:rPr>
          <w:rFonts w:ascii="Times New Roman" w:hAnsi="Times New Roman"/>
        </w:rPr>
        <w:t>：0.05mg/m</w:t>
      </w:r>
      <w:r>
        <w:rPr>
          <w:rFonts w:ascii="Times New Roman" w:hAnsi="Times New Roman"/>
          <w:vertAlign w:val="superscript"/>
        </w:rPr>
        <w:t>3</w:t>
      </w:r>
      <w:r>
        <w:rPr>
          <w:rFonts w:ascii="Times New Roman" w:hAnsi="Times New Roman"/>
        </w:rPr>
        <w:t>。</w:t>
      </w:r>
    </w:p>
    <w:p>
      <w:pPr>
        <w:adjustRightInd w:val="0"/>
        <w:snapToGrid w:val="0"/>
        <w:spacing w:line="440" w:lineRule="exact"/>
        <w:ind w:firstLine="480" w:firstLineChars="200"/>
        <w:rPr>
          <w:rFonts w:ascii="Times New Roman" w:hAnsi="Times New Roman"/>
        </w:rPr>
      </w:pPr>
      <w:r>
        <w:rPr>
          <w:rFonts w:ascii="Times New Roman" w:hAnsi="Times New Roman"/>
        </w:rPr>
        <w:t>根据鄂尔多斯市2020年环境空气质量公报数据，SO</w:t>
      </w:r>
      <w:r>
        <w:rPr>
          <w:rFonts w:ascii="Times New Roman" w:hAnsi="Times New Roman"/>
          <w:vertAlign w:val="subscript"/>
        </w:rPr>
        <w:t>2</w:t>
      </w:r>
      <w:r>
        <w:rPr>
          <w:rFonts w:ascii="Times New Roman" w:hAnsi="Times New Roman"/>
        </w:rPr>
        <w:t>和NO</w:t>
      </w:r>
      <w:r>
        <w:rPr>
          <w:rFonts w:ascii="Times New Roman" w:hAnsi="Times New Roman"/>
          <w:vertAlign w:val="subscript"/>
        </w:rPr>
        <w:t>X</w:t>
      </w:r>
      <w:r>
        <w:rPr>
          <w:rFonts w:ascii="Times New Roman" w:hAnsi="Times New Roman"/>
        </w:rPr>
        <w:t>本底浓度值为SO</w:t>
      </w:r>
      <w:r>
        <w:rPr>
          <w:rFonts w:ascii="Times New Roman" w:hAnsi="Times New Roman"/>
          <w:vertAlign w:val="subscript"/>
        </w:rPr>
        <w:t>2</w:t>
      </w:r>
      <w:r>
        <w:rPr>
          <w:rFonts w:ascii="Times New Roman" w:hAnsi="Times New Roman"/>
        </w:rPr>
        <w:t>：0.013mg/m</w:t>
      </w:r>
      <w:r>
        <w:rPr>
          <w:rFonts w:ascii="Times New Roman" w:hAnsi="Times New Roman"/>
          <w:vertAlign w:val="superscript"/>
        </w:rPr>
        <w:t>3</w:t>
      </w:r>
      <w:r>
        <w:rPr>
          <w:rFonts w:ascii="Times New Roman" w:hAnsi="Times New Roman"/>
        </w:rPr>
        <w:t>，NO</w:t>
      </w:r>
      <w:r>
        <w:rPr>
          <w:rFonts w:ascii="Times New Roman" w:hAnsi="Times New Roman"/>
          <w:vertAlign w:val="subscript"/>
        </w:rPr>
        <w:t>X</w:t>
      </w:r>
      <w:r>
        <w:rPr>
          <w:rFonts w:ascii="Times New Roman" w:hAnsi="Times New Roman"/>
        </w:rPr>
        <w:t>：0.025mg/m</w:t>
      </w:r>
      <w:r>
        <w:rPr>
          <w:rFonts w:ascii="Times New Roman" w:hAnsi="Times New Roman"/>
          <w:vertAlign w:val="superscript"/>
        </w:rPr>
        <w:t>3</w:t>
      </w:r>
      <w:r>
        <w:rPr>
          <w:rFonts w:ascii="Times New Roman" w:hAnsi="Times New Roman"/>
        </w:rPr>
        <w:t>。</w:t>
      </w:r>
    </w:p>
    <w:p>
      <w:pPr>
        <w:adjustRightInd w:val="0"/>
        <w:snapToGrid w:val="0"/>
        <w:spacing w:line="440" w:lineRule="exact"/>
        <w:ind w:firstLine="482" w:firstLineChars="200"/>
        <w:rPr>
          <w:rFonts w:ascii="Times New Roman" w:hAnsi="Times New Roman"/>
          <w:b/>
        </w:rPr>
      </w:pPr>
      <w:r>
        <w:rPr>
          <w:rFonts w:ascii="Times New Roman" w:hAnsi="Times New Roman"/>
          <w:b/>
        </w:rPr>
        <w:t>（4）计算结果</w:t>
      </w:r>
    </w:p>
    <w:p>
      <w:pPr>
        <w:adjustRightInd w:val="0"/>
        <w:snapToGrid w:val="0"/>
        <w:spacing w:line="440" w:lineRule="exact"/>
        <w:ind w:firstLine="480" w:firstLineChars="200"/>
        <w:rPr>
          <w:rFonts w:ascii="Times New Roman" w:hAnsi="Times New Roman"/>
        </w:rPr>
      </w:pPr>
      <w:r>
        <w:rPr>
          <w:rFonts w:ascii="Times New Roman" w:hAnsi="Times New Roman"/>
        </w:rPr>
        <w:t>由此计算可知，纳林希里矿区SO</w:t>
      </w:r>
      <w:r>
        <w:rPr>
          <w:rFonts w:ascii="Times New Roman" w:hAnsi="Times New Roman"/>
          <w:vertAlign w:val="subscript"/>
        </w:rPr>
        <w:t>2</w:t>
      </w:r>
      <w:r>
        <w:rPr>
          <w:rFonts w:ascii="Times New Roman" w:hAnsi="Times New Roman"/>
        </w:rPr>
        <w:t>和NO</w:t>
      </w:r>
      <w:r>
        <w:rPr>
          <w:rFonts w:ascii="Times New Roman" w:hAnsi="Times New Roman"/>
          <w:vertAlign w:val="subscript"/>
        </w:rPr>
        <w:t>X</w:t>
      </w:r>
      <w:r>
        <w:rPr>
          <w:rFonts w:ascii="Times New Roman" w:hAnsi="Times New Roman"/>
        </w:rPr>
        <w:t>现状剩余容量分别为4113.3t/a、2187.9t/a。</w:t>
      </w:r>
    </w:p>
    <w:p>
      <w:pPr>
        <w:keepNext/>
        <w:keepLines/>
        <w:adjustRightInd w:val="0"/>
        <w:snapToGrid w:val="0"/>
        <w:spacing w:line="440" w:lineRule="exact"/>
        <w:outlineLvl w:val="2"/>
        <w:rPr>
          <w:rFonts w:ascii="Times New Roman" w:hAnsi="Times New Roman"/>
          <w:b/>
        </w:rPr>
      </w:pPr>
      <w:r>
        <w:rPr>
          <w:rFonts w:ascii="Times New Roman" w:hAnsi="Times New Roman"/>
          <w:b/>
        </w:rPr>
        <w:t>6.3.2 矿区大气环境容量承载分析</w:t>
      </w:r>
    </w:p>
    <w:p>
      <w:pPr>
        <w:adjustRightInd w:val="0"/>
        <w:snapToGrid w:val="0"/>
        <w:spacing w:line="440" w:lineRule="exact"/>
        <w:ind w:firstLine="480" w:firstLineChars="200"/>
        <w:rPr>
          <w:rFonts w:ascii="Times New Roman" w:hAnsi="Times New Roman"/>
        </w:rPr>
      </w:pPr>
      <w:r>
        <w:rPr>
          <w:rFonts w:ascii="Times New Roman" w:hAnsi="Times New Roman"/>
        </w:rPr>
        <w:t>（1）大气环境容量承载力分析</w:t>
      </w:r>
    </w:p>
    <w:p>
      <w:pPr>
        <w:adjustRightInd w:val="0"/>
        <w:snapToGrid w:val="0"/>
        <w:spacing w:line="440" w:lineRule="exact"/>
        <w:ind w:firstLine="480" w:firstLineChars="200"/>
        <w:rPr>
          <w:rFonts w:ascii="Times New Roman" w:hAnsi="Times New Roman"/>
        </w:rPr>
      </w:pPr>
      <w:r>
        <w:rPr>
          <w:rFonts w:ascii="Times New Roman" w:hAnsi="Times New Roman"/>
        </w:rPr>
        <w:t>根据矿区规划项目设置方案和建设时序，矿区规划的4个矿井实施后环境空气污染物排放量即达到最大，矿区SO</w:t>
      </w:r>
      <w:r>
        <w:rPr>
          <w:rFonts w:ascii="Times New Roman" w:hAnsi="Times New Roman"/>
          <w:vertAlign w:val="subscript"/>
        </w:rPr>
        <w:t>2</w:t>
      </w:r>
      <w:r>
        <w:rPr>
          <w:rFonts w:ascii="Times New Roman" w:hAnsi="Times New Roman"/>
        </w:rPr>
        <w:t>和NO</w:t>
      </w:r>
      <w:r>
        <w:rPr>
          <w:rFonts w:ascii="Times New Roman" w:hAnsi="Times New Roman"/>
          <w:vertAlign w:val="subscript"/>
        </w:rPr>
        <w:t>X</w:t>
      </w:r>
      <w:r>
        <w:rPr>
          <w:rFonts w:ascii="Times New Roman" w:hAnsi="Times New Roman"/>
        </w:rPr>
        <w:t>排放量最大值估算结果见下表6.3-1。</w:t>
      </w: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tabs>
          <w:tab w:val="left" w:pos="6840"/>
        </w:tabs>
        <w:topLinePunct/>
        <w:adjustRightInd w:val="0"/>
        <w:snapToGrid w:val="0"/>
        <w:spacing w:line="440" w:lineRule="exact"/>
        <w:jc w:val="center"/>
        <w:rPr>
          <w:rFonts w:ascii="Times New Roman" w:hAnsi="Times New Roman"/>
          <w:b/>
          <w:kern w:val="24"/>
        </w:rPr>
      </w:pPr>
      <w:r>
        <w:rPr>
          <w:rFonts w:ascii="Times New Roman" w:hAnsi="Times New Roman"/>
          <w:b/>
          <w:kern w:val="24"/>
        </w:rPr>
        <w:t>矿区SO</w:t>
      </w:r>
      <w:r>
        <w:rPr>
          <w:rFonts w:ascii="Times New Roman" w:hAnsi="Times New Roman"/>
          <w:b/>
          <w:kern w:val="24"/>
          <w:vertAlign w:val="subscript"/>
        </w:rPr>
        <w:t>2</w:t>
      </w:r>
      <w:r>
        <w:rPr>
          <w:rFonts w:ascii="Times New Roman" w:hAnsi="Times New Roman"/>
          <w:b/>
          <w:kern w:val="24"/>
        </w:rPr>
        <w:t>和NO</w:t>
      </w:r>
      <w:r>
        <w:rPr>
          <w:rFonts w:ascii="Times New Roman" w:hAnsi="Times New Roman"/>
          <w:b/>
          <w:kern w:val="24"/>
          <w:vertAlign w:val="subscript"/>
        </w:rPr>
        <w:t>X</w:t>
      </w:r>
      <w:r>
        <w:rPr>
          <w:rFonts w:ascii="Times New Roman" w:hAnsi="Times New Roman"/>
          <w:b/>
          <w:kern w:val="24"/>
        </w:rPr>
        <w:t>排放量最大值估算统计表</w:t>
      </w:r>
    </w:p>
    <w:p>
      <w:pPr>
        <w:widowControl/>
        <w:adjustRightInd w:val="0"/>
        <w:snapToGrid w:val="0"/>
        <w:spacing w:line="440" w:lineRule="exact"/>
        <w:ind w:firstLine="480"/>
        <w:outlineLvl w:val="4"/>
        <w:rPr>
          <w:rFonts w:ascii="Times New Roman" w:hAnsi="Times New Roman"/>
          <w:kern w:val="0"/>
        </w:rPr>
      </w:pPr>
      <w:r>
        <w:rPr>
          <w:rFonts w:ascii="Times New Roman" w:hAnsi="Times New Roman"/>
          <w:kern w:val="0"/>
        </w:rPr>
        <w:t>表6.3-1</w:t>
      </w:r>
    </w:p>
    <w:tbl>
      <w:tblPr>
        <w:tblStyle w:val="59"/>
        <w:tblW w:w="9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0" w:type="dxa"/>
          <w:bottom w:w="28" w:type="dxa"/>
          <w:right w:w="0" w:type="dxa"/>
        </w:tblCellMar>
      </w:tblPr>
      <w:tblGrid>
        <w:gridCol w:w="3620"/>
        <w:gridCol w:w="3021"/>
        <w:gridCol w:w="2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rPr>
          <w:trHeight w:val="397" w:hRule="atLeast"/>
          <w:jc w:val="center"/>
        </w:trPr>
        <w:tc>
          <w:tcPr>
            <w:tcW w:w="3620"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污染源</w:t>
            </w:r>
          </w:p>
        </w:tc>
        <w:tc>
          <w:tcPr>
            <w:tcW w:w="302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SO</w:t>
            </w:r>
            <w:r>
              <w:rPr>
                <w:rFonts w:ascii="Times New Roman" w:hAnsi="Times New Roman"/>
                <w:sz w:val="21"/>
                <w:szCs w:val="21"/>
                <w:vertAlign w:val="subscript"/>
              </w:rPr>
              <w:t>2</w:t>
            </w:r>
            <w:r>
              <w:rPr>
                <w:rFonts w:ascii="Times New Roman" w:hAnsi="Times New Roman"/>
                <w:sz w:val="21"/>
                <w:szCs w:val="21"/>
              </w:rPr>
              <w:t>（t/a）</w:t>
            </w:r>
          </w:p>
        </w:tc>
        <w:tc>
          <w:tcPr>
            <w:tcW w:w="2713"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NOx（t/a）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rPr>
          <w:trHeight w:val="397" w:hRule="atLeast"/>
          <w:jc w:val="center"/>
        </w:trPr>
        <w:tc>
          <w:tcPr>
            <w:tcW w:w="3620" w:type="dxa"/>
            <w:vAlign w:val="center"/>
          </w:tcPr>
          <w:p>
            <w:pPr>
              <w:jc w:val="center"/>
              <w:rPr>
                <w:rFonts w:ascii="Times New Roman" w:hAnsi="Times New Roman"/>
                <w:sz w:val="21"/>
                <w:szCs w:val="21"/>
              </w:rPr>
            </w:pPr>
            <w:r>
              <w:rPr>
                <w:rFonts w:ascii="Times New Roman" w:hAnsi="Times New Roman"/>
                <w:snapToGrid w:val="0"/>
                <w:kern w:val="0"/>
                <w:sz w:val="21"/>
                <w:szCs w:val="21"/>
              </w:rPr>
              <w:t>奎腾沟井田</w:t>
            </w:r>
          </w:p>
        </w:tc>
        <w:tc>
          <w:tcPr>
            <w:tcW w:w="30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47.45</w:t>
            </w:r>
          </w:p>
        </w:tc>
        <w:tc>
          <w:tcPr>
            <w:tcW w:w="271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89.28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rPr>
          <w:trHeight w:val="397" w:hRule="atLeast"/>
          <w:jc w:val="center"/>
        </w:trPr>
        <w:tc>
          <w:tcPr>
            <w:tcW w:w="3620" w:type="dxa"/>
            <w:vAlign w:val="center"/>
          </w:tcPr>
          <w:p>
            <w:pPr>
              <w:ind w:firstLine="1050" w:firstLineChars="500"/>
              <w:rPr>
                <w:rFonts w:ascii="Times New Roman" w:hAnsi="Times New Roman"/>
                <w:sz w:val="21"/>
                <w:szCs w:val="21"/>
              </w:rPr>
            </w:pPr>
            <w:r>
              <w:rPr>
                <w:rFonts w:ascii="Times New Roman" w:hAnsi="Times New Roman"/>
                <w:snapToGrid w:val="0"/>
                <w:kern w:val="0"/>
                <w:sz w:val="21"/>
                <w:szCs w:val="21"/>
              </w:rPr>
              <w:t>苏布尔嘎井田</w:t>
            </w:r>
          </w:p>
        </w:tc>
        <w:tc>
          <w:tcPr>
            <w:tcW w:w="30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47.45</w:t>
            </w:r>
          </w:p>
        </w:tc>
        <w:tc>
          <w:tcPr>
            <w:tcW w:w="271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89.28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rPr>
          <w:trHeight w:val="397" w:hRule="atLeast"/>
          <w:jc w:val="center"/>
        </w:trPr>
        <w:tc>
          <w:tcPr>
            <w:tcW w:w="3620" w:type="dxa"/>
            <w:vAlign w:val="center"/>
          </w:tcPr>
          <w:p>
            <w:pPr>
              <w:jc w:val="center"/>
              <w:rPr>
                <w:rFonts w:ascii="Times New Roman" w:hAnsi="Times New Roman"/>
                <w:sz w:val="21"/>
                <w:szCs w:val="21"/>
              </w:rPr>
            </w:pPr>
            <w:r>
              <w:rPr>
                <w:rFonts w:ascii="Times New Roman" w:hAnsi="Times New Roman"/>
                <w:snapToGrid w:val="0"/>
                <w:kern w:val="0"/>
                <w:sz w:val="21"/>
                <w:szCs w:val="21"/>
              </w:rPr>
              <w:t>壕赖苏井田</w:t>
            </w:r>
          </w:p>
        </w:tc>
        <w:tc>
          <w:tcPr>
            <w:tcW w:w="30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71.18</w:t>
            </w:r>
          </w:p>
        </w:tc>
        <w:tc>
          <w:tcPr>
            <w:tcW w:w="271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133.92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rPr>
          <w:trHeight w:val="397" w:hRule="atLeast"/>
          <w:jc w:val="center"/>
        </w:trPr>
        <w:tc>
          <w:tcPr>
            <w:tcW w:w="3620" w:type="dxa"/>
            <w:vAlign w:val="center"/>
          </w:tcPr>
          <w:p>
            <w:pPr>
              <w:jc w:val="center"/>
              <w:rPr>
                <w:rFonts w:ascii="Times New Roman" w:hAnsi="Times New Roman"/>
                <w:sz w:val="21"/>
                <w:szCs w:val="21"/>
              </w:rPr>
            </w:pPr>
            <w:r>
              <w:rPr>
                <w:rFonts w:ascii="Times New Roman" w:hAnsi="Times New Roman"/>
                <w:snapToGrid w:val="0"/>
                <w:kern w:val="0"/>
                <w:sz w:val="21"/>
                <w:szCs w:val="21"/>
              </w:rPr>
              <w:t>纳林希里井田</w:t>
            </w:r>
          </w:p>
        </w:tc>
        <w:tc>
          <w:tcPr>
            <w:tcW w:w="3021"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47.45</w:t>
            </w:r>
          </w:p>
        </w:tc>
        <w:tc>
          <w:tcPr>
            <w:tcW w:w="2713" w:type="dxa"/>
            <w:vAlign w:val="center"/>
          </w:tcPr>
          <w:p>
            <w:pPr>
              <w:adjustRightInd w:val="0"/>
              <w:snapToGrid w:val="0"/>
              <w:jc w:val="center"/>
              <w:rPr>
                <w:rFonts w:ascii="Times New Roman" w:hAnsi="Times New Roman"/>
                <w:sz w:val="21"/>
                <w:szCs w:val="21"/>
              </w:rPr>
            </w:pPr>
            <w:r>
              <w:rPr>
                <w:rFonts w:ascii="Times New Roman" w:hAnsi="Times New Roman"/>
                <w:sz w:val="21"/>
                <w:szCs w:val="21"/>
              </w:rPr>
              <w:t>89.28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0" w:type="dxa"/>
            <w:bottom w:w="28" w:type="dxa"/>
            <w:right w:w="0" w:type="dxa"/>
          </w:tblCellMar>
        </w:tblPrEx>
        <w:trPr>
          <w:trHeight w:val="397" w:hRule="atLeast"/>
          <w:jc w:val="center"/>
        </w:trPr>
        <w:tc>
          <w:tcPr>
            <w:tcW w:w="3620" w:type="dxa"/>
            <w:vAlign w:val="center"/>
          </w:tcPr>
          <w:p>
            <w:pPr>
              <w:adjustRightInd w:val="0"/>
              <w:snapToGrid w:val="0"/>
              <w:jc w:val="center"/>
              <w:rPr>
                <w:rFonts w:ascii="Times New Roman" w:hAnsi="Times New Roman"/>
                <w:kern w:val="0"/>
                <w:sz w:val="21"/>
                <w:szCs w:val="21"/>
              </w:rPr>
            </w:pPr>
            <w:r>
              <w:rPr>
                <w:rFonts w:ascii="Times New Roman" w:hAnsi="Times New Roman"/>
                <w:kern w:val="0"/>
                <w:sz w:val="21"/>
                <w:szCs w:val="21"/>
              </w:rPr>
              <w:t>合计</w:t>
            </w:r>
          </w:p>
        </w:tc>
        <w:tc>
          <w:tcPr>
            <w:tcW w:w="3021" w:type="dxa"/>
            <w:vAlign w:val="center"/>
          </w:tcPr>
          <w:p>
            <w:pPr>
              <w:jc w:val="center"/>
              <w:rPr>
                <w:rFonts w:ascii="Times New Roman" w:hAnsi="Times New Roman"/>
                <w:sz w:val="21"/>
                <w:szCs w:val="21"/>
              </w:rPr>
            </w:pPr>
            <w:r>
              <w:rPr>
                <w:rFonts w:ascii="Times New Roman" w:hAnsi="Times New Roman"/>
                <w:sz w:val="21"/>
                <w:szCs w:val="21"/>
              </w:rPr>
              <w:t>213.53</w:t>
            </w:r>
          </w:p>
        </w:tc>
        <w:tc>
          <w:tcPr>
            <w:tcW w:w="2713" w:type="dxa"/>
            <w:vAlign w:val="center"/>
          </w:tcPr>
          <w:p>
            <w:pPr>
              <w:jc w:val="center"/>
              <w:rPr>
                <w:rFonts w:ascii="Times New Roman" w:hAnsi="Times New Roman"/>
                <w:sz w:val="21"/>
                <w:szCs w:val="21"/>
              </w:rPr>
            </w:pPr>
            <w:r>
              <w:rPr>
                <w:rFonts w:ascii="Times New Roman" w:hAnsi="Times New Roman"/>
                <w:sz w:val="21"/>
                <w:szCs w:val="21"/>
              </w:rPr>
              <w:t>401.76</w:t>
            </w:r>
          </w:p>
        </w:tc>
      </w:tr>
    </w:tbl>
    <w:p>
      <w:pPr>
        <w:adjustRightInd w:val="0"/>
        <w:snapToGrid w:val="0"/>
        <w:spacing w:line="440" w:lineRule="exact"/>
        <w:ind w:firstLine="480" w:firstLineChars="200"/>
        <w:rPr>
          <w:rFonts w:ascii="Times New Roman" w:hAnsi="Times New Roman"/>
        </w:rPr>
      </w:pPr>
      <w:r>
        <w:rPr>
          <w:rFonts w:ascii="Times New Roman" w:hAnsi="Times New Roman"/>
        </w:rPr>
        <w:t>结合前面矿区大气环境容量计算结果，矿区主要污染物SO</w:t>
      </w:r>
      <w:r>
        <w:rPr>
          <w:rFonts w:ascii="Times New Roman" w:hAnsi="Times New Roman"/>
          <w:vertAlign w:val="subscript"/>
        </w:rPr>
        <w:t>2</w:t>
      </w:r>
      <w:r>
        <w:rPr>
          <w:rFonts w:ascii="Times New Roman" w:hAnsi="Times New Roman"/>
        </w:rPr>
        <w:t>排放量与矿区SO</w:t>
      </w:r>
      <w:r>
        <w:rPr>
          <w:rFonts w:ascii="Times New Roman" w:hAnsi="Times New Roman"/>
          <w:vertAlign w:val="subscript"/>
        </w:rPr>
        <w:t>2</w:t>
      </w:r>
      <w:r>
        <w:rPr>
          <w:rFonts w:ascii="Times New Roman" w:hAnsi="Times New Roman"/>
        </w:rPr>
        <w:t>现状剩余容量对比情况见下表6.3-2。</w:t>
      </w:r>
    </w:p>
    <w:p>
      <w:pPr>
        <w:tabs>
          <w:tab w:val="left" w:pos="6840"/>
        </w:tabs>
        <w:topLinePunct/>
        <w:adjustRightInd w:val="0"/>
        <w:snapToGrid w:val="0"/>
        <w:spacing w:line="440" w:lineRule="exact"/>
        <w:jc w:val="center"/>
        <w:rPr>
          <w:rFonts w:ascii="Times New Roman" w:hAnsi="Times New Roman"/>
          <w:b/>
          <w:kern w:val="24"/>
        </w:rPr>
      </w:pPr>
      <w:r>
        <w:rPr>
          <w:rFonts w:ascii="Times New Roman" w:hAnsi="Times New Roman"/>
          <w:b/>
          <w:kern w:val="24"/>
        </w:rPr>
        <w:t>矿区SO</w:t>
      </w:r>
      <w:r>
        <w:rPr>
          <w:rFonts w:ascii="Times New Roman" w:hAnsi="Times New Roman"/>
          <w:b/>
          <w:kern w:val="24"/>
          <w:vertAlign w:val="subscript"/>
        </w:rPr>
        <w:t>2</w:t>
      </w:r>
      <w:r>
        <w:rPr>
          <w:rFonts w:ascii="Times New Roman" w:hAnsi="Times New Roman"/>
          <w:b/>
          <w:kern w:val="24"/>
        </w:rPr>
        <w:t>排放量与矿区</w:t>
      </w:r>
      <w:bookmarkStart w:id="317" w:name="OLE_LINK37"/>
      <w:bookmarkStart w:id="318" w:name="OLE_LINK38"/>
      <w:r>
        <w:rPr>
          <w:rFonts w:ascii="Times New Roman" w:hAnsi="Times New Roman"/>
          <w:b/>
          <w:kern w:val="24"/>
        </w:rPr>
        <w:t>SO</w:t>
      </w:r>
      <w:r>
        <w:rPr>
          <w:rFonts w:ascii="Times New Roman" w:hAnsi="Times New Roman"/>
          <w:b/>
          <w:kern w:val="24"/>
          <w:vertAlign w:val="subscript"/>
        </w:rPr>
        <w:t>2</w:t>
      </w:r>
      <w:bookmarkEnd w:id="317"/>
      <w:bookmarkEnd w:id="318"/>
      <w:r>
        <w:rPr>
          <w:rFonts w:ascii="Times New Roman" w:hAnsi="Times New Roman"/>
          <w:b/>
          <w:kern w:val="24"/>
        </w:rPr>
        <w:t>现状剩余容量对比情况一览表</w:t>
      </w:r>
    </w:p>
    <w:p>
      <w:pPr>
        <w:widowControl/>
        <w:adjustRightInd w:val="0"/>
        <w:snapToGrid w:val="0"/>
        <w:spacing w:line="440" w:lineRule="exact"/>
        <w:ind w:firstLine="480"/>
        <w:outlineLvl w:val="4"/>
        <w:rPr>
          <w:rFonts w:ascii="Times New Roman" w:hAnsi="Times New Roman"/>
          <w:kern w:val="0"/>
        </w:rPr>
      </w:pPr>
      <w:r>
        <w:rPr>
          <w:rFonts w:ascii="Times New Roman" w:hAnsi="Times New Roman"/>
          <w:kern w:val="0"/>
        </w:rPr>
        <w:t>表6.3-2</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86"/>
        <w:gridCol w:w="2805"/>
        <w:gridCol w:w="2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jc w:val="center"/>
        </w:trPr>
        <w:tc>
          <w:tcPr>
            <w:tcW w:w="3586"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对比项目</w:t>
            </w:r>
          </w:p>
        </w:tc>
        <w:tc>
          <w:tcPr>
            <w:tcW w:w="280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对比项目指标值（</w:t>
            </w:r>
            <w:r>
              <w:rPr>
                <w:rFonts w:ascii="Times New Roman" w:hAnsi="Times New Roman"/>
                <w:szCs w:val="21"/>
              </w:rPr>
              <w:t>SO</w:t>
            </w:r>
            <w:r>
              <w:rPr>
                <w:rFonts w:ascii="Times New Roman" w:hAnsi="Times New Roman"/>
                <w:szCs w:val="21"/>
                <w:vertAlign w:val="subscript"/>
              </w:rPr>
              <w:t>2</w:t>
            </w:r>
            <w:r>
              <w:rPr>
                <w:rFonts w:ascii="Times New Roman" w:hAnsi="Times New Roman"/>
                <w:sz w:val="21"/>
                <w:szCs w:val="21"/>
              </w:rPr>
              <w:t>）</w:t>
            </w:r>
          </w:p>
        </w:tc>
        <w:tc>
          <w:tcPr>
            <w:tcW w:w="2896"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对比项目指标值（NOx）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5" w:hRule="atLeast"/>
          <w:jc w:val="center"/>
        </w:trPr>
        <w:tc>
          <w:tcPr>
            <w:tcW w:w="3586" w:type="dxa"/>
            <w:vAlign w:val="center"/>
          </w:tcPr>
          <w:p>
            <w:pPr>
              <w:topLinePunct/>
              <w:adjustRightInd w:val="0"/>
              <w:snapToGrid w:val="0"/>
              <w:spacing w:line="240" w:lineRule="atLeast"/>
              <w:jc w:val="left"/>
              <w:textAlignment w:val="baseline"/>
              <w:rPr>
                <w:rFonts w:ascii="Times New Roman" w:hAnsi="Times New Roman"/>
                <w:sz w:val="21"/>
                <w:szCs w:val="21"/>
              </w:rPr>
            </w:pPr>
            <w:r>
              <w:rPr>
                <w:rFonts w:ascii="Times New Roman" w:hAnsi="Times New Roman"/>
                <w:sz w:val="21"/>
                <w:szCs w:val="21"/>
              </w:rPr>
              <w:t>矿区排放量（t/a）</w:t>
            </w:r>
          </w:p>
        </w:tc>
        <w:tc>
          <w:tcPr>
            <w:tcW w:w="2805" w:type="dxa"/>
            <w:vAlign w:val="center"/>
          </w:tcPr>
          <w:p>
            <w:pPr>
              <w:jc w:val="center"/>
              <w:rPr>
                <w:rFonts w:ascii="Times New Roman" w:hAnsi="Times New Roman"/>
                <w:sz w:val="21"/>
                <w:szCs w:val="21"/>
              </w:rPr>
            </w:pPr>
            <w:r>
              <w:rPr>
                <w:rFonts w:ascii="Times New Roman" w:hAnsi="Times New Roman"/>
                <w:sz w:val="21"/>
                <w:szCs w:val="21"/>
              </w:rPr>
              <w:t>213.53</w:t>
            </w:r>
          </w:p>
        </w:tc>
        <w:tc>
          <w:tcPr>
            <w:tcW w:w="2896" w:type="dxa"/>
            <w:vAlign w:val="center"/>
          </w:tcPr>
          <w:p>
            <w:pPr>
              <w:jc w:val="center"/>
              <w:rPr>
                <w:rFonts w:ascii="Times New Roman" w:hAnsi="Times New Roman"/>
                <w:sz w:val="21"/>
                <w:szCs w:val="21"/>
              </w:rPr>
            </w:pPr>
            <w:r>
              <w:rPr>
                <w:rFonts w:ascii="Times New Roman" w:hAnsi="Times New Roman"/>
                <w:sz w:val="21"/>
                <w:szCs w:val="21"/>
              </w:rPr>
              <w:t>401.76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5" w:hRule="atLeast"/>
          <w:jc w:val="center"/>
        </w:trPr>
        <w:tc>
          <w:tcPr>
            <w:tcW w:w="3586" w:type="dxa"/>
            <w:vAlign w:val="center"/>
          </w:tcPr>
          <w:p>
            <w:pPr>
              <w:topLinePunct/>
              <w:adjustRightInd w:val="0"/>
              <w:snapToGrid w:val="0"/>
              <w:spacing w:line="240" w:lineRule="atLeast"/>
              <w:jc w:val="left"/>
              <w:textAlignment w:val="baseline"/>
              <w:rPr>
                <w:rFonts w:ascii="Times New Roman" w:hAnsi="Times New Roman"/>
                <w:sz w:val="21"/>
                <w:szCs w:val="21"/>
              </w:rPr>
            </w:pPr>
            <w:r>
              <w:rPr>
                <w:rFonts w:ascii="Times New Roman" w:hAnsi="Times New Roman"/>
                <w:sz w:val="21"/>
                <w:szCs w:val="21"/>
              </w:rPr>
              <w:t>矿区现状剩余容量（t/a）</w:t>
            </w:r>
          </w:p>
        </w:tc>
        <w:tc>
          <w:tcPr>
            <w:tcW w:w="2805" w:type="dxa"/>
            <w:vAlign w:val="center"/>
          </w:tcPr>
          <w:p>
            <w:pPr>
              <w:jc w:val="center"/>
              <w:rPr>
                <w:rFonts w:ascii="Times New Roman" w:hAnsi="Times New Roman"/>
                <w:sz w:val="21"/>
                <w:szCs w:val="21"/>
              </w:rPr>
            </w:pPr>
            <w:r>
              <w:rPr>
                <w:rFonts w:ascii="Times New Roman" w:hAnsi="Times New Roman"/>
                <w:sz w:val="21"/>
                <w:szCs w:val="21"/>
              </w:rPr>
              <w:t>4113.3</w:t>
            </w:r>
          </w:p>
        </w:tc>
        <w:tc>
          <w:tcPr>
            <w:tcW w:w="2896" w:type="dxa"/>
            <w:vAlign w:val="center"/>
          </w:tcPr>
          <w:p>
            <w:pPr>
              <w:jc w:val="center"/>
              <w:rPr>
                <w:rFonts w:ascii="Times New Roman" w:hAnsi="Times New Roman"/>
                <w:sz w:val="21"/>
                <w:szCs w:val="21"/>
              </w:rPr>
            </w:pPr>
            <w:r>
              <w:rPr>
                <w:rFonts w:ascii="Times New Roman" w:hAnsi="Times New Roman"/>
                <w:sz w:val="21"/>
                <w:szCs w:val="21"/>
              </w:rPr>
              <w:t>2187.9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5" w:hRule="atLeast"/>
          <w:jc w:val="center"/>
        </w:trPr>
        <w:tc>
          <w:tcPr>
            <w:tcW w:w="3586" w:type="dxa"/>
            <w:vAlign w:val="center"/>
          </w:tcPr>
          <w:p>
            <w:pPr>
              <w:topLinePunct/>
              <w:adjustRightInd w:val="0"/>
              <w:snapToGrid w:val="0"/>
              <w:spacing w:line="240" w:lineRule="atLeast"/>
              <w:jc w:val="left"/>
              <w:textAlignment w:val="baseline"/>
              <w:rPr>
                <w:rFonts w:ascii="Times New Roman" w:hAnsi="Times New Roman"/>
                <w:sz w:val="21"/>
                <w:szCs w:val="21"/>
              </w:rPr>
            </w:pPr>
            <w:r>
              <w:rPr>
                <w:rFonts w:ascii="Times New Roman" w:hAnsi="Times New Roman"/>
                <w:sz w:val="21"/>
                <w:szCs w:val="21"/>
              </w:rPr>
              <w:t>矿区排放量占现状剩余容量（％）</w:t>
            </w:r>
          </w:p>
        </w:tc>
        <w:tc>
          <w:tcPr>
            <w:tcW w:w="2805" w:type="dxa"/>
            <w:vAlign w:val="center"/>
          </w:tcPr>
          <w:p>
            <w:pPr>
              <w:spacing w:line="240" w:lineRule="atLeast"/>
              <w:jc w:val="center"/>
              <w:rPr>
                <w:rFonts w:ascii="Times New Roman" w:hAnsi="Times New Roman"/>
                <w:sz w:val="21"/>
                <w:szCs w:val="21"/>
              </w:rPr>
            </w:pPr>
            <w:r>
              <w:rPr>
                <w:rFonts w:ascii="Times New Roman" w:hAnsi="Times New Roman"/>
                <w:sz w:val="21"/>
                <w:szCs w:val="21"/>
              </w:rPr>
              <w:t>5.19</w:t>
            </w:r>
          </w:p>
        </w:tc>
        <w:tc>
          <w:tcPr>
            <w:tcW w:w="2896" w:type="dxa"/>
            <w:vAlign w:val="center"/>
          </w:tcPr>
          <w:p>
            <w:pPr>
              <w:spacing w:line="240" w:lineRule="atLeast"/>
              <w:jc w:val="center"/>
              <w:rPr>
                <w:rFonts w:ascii="Times New Roman" w:hAnsi="Times New Roman"/>
                <w:sz w:val="21"/>
                <w:szCs w:val="21"/>
              </w:rPr>
            </w:pPr>
            <w:r>
              <w:rPr>
                <w:rFonts w:ascii="Times New Roman" w:hAnsi="Times New Roman"/>
                <w:sz w:val="21"/>
                <w:szCs w:val="21"/>
              </w:rPr>
              <w:t>18.36</w:t>
            </w:r>
          </w:p>
        </w:tc>
      </w:tr>
    </w:tbl>
    <w:p>
      <w:pPr>
        <w:autoSpaceDE w:val="0"/>
        <w:autoSpaceDN w:val="0"/>
        <w:adjustRightInd w:val="0"/>
        <w:snapToGrid w:val="0"/>
        <w:spacing w:line="440" w:lineRule="exact"/>
        <w:ind w:firstLine="480" w:firstLineChars="200"/>
        <w:textAlignment w:val="baseline"/>
        <w:rPr>
          <w:rFonts w:ascii="Times New Roman" w:hAnsi="Times New Roman"/>
        </w:rPr>
      </w:pPr>
      <w:r>
        <w:rPr>
          <w:rFonts w:ascii="Times New Roman" w:hAnsi="Times New Roman"/>
        </w:rPr>
        <w:t>由表6.3-1、表6.3-2可知，矿区需要申请的SO</w:t>
      </w:r>
      <w:r>
        <w:rPr>
          <w:rFonts w:ascii="Times New Roman" w:hAnsi="Times New Roman"/>
          <w:vertAlign w:val="subscript"/>
        </w:rPr>
        <w:t>2</w:t>
      </w:r>
      <w:r>
        <w:rPr>
          <w:rFonts w:ascii="Times New Roman" w:hAnsi="Times New Roman"/>
          <w:szCs w:val="24"/>
        </w:rPr>
        <w:t>和NOx</w:t>
      </w:r>
      <w:r>
        <w:rPr>
          <w:rFonts w:ascii="Times New Roman" w:hAnsi="Times New Roman"/>
        </w:rPr>
        <w:t>分别为213.53t/a和401.76t/a，占矿区现状剩余容量的5.19%和18.36%。矿区现状SO</w:t>
      </w:r>
      <w:r>
        <w:rPr>
          <w:rFonts w:ascii="Times New Roman" w:hAnsi="Times New Roman"/>
          <w:vertAlign w:val="subscript"/>
        </w:rPr>
        <w:t>2</w:t>
      </w:r>
      <w:r>
        <w:rPr>
          <w:rFonts w:ascii="Times New Roman" w:hAnsi="Times New Roman"/>
        </w:rPr>
        <w:t>和</w:t>
      </w:r>
      <w:r>
        <w:rPr>
          <w:rFonts w:ascii="Times New Roman" w:hAnsi="Times New Roman"/>
          <w:szCs w:val="24"/>
        </w:rPr>
        <w:t>NOx</w:t>
      </w:r>
      <w:r>
        <w:rPr>
          <w:rFonts w:ascii="Times New Roman" w:hAnsi="Times New Roman"/>
        </w:rPr>
        <w:t>剩余容量能够承载矿区规划项目SO</w:t>
      </w:r>
      <w:r>
        <w:rPr>
          <w:rFonts w:ascii="Times New Roman" w:hAnsi="Times New Roman"/>
          <w:vertAlign w:val="subscript"/>
        </w:rPr>
        <w:t>2</w:t>
      </w:r>
      <w:r>
        <w:rPr>
          <w:rFonts w:ascii="Times New Roman" w:hAnsi="Times New Roman"/>
        </w:rPr>
        <w:t>和</w:t>
      </w:r>
      <w:r>
        <w:rPr>
          <w:rFonts w:ascii="Times New Roman" w:hAnsi="Times New Roman"/>
          <w:szCs w:val="24"/>
        </w:rPr>
        <w:t>NOx</w:t>
      </w:r>
      <w:r>
        <w:rPr>
          <w:rFonts w:ascii="Times New Roman" w:hAnsi="Times New Roman"/>
        </w:rPr>
        <w:t>排放需要。</w:t>
      </w:r>
    </w:p>
    <w:p>
      <w:pPr>
        <w:keepNext/>
        <w:keepLines/>
        <w:adjustRightInd w:val="0"/>
        <w:snapToGrid w:val="0"/>
        <w:spacing w:line="440" w:lineRule="exact"/>
        <w:outlineLvl w:val="2"/>
        <w:rPr>
          <w:rFonts w:ascii="Times New Roman" w:hAnsi="Times New Roman"/>
          <w:b/>
        </w:rPr>
      </w:pPr>
      <w:r>
        <w:rPr>
          <w:rFonts w:ascii="Times New Roman" w:hAnsi="Times New Roman"/>
          <w:b/>
        </w:rPr>
        <w:t>6.3.3总量承载及控制分析</w:t>
      </w:r>
    </w:p>
    <w:p>
      <w:pPr>
        <w:autoSpaceDE w:val="0"/>
        <w:autoSpaceDN w:val="0"/>
        <w:adjustRightInd w:val="0"/>
        <w:snapToGrid w:val="0"/>
        <w:spacing w:line="440" w:lineRule="exact"/>
        <w:ind w:firstLine="482" w:firstLineChars="200"/>
        <w:textAlignment w:val="baseline"/>
        <w:rPr>
          <w:rFonts w:ascii="Times New Roman" w:hAnsi="Times New Roman"/>
          <w:b/>
          <w:szCs w:val="24"/>
        </w:rPr>
      </w:pPr>
      <w:r>
        <w:rPr>
          <w:rFonts w:ascii="Times New Roman" w:hAnsi="Times New Roman"/>
          <w:b/>
          <w:szCs w:val="24"/>
        </w:rPr>
        <w:t>（1）鄂尔多斯市“十四五”期间污染物总量控制</w:t>
      </w:r>
    </w:p>
    <w:p>
      <w:pPr>
        <w:adjustRightInd w:val="0"/>
        <w:snapToGrid w:val="0"/>
        <w:spacing w:line="440" w:lineRule="exact"/>
        <w:ind w:firstLine="480"/>
        <w:rPr>
          <w:rFonts w:ascii="Times New Roman" w:hAnsi="Times New Roman"/>
          <w:bCs/>
        </w:rPr>
      </w:pPr>
      <w:r>
        <w:rPr>
          <w:rFonts w:ascii="Times New Roman" w:hAnsi="Times New Roman"/>
          <w:szCs w:val="24"/>
        </w:rPr>
        <w:t>根据鄂尔多斯市“十四五”生态环境保护规划主要指标，</w:t>
      </w:r>
      <w:r>
        <w:rPr>
          <w:rFonts w:ascii="Times New Roman" w:hAnsi="Times New Roman"/>
          <w:bCs/>
        </w:rPr>
        <w:t>“十四五”期间，鄂尔多斯市氮氧化物排放总量控制在17.348万吨，VOCs排放总量控制在18.418万吨。</w:t>
      </w:r>
    </w:p>
    <w:p>
      <w:pPr>
        <w:autoSpaceDE w:val="0"/>
        <w:autoSpaceDN w:val="0"/>
        <w:adjustRightInd w:val="0"/>
        <w:snapToGrid w:val="0"/>
        <w:spacing w:line="440" w:lineRule="exact"/>
        <w:ind w:firstLine="482" w:firstLineChars="200"/>
        <w:textAlignment w:val="baseline"/>
        <w:rPr>
          <w:rFonts w:ascii="Times New Roman" w:hAnsi="Times New Roman"/>
          <w:b/>
          <w:szCs w:val="24"/>
        </w:rPr>
      </w:pPr>
      <w:r>
        <w:rPr>
          <w:rFonts w:ascii="Times New Roman" w:hAnsi="Times New Roman"/>
          <w:b/>
          <w:szCs w:val="24"/>
        </w:rPr>
        <w:t>（2）总量控制分析</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根据矿区规划，奎腾沟、苏布尔噶、纳林希里锅炉房内均设28MW(折合蒸发量40t/h)热水锅炉2台，壕赖苏矿井锅炉房内设28MW(折合蒸发量40t/h)热水锅炉3台。根据计算，矿区煤矿项目SO</w:t>
      </w:r>
      <w:r>
        <w:rPr>
          <w:rFonts w:ascii="Times New Roman" w:hAnsi="Times New Roman"/>
          <w:szCs w:val="24"/>
          <w:vertAlign w:val="subscript"/>
        </w:rPr>
        <w:t>2</w:t>
      </w:r>
      <w:r>
        <w:rPr>
          <w:rFonts w:ascii="Times New Roman" w:hAnsi="Times New Roman"/>
          <w:szCs w:val="24"/>
        </w:rPr>
        <w:t>和NOx排放量小，分别为</w:t>
      </w:r>
      <w:r>
        <w:rPr>
          <w:rFonts w:ascii="Times New Roman" w:hAnsi="Times New Roman"/>
        </w:rPr>
        <w:t>215.53t/a和401.76t/a</w:t>
      </w:r>
      <w:r>
        <w:rPr>
          <w:rFonts w:ascii="Times New Roman" w:hAnsi="Times New Roman"/>
          <w:szCs w:val="24"/>
        </w:rPr>
        <w:t>，矿区规划煤矿项目至少需向鄂尔多斯市环保部门申请SO</w:t>
      </w:r>
      <w:r>
        <w:rPr>
          <w:rFonts w:ascii="Times New Roman" w:hAnsi="Times New Roman"/>
          <w:szCs w:val="24"/>
          <w:vertAlign w:val="subscript"/>
        </w:rPr>
        <w:t>2</w:t>
      </w:r>
      <w:r>
        <w:rPr>
          <w:rFonts w:ascii="Times New Roman" w:hAnsi="Times New Roman"/>
          <w:szCs w:val="24"/>
        </w:rPr>
        <w:t>总量</w:t>
      </w:r>
      <w:r>
        <w:rPr>
          <w:rFonts w:ascii="Times New Roman" w:hAnsi="Times New Roman"/>
        </w:rPr>
        <w:t>213.53t/a</w:t>
      </w:r>
      <w:r>
        <w:rPr>
          <w:rFonts w:ascii="Times New Roman" w:hAnsi="Times New Roman"/>
          <w:szCs w:val="24"/>
        </w:rPr>
        <w:t>，方可满足矿区项目排放SO</w:t>
      </w:r>
      <w:r>
        <w:rPr>
          <w:rFonts w:ascii="Times New Roman" w:hAnsi="Times New Roman"/>
          <w:szCs w:val="24"/>
          <w:vertAlign w:val="subscript"/>
        </w:rPr>
        <w:t>2</w:t>
      </w:r>
      <w:r>
        <w:rPr>
          <w:rFonts w:ascii="Times New Roman" w:hAnsi="Times New Roman"/>
          <w:szCs w:val="24"/>
        </w:rPr>
        <w:t>需要；矿区规划煤矿项目至少需向鄂尔多斯市环保部门申请NOx总量</w:t>
      </w:r>
      <w:r>
        <w:rPr>
          <w:rFonts w:ascii="Times New Roman" w:hAnsi="Times New Roman"/>
        </w:rPr>
        <w:t>401.76t/a</w:t>
      </w:r>
      <w:r>
        <w:rPr>
          <w:rFonts w:ascii="Times New Roman" w:hAnsi="Times New Roman"/>
          <w:szCs w:val="24"/>
        </w:rPr>
        <w:t>，方可满足矿区项目排放NOx需要。</w:t>
      </w:r>
    </w:p>
    <w:p>
      <w:pPr>
        <w:spacing w:line="440" w:lineRule="exact"/>
        <w:ind w:firstLine="480" w:firstLineChars="200"/>
        <w:rPr>
          <w:rFonts w:ascii="Times New Roman" w:hAnsi="Times New Roman"/>
          <w:szCs w:val="24"/>
        </w:rPr>
        <w:sectPr>
          <w:pgSz w:w="11907" w:h="16840"/>
          <w:pgMar w:top="1701" w:right="1418" w:bottom="1418" w:left="1418" w:header="1134" w:footer="851" w:gutter="0"/>
          <w:cols w:space="720" w:num="1"/>
          <w:docGrid w:linePitch="312" w:charSpace="0"/>
        </w:sectPr>
      </w:pPr>
    </w:p>
    <w:p>
      <w:pPr>
        <w:pStyle w:val="3"/>
        <w:adjustRightInd w:val="0"/>
        <w:snapToGrid w:val="0"/>
        <w:spacing w:before="360" w:after="360" w:line="440" w:lineRule="exact"/>
        <w:jc w:val="center"/>
        <w:rPr>
          <w:sz w:val="36"/>
        </w:rPr>
      </w:pPr>
      <w:bookmarkStart w:id="319" w:name="_Toc247104479"/>
      <w:bookmarkStart w:id="320" w:name="_Toc255477134"/>
      <w:bookmarkStart w:id="321" w:name="_Toc18838492"/>
      <w:bookmarkStart w:id="322" w:name="_Toc27138"/>
      <w:bookmarkStart w:id="323" w:name="_Toc18838467"/>
      <w:r>
        <w:rPr>
          <w:sz w:val="36"/>
        </w:rPr>
        <w:t>7规划方案综合论证</w:t>
      </w:r>
      <w:bookmarkEnd w:id="319"/>
      <w:bookmarkEnd w:id="320"/>
      <w:bookmarkEnd w:id="321"/>
      <w:r>
        <w:rPr>
          <w:sz w:val="36"/>
        </w:rPr>
        <w:t>与优化调整建议</w:t>
      </w:r>
      <w:bookmarkEnd w:id="322"/>
    </w:p>
    <w:p>
      <w:pPr>
        <w:pStyle w:val="4"/>
        <w:adjustRightInd w:val="0"/>
        <w:snapToGrid w:val="0"/>
        <w:spacing w:line="440" w:lineRule="exact"/>
        <w:jc w:val="left"/>
        <w:rPr>
          <w:rFonts w:ascii="Times New Roman" w:hAnsi="Times New Roman" w:eastAsia="宋体"/>
          <w:sz w:val="28"/>
        </w:rPr>
      </w:pPr>
      <w:bookmarkStart w:id="324" w:name="_Toc225781418"/>
      <w:bookmarkStart w:id="325" w:name="_Toc195512730"/>
      <w:bookmarkStart w:id="326" w:name="_Toc18838493"/>
      <w:bookmarkStart w:id="327" w:name="_Toc15169"/>
      <w:r>
        <w:rPr>
          <w:rFonts w:ascii="Times New Roman" w:hAnsi="Times New Roman" w:eastAsia="宋体"/>
          <w:sz w:val="28"/>
        </w:rPr>
        <w:t>7.1 规划方案的环境合理性</w:t>
      </w:r>
      <w:bookmarkEnd w:id="324"/>
      <w:bookmarkEnd w:id="325"/>
      <w:bookmarkEnd w:id="326"/>
      <w:r>
        <w:rPr>
          <w:rFonts w:ascii="Times New Roman" w:hAnsi="Times New Roman" w:eastAsia="宋体"/>
          <w:sz w:val="28"/>
        </w:rPr>
        <w:t>论证</w:t>
      </w:r>
      <w:bookmarkEnd w:id="327"/>
    </w:p>
    <w:p>
      <w:pPr>
        <w:pStyle w:val="5"/>
        <w:adjustRightInd w:val="0"/>
        <w:snapToGrid w:val="0"/>
        <w:spacing w:before="0" w:after="0" w:line="440" w:lineRule="exact"/>
        <w:rPr>
          <w:sz w:val="24"/>
          <w:szCs w:val="24"/>
        </w:rPr>
      </w:pPr>
      <w:bookmarkStart w:id="328" w:name="_Toc400733230"/>
      <w:bookmarkStart w:id="329" w:name="_Toc18838496"/>
      <w:r>
        <w:rPr>
          <w:sz w:val="24"/>
          <w:szCs w:val="24"/>
        </w:rPr>
        <w:t>7.1.1规划目标合理性分析</w:t>
      </w:r>
    </w:p>
    <w:p>
      <w:pPr>
        <w:spacing w:line="440" w:lineRule="exact"/>
        <w:ind w:firstLine="480" w:firstLineChars="200"/>
        <w:rPr>
          <w:rFonts w:ascii="Times New Roman" w:hAnsi="Times New Roman"/>
          <w:bCs/>
          <w:lang w:bidi="ar"/>
        </w:rPr>
      </w:pPr>
      <w:r>
        <w:rPr>
          <w:rFonts w:ascii="Times New Roman" w:hAnsi="Times New Roman"/>
          <w:bCs/>
          <w:lang w:bidi="ar"/>
        </w:rPr>
        <w:t>2022年4月20日，国务院总理李克强召开国务院常务会议，确定能源保供增供举措，提升能源对经济社会发展的保障能力。会议指出，能源经济社会发展的基础支撑。要立足我国国情，应对外部环境新挑战，抓住重点，强化能源保供，未雨绸缪推进条件成熟、发展需要的能源项目开工建设，促进能源结构持续优化。这也能扩大有效投资和带动就业，既利当前又利长远。一要发挥煤炭的主体能源作用。通力合作优化煤炭企业生产、项目建设等核准审批政策，落实地方稳产保供责任，充分释放先进产能。通过核增产能、扩产、新投产等，今年新增煤炭产能3亿吨。</w:t>
      </w:r>
    </w:p>
    <w:p>
      <w:pPr>
        <w:spacing w:line="440" w:lineRule="exact"/>
        <w:ind w:firstLine="480" w:firstLineChars="200"/>
        <w:rPr>
          <w:rFonts w:ascii="Times New Roman" w:hAnsi="Times New Roman"/>
          <w:bCs/>
          <w:szCs w:val="24"/>
        </w:rPr>
      </w:pPr>
      <w:r>
        <w:rPr>
          <w:rFonts w:ascii="Times New Roman" w:hAnsi="Times New Roman"/>
          <w:bCs/>
          <w:szCs w:val="24"/>
        </w:rPr>
        <w:t>2021年12月，内蒙古自治区能源局发布《内蒙古自治区煤炭工业发展“十四五”规划》，规划提出稳定蒙东地区煤炭产能，在鄂尔多斯新建一批现代化大型煤矿，120万吨/年及以上煤矿产能占比到达92%。开展煤矿资源绿色开采试点示范，因地制宜推广应用充填开采、井下开采、井下洗选等绿色开采技术及设备，最大限度减少煤炭资源开发对生态环境造成的影响。加强绿色矿山达标建设，新建煤矿全部按照绿色矿山标准规划、设计、建设和运营管理，生产煤矿结合实际按照绿色矿山标准加快改造升级，达到绿色矿山标准。开展煤矸石充填开采试点，推动鄂尔多斯南部地区矿井水综合利用，推广应用氢能源卡车和电动卡车，最大限度降低碳排放。鼓励煤矿企业采用先进技术回收废永久保护煤柱等边角残煤提高煤炭资源回收率。到2025年，生产煤矿绿色矿山达标率达到100%。</w:t>
      </w:r>
    </w:p>
    <w:p>
      <w:pPr>
        <w:spacing w:line="440" w:lineRule="exact"/>
        <w:ind w:firstLine="480" w:firstLineChars="200"/>
        <w:rPr>
          <w:rFonts w:ascii="Times New Roman" w:hAnsi="Times New Roman"/>
          <w:bCs/>
          <w:szCs w:val="24"/>
        </w:rPr>
      </w:pPr>
      <w:r>
        <w:rPr>
          <w:rFonts w:ascii="Times New Roman" w:hAnsi="Times New Roman"/>
          <w:bCs/>
          <w:szCs w:val="24"/>
        </w:rPr>
        <w:t>《煤炭工业“十四五”高质量发展指导意见》提出，因地制宜推广充填开采、保水开采、煤与瓦斯共采、井下洗选等绿色开采技术，鼓励原煤全部入选（洗）。做好黄河流域煤炭资源开发与生态环境保护工程同步设计、同步实施，提高矿区生态功能，建设绿色矿山。统筹考虑煤炭矿区建设历史、对区域经济社会发展的影响与生态功能区范围设计，对生态功能区与煤炭矿区重叠区域的保护性开发与关闭退出进行科学评价，实现煤炭资源开发与经济社会、生态环境协调发展。</w:t>
      </w:r>
    </w:p>
    <w:p>
      <w:pPr>
        <w:spacing w:line="440" w:lineRule="exact"/>
        <w:ind w:firstLine="480" w:firstLineChars="200"/>
        <w:rPr>
          <w:rFonts w:ascii="Times New Roman" w:hAnsi="Times New Roman"/>
          <w:bCs/>
          <w:szCs w:val="24"/>
        </w:rPr>
      </w:pPr>
      <w:r>
        <w:rPr>
          <w:rFonts w:ascii="Times New Roman" w:hAnsi="Times New Roman"/>
          <w:bCs/>
          <w:szCs w:val="24"/>
        </w:rPr>
        <w:t>2021年3月2日，内蒙古自治区党委、自治区人民政府发布《关于促进煤炭工业高质量发展的意见》内党发[2021]8号，提出优化煤炭开发布局，综合考虑资源禀赋、先进产能建设、环境容量等因素，以鄂尔多斯为重点，稳步推进现代化大型矿井建设，科学有序发展优质产能。开展煤炭资源绿色开采试点，推广应用充填开采、井下洗选等绿色开采技术，在鄂尔多斯上海庙、棋盘井等地建设一批试点示范矿井。在鄂尔多斯、乌海等地推广应用清洁能源、氢燃料电池矿用卡车，降低碳排放。深入实施鄂尔多斯煤品牌提升行动，打造低硫、低灰、低磷、低汞、低砷、低氯、中高发热量的“六低一高”名片。</w:t>
      </w:r>
    </w:p>
    <w:p>
      <w:pPr>
        <w:spacing w:line="440" w:lineRule="exact"/>
        <w:ind w:firstLine="480" w:firstLineChars="200"/>
        <w:rPr>
          <w:rFonts w:ascii="Times New Roman" w:hAnsi="Times New Roman"/>
          <w:bCs/>
          <w:szCs w:val="24"/>
        </w:rPr>
      </w:pPr>
      <w:r>
        <w:rPr>
          <w:rFonts w:ascii="Times New Roman" w:hAnsi="Times New Roman"/>
          <w:szCs w:val="24"/>
        </w:rPr>
        <w:t>《内蒙古自治区国民经济和社会发展第十四个五年规划和2035年远景目标纲要》提出，以包头、鄂尔多斯为重点建设能源和战略资源基地，坚持生态优先、绿色发展，实施科技创新战略，推进鄂尔多斯国家高新技术产业开发区，装备制造基地、空港园区、综合保税区建设、打造资源精深加工中心和现代能源化工产业示范基地，组成要素聚集、生态宜居的现代化城市和生态文明先行示范区。</w:t>
      </w:r>
    </w:p>
    <w:p>
      <w:pPr>
        <w:adjustRightInd w:val="0"/>
        <w:snapToGrid w:val="0"/>
        <w:spacing w:line="440" w:lineRule="exact"/>
        <w:ind w:firstLine="720" w:firstLineChars="300"/>
        <w:rPr>
          <w:rFonts w:ascii="Times New Roman" w:hAnsi="Times New Roman"/>
          <w:szCs w:val="24"/>
        </w:rPr>
      </w:pPr>
      <w:r>
        <w:rPr>
          <w:rFonts w:ascii="Times New Roman" w:hAnsi="Times New Roman"/>
          <w:bCs/>
          <w:szCs w:val="24"/>
        </w:rPr>
        <w:t>纳林希里矿区位于鄂尔多斯市，采用充填开采绿色技术，原煤全部入洗，</w:t>
      </w:r>
      <w:r>
        <w:rPr>
          <w:rFonts w:ascii="Times New Roman" w:hAnsi="Times New Roman"/>
        </w:rPr>
        <w:t>矿区内各可采煤层煤质为特低灰～低灰分，特低硫～低硫分，低磷，特低氯，特低砷、低氟，高发热量不粘煤。符合</w:t>
      </w:r>
      <w:r>
        <w:rPr>
          <w:rFonts w:ascii="Times New Roman" w:hAnsi="Times New Roman"/>
          <w:bCs/>
          <w:szCs w:val="24"/>
        </w:rPr>
        <w:t>《煤炭工业“十四五”高质量发展指导意见》要求以及《关于促进煤炭工业高质量发展的意见》中打造鄂尔多斯煤品牌名片需求。矿区规划为本地社会经济发展提供能源保障，其主要用户为鄂尔多斯市当地居民及</w:t>
      </w:r>
      <w:r>
        <w:rPr>
          <w:rFonts w:ascii="Times New Roman" w:hAnsi="Times New Roman"/>
          <w:szCs w:val="24"/>
        </w:rPr>
        <w:t>内蒙古巴彦淖尔市临河工业园区、内蒙古巴彦淖尔市磴口化工园区和五原工业园区、纳林希里</w:t>
      </w:r>
      <w:r>
        <w:rPr>
          <w:rFonts w:hint="eastAsia" w:ascii="Times New Roman" w:hAnsi="Times New Roman"/>
          <w:szCs w:val="24"/>
        </w:rPr>
        <w:t>4</w:t>
      </w:r>
      <w:r>
        <w:rPr>
          <w:rFonts w:ascii="Times New Roman" w:hAnsi="Times New Roman"/>
          <w:szCs w:val="24"/>
        </w:rPr>
        <w:t>×1000MW煤电一体化坑口电厂等用煤。</w:t>
      </w:r>
      <w:r>
        <w:rPr>
          <w:rFonts w:ascii="Times New Roman" w:hAnsi="Times New Roman"/>
          <w:bCs/>
          <w:szCs w:val="24"/>
        </w:rPr>
        <w:t>其开发建设规划符合国家以及内蒙古自治区煤炭产业政策的要求，符合煤炭产业空间布局以及内蒙古自治区、鄂尔多斯市能源化工产业布局，能够促进地方经济的稳定发展。从区域产业空间布局的角度来看，</w:t>
      </w:r>
      <w:r>
        <w:rPr>
          <w:rFonts w:ascii="Times New Roman" w:hAnsi="Times New Roman"/>
          <w:szCs w:val="24"/>
          <w:shd w:val="clear" w:color="auto" w:fill="FFFFFF"/>
        </w:rPr>
        <w:t>矿区总体规划目标是合理的。</w:t>
      </w:r>
    </w:p>
    <w:p>
      <w:pPr>
        <w:pStyle w:val="5"/>
        <w:adjustRightInd w:val="0"/>
        <w:snapToGrid w:val="0"/>
        <w:spacing w:before="0" w:after="0" w:line="440" w:lineRule="exact"/>
        <w:rPr>
          <w:sz w:val="24"/>
          <w:szCs w:val="24"/>
        </w:rPr>
      </w:pPr>
      <w:r>
        <w:rPr>
          <w:sz w:val="24"/>
          <w:szCs w:val="24"/>
        </w:rPr>
        <w:t>7.1.2发展定位合理性分析</w:t>
      </w:r>
    </w:p>
    <w:p>
      <w:pPr>
        <w:adjustRightInd w:val="0"/>
        <w:snapToGrid w:val="0"/>
        <w:spacing w:line="440" w:lineRule="exact"/>
        <w:ind w:firstLine="480" w:firstLineChars="200"/>
        <w:rPr>
          <w:rFonts w:ascii="Times New Roman" w:hAnsi="Times New Roman"/>
        </w:rPr>
      </w:pPr>
      <w:r>
        <w:rPr>
          <w:rFonts w:ascii="Times New Roman" w:hAnsi="Times New Roman"/>
        </w:rPr>
        <w:t>从矿产资源开发空间布局来看，《煤炭工业发展“十三五”规划》提出结合榆林、鄂尔多斯等煤制油、煤制天然气、低阶煤分质利用（多联产）项目建设情况，有序建设配套煤矿，满足煤炭深加工用煤需要。增加外调规模，通过蒙西至华中等运煤通道向南方供煤，保障华中、华南地区淘汰小煤矿后的煤炭供应。</w:t>
      </w:r>
    </w:p>
    <w:p>
      <w:pPr>
        <w:adjustRightInd w:val="0"/>
        <w:snapToGrid w:val="0"/>
        <w:spacing w:line="440" w:lineRule="exact"/>
        <w:ind w:firstLine="480" w:firstLineChars="200"/>
        <w:rPr>
          <w:rFonts w:ascii="Times New Roman" w:hAnsi="Times New Roman"/>
        </w:rPr>
      </w:pPr>
      <w:r>
        <w:rPr>
          <w:rFonts w:ascii="Times New Roman" w:hAnsi="Times New Roman"/>
          <w:bCs/>
          <w:szCs w:val="24"/>
        </w:rPr>
        <w:t>《内蒙古自治区煤炭工业发展“十四五”规划》提出，建立充足的产能储备和灵活的产量储备体系，生产侧重点在鄂尔多斯市、锡林郭勒盟、呼伦贝尔市等主要产煤地区探索建立露天煤矿产能储备制度，按照生产系统最大生产能力确定储备产能，给予用地、林草地征占用等方面的政策支持，在用煤高峰季节按照储煤产能组织生产。流通侧重点加强煤炭流通环节管理，充分利用现有铁路线路运力，改造一批现有集运站，新建或扩建集运站，增加中间环节的缓冲能力。消费侧结合煤电、煤化工等行业用煤需求和煤炭供需分布特点，保持合理库存水平，提升自身能力不强地区（如包头市、呼和浩特市、兴安盟、乌兰察布市、巴彦淖尔市）的煤炭实物储备能力。</w:t>
      </w:r>
    </w:p>
    <w:p>
      <w:pPr>
        <w:adjustRightInd w:val="0"/>
        <w:snapToGrid w:val="0"/>
        <w:spacing w:line="440" w:lineRule="exact"/>
        <w:ind w:firstLine="480" w:firstLineChars="200"/>
        <w:rPr>
          <w:rFonts w:ascii="Times New Roman" w:hAnsi="Times New Roman"/>
        </w:rPr>
      </w:pPr>
      <w:r>
        <w:rPr>
          <w:rFonts w:ascii="Times New Roman" w:hAnsi="Times New Roman"/>
        </w:rPr>
        <w:t>纳林希里矿区位于内蒙古自治区东胜煤田的中西部。东胜煤田是我国迄今发现的最大煤田之一，且含煤面积广、煤炭资源丰富、煤质优良。矿区规划建设一条铁路专用线，煤炭主要通过铁路运至</w:t>
      </w:r>
      <w:r>
        <w:rPr>
          <w:rFonts w:ascii="Times New Roman" w:hAnsi="Times New Roman"/>
          <w:szCs w:val="24"/>
        </w:rPr>
        <w:t>内蒙古巴彦淖尔市临河工业园区、内蒙古巴彦淖尔市磴口化工园区和五原工业园区、纳林希里</w:t>
      </w:r>
      <w:r>
        <w:rPr>
          <w:rFonts w:hint="eastAsia" w:ascii="Times New Roman" w:hAnsi="Times New Roman"/>
          <w:szCs w:val="24"/>
        </w:rPr>
        <w:t>4</w:t>
      </w:r>
      <w:r>
        <w:rPr>
          <w:rFonts w:ascii="Times New Roman" w:hAnsi="Times New Roman"/>
          <w:szCs w:val="24"/>
        </w:rPr>
        <w:t>×1000MW煤电一体化坑口电厂等</w:t>
      </w:r>
      <w:r>
        <w:rPr>
          <w:rFonts w:ascii="Times New Roman" w:hAnsi="Times New Roman"/>
        </w:rPr>
        <w:t>，并且作为“西北至华中”的煤源地之一，供华中地区用户作燃料用煤。</w:t>
      </w:r>
    </w:p>
    <w:p>
      <w:pPr>
        <w:adjustRightInd w:val="0"/>
        <w:snapToGrid w:val="0"/>
        <w:spacing w:line="440" w:lineRule="exact"/>
        <w:ind w:firstLine="480" w:firstLineChars="200"/>
        <w:rPr>
          <w:rFonts w:ascii="Times New Roman" w:hAnsi="Times New Roman"/>
        </w:rPr>
      </w:pPr>
      <w:r>
        <w:rPr>
          <w:rFonts w:ascii="Times New Roman" w:hAnsi="Times New Roman"/>
        </w:rPr>
        <w:t>矿区开发建设规划符合煤炭产业空间布局，符合国家以及内蒙古自治区、鄂尔多斯市煤炭产业政策的要求，能够促进地方社会经济的稳定发展。从区域产业空间布局的角度来看，纳林希里矿区布局是合理的。</w:t>
      </w:r>
    </w:p>
    <w:p>
      <w:pPr>
        <w:adjustRightInd w:val="0"/>
        <w:snapToGrid w:val="0"/>
        <w:spacing w:line="440" w:lineRule="exact"/>
        <w:ind w:firstLine="480" w:firstLineChars="200"/>
        <w:rPr>
          <w:rFonts w:ascii="Times New Roman" w:hAnsi="Times New Roman"/>
        </w:rPr>
      </w:pPr>
      <w:r>
        <w:rPr>
          <w:rFonts w:ascii="Times New Roman" w:hAnsi="Times New Roman"/>
        </w:rPr>
        <w:t>呼包鄂为核心沿黄河沿交通干线经济带地区是国家重要的煤化工产业区之一，从资源上，鄂尔多斯地区煤炭资源丰富，具有规划建设大型矿井、煤化工项目和煤制天然气的资源基础。纳林希里矿区产能规模较大，矿区规划产业是煤炭开采及选煤产业，主要为进一步保障鄂尔多斯及巴彦淖尔地区社会经济发展用煤需求，主要供应本地工业园区及社会用煤，其产业定位是合理的。</w:t>
      </w:r>
    </w:p>
    <w:p>
      <w:pPr>
        <w:pStyle w:val="2"/>
        <w:spacing w:line="440" w:lineRule="exact"/>
        <w:ind w:firstLine="480" w:firstLineChars="200"/>
        <w:rPr>
          <w:rFonts w:ascii="Times New Roman" w:eastAsia="宋体"/>
          <w:color w:val="auto"/>
          <w:kern w:val="2"/>
        </w:rPr>
      </w:pPr>
      <w:r>
        <w:rPr>
          <w:rFonts w:hint="eastAsia" w:ascii="Times New Roman" w:eastAsia="宋体"/>
          <w:color w:val="auto"/>
          <w:kern w:val="2"/>
        </w:rPr>
        <w:t>纳林希里矿区涉及蒙苏经济开发区，根据《鄂尔多斯市建设国家现代煤化工产业示范区总体规划》（2</w:t>
      </w:r>
      <w:r>
        <w:rPr>
          <w:rFonts w:ascii="Times New Roman" w:eastAsia="宋体"/>
          <w:color w:val="auto"/>
          <w:kern w:val="2"/>
        </w:rPr>
        <w:t>020.12</w:t>
      </w:r>
      <w:r>
        <w:rPr>
          <w:rFonts w:hint="eastAsia" w:ascii="Times New Roman" w:eastAsia="宋体"/>
          <w:color w:val="auto"/>
          <w:kern w:val="2"/>
        </w:rPr>
        <w:t>），鄂尔多斯市国家级煤化工基地以煤制清洁燃料、煤制化学品为产业发展重点，向下游延伸发展高附加值精细化工产品。至“十四五”末（2</w:t>
      </w:r>
      <w:r>
        <w:rPr>
          <w:rFonts w:ascii="Times New Roman" w:eastAsia="宋体"/>
          <w:color w:val="auto"/>
          <w:kern w:val="2"/>
        </w:rPr>
        <w:t>025</w:t>
      </w:r>
      <w:r>
        <w:rPr>
          <w:rFonts w:hint="eastAsia" w:ascii="Times New Roman" w:eastAsia="宋体"/>
          <w:color w:val="auto"/>
          <w:kern w:val="2"/>
        </w:rPr>
        <w:t>年底），规划建设8</w:t>
      </w:r>
      <w:r>
        <w:rPr>
          <w:rFonts w:ascii="Times New Roman" w:eastAsia="宋体"/>
          <w:color w:val="auto"/>
          <w:kern w:val="2"/>
        </w:rPr>
        <w:t>16</w:t>
      </w:r>
      <w:r>
        <w:rPr>
          <w:rFonts w:hint="eastAsia" w:ascii="Times New Roman" w:eastAsia="宋体"/>
          <w:color w:val="auto"/>
          <w:kern w:val="2"/>
        </w:rPr>
        <w:t>万吨/年煤制油项目（其中在建2</w:t>
      </w:r>
      <w:r>
        <w:rPr>
          <w:rFonts w:ascii="Times New Roman" w:eastAsia="宋体"/>
          <w:color w:val="auto"/>
          <w:kern w:val="2"/>
        </w:rPr>
        <w:t>00</w:t>
      </w:r>
      <w:r>
        <w:rPr>
          <w:rFonts w:hint="eastAsia" w:ascii="Times New Roman" w:eastAsia="宋体"/>
          <w:color w:val="auto"/>
          <w:kern w:val="2"/>
        </w:rPr>
        <w:t>万吨/年）、2</w:t>
      </w:r>
      <w:r>
        <w:rPr>
          <w:rFonts w:ascii="Times New Roman" w:eastAsia="宋体"/>
          <w:color w:val="auto"/>
          <w:kern w:val="2"/>
        </w:rPr>
        <w:t>12</w:t>
      </w:r>
      <w:r>
        <w:rPr>
          <w:rFonts w:hint="eastAsia" w:ascii="Times New Roman" w:eastAsia="宋体"/>
          <w:color w:val="auto"/>
          <w:kern w:val="2"/>
        </w:rPr>
        <w:t>亿方/年煤制烯烃项目（其中在建5</w:t>
      </w:r>
      <w:r>
        <w:rPr>
          <w:rFonts w:ascii="Times New Roman" w:eastAsia="宋体"/>
          <w:color w:val="auto"/>
          <w:kern w:val="2"/>
        </w:rPr>
        <w:t>2</w:t>
      </w:r>
      <w:r>
        <w:rPr>
          <w:rFonts w:hint="eastAsia" w:ascii="Times New Roman" w:eastAsia="宋体"/>
          <w:color w:val="auto"/>
          <w:kern w:val="2"/>
        </w:rPr>
        <w:t>亿立方米/年）、4</w:t>
      </w:r>
      <w:r>
        <w:rPr>
          <w:rFonts w:ascii="Times New Roman" w:eastAsia="宋体"/>
          <w:color w:val="auto"/>
          <w:kern w:val="2"/>
        </w:rPr>
        <w:t>80</w:t>
      </w:r>
      <w:r>
        <w:rPr>
          <w:rFonts w:hint="eastAsia" w:ascii="Times New Roman" w:eastAsia="宋体"/>
          <w:color w:val="auto"/>
          <w:kern w:val="2"/>
        </w:rPr>
        <w:t>万吨/年煤制烯烃项目、4</w:t>
      </w:r>
      <w:r>
        <w:rPr>
          <w:rFonts w:ascii="Times New Roman" w:eastAsia="宋体"/>
          <w:color w:val="auto"/>
          <w:kern w:val="2"/>
        </w:rPr>
        <w:t>0</w:t>
      </w:r>
      <w:r>
        <w:rPr>
          <w:rFonts w:hint="eastAsia" w:ascii="Times New Roman" w:eastAsia="宋体"/>
          <w:color w:val="auto"/>
          <w:kern w:val="2"/>
        </w:rPr>
        <w:t>万吨/年煤制芳烃项目、9</w:t>
      </w:r>
      <w:r>
        <w:rPr>
          <w:rFonts w:ascii="Times New Roman" w:eastAsia="宋体"/>
          <w:color w:val="auto"/>
          <w:kern w:val="2"/>
        </w:rPr>
        <w:t>0</w:t>
      </w:r>
      <w:r>
        <w:rPr>
          <w:rFonts w:hint="eastAsia" w:ascii="Times New Roman" w:eastAsia="宋体"/>
          <w:color w:val="auto"/>
          <w:kern w:val="2"/>
        </w:rPr>
        <w:t>万吨/年煤制乙二醇项目（全部在建），以及2</w:t>
      </w:r>
      <w:r>
        <w:rPr>
          <w:rFonts w:ascii="Times New Roman" w:eastAsia="宋体"/>
          <w:color w:val="auto"/>
          <w:kern w:val="2"/>
        </w:rPr>
        <w:t>79</w:t>
      </w:r>
      <w:r>
        <w:rPr>
          <w:rFonts w:hint="eastAsia" w:ascii="Times New Roman" w:eastAsia="宋体"/>
          <w:color w:val="auto"/>
          <w:kern w:val="2"/>
        </w:rPr>
        <w:t>万吨/年精细化工项目。其中，力争2</w:t>
      </w:r>
      <w:r>
        <w:rPr>
          <w:rFonts w:ascii="Times New Roman" w:eastAsia="宋体"/>
          <w:color w:val="auto"/>
          <w:kern w:val="2"/>
        </w:rPr>
        <w:t>023</w:t>
      </w:r>
      <w:r>
        <w:rPr>
          <w:rFonts w:hint="eastAsia" w:ascii="Times New Roman" w:eastAsia="宋体"/>
          <w:color w:val="auto"/>
          <w:kern w:val="2"/>
        </w:rPr>
        <w:t>年底前完成：伊金霍洛旗、准格尔旗规划布局的4</w:t>
      </w:r>
      <w:r>
        <w:rPr>
          <w:rFonts w:ascii="Times New Roman" w:eastAsia="宋体"/>
          <w:color w:val="auto"/>
          <w:kern w:val="2"/>
        </w:rPr>
        <w:t>16</w:t>
      </w:r>
      <w:r>
        <w:rPr>
          <w:rFonts w:hint="eastAsia" w:ascii="Times New Roman" w:eastAsia="宋体"/>
          <w:color w:val="auto"/>
          <w:kern w:val="2"/>
        </w:rPr>
        <w:t>万吨/年煤制油项目（含在建2</w:t>
      </w:r>
      <w:r>
        <w:rPr>
          <w:rFonts w:ascii="Times New Roman" w:eastAsia="宋体"/>
          <w:color w:val="auto"/>
          <w:kern w:val="2"/>
        </w:rPr>
        <w:t>00</w:t>
      </w:r>
      <w:r>
        <w:rPr>
          <w:rFonts w:hint="eastAsia" w:ascii="Times New Roman" w:eastAsia="宋体"/>
          <w:color w:val="auto"/>
          <w:kern w:val="2"/>
        </w:rPr>
        <w:t>万吨/年）；伊金霍洛旗、准格尔旗、杭锦旗、鄂托克前旗规划布局的1</w:t>
      </w:r>
      <w:r>
        <w:rPr>
          <w:rFonts w:ascii="Times New Roman" w:eastAsia="宋体"/>
          <w:color w:val="auto"/>
          <w:kern w:val="2"/>
        </w:rPr>
        <w:t>32</w:t>
      </w:r>
      <w:r>
        <w:rPr>
          <w:rFonts w:hint="eastAsia" w:ascii="Times New Roman" w:eastAsia="宋体"/>
          <w:color w:val="auto"/>
          <w:kern w:val="2"/>
        </w:rPr>
        <w:t>亿方/年煤制天然气项目（含在建5</w:t>
      </w:r>
      <w:r>
        <w:rPr>
          <w:rFonts w:ascii="Times New Roman" w:eastAsia="宋体"/>
          <w:color w:val="auto"/>
          <w:kern w:val="2"/>
        </w:rPr>
        <w:t>2</w:t>
      </w:r>
      <w:r>
        <w:rPr>
          <w:rFonts w:hint="eastAsia" w:ascii="Times New Roman" w:eastAsia="宋体"/>
          <w:color w:val="auto"/>
          <w:kern w:val="2"/>
        </w:rPr>
        <w:t>亿立方米/年）；</w:t>
      </w:r>
    </w:p>
    <w:p>
      <w:pPr>
        <w:pStyle w:val="2"/>
        <w:spacing w:line="440" w:lineRule="exact"/>
        <w:ind w:firstLine="480" w:firstLineChars="200"/>
        <w:rPr>
          <w:rFonts w:ascii="Times New Roman" w:eastAsia="宋体"/>
          <w:color w:val="auto"/>
          <w:kern w:val="2"/>
        </w:rPr>
      </w:pPr>
      <w:r>
        <w:rPr>
          <w:rFonts w:hint="eastAsia" w:ascii="Times New Roman" w:eastAsia="宋体"/>
          <w:color w:val="auto"/>
          <w:kern w:val="2"/>
        </w:rPr>
        <w:t>截止2</w:t>
      </w:r>
      <w:r>
        <w:rPr>
          <w:rFonts w:ascii="Times New Roman" w:eastAsia="宋体"/>
          <w:color w:val="auto"/>
          <w:kern w:val="2"/>
        </w:rPr>
        <w:t>020</w:t>
      </w:r>
      <w:r>
        <w:rPr>
          <w:rFonts w:hint="eastAsia" w:ascii="Times New Roman" w:eastAsia="宋体"/>
          <w:color w:val="auto"/>
          <w:kern w:val="2"/>
        </w:rPr>
        <w:t>年1</w:t>
      </w:r>
      <w:r>
        <w:rPr>
          <w:rFonts w:ascii="Times New Roman" w:eastAsia="宋体"/>
          <w:color w:val="auto"/>
          <w:kern w:val="2"/>
        </w:rPr>
        <w:t>2</w:t>
      </w:r>
      <w:r>
        <w:rPr>
          <w:rFonts w:hint="eastAsia" w:ascii="Times New Roman" w:eastAsia="宋体"/>
          <w:color w:val="auto"/>
          <w:kern w:val="2"/>
        </w:rPr>
        <w:t>月，鄂尔多斯全市煤化工已建成各类产能1</w:t>
      </w:r>
      <w:r>
        <w:rPr>
          <w:rFonts w:ascii="Times New Roman" w:eastAsia="宋体"/>
          <w:color w:val="auto"/>
          <w:kern w:val="2"/>
        </w:rPr>
        <w:t>595</w:t>
      </w:r>
      <w:r>
        <w:rPr>
          <w:rFonts w:hint="eastAsia" w:ascii="Times New Roman" w:eastAsia="宋体"/>
          <w:color w:val="auto"/>
          <w:kern w:val="2"/>
        </w:rPr>
        <w:t>万吨/年及4亿立方米天然气/年。至2</w:t>
      </w:r>
      <w:r>
        <w:rPr>
          <w:rFonts w:ascii="Times New Roman" w:eastAsia="宋体"/>
          <w:color w:val="auto"/>
          <w:kern w:val="2"/>
        </w:rPr>
        <w:t>025</w:t>
      </w:r>
      <w:r>
        <w:rPr>
          <w:rFonts w:hint="eastAsia" w:ascii="Times New Roman" w:eastAsia="宋体"/>
          <w:color w:val="auto"/>
          <w:kern w:val="2"/>
        </w:rPr>
        <w:t>年，全市规划新建现在煤化工产能合计1</w:t>
      </w:r>
      <w:r>
        <w:rPr>
          <w:rFonts w:ascii="Times New Roman" w:eastAsia="宋体"/>
          <w:color w:val="auto"/>
          <w:kern w:val="2"/>
        </w:rPr>
        <w:t>917</w:t>
      </w:r>
      <w:r>
        <w:rPr>
          <w:rFonts w:hint="eastAsia" w:ascii="Times New Roman" w:eastAsia="宋体"/>
          <w:color w:val="auto"/>
          <w:kern w:val="2"/>
        </w:rPr>
        <w:t>万吨/年和2</w:t>
      </w:r>
      <w:r>
        <w:rPr>
          <w:rFonts w:ascii="Times New Roman" w:eastAsia="宋体"/>
          <w:color w:val="auto"/>
          <w:kern w:val="2"/>
        </w:rPr>
        <w:t>12</w:t>
      </w:r>
      <w:r>
        <w:rPr>
          <w:rFonts w:hint="eastAsia" w:ascii="Times New Roman" w:eastAsia="宋体"/>
          <w:color w:val="auto"/>
          <w:kern w:val="2"/>
        </w:rPr>
        <w:t>亿立方米天然气，合计新增用煤需求量1</w:t>
      </w:r>
      <w:r>
        <w:rPr>
          <w:rFonts w:ascii="Times New Roman" w:eastAsia="宋体"/>
          <w:color w:val="auto"/>
          <w:kern w:val="2"/>
        </w:rPr>
        <w:t>4420</w:t>
      </w:r>
      <w:r>
        <w:rPr>
          <w:rFonts w:hint="eastAsia" w:ascii="Times New Roman" w:eastAsia="宋体"/>
          <w:color w:val="auto"/>
          <w:kern w:val="2"/>
        </w:rPr>
        <w:t>万吨/年（现代煤化工1</w:t>
      </w:r>
      <w:r>
        <w:rPr>
          <w:rFonts w:ascii="Times New Roman" w:eastAsia="宋体"/>
          <w:color w:val="auto"/>
          <w:kern w:val="2"/>
        </w:rPr>
        <w:t>2993</w:t>
      </w:r>
      <w:r>
        <w:rPr>
          <w:rFonts w:hint="eastAsia" w:ascii="Times New Roman" w:eastAsia="宋体"/>
          <w:color w:val="auto"/>
          <w:kern w:val="2"/>
        </w:rPr>
        <w:t>万吨/年）。截止2</w:t>
      </w:r>
      <w:r>
        <w:rPr>
          <w:rFonts w:ascii="Times New Roman" w:eastAsia="宋体"/>
          <w:color w:val="auto"/>
          <w:kern w:val="2"/>
        </w:rPr>
        <w:t>019</w:t>
      </w:r>
      <w:r>
        <w:rPr>
          <w:rFonts w:hint="eastAsia" w:ascii="Times New Roman" w:eastAsia="宋体"/>
          <w:color w:val="auto"/>
          <w:kern w:val="2"/>
        </w:rPr>
        <w:t>年，鄂尔多斯在籍生产煤矿</w:t>
      </w:r>
      <w:r>
        <w:rPr>
          <w:rFonts w:ascii="Times New Roman" w:eastAsia="宋体"/>
          <w:color w:val="auto"/>
          <w:kern w:val="2"/>
        </w:rPr>
        <w:t>333</w:t>
      </w:r>
      <w:r>
        <w:rPr>
          <w:rFonts w:hint="eastAsia" w:ascii="Times New Roman" w:eastAsia="宋体"/>
          <w:color w:val="auto"/>
          <w:kern w:val="2"/>
        </w:rPr>
        <w:t>座，设计生产能力</w:t>
      </w:r>
      <w:r>
        <w:rPr>
          <w:rFonts w:ascii="Times New Roman" w:eastAsia="宋体"/>
          <w:color w:val="auto"/>
          <w:kern w:val="2"/>
        </w:rPr>
        <w:t>9.0</w:t>
      </w:r>
      <w:r>
        <w:rPr>
          <w:rFonts w:hint="eastAsia" w:ascii="Times New Roman" w:eastAsia="宋体"/>
          <w:color w:val="auto"/>
          <w:kern w:val="2"/>
        </w:rPr>
        <w:t>亿吨/年，实际原煤产量6</w:t>
      </w:r>
      <w:r>
        <w:rPr>
          <w:rFonts w:ascii="Times New Roman" w:eastAsia="宋体"/>
          <w:color w:val="auto"/>
          <w:kern w:val="2"/>
        </w:rPr>
        <w:t>.8</w:t>
      </w:r>
      <w:r>
        <w:rPr>
          <w:rFonts w:hint="eastAsia" w:ascii="Times New Roman" w:eastAsia="宋体"/>
          <w:color w:val="auto"/>
          <w:kern w:val="2"/>
        </w:rPr>
        <w:t>亿吨，剩余产能2</w:t>
      </w:r>
      <w:r>
        <w:rPr>
          <w:rFonts w:ascii="Times New Roman" w:eastAsia="宋体"/>
          <w:color w:val="auto"/>
          <w:kern w:val="2"/>
        </w:rPr>
        <w:t>.2</w:t>
      </w:r>
      <w:r>
        <w:rPr>
          <w:rFonts w:hint="eastAsia" w:ascii="Times New Roman" w:eastAsia="宋体"/>
          <w:color w:val="auto"/>
          <w:kern w:val="2"/>
        </w:rPr>
        <w:t>亿吨。至2</w:t>
      </w:r>
      <w:r>
        <w:rPr>
          <w:rFonts w:ascii="Times New Roman" w:eastAsia="宋体"/>
          <w:color w:val="auto"/>
          <w:kern w:val="2"/>
        </w:rPr>
        <w:t>025</w:t>
      </w:r>
      <w:r>
        <w:rPr>
          <w:rFonts w:hint="eastAsia" w:ascii="Times New Roman" w:eastAsia="宋体"/>
          <w:color w:val="auto"/>
          <w:kern w:val="2"/>
        </w:rPr>
        <w:t>年，随着规划现代煤化工项目的建成运行，预计2</w:t>
      </w:r>
      <w:r>
        <w:rPr>
          <w:rFonts w:ascii="Times New Roman" w:eastAsia="宋体"/>
          <w:color w:val="auto"/>
          <w:kern w:val="2"/>
        </w:rPr>
        <w:t>025</w:t>
      </w:r>
      <w:r>
        <w:rPr>
          <w:rFonts w:hint="eastAsia" w:ascii="Times New Roman" w:eastAsia="宋体"/>
          <w:color w:val="auto"/>
          <w:kern w:val="2"/>
        </w:rPr>
        <w:t>年全市煤化工行业用煤总量约1</w:t>
      </w:r>
      <w:r>
        <w:rPr>
          <w:rFonts w:ascii="Times New Roman" w:eastAsia="宋体"/>
          <w:color w:val="auto"/>
          <w:kern w:val="2"/>
        </w:rPr>
        <w:t>.7~2.2</w:t>
      </w:r>
      <w:r>
        <w:rPr>
          <w:rFonts w:hint="eastAsia" w:ascii="Times New Roman" w:eastAsia="宋体"/>
          <w:color w:val="auto"/>
          <w:kern w:val="2"/>
        </w:rPr>
        <w:t>亿吨，现有煤矿能满足中低生产负荷的用煤需求；到“十四五”规划的现代煤化工项目全部达产，预计全市煤化工行业年用煤总量将达到2</w:t>
      </w:r>
      <w:r>
        <w:rPr>
          <w:rFonts w:ascii="Times New Roman" w:eastAsia="宋体"/>
          <w:color w:val="auto"/>
          <w:kern w:val="2"/>
        </w:rPr>
        <w:t>.75</w:t>
      </w:r>
      <w:r>
        <w:rPr>
          <w:rFonts w:hint="eastAsia" w:ascii="Times New Roman" w:eastAsia="宋体"/>
          <w:color w:val="auto"/>
          <w:kern w:val="2"/>
        </w:rPr>
        <w:t>亿吨。</w:t>
      </w:r>
    </w:p>
    <w:p>
      <w:pPr>
        <w:pStyle w:val="2"/>
        <w:spacing w:line="440" w:lineRule="exact"/>
        <w:ind w:firstLine="480" w:firstLineChars="200"/>
        <w:rPr>
          <w:rFonts w:ascii="Times New Roman" w:eastAsia="宋体"/>
          <w:color w:val="auto"/>
          <w:kern w:val="2"/>
        </w:rPr>
      </w:pPr>
      <w:r>
        <w:rPr>
          <w:rFonts w:hint="eastAsia" w:ascii="Times New Roman" w:eastAsia="宋体"/>
          <w:color w:val="auto"/>
          <w:kern w:val="2"/>
        </w:rPr>
        <w:t>其中蒙苏经济开发区位于伊金霍洛旗东南部，2</w:t>
      </w:r>
      <w:r>
        <w:rPr>
          <w:rFonts w:ascii="Times New Roman" w:eastAsia="宋体"/>
          <w:color w:val="auto"/>
          <w:kern w:val="2"/>
        </w:rPr>
        <w:t>012</w:t>
      </w:r>
      <w:r>
        <w:rPr>
          <w:rFonts w:hint="eastAsia" w:ascii="Times New Roman" w:eastAsia="宋体"/>
          <w:color w:val="auto"/>
          <w:kern w:val="2"/>
        </w:rPr>
        <w:t>年1</w:t>
      </w:r>
      <w:r>
        <w:rPr>
          <w:rFonts w:ascii="Times New Roman" w:eastAsia="宋体"/>
          <w:color w:val="auto"/>
          <w:kern w:val="2"/>
        </w:rPr>
        <w:t>1</w:t>
      </w:r>
      <w:r>
        <w:rPr>
          <w:rFonts w:hint="eastAsia" w:ascii="Times New Roman" w:eastAsia="宋体"/>
          <w:color w:val="auto"/>
          <w:kern w:val="2"/>
        </w:rPr>
        <w:t>月经市委、政府批准设立，包括汇能工业项目区和乌兰木伦工业项目区两部分，总规划面积1</w:t>
      </w:r>
      <w:r>
        <w:rPr>
          <w:rFonts w:ascii="Times New Roman" w:eastAsia="宋体"/>
          <w:color w:val="auto"/>
          <w:kern w:val="2"/>
        </w:rPr>
        <w:t>10.2</w:t>
      </w:r>
      <w:r>
        <w:rPr>
          <w:rFonts w:hint="eastAsia" w:ascii="Times New Roman" w:eastAsia="宋体"/>
          <w:color w:val="auto"/>
          <w:kern w:val="2"/>
        </w:rPr>
        <w:t>平方公里，建成区面积2</w:t>
      </w:r>
      <w:r>
        <w:rPr>
          <w:rFonts w:ascii="Times New Roman" w:eastAsia="宋体"/>
          <w:color w:val="auto"/>
          <w:kern w:val="2"/>
        </w:rPr>
        <w:t>0.85</w:t>
      </w:r>
      <w:r>
        <w:rPr>
          <w:rFonts w:hint="eastAsia" w:ascii="Times New Roman" w:eastAsia="宋体"/>
          <w:color w:val="auto"/>
          <w:kern w:val="2"/>
        </w:rPr>
        <w:t>公里。基地产业定位为以煤基多联产、煤基精细化工、煤基清洁能源和煤田一体化循环经济为主导产业，打造自治区一流清洁能源输出基地和新型煤化工示范基地。截止2</w:t>
      </w:r>
      <w:r>
        <w:rPr>
          <w:rFonts w:ascii="Times New Roman" w:eastAsia="宋体"/>
          <w:color w:val="auto"/>
          <w:kern w:val="2"/>
        </w:rPr>
        <w:t>019</w:t>
      </w:r>
      <w:r>
        <w:rPr>
          <w:rFonts w:hint="eastAsia" w:ascii="Times New Roman" w:eastAsia="宋体"/>
          <w:color w:val="auto"/>
          <w:kern w:val="2"/>
        </w:rPr>
        <w:t>年，蒙苏经济开发区共有企业1</w:t>
      </w:r>
      <w:r>
        <w:rPr>
          <w:rFonts w:ascii="Times New Roman" w:eastAsia="宋体"/>
          <w:color w:val="auto"/>
          <w:kern w:val="2"/>
        </w:rPr>
        <w:t>8</w:t>
      </w:r>
      <w:r>
        <w:rPr>
          <w:rFonts w:hint="eastAsia" w:ascii="Times New Roman" w:eastAsia="宋体"/>
          <w:color w:val="auto"/>
          <w:kern w:val="2"/>
        </w:rPr>
        <w:t>个，投建项目2</w:t>
      </w:r>
      <w:r>
        <w:rPr>
          <w:rFonts w:ascii="Times New Roman" w:eastAsia="宋体"/>
          <w:color w:val="auto"/>
          <w:kern w:val="2"/>
        </w:rPr>
        <w:t>4</w:t>
      </w:r>
      <w:r>
        <w:rPr>
          <w:rFonts w:hint="eastAsia" w:ascii="Times New Roman" w:eastAsia="宋体"/>
          <w:color w:val="auto"/>
          <w:kern w:val="2"/>
        </w:rPr>
        <w:t>个，其中建成项目包括神华煤直接液化项目一期工程第一条生产线项目、汇能煤制天然气项目等1</w:t>
      </w:r>
      <w:r>
        <w:rPr>
          <w:rFonts w:ascii="Times New Roman" w:eastAsia="宋体"/>
          <w:color w:val="auto"/>
          <w:kern w:val="2"/>
        </w:rPr>
        <w:t>1</w:t>
      </w:r>
      <w:r>
        <w:rPr>
          <w:rFonts w:hint="eastAsia" w:ascii="Times New Roman" w:eastAsia="宋体"/>
          <w:color w:val="auto"/>
          <w:kern w:val="2"/>
        </w:rPr>
        <w:t>个，在建项目1</w:t>
      </w:r>
      <w:r>
        <w:rPr>
          <w:rFonts w:ascii="Times New Roman" w:eastAsia="宋体"/>
          <w:color w:val="auto"/>
          <w:kern w:val="2"/>
        </w:rPr>
        <w:t>3</w:t>
      </w:r>
      <w:r>
        <w:rPr>
          <w:rFonts w:hint="eastAsia" w:ascii="Times New Roman" w:eastAsia="宋体"/>
          <w:color w:val="auto"/>
          <w:kern w:val="2"/>
        </w:rPr>
        <w:t>个，总投资1</w:t>
      </w:r>
      <w:r>
        <w:rPr>
          <w:rFonts w:ascii="Times New Roman" w:eastAsia="宋体"/>
          <w:color w:val="auto"/>
          <w:kern w:val="2"/>
        </w:rPr>
        <w:t>341.9</w:t>
      </w:r>
      <w:r>
        <w:rPr>
          <w:rFonts w:hint="eastAsia" w:ascii="Times New Roman" w:eastAsia="宋体"/>
          <w:color w:val="auto"/>
          <w:kern w:val="2"/>
        </w:rPr>
        <w:t>亿元。累计完成固定资产投资4</w:t>
      </w:r>
      <w:r>
        <w:rPr>
          <w:rFonts w:ascii="Times New Roman" w:eastAsia="宋体"/>
          <w:color w:val="auto"/>
          <w:kern w:val="2"/>
        </w:rPr>
        <w:t>87.46</w:t>
      </w:r>
      <w:r>
        <w:rPr>
          <w:rFonts w:hint="eastAsia" w:ascii="Times New Roman" w:eastAsia="宋体"/>
          <w:color w:val="auto"/>
          <w:kern w:val="2"/>
        </w:rPr>
        <w:t>亿元，2</w:t>
      </w:r>
      <w:r>
        <w:rPr>
          <w:rFonts w:ascii="Times New Roman" w:eastAsia="宋体"/>
          <w:color w:val="auto"/>
          <w:kern w:val="2"/>
        </w:rPr>
        <w:t>019</w:t>
      </w:r>
      <w:r>
        <w:rPr>
          <w:rFonts w:hint="eastAsia" w:ascii="Times New Roman" w:eastAsia="宋体"/>
          <w:color w:val="auto"/>
          <w:kern w:val="2"/>
        </w:rPr>
        <w:t>年完成固定资产投资8</w:t>
      </w:r>
      <w:r>
        <w:rPr>
          <w:rFonts w:ascii="Times New Roman" w:eastAsia="宋体"/>
          <w:color w:val="auto"/>
          <w:kern w:val="2"/>
        </w:rPr>
        <w:t>.63</w:t>
      </w:r>
      <w:r>
        <w:rPr>
          <w:rFonts w:hint="eastAsia" w:ascii="Times New Roman" w:eastAsia="宋体"/>
          <w:color w:val="auto"/>
          <w:kern w:val="2"/>
        </w:rPr>
        <w:t>亿元，完成工业总产值9</w:t>
      </w:r>
      <w:r>
        <w:rPr>
          <w:rFonts w:ascii="Times New Roman" w:eastAsia="宋体"/>
          <w:color w:val="auto"/>
          <w:kern w:val="2"/>
        </w:rPr>
        <w:t>7.58</w:t>
      </w:r>
      <w:r>
        <w:rPr>
          <w:rFonts w:hint="eastAsia" w:ascii="Times New Roman" w:eastAsia="宋体"/>
          <w:color w:val="auto"/>
          <w:kern w:val="2"/>
        </w:rPr>
        <w:t>亿元（全部为主导产业工业产值），完成销售收入1</w:t>
      </w:r>
      <w:r>
        <w:rPr>
          <w:rFonts w:ascii="Times New Roman" w:eastAsia="宋体"/>
          <w:color w:val="auto"/>
          <w:kern w:val="2"/>
        </w:rPr>
        <w:t>13.44</w:t>
      </w:r>
      <w:r>
        <w:rPr>
          <w:rFonts w:hint="eastAsia" w:ascii="Times New Roman" w:eastAsia="宋体"/>
          <w:color w:val="auto"/>
          <w:kern w:val="2"/>
        </w:rPr>
        <w:t>亿元，实现税收1</w:t>
      </w:r>
      <w:r>
        <w:rPr>
          <w:rFonts w:ascii="Times New Roman" w:eastAsia="宋体"/>
          <w:color w:val="auto"/>
          <w:kern w:val="2"/>
        </w:rPr>
        <w:t>7.12</w:t>
      </w:r>
      <w:r>
        <w:rPr>
          <w:rFonts w:hint="eastAsia" w:ascii="Times New Roman" w:eastAsia="宋体"/>
          <w:color w:val="auto"/>
          <w:kern w:val="2"/>
        </w:rPr>
        <w:t>亿元。基地产业规划项目年耗煤量见下表：</w:t>
      </w:r>
    </w:p>
    <w:p>
      <w:pPr>
        <w:pStyle w:val="2"/>
        <w:spacing w:line="440" w:lineRule="exact"/>
        <w:ind w:firstLine="482" w:firstLineChars="200"/>
        <w:jc w:val="center"/>
        <w:rPr>
          <w:rFonts w:ascii="Times New Roman" w:eastAsia="宋体"/>
          <w:b/>
          <w:bCs/>
          <w:color w:val="auto"/>
          <w:kern w:val="2"/>
        </w:rPr>
      </w:pPr>
      <w:r>
        <w:rPr>
          <w:rFonts w:hint="eastAsia" w:ascii="Times New Roman" w:eastAsia="宋体"/>
          <w:b/>
          <w:bCs/>
          <w:color w:val="auto"/>
          <w:kern w:val="2"/>
        </w:rPr>
        <w:t>蒙苏经济开发区规划项目年耗煤量</w:t>
      </w:r>
    </w:p>
    <w:p>
      <w:pPr>
        <w:pStyle w:val="2"/>
        <w:spacing w:line="440" w:lineRule="exact"/>
        <w:rPr>
          <w:rFonts w:ascii="Times New Roman" w:eastAsia="宋体"/>
          <w:color w:val="auto"/>
          <w:kern w:val="2"/>
        </w:rPr>
      </w:pPr>
      <w:r>
        <w:rPr>
          <w:rFonts w:ascii="Times New Roman" w:eastAsia="宋体"/>
          <w:color w:val="auto"/>
          <w:kern w:val="2"/>
        </w:rPr>
        <w:t>表7.1-1</w:t>
      </w:r>
    </w:p>
    <w:tbl>
      <w:tblPr>
        <w:tblStyle w:val="6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5" w:type="dxa"/>
            <w:vAlign w:val="center"/>
          </w:tcPr>
          <w:p>
            <w:pPr>
              <w:pStyle w:val="2"/>
              <w:spacing w:line="440" w:lineRule="exact"/>
              <w:jc w:val="center"/>
              <w:rPr>
                <w:rFonts w:ascii="Times New Roman" w:eastAsia="宋体"/>
                <w:color w:val="auto"/>
                <w:kern w:val="2"/>
                <w:sz w:val="21"/>
                <w:szCs w:val="21"/>
              </w:rPr>
            </w:pPr>
            <w:r>
              <w:rPr>
                <w:rFonts w:ascii="Times New Roman" w:eastAsia="宋体"/>
                <w:color w:val="auto"/>
                <w:kern w:val="2"/>
                <w:sz w:val="21"/>
                <w:szCs w:val="21"/>
              </w:rPr>
              <w:t>园区</w:t>
            </w:r>
          </w:p>
        </w:tc>
        <w:tc>
          <w:tcPr>
            <w:tcW w:w="3095" w:type="dxa"/>
            <w:vAlign w:val="center"/>
          </w:tcPr>
          <w:p>
            <w:pPr>
              <w:pStyle w:val="2"/>
              <w:spacing w:line="440" w:lineRule="exact"/>
              <w:jc w:val="center"/>
              <w:rPr>
                <w:rFonts w:ascii="Times New Roman" w:eastAsia="宋体"/>
                <w:color w:val="auto"/>
                <w:kern w:val="2"/>
                <w:sz w:val="21"/>
                <w:szCs w:val="21"/>
              </w:rPr>
            </w:pPr>
            <w:r>
              <w:rPr>
                <w:rFonts w:ascii="Times New Roman" w:eastAsia="宋体"/>
                <w:color w:val="auto"/>
                <w:kern w:val="2"/>
                <w:sz w:val="21"/>
                <w:szCs w:val="21"/>
              </w:rPr>
              <w:t>项目</w:t>
            </w:r>
          </w:p>
        </w:tc>
        <w:tc>
          <w:tcPr>
            <w:tcW w:w="3096" w:type="dxa"/>
            <w:vAlign w:val="center"/>
          </w:tcPr>
          <w:p>
            <w:pPr>
              <w:pStyle w:val="2"/>
              <w:spacing w:line="440" w:lineRule="exact"/>
              <w:jc w:val="center"/>
              <w:rPr>
                <w:rFonts w:ascii="Times New Roman" w:eastAsia="宋体"/>
                <w:color w:val="auto"/>
                <w:kern w:val="2"/>
                <w:sz w:val="21"/>
                <w:szCs w:val="21"/>
              </w:rPr>
            </w:pPr>
            <w:r>
              <w:rPr>
                <w:rFonts w:ascii="Times New Roman" w:eastAsia="宋体"/>
                <w:color w:val="auto"/>
                <w:kern w:val="2"/>
                <w:sz w:val="21"/>
                <w:szCs w:val="21"/>
              </w:rPr>
              <w:t>耗煤量（万吨/年）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5" w:type="dxa"/>
            <w:vMerge w:val="restart"/>
            <w:vAlign w:val="center"/>
          </w:tcPr>
          <w:p>
            <w:pPr>
              <w:pStyle w:val="2"/>
              <w:spacing w:line="440" w:lineRule="exact"/>
              <w:jc w:val="center"/>
              <w:rPr>
                <w:rFonts w:ascii="Times New Roman" w:eastAsia="宋体"/>
                <w:color w:val="auto"/>
                <w:kern w:val="2"/>
                <w:sz w:val="21"/>
                <w:szCs w:val="21"/>
              </w:rPr>
            </w:pPr>
            <w:r>
              <w:rPr>
                <w:rFonts w:hint="eastAsia" w:ascii="Times New Roman" w:eastAsia="宋体"/>
                <w:color w:val="auto"/>
                <w:kern w:val="2"/>
                <w:sz w:val="21"/>
                <w:szCs w:val="21"/>
              </w:rPr>
              <w:t>蒙</w:t>
            </w:r>
            <w:r>
              <w:rPr>
                <w:rFonts w:ascii="Times New Roman" w:eastAsia="宋体"/>
                <w:color w:val="auto"/>
                <w:kern w:val="2"/>
                <w:sz w:val="21"/>
                <w:szCs w:val="21"/>
              </w:rPr>
              <w:t>苏经济开发区</w:t>
            </w:r>
          </w:p>
        </w:tc>
        <w:tc>
          <w:tcPr>
            <w:tcW w:w="3095" w:type="dxa"/>
            <w:vAlign w:val="center"/>
          </w:tcPr>
          <w:p>
            <w:pPr>
              <w:pStyle w:val="2"/>
              <w:spacing w:line="440" w:lineRule="exact"/>
              <w:jc w:val="left"/>
              <w:rPr>
                <w:rFonts w:ascii="Times New Roman" w:eastAsia="宋体"/>
                <w:color w:val="auto"/>
                <w:kern w:val="2"/>
                <w:sz w:val="21"/>
                <w:szCs w:val="21"/>
              </w:rPr>
            </w:pPr>
            <w:r>
              <w:rPr>
                <w:rFonts w:ascii="Times New Roman" w:eastAsia="宋体"/>
                <w:color w:val="auto"/>
                <w:kern w:val="2"/>
                <w:sz w:val="21"/>
                <w:szCs w:val="21"/>
              </w:rPr>
              <w:t>汇能煤制天然气项目二期</w:t>
            </w:r>
          </w:p>
        </w:tc>
        <w:tc>
          <w:tcPr>
            <w:tcW w:w="3096" w:type="dxa"/>
            <w:vAlign w:val="center"/>
          </w:tcPr>
          <w:p>
            <w:pPr>
              <w:pStyle w:val="2"/>
              <w:spacing w:line="440" w:lineRule="exact"/>
              <w:jc w:val="center"/>
              <w:rPr>
                <w:rFonts w:ascii="Times New Roman" w:eastAsia="宋体"/>
                <w:color w:val="auto"/>
                <w:kern w:val="2"/>
                <w:sz w:val="21"/>
                <w:szCs w:val="21"/>
              </w:rPr>
            </w:pPr>
            <w:r>
              <w:rPr>
                <w:rFonts w:ascii="Times New Roman" w:eastAsia="宋体"/>
                <w:color w:val="auto"/>
                <w:kern w:val="2"/>
                <w:sz w:val="21"/>
                <w:szCs w:val="21"/>
              </w:rPr>
              <w:t>113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5" w:type="dxa"/>
            <w:vMerge w:val="continue"/>
            <w:vAlign w:val="center"/>
          </w:tcPr>
          <w:p>
            <w:pPr>
              <w:pStyle w:val="2"/>
              <w:spacing w:line="440" w:lineRule="exact"/>
              <w:jc w:val="center"/>
              <w:rPr>
                <w:rFonts w:ascii="Times New Roman" w:eastAsia="宋体"/>
                <w:color w:val="auto"/>
                <w:kern w:val="2"/>
                <w:sz w:val="21"/>
                <w:szCs w:val="21"/>
              </w:rPr>
            </w:pPr>
          </w:p>
        </w:tc>
        <w:tc>
          <w:tcPr>
            <w:tcW w:w="3095" w:type="dxa"/>
            <w:vAlign w:val="center"/>
          </w:tcPr>
          <w:p>
            <w:pPr>
              <w:pStyle w:val="2"/>
              <w:spacing w:line="440" w:lineRule="exact"/>
              <w:jc w:val="left"/>
              <w:rPr>
                <w:rFonts w:ascii="Times New Roman" w:eastAsia="宋体"/>
                <w:color w:val="auto"/>
                <w:kern w:val="2"/>
                <w:sz w:val="21"/>
                <w:szCs w:val="21"/>
              </w:rPr>
            </w:pPr>
            <w:r>
              <w:rPr>
                <w:rFonts w:ascii="Times New Roman" w:eastAsia="宋体"/>
                <w:color w:val="auto"/>
                <w:kern w:val="2"/>
                <w:sz w:val="21"/>
                <w:szCs w:val="21"/>
              </w:rPr>
              <w:t>神华煤直接液化项目一期工程第二、三条生产线</w:t>
            </w:r>
          </w:p>
        </w:tc>
        <w:tc>
          <w:tcPr>
            <w:tcW w:w="3096" w:type="dxa"/>
            <w:vAlign w:val="center"/>
          </w:tcPr>
          <w:p>
            <w:pPr>
              <w:pStyle w:val="2"/>
              <w:spacing w:line="440" w:lineRule="exact"/>
              <w:jc w:val="center"/>
              <w:rPr>
                <w:rFonts w:ascii="Times New Roman" w:eastAsia="宋体"/>
                <w:color w:val="auto"/>
                <w:kern w:val="2"/>
                <w:sz w:val="21"/>
                <w:szCs w:val="21"/>
              </w:rPr>
            </w:pPr>
            <w:r>
              <w:rPr>
                <w:rFonts w:ascii="Times New Roman" w:eastAsia="宋体"/>
                <w:color w:val="auto"/>
                <w:kern w:val="2"/>
                <w:sz w:val="21"/>
                <w:szCs w:val="21"/>
              </w:rPr>
              <w:t>1180</w:t>
            </w:r>
          </w:p>
        </w:tc>
      </w:tr>
    </w:tbl>
    <w:p>
      <w:pPr>
        <w:pStyle w:val="5"/>
        <w:adjustRightInd w:val="0"/>
        <w:snapToGrid w:val="0"/>
        <w:spacing w:before="0" w:after="0" w:line="440" w:lineRule="exact"/>
        <w:rPr>
          <w:sz w:val="24"/>
          <w:szCs w:val="24"/>
        </w:rPr>
      </w:pPr>
      <w:bookmarkStart w:id="330" w:name="_Toc18838495"/>
      <w:r>
        <w:rPr>
          <w:sz w:val="24"/>
          <w:szCs w:val="24"/>
        </w:rPr>
        <w:t>7.1.3 规划规模合理性分析</w:t>
      </w:r>
      <w:bookmarkEnd w:id="330"/>
    </w:p>
    <w:p>
      <w:pPr>
        <w:spacing w:line="440" w:lineRule="exact"/>
        <w:ind w:firstLine="480" w:firstLineChars="200"/>
        <w:rPr>
          <w:rFonts w:ascii="Times New Roman" w:hAnsi="Times New Roman"/>
        </w:rPr>
      </w:pPr>
      <w:r>
        <w:rPr>
          <w:rFonts w:ascii="Times New Roman" w:hAnsi="Times New Roman"/>
        </w:rPr>
        <w:t>（1）下游用户用煤需求</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本矿区原煤洗选后主要用于供给内蒙古巴彦淖尔市临河工业园区及内蒙古巴彦淖尔市磴口化工园区和五原工业园区、纳林希里</w:t>
      </w:r>
      <w:r>
        <w:rPr>
          <w:rFonts w:hint="eastAsia" w:ascii="Times New Roman" w:hAnsi="Times New Roman"/>
          <w:szCs w:val="24"/>
        </w:rPr>
        <w:t>4</w:t>
      </w:r>
      <w:r>
        <w:rPr>
          <w:rFonts w:ascii="Times New Roman" w:hAnsi="Times New Roman"/>
          <w:szCs w:val="24"/>
        </w:rPr>
        <w:t>×1000MW煤电一体化坑口电厂等。</w:t>
      </w:r>
    </w:p>
    <w:p>
      <w:pPr>
        <w:adjustRightInd w:val="0"/>
        <w:snapToGrid w:val="0"/>
        <w:spacing w:line="440" w:lineRule="exact"/>
        <w:ind w:firstLine="720" w:firstLineChars="300"/>
        <w:rPr>
          <w:rFonts w:ascii="Times New Roman" w:hAnsi="Times New Roman"/>
          <w:szCs w:val="24"/>
        </w:rPr>
      </w:pPr>
      <w:r>
        <w:rPr>
          <w:rFonts w:hint="eastAsia" w:cs="宋体"/>
          <w:szCs w:val="24"/>
        </w:rPr>
        <w:t>①</w:t>
      </w:r>
      <w:r>
        <w:rPr>
          <w:rFonts w:ascii="Times New Roman" w:hAnsi="Times New Roman"/>
          <w:szCs w:val="24"/>
        </w:rPr>
        <w:t>内蒙古巴彦淖尔市临河工业园区为四川化工控股（集团）有限责任公司内蒙煤化工基地，新建1.00Mt/a二甲醚、1.00Mt/a烯烃等项目，该基地原料煤及燃料煤总耗煤量为20.00Mt/a。</w:t>
      </w:r>
    </w:p>
    <w:p>
      <w:pPr>
        <w:adjustRightInd w:val="0"/>
        <w:snapToGrid w:val="0"/>
        <w:spacing w:line="440" w:lineRule="exact"/>
        <w:ind w:firstLine="720" w:firstLineChars="300"/>
        <w:rPr>
          <w:rFonts w:ascii="Times New Roman" w:hAnsi="Times New Roman"/>
          <w:szCs w:val="24"/>
        </w:rPr>
      </w:pPr>
      <w:r>
        <w:rPr>
          <w:rFonts w:hint="eastAsia" w:cs="宋体"/>
          <w:szCs w:val="24"/>
        </w:rPr>
        <w:t>②</w:t>
      </w:r>
      <w:r>
        <w:rPr>
          <w:rFonts w:ascii="Times New Roman" w:hAnsi="Times New Roman"/>
          <w:szCs w:val="24"/>
        </w:rPr>
        <w:t>内蒙古巴彦淖尔市磴口化工园区和五原工业园区</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磴口工业园区年需要煤炭资源20Mt，五原工业园区年需要煤炭资源10Mt，本矿区规划年向两个工业园区共提供煤炭资源2～5Mt。</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内蒙古磴口工业园区前身为磴口经济开发区。磴口经济开发区是2003年6月31日经巴彦淖尔盟行政公署批准成立的经济开发区，同时也是经自治区人民政府批准整合保留的十六家（盟）市级经济开发区之一。磴口工业园区地处巴彦淖尔市与鄂尔多斯市、乌海市、阿拉善盟的交界处，毗邻蒙西能源重化工基地和呼包鄂能源重化工基地，位于呼包银兰经济带和以呼包鄂为核心的沿河沿线经济带范围内</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五原工业园区位于巴彦淖尔市五原县，园区建设总投资8亿元，现累计完成投资7.5亿元，实施道路、通讯、电力、管网、绿化、亮化、供热、供汽、污水处理工程。园区基本实现“七通一平三化”，完成了“四横四纵”路网格局建设，园区总体框架基本形成。</w:t>
      </w:r>
    </w:p>
    <w:p>
      <w:pPr>
        <w:adjustRightInd w:val="0"/>
        <w:snapToGrid w:val="0"/>
        <w:spacing w:line="440" w:lineRule="exact"/>
        <w:ind w:firstLine="720" w:firstLineChars="300"/>
        <w:rPr>
          <w:rFonts w:ascii="Times New Roman" w:hAnsi="Times New Roman"/>
          <w:szCs w:val="24"/>
        </w:rPr>
      </w:pPr>
      <w:r>
        <w:rPr>
          <w:rFonts w:hint="eastAsia" w:cs="宋体"/>
        </w:rPr>
        <w:t>③</w:t>
      </w:r>
      <w:r>
        <w:rPr>
          <w:rFonts w:ascii="Times New Roman" w:hAnsi="Times New Roman"/>
          <w:szCs w:val="24"/>
        </w:rPr>
        <w:t>纳林希里</w:t>
      </w:r>
      <w:r>
        <w:rPr>
          <w:rFonts w:hint="eastAsia" w:ascii="Times New Roman" w:hAnsi="Times New Roman"/>
          <w:szCs w:val="24"/>
        </w:rPr>
        <w:t>4</w:t>
      </w:r>
      <w:r>
        <w:rPr>
          <w:rFonts w:ascii="Times New Roman" w:hAnsi="Times New Roman"/>
          <w:szCs w:val="24"/>
        </w:rPr>
        <w:t>×1000MW煤电一体化电厂项目</w:t>
      </w:r>
    </w:p>
    <w:p>
      <w:pPr>
        <w:spacing w:line="440" w:lineRule="exact"/>
        <w:ind w:firstLine="480" w:firstLineChars="200"/>
        <w:rPr>
          <w:rFonts w:ascii="Times New Roman" w:hAnsi="Times New Roman"/>
          <w:szCs w:val="24"/>
        </w:rPr>
      </w:pPr>
      <w:bookmarkStart w:id="331" w:name="bookmark1"/>
      <w:bookmarkEnd w:id="331"/>
      <w:bookmarkStart w:id="332" w:name="bookmark0"/>
      <w:bookmarkEnd w:id="332"/>
      <w:r>
        <w:rPr>
          <w:rFonts w:ascii="Times New Roman" w:hAnsi="Times New Roman"/>
          <w:szCs w:val="24"/>
        </w:rPr>
        <w:t>2021年12月中央经济工作会议提出：“传统能源逐步退出要建立在新能源安全可靠的替代基础上。要立足以煤为主的基本国情，抓好煤炭清洁高效利用，增加新能源消纳能力，推动煤炭和新能源优化组合”。国家“十四五”规划蒙西至京津冀±600千伏直流通道，需要配套建设一定规模煤电满足通道送电需求。根据国家能源发展规划，为满足华东电网负荷供电需求，将建设蒙西电网对网的直流输电通道，以“风火储一体化”方式送电华东，初步拟在鄂尔多斯市西北部杭锦南部布局一座换流站，汇集地区的风电光伏及火电电源后送出。纳林希里</w:t>
      </w:r>
      <w:r>
        <w:rPr>
          <w:rFonts w:hint="eastAsia" w:ascii="Times New Roman" w:hAnsi="Times New Roman"/>
          <w:szCs w:val="24"/>
        </w:rPr>
        <w:t>4</w:t>
      </w:r>
      <w:r>
        <w:rPr>
          <w:rFonts w:ascii="Times New Roman" w:hAnsi="Times New Roman"/>
          <w:szCs w:val="24"/>
        </w:rPr>
        <w:t xml:space="preserve">×1000MW煤电一体化电厂项目拟作为配套火电电源，项目所发电力通过直流通道送至华东，一期建设2×1000MW超超临界百万机组作为外送电源项目或蒙西电网末端支撑电源，计划2025年建成投产。 </w:t>
      </w:r>
    </w:p>
    <w:p>
      <w:pPr>
        <w:adjustRightInd w:val="0"/>
        <w:snapToGrid w:val="0"/>
        <w:spacing w:line="440" w:lineRule="exact"/>
        <w:ind w:firstLine="720" w:firstLineChars="300"/>
        <w:rPr>
          <w:rFonts w:ascii="Times New Roman" w:hAnsi="Times New Roman"/>
          <w:szCs w:val="24"/>
        </w:rPr>
      </w:pPr>
      <w:r>
        <w:rPr>
          <w:rFonts w:hint="eastAsia" w:ascii="Times New Roman" w:hAnsi="Times New Roman"/>
          <w:szCs w:val="24"/>
        </w:rPr>
        <w:t>内蒙古能源发电投资集团有限公司产业开发分公司拟在伊金霍洛旗建设2</w:t>
      </w:r>
      <w:r>
        <w:rPr>
          <w:rFonts w:hint="eastAsia" w:ascii="Segoe UI Emoji" w:hAnsi="Segoe UI Emoji" w:cs="Segoe UI Emoji"/>
          <w:szCs w:val="24"/>
        </w:rPr>
        <w:t>*</w:t>
      </w:r>
      <w:r>
        <w:rPr>
          <w:rFonts w:ascii="Times New Roman" w:hAnsi="Times New Roman"/>
          <w:szCs w:val="24"/>
        </w:rPr>
        <w:t>1000MW煤电一体化项目</w:t>
      </w:r>
      <w:r>
        <w:rPr>
          <w:rFonts w:hint="eastAsia" w:ascii="Times New Roman" w:hAnsi="Times New Roman"/>
          <w:szCs w:val="24"/>
        </w:rPr>
        <w:t>，该项目已完成了《可行性研究报告（初稿）》、《地质灾害评价报告（初稿）》、《环境影响评价报告（初稿）》、《水土保持方案（初稿）》、《建设项目用地勘测定界报告（初稿）》的编制工作，并确定了建厂厂址、灰场、煤源、水源等外部条件。完成了生活用水、石灰石供应、尿素供应等1</w:t>
      </w:r>
      <w:r>
        <w:rPr>
          <w:rFonts w:ascii="Times New Roman" w:hAnsi="Times New Roman"/>
          <w:szCs w:val="24"/>
        </w:rPr>
        <w:t>0</w:t>
      </w:r>
      <w:r>
        <w:rPr>
          <w:rFonts w:hint="eastAsia" w:ascii="Times New Roman" w:hAnsi="Times New Roman"/>
          <w:szCs w:val="24"/>
        </w:rPr>
        <w:t>项协议的签订工作。</w:t>
      </w:r>
    </w:p>
    <w:p>
      <w:pPr>
        <w:pStyle w:val="2"/>
        <w:spacing w:before="120" w:beforeLines="50" w:after="120" w:afterLines="50"/>
        <w:jc w:val="center"/>
        <w:rPr>
          <w:rFonts w:ascii="宋体" w:hAnsi="宋体" w:eastAsia="宋体"/>
          <w:b/>
          <w:bCs/>
          <w:color w:val="auto"/>
        </w:rPr>
      </w:pPr>
      <w:r>
        <w:rPr>
          <w:rFonts w:hint="eastAsia" w:ascii="宋体" w:hAnsi="宋体" w:eastAsia="宋体"/>
          <w:b/>
          <w:bCs/>
          <w:color w:val="auto"/>
        </w:rPr>
        <w:t>煤电一体化项目协议签订情况表</w:t>
      </w:r>
    </w:p>
    <w:p>
      <w:pPr>
        <w:pStyle w:val="2"/>
        <w:spacing w:before="120" w:beforeLines="50" w:after="120" w:afterLines="50"/>
        <w:rPr>
          <w:rFonts w:ascii="Times New Roman" w:eastAsia="宋体"/>
          <w:color w:val="auto"/>
        </w:rPr>
      </w:pPr>
      <w:r>
        <w:rPr>
          <w:rFonts w:ascii="Times New Roman" w:eastAsia="宋体"/>
          <w:color w:val="auto"/>
        </w:rPr>
        <w:t>表7.1-1</w:t>
      </w:r>
    </w:p>
    <w:tbl>
      <w:tblPr>
        <w:tblStyle w:val="59"/>
        <w:tblW w:w="5000" w:type="pct"/>
        <w:jc w:val="center"/>
        <w:tblLayout w:type="fixed"/>
        <w:tblCellMar>
          <w:top w:w="0" w:type="dxa"/>
          <w:left w:w="0" w:type="dxa"/>
          <w:bottom w:w="0" w:type="dxa"/>
          <w:right w:w="0" w:type="dxa"/>
        </w:tblCellMar>
      </w:tblPr>
      <w:tblGrid>
        <w:gridCol w:w="1008"/>
        <w:gridCol w:w="1842"/>
        <w:gridCol w:w="2610"/>
        <w:gridCol w:w="1820"/>
        <w:gridCol w:w="1820"/>
      </w:tblGrid>
      <w:tr>
        <w:tblPrEx>
          <w:tblCellMar>
            <w:top w:w="0" w:type="dxa"/>
            <w:left w:w="0" w:type="dxa"/>
            <w:bottom w:w="0" w:type="dxa"/>
            <w:right w:w="0" w:type="dxa"/>
          </w:tblCellMar>
        </w:tblPrEx>
        <w:trPr>
          <w:trHeight w:val="358"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b/>
                <w:sz w:val="21"/>
                <w:szCs w:val="21"/>
              </w:rPr>
            </w:pPr>
            <w:r>
              <w:rPr>
                <w:rFonts w:ascii="Times New Roman" w:hAnsi="Times New Roman"/>
                <w:b/>
                <w:kern w:val="0"/>
                <w:sz w:val="21"/>
                <w:szCs w:val="21"/>
              </w:rPr>
              <w:t>序号</w:t>
            </w:r>
          </w:p>
        </w:tc>
        <w:tc>
          <w:tcPr>
            <w:tcW w:w="1842"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b/>
                <w:sz w:val="21"/>
                <w:szCs w:val="21"/>
              </w:rPr>
            </w:pPr>
            <w:r>
              <w:rPr>
                <w:rFonts w:ascii="Times New Roman" w:hAnsi="Times New Roman"/>
                <w:b/>
                <w:kern w:val="0"/>
                <w:sz w:val="21"/>
                <w:szCs w:val="21"/>
              </w:rPr>
              <w:t>协议名称</w:t>
            </w:r>
          </w:p>
        </w:tc>
        <w:tc>
          <w:tcPr>
            <w:tcW w:w="2610"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b/>
                <w:sz w:val="21"/>
                <w:szCs w:val="21"/>
              </w:rPr>
            </w:pPr>
            <w:r>
              <w:rPr>
                <w:rFonts w:ascii="Times New Roman" w:hAnsi="Times New Roman"/>
                <w:b/>
                <w:kern w:val="0"/>
                <w:sz w:val="21"/>
                <w:szCs w:val="21"/>
              </w:rPr>
              <w:t>甲方</w:t>
            </w:r>
          </w:p>
        </w:tc>
        <w:tc>
          <w:tcPr>
            <w:tcW w:w="1820"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b/>
                <w:sz w:val="21"/>
                <w:szCs w:val="21"/>
              </w:rPr>
            </w:pPr>
            <w:r>
              <w:rPr>
                <w:rFonts w:ascii="Times New Roman" w:hAnsi="Times New Roman"/>
                <w:b/>
                <w:kern w:val="0"/>
                <w:sz w:val="21"/>
                <w:szCs w:val="21"/>
              </w:rPr>
              <w:t>乙方</w:t>
            </w:r>
          </w:p>
        </w:tc>
        <w:tc>
          <w:tcPr>
            <w:tcW w:w="1820"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b/>
                <w:sz w:val="21"/>
                <w:szCs w:val="21"/>
              </w:rPr>
            </w:pPr>
            <w:r>
              <w:rPr>
                <w:rFonts w:ascii="Times New Roman" w:hAnsi="Times New Roman"/>
                <w:b/>
                <w:kern w:val="0"/>
                <w:sz w:val="21"/>
                <w:szCs w:val="21"/>
              </w:rPr>
              <w:t>数量</w:t>
            </w:r>
          </w:p>
        </w:tc>
      </w:tr>
      <w:tr>
        <w:tblPrEx>
          <w:tblCellMar>
            <w:top w:w="0" w:type="dxa"/>
            <w:left w:w="0" w:type="dxa"/>
            <w:bottom w:w="0" w:type="dxa"/>
            <w:right w:w="0" w:type="dxa"/>
          </w:tblCellMar>
        </w:tblPrEx>
        <w:trPr>
          <w:trHeight w:val="690"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1</w:t>
            </w:r>
          </w:p>
        </w:tc>
        <w:tc>
          <w:tcPr>
            <w:tcW w:w="1842"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供煤协议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内蒙古能源发电投资集团有限公司产业开发分公司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内蒙古开源纳林希里煤炭开发有限公司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360百万吨/年</w:t>
            </w:r>
          </w:p>
        </w:tc>
      </w:tr>
      <w:tr>
        <w:tblPrEx>
          <w:tblCellMar>
            <w:top w:w="0" w:type="dxa"/>
            <w:left w:w="0" w:type="dxa"/>
            <w:bottom w:w="0" w:type="dxa"/>
            <w:right w:w="0" w:type="dxa"/>
          </w:tblCellMar>
        </w:tblPrEx>
        <w:trPr>
          <w:trHeight w:val="690"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2</w:t>
            </w:r>
          </w:p>
        </w:tc>
        <w:tc>
          <w:tcPr>
            <w:tcW w:w="1842"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供煤协议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内蒙古能源发电投资集团有限公司产业开发分公司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内蒙古同盛色连煤炭开发有限公司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240万吨/年</w:t>
            </w:r>
          </w:p>
        </w:tc>
      </w:tr>
      <w:tr>
        <w:tblPrEx>
          <w:tblCellMar>
            <w:top w:w="0" w:type="dxa"/>
            <w:left w:w="0" w:type="dxa"/>
            <w:bottom w:w="0" w:type="dxa"/>
            <w:right w:w="0" w:type="dxa"/>
          </w:tblCellMar>
        </w:tblPrEx>
        <w:trPr>
          <w:trHeight w:val="690"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3</w:t>
            </w:r>
          </w:p>
        </w:tc>
        <w:tc>
          <w:tcPr>
            <w:tcW w:w="1842"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供水协议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内蒙古能源发电投资集团有限公司产业开发分公司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内蒙古伊泰广联煤化有限责任公司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350万立方/年</w:t>
            </w:r>
          </w:p>
        </w:tc>
      </w:tr>
      <w:tr>
        <w:tblPrEx>
          <w:tblCellMar>
            <w:top w:w="0" w:type="dxa"/>
            <w:left w:w="0" w:type="dxa"/>
            <w:bottom w:w="0" w:type="dxa"/>
            <w:right w:w="0" w:type="dxa"/>
          </w:tblCellMar>
        </w:tblPrEx>
        <w:trPr>
          <w:trHeight w:val="690"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4</w:t>
            </w:r>
          </w:p>
        </w:tc>
        <w:tc>
          <w:tcPr>
            <w:tcW w:w="1842"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生活用水供水协议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内蒙古能源发电投资集团有限公司产业开发分公司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内蒙古宏焱工贸有限责任公司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17520立方/年</w:t>
            </w:r>
          </w:p>
        </w:tc>
      </w:tr>
      <w:tr>
        <w:tblPrEx>
          <w:tblCellMar>
            <w:top w:w="0" w:type="dxa"/>
            <w:left w:w="0" w:type="dxa"/>
            <w:bottom w:w="0" w:type="dxa"/>
            <w:right w:w="0" w:type="dxa"/>
          </w:tblCellMar>
        </w:tblPrEx>
        <w:trPr>
          <w:trHeight w:val="690"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5</w:t>
            </w:r>
          </w:p>
        </w:tc>
        <w:tc>
          <w:tcPr>
            <w:tcW w:w="1842"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灰渣供应协议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内蒙古能源发电投资集团有限公司产业开发分公司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内蒙古环境治理有限公司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140万吨/年</w:t>
            </w:r>
          </w:p>
        </w:tc>
      </w:tr>
      <w:tr>
        <w:tblPrEx>
          <w:tblCellMar>
            <w:top w:w="0" w:type="dxa"/>
            <w:left w:w="0" w:type="dxa"/>
            <w:bottom w:w="0" w:type="dxa"/>
            <w:right w:w="0" w:type="dxa"/>
          </w:tblCellMar>
        </w:tblPrEx>
        <w:trPr>
          <w:trHeight w:val="690"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6</w:t>
            </w:r>
          </w:p>
        </w:tc>
        <w:tc>
          <w:tcPr>
            <w:tcW w:w="1842"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石膏供应协议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内蒙古能源发电投资集团有限公司产业开发分公司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内蒙古环境治理有限公司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35万吨/年</w:t>
            </w:r>
          </w:p>
        </w:tc>
      </w:tr>
      <w:tr>
        <w:tblPrEx>
          <w:tblCellMar>
            <w:top w:w="0" w:type="dxa"/>
            <w:left w:w="0" w:type="dxa"/>
            <w:bottom w:w="0" w:type="dxa"/>
            <w:right w:w="0" w:type="dxa"/>
          </w:tblCellMar>
        </w:tblPrEx>
        <w:trPr>
          <w:trHeight w:val="690"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7</w:t>
            </w:r>
          </w:p>
        </w:tc>
        <w:tc>
          <w:tcPr>
            <w:tcW w:w="1842"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石灰石采购协议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内蒙古能源发电投资集团有限公司产业开发分公司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清水河县蒙西水泥原料经营有限公司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35万吨/年</w:t>
            </w:r>
          </w:p>
        </w:tc>
      </w:tr>
      <w:tr>
        <w:tblPrEx>
          <w:tblCellMar>
            <w:top w:w="0" w:type="dxa"/>
            <w:left w:w="0" w:type="dxa"/>
            <w:bottom w:w="0" w:type="dxa"/>
            <w:right w:w="0" w:type="dxa"/>
          </w:tblCellMar>
        </w:tblPrEx>
        <w:trPr>
          <w:trHeight w:val="399"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8</w:t>
            </w:r>
          </w:p>
        </w:tc>
        <w:tc>
          <w:tcPr>
            <w:tcW w:w="1842"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尿素协议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内蒙古中卓乐鑫能源有限公司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200万吨/年</w:t>
            </w:r>
          </w:p>
        </w:tc>
      </w:tr>
      <w:tr>
        <w:tblPrEx>
          <w:tblCellMar>
            <w:top w:w="0" w:type="dxa"/>
            <w:left w:w="0" w:type="dxa"/>
            <w:bottom w:w="0" w:type="dxa"/>
            <w:right w:w="0" w:type="dxa"/>
          </w:tblCellMar>
        </w:tblPrEx>
        <w:trPr>
          <w:trHeight w:val="491"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9</w:t>
            </w:r>
          </w:p>
        </w:tc>
        <w:tc>
          <w:tcPr>
            <w:tcW w:w="1842"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尿素协议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内蒙古天兆丰农贸有限责任公司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250万吨/年</w:t>
            </w:r>
          </w:p>
        </w:tc>
      </w:tr>
      <w:tr>
        <w:tblPrEx>
          <w:tblCellMar>
            <w:top w:w="0" w:type="dxa"/>
            <w:left w:w="0" w:type="dxa"/>
            <w:bottom w:w="0" w:type="dxa"/>
            <w:right w:w="0" w:type="dxa"/>
          </w:tblCellMar>
        </w:tblPrEx>
        <w:trPr>
          <w:trHeight w:val="514" w:hRule="atLeast"/>
          <w:jc w:val="center"/>
        </w:trPr>
        <w:tc>
          <w:tcPr>
            <w:tcW w:w="1008"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10</w:t>
            </w:r>
          </w:p>
        </w:tc>
        <w:tc>
          <w:tcPr>
            <w:tcW w:w="1842"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天然气供气协议</w:t>
            </w:r>
          </w:p>
        </w:tc>
        <w:tc>
          <w:tcPr>
            <w:tcW w:w="261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鄂尔多斯市瑞洁燃气有限责任公司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产业开发分公司</w:t>
            </w:r>
          </w:p>
        </w:tc>
        <w:tc>
          <w:tcPr>
            <w:tcW w:w="1820" w:type="dxa"/>
            <w:tcBorders>
              <w:top w:val="single" w:color="000000" w:sz="4" w:space="0"/>
              <w:left w:val="nil"/>
              <w:bottom w:val="single" w:color="000000" w:sz="4" w:space="0"/>
              <w:right w:val="single" w:color="000000" w:sz="4" w:space="0"/>
            </w:tcBorders>
            <w:tcMar>
              <w:top w:w="15" w:type="dxa"/>
              <w:left w:w="15" w:type="dxa"/>
              <w:bottom w:w="0" w:type="dxa"/>
              <w:right w:w="15" w:type="dxa"/>
            </w:tcMar>
            <w:vAlign w:val="center"/>
          </w:tcPr>
          <w:p>
            <w:pPr>
              <w:widowControl/>
              <w:jc w:val="center"/>
              <w:textAlignment w:val="center"/>
              <w:rPr>
                <w:rFonts w:ascii="Times New Roman" w:hAnsi="Times New Roman"/>
                <w:sz w:val="21"/>
                <w:szCs w:val="21"/>
              </w:rPr>
            </w:pPr>
            <w:r>
              <w:rPr>
                <w:rFonts w:ascii="Times New Roman" w:hAnsi="Times New Roman"/>
                <w:kern w:val="0"/>
                <w:sz w:val="21"/>
                <w:szCs w:val="21"/>
              </w:rPr>
              <w:t>2万立方</w:t>
            </w:r>
          </w:p>
        </w:tc>
      </w:tr>
    </w:tbl>
    <w:p>
      <w:pPr>
        <w:spacing w:line="440" w:lineRule="exact"/>
        <w:ind w:firstLine="480" w:firstLineChars="200"/>
        <w:rPr>
          <w:rFonts w:ascii="Times New Roman" w:hAnsi="Times New Roman"/>
          <w:snapToGrid w:val="0"/>
          <w:kern w:val="0"/>
        </w:rPr>
      </w:pPr>
      <w:r>
        <w:rPr>
          <w:rFonts w:ascii="Times New Roman" w:hAnsi="Times New Roman"/>
          <w:snapToGrid w:val="0"/>
          <w:kern w:val="0"/>
        </w:rPr>
        <w:t>（2）本矿区开发规模的合理性</w:t>
      </w:r>
    </w:p>
    <w:p>
      <w:pPr>
        <w:spacing w:line="440" w:lineRule="exact"/>
        <w:ind w:firstLine="480" w:firstLineChars="200"/>
        <w:rPr>
          <w:rFonts w:ascii="Times New Roman" w:hAnsi="Times New Roman"/>
          <w:snapToGrid w:val="0"/>
          <w:kern w:val="0"/>
        </w:rPr>
      </w:pPr>
      <w:r>
        <w:rPr>
          <w:rFonts w:ascii="Times New Roman" w:hAnsi="Times New Roman"/>
          <w:snapToGrid w:val="0"/>
          <w:color w:val="FF0000"/>
          <w:kern w:val="0"/>
          <w:highlight w:val="yellow"/>
        </w:rPr>
        <w:t>矿区内资源量丰富，</w:t>
      </w:r>
      <w:r>
        <w:rPr>
          <w:rFonts w:hint="eastAsia" w:ascii="Times New Roman" w:hAnsi="Times New Roman"/>
          <w:snapToGrid w:val="0"/>
          <w:color w:val="FF0000"/>
          <w:kern w:val="0"/>
          <w:highlight w:val="yellow"/>
        </w:rPr>
        <w:t>环评优化后</w:t>
      </w:r>
      <w:r>
        <w:rPr>
          <w:rFonts w:ascii="Times New Roman" w:hAnsi="Times New Roman"/>
          <w:snapToGrid w:val="0"/>
          <w:color w:val="FF0000"/>
          <w:kern w:val="0"/>
          <w:highlight w:val="yellow"/>
        </w:rPr>
        <w:t>可采储量</w:t>
      </w:r>
      <w:r>
        <w:rPr>
          <w:rFonts w:ascii="Times New Roman" w:hAnsi="Times New Roman" w:eastAsia="汉鼎简书宋"/>
          <w:color w:val="FF0000"/>
          <w:szCs w:val="21"/>
          <w:highlight w:val="yellow"/>
        </w:rPr>
        <w:t>3849.68</w:t>
      </w:r>
      <w:r>
        <w:rPr>
          <w:rFonts w:ascii="Times New Roman" w:hAnsi="Times New Roman"/>
          <w:color w:val="FF0000"/>
          <w:szCs w:val="24"/>
          <w:highlight w:val="yellow"/>
        </w:rPr>
        <w:t>Mt</w:t>
      </w:r>
      <w:r>
        <w:rPr>
          <w:rFonts w:hint="eastAsia" w:ascii="Times New Roman" w:hAnsi="Times New Roman"/>
          <w:color w:val="FF0000"/>
          <w:szCs w:val="24"/>
          <w:highlight w:val="yellow"/>
        </w:rPr>
        <w:t>（扣除红庆河镇城镇规划区、东乌铁路、荣乌高速、长呼天然气管线等）</w:t>
      </w:r>
      <w:r>
        <w:rPr>
          <w:rFonts w:ascii="Times New Roman" w:hAnsi="Times New Roman"/>
          <w:color w:val="FF0000"/>
          <w:szCs w:val="24"/>
          <w:highlight w:val="yellow"/>
        </w:rPr>
        <w:t>，</w:t>
      </w:r>
      <w:r>
        <w:rPr>
          <w:rFonts w:ascii="Times New Roman" w:hAnsi="Times New Roman"/>
          <w:snapToGrid w:val="0"/>
          <w:kern w:val="0"/>
        </w:rPr>
        <w:t>规划开发规模为</w:t>
      </w:r>
      <w:r>
        <w:rPr>
          <w:rFonts w:ascii="Times New Roman" w:hAnsi="Times New Roman"/>
          <w:szCs w:val="24"/>
        </w:rPr>
        <w:t>32.00Mt/a。根据上述分析，巴彦淖尔市化工园区年耗煤量约为25Mt，纳林希里一期2×1000MW</w:t>
      </w:r>
      <w:r>
        <w:rPr>
          <w:rFonts w:hint="eastAsia" w:ascii="Times New Roman" w:hAnsi="Times New Roman"/>
          <w:szCs w:val="24"/>
        </w:rPr>
        <w:t>项目</w:t>
      </w:r>
      <w:r>
        <w:rPr>
          <w:rFonts w:ascii="Times New Roman" w:hAnsi="Times New Roman"/>
          <w:szCs w:val="24"/>
        </w:rPr>
        <w:t>设计耗煤量约500万t/a，本矿区开发规模可满足用户需区域。且矿区煤层层数较多，厚煤层、中厚及薄煤层并存、储量丰富，为矿井实现综合机械化开采，稳定高产提供了有利条件，宜建设大型、特大型煤矿。</w:t>
      </w:r>
      <w:r>
        <w:rPr>
          <w:rFonts w:ascii="Times New Roman" w:hAnsi="Times New Roman"/>
          <w:snapToGrid w:val="0"/>
          <w:kern w:val="0"/>
        </w:rPr>
        <w:t>根据资源环境承载能力分析结果，矿区资源环境可以承载矿区开发。</w:t>
      </w:r>
    </w:p>
    <w:p>
      <w:pPr>
        <w:pStyle w:val="5"/>
        <w:adjustRightInd w:val="0"/>
        <w:snapToGrid w:val="0"/>
        <w:spacing w:before="0" w:after="0" w:line="440" w:lineRule="exact"/>
        <w:rPr>
          <w:sz w:val="24"/>
          <w:szCs w:val="24"/>
        </w:rPr>
      </w:pPr>
      <w:r>
        <w:rPr>
          <w:sz w:val="24"/>
          <w:szCs w:val="24"/>
        </w:rPr>
        <w:t>7.1.4 矿区规划项目建设时序合理性分析</w:t>
      </w:r>
      <w:bookmarkEnd w:id="328"/>
      <w:bookmarkEnd w:id="329"/>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总体规划根据矿区资源赋存、分布条件，规划开发4个矿井，苏布尔嘎井田、纳林希里井田2023年开始建设，2026年投产，2027年达到建设规模；奎腾沟井田、壕赖苏井田2025年开始建设，2028年建成投产，2029年达到建设规模。结合国家及地方能源需求和社会经济发展需要，推进规划矿井开发，矿区规划煤矿建设时序基本合理。</w:t>
      </w:r>
    </w:p>
    <w:p>
      <w:pPr>
        <w:adjustRightInd w:val="0"/>
        <w:snapToGrid w:val="0"/>
        <w:spacing w:line="440" w:lineRule="exact"/>
        <w:ind w:firstLine="480" w:firstLineChars="200"/>
        <w:rPr>
          <w:rFonts w:ascii="Times New Roman" w:hAnsi="Times New Roman"/>
          <w:szCs w:val="21"/>
        </w:rPr>
      </w:pPr>
      <w:r>
        <w:rPr>
          <w:rFonts w:ascii="Times New Roman" w:hAnsi="Times New Roman"/>
        </w:rPr>
        <w:t>结合规划项目前期工作推进情况，评价建议</w:t>
      </w:r>
      <w:r>
        <w:rPr>
          <w:rFonts w:ascii="Times New Roman" w:hAnsi="Times New Roman"/>
          <w:szCs w:val="24"/>
        </w:rPr>
        <w:t>奎腾沟井田、苏布尔嘎井田、纳林希里井田先行开发，壕赖苏井田结合国家和地方能源和社会经济发展需求适时开发。</w:t>
      </w:r>
    </w:p>
    <w:p>
      <w:pPr>
        <w:pStyle w:val="5"/>
        <w:adjustRightInd w:val="0"/>
        <w:snapToGrid w:val="0"/>
        <w:spacing w:before="0" w:after="0" w:line="440" w:lineRule="exact"/>
        <w:rPr>
          <w:sz w:val="24"/>
          <w:szCs w:val="24"/>
        </w:rPr>
      </w:pPr>
      <w:r>
        <w:rPr>
          <w:sz w:val="24"/>
          <w:szCs w:val="24"/>
        </w:rPr>
        <w:t>7.1.5 规划布局的合理性分析</w:t>
      </w:r>
    </w:p>
    <w:p>
      <w:pPr>
        <w:adjustRightInd w:val="0"/>
        <w:snapToGrid w:val="0"/>
        <w:spacing w:line="440" w:lineRule="exact"/>
        <w:ind w:firstLine="480" w:firstLineChars="200"/>
        <w:rPr>
          <w:rFonts w:ascii="Times New Roman" w:hAnsi="Times New Roman"/>
        </w:rPr>
      </w:pPr>
      <w:r>
        <w:rPr>
          <w:rFonts w:ascii="Times New Roman" w:hAnsi="Times New Roman"/>
        </w:rPr>
        <w:t>从矿区空间布局的环境合理性看，矿区位于内蒙古自治区东胜煤田的中西部，属于“国家层面重点开发区域”中的呼包鄂榆地区，不属于《内蒙古自治区国家重点生态功能区产业准入负面清单（试行）》中的国家重点生态功能区。</w:t>
      </w:r>
    </w:p>
    <w:p>
      <w:pPr>
        <w:spacing w:line="440" w:lineRule="exact"/>
        <w:ind w:firstLine="480" w:firstLineChars="200"/>
        <w:rPr>
          <w:rFonts w:ascii="Times New Roman" w:hAnsi="Times New Roman"/>
        </w:rPr>
      </w:pPr>
      <w:r>
        <w:rPr>
          <w:rFonts w:ascii="Times New Roman" w:hAnsi="Times New Roman"/>
          <w:szCs w:val="24"/>
        </w:rPr>
        <w:t>从矿区与生态红线等环境敏感保护目标看，矿区北侧边界与鄂尔多斯市生态保护红线区（</w:t>
      </w:r>
      <w:r>
        <w:rPr>
          <w:rFonts w:ascii="Times New Roman" w:hAnsi="Times New Roman"/>
        </w:rPr>
        <w:t>鄂尔多斯遗鸥国家级级自然保护区</w:t>
      </w:r>
      <w:r>
        <w:rPr>
          <w:rFonts w:ascii="Times New Roman" w:hAnsi="Times New Roman"/>
          <w:szCs w:val="24"/>
        </w:rPr>
        <w:t>）相接</w:t>
      </w:r>
      <w:r>
        <w:rPr>
          <w:rFonts w:ascii="Times New Roman" w:hAnsi="Times New Roman"/>
        </w:rPr>
        <w:t>。矿区西北侧与生态红线相接的部分本次规划已对这部分留设了保护煤柱，</w:t>
      </w:r>
      <w:r>
        <w:rPr>
          <w:rFonts w:ascii="Times New Roman" w:hAnsi="Times New Roman"/>
          <w:snapToGrid w:val="0"/>
          <w:kern w:val="0"/>
          <w:szCs w:val="24"/>
        </w:rPr>
        <w:t>根据本次沉陷预测结果，</w:t>
      </w:r>
      <w:r>
        <w:rPr>
          <w:rFonts w:ascii="Times New Roman" w:hAnsi="Times New Roman"/>
        </w:rPr>
        <w:t>北部与自然保护区较近，规划留设的保护煤柱宽度不够，自然保护区可能受到开采沉陷影响，本次评价提出对矿区（奎腾沟井田）北边界矿区北边界内侧暂留设400m宽的保护煤柱，在项目实施阶段，留设保护煤柱根据开采情况及地表岩移观测结果实时修正，确保生态保护红线区不受开采沉陷影响。保证遗鸥国家级自然保护区不受开采沉陷影响。总体而言，矿区开发在空间布局上存在一定的敏感性，但规划井田开发区均已避开上述环境敏感区，矿区规划空间布局基本合理。但矿区空间布局也存在不合理之处，主要有：</w:t>
      </w:r>
    </w:p>
    <w:p>
      <w:pPr>
        <w:spacing w:line="440" w:lineRule="exact"/>
        <w:ind w:firstLine="480" w:firstLineChars="200"/>
        <w:rPr>
          <w:rFonts w:ascii="Times New Roman" w:hAnsi="Times New Roman"/>
        </w:rPr>
      </w:pPr>
      <w:r>
        <w:rPr>
          <w:rFonts w:ascii="Times New Roman" w:hAnsi="Times New Roman"/>
        </w:rPr>
        <w:t>（1）但矿区北部边界（</w:t>
      </w:r>
      <w:r>
        <w:rPr>
          <w:rFonts w:ascii="Times New Roman" w:hAnsi="Times New Roman"/>
          <w:szCs w:val="24"/>
        </w:rPr>
        <w:t>奎腾沟井田</w:t>
      </w:r>
      <w:r>
        <w:rPr>
          <w:rFonts w:ascii="Times New Roman" w:hAnsi="Times New Roman"/>
        </w:rPr>
        <w:t>）</w:t>
      </w:r>
      <w:r>
        <w:rPr>
          <w:rFonts w:ascii="Times New Roman" w:hAnsi="Times New Roman"/>
          <w:szCs w:val="24"/>
        </w:rPr>
        <w:t>紧邻</w:t>
      </w:r>
      <w:r>
        <w:rPr>
          <w:rFonts w:ascii="Times New Roman" w:hAnsi="Times New Roman"/>
        </w:rPr>
        <w:t>鄂尔多斯遗鸥国家级保护区，根据沉陷预测结果，规划的</w:t>
      </w:r>
      <w:r>
        <w:rPr>
          <w:rFonts w:ascii="Times New Roman" w:hAnsi="Times New Roman"/>
          <w:szCs w:val="24"/>
        </w:rPr>
        <w:t>奎腾沟井田开采后，遗鸥国家级自然保护区部分临近奎腾沟井田的区域会受到开采沉陷影响。</w:t>
      </w:r>
    </w:p>
    <w:p>
      <w:pPr>
        <w:spacing w:line="440" w:lineRule="exact"/>
        <w:ind w:firstLine="480" w:firstLineChars="200"/>
        <w:rPr>
          <w:rFonts w:ascii="Times New Roman" w:hAnsi="Times New Roman"/>
        </w:rPr>
      </w:pPr>
      <w:r>
        <w:rPr>
          <w:rFonts w:ascii="Times New Roman" w:hAnsi="Times New Roman"/>
        </w:rPr>
        <w:t>（2）根据地面总布置，矿区规划的</w:t>
      </w:r>
      <w:r>
        <w:rPr>
          <w:rFonts w:ascii="Times New Roman" w:hAnsi="Times New Roman"/>
          <w:szCs w:val="24"/>
        </w:rPr>
        <w:t>壕赖苏矿井工业场地、纳林希里矿井工业场地占用部分基本农田，矿区铁路专用线部分路段占用基本农田。</w:t>
      </w:r>
    </w:p>
    <w:p>
      <w:pPr>
        <w:spacing w:line="440" w:lineRule="exact"/>
        <w:ind w:firstLine="480" w:firstLineChars="200"/>
        <w:rPr>
          <w:rFonts w:ascii="Times New Roman" w:hAnsi="Times New Roman"/>
        </w:rPr>
      </w:pPr>
      <w:r>
        <w:rPr>
          <w:rFonts w:ascii="Times New Roman" w:hAnsi="Times New Roman"/>
        </w:rPr>
        <w:t>本次评价也有针对性的提出了相应的环境保护措施，矿区开发建设必须认真落实本报告提出的各项环境保护措施，减缓或避免矿区规划实施的环境影响。</w:t>
      </w:r>
    </w:p>
    <w:p>
      <w:pPr>
        <w:pStyle w:val="5"/>
        <w:adjustRightInd w:val="0"/>
        <w:snapToGrid w:val="0"/>
        <w:spacing w:before="0" w:after="0" w:line="440" w:lineRule="exact"/>
        <w:rPr>
          <w:sz w:val="24"/>
          <w:szCs w:val="24"/>
        </w:rPr>
      </w:pPr>
      <w:bookmarkStart w:id="333" w:name="_Toc18838494"/>
      <w:r>
        <w:rPr>
          <w:sz w:val="24"/>
          <w:szCs w:val="24"/>
        </w:rPr>
        <w:t>7.1.6 矿区产业结构合理性分析</w:t>
      </w:r>
      <w:bookmarkEnd w:id="333"/>
    </w:p>
    <w:p>
      <w:pPr>
        <w:spacing w:line="440" w:lineRule="exact"/>
        <w:ind w:firstLine="480" w:firstLineChars="200"/>
        <w:rPr>
          <w:rFonts w:ascii="Times New Roman" w:hAnsi="Times New Roman"/>
          <w:kern w:val="0"/>
        </w:rPr>
      </w:pPr>
      <w:r>
        <w:rPr>
          <w:rFonts w:ascii="Times New Roman" w:hAnsi="Times New Roman"/>
        </w:rPr>
        <w:t>矿区规划产业是煤炭开采及选煤，矿区规划以煤炭开采与洗选加工为核心，同时按照“减量化、再利用、再循环”的循环经济发展思路，对煤炭开采与加工过程中产生的煤矸石、矿井水、生活污水等进行了综合利用，总体看，产业结构基本合理</w:t>
      </w:r>
      <w:r>
        <w:rPr>
          <w:rFonts w:ascii="Times New Roman" w:hAnsi="Times New Roman"/>
          <w:kern w:val="0"/>
        </w:rPr>
        <w:t>。</w:t>
      </w:r>
    </w:p>
    <w:p>
      <w:pPr>
        <w:pStyle w:val="4"/>
        <w:adjustRightInd w:val="0"/>
        <w:snapToGrid w:val="0"/>
        <w:spacing w:line="440" w:lineRule="exact"/>
        <w:jc w:val="left"/>
        <w:rPr>
          <w:rFonts w:ascii="Times New Roman" w:hAnsi="Times New Roman" w:eastAsia="宋体"/>
          <w:sz w:val="28"/>
        </w:rPr>
      </w:pPr>
      <w:bookmarkStart w:id="334" w:name="_Toc25823"/>
      <w:r>
        <w:rPr>
          <w:rFonts w:ascii="Times New Roman" w:hAnsi="Times New Roman" w:eastAsia="宋体"/>
          <w:sz w:val="28"/>
        </w:rPr>
        <w:t>7.2 规划方案的环境效益论证</w:t>
      </w:r>
      <w:bookmarkEnd w:id="334"/>
    </w:p>
    <w:p>
      <w:pPr>
        <w:spacing w:line="440" w:lineRule="exact"/>
        <w:ind w:firstLine="480" w:firstLineChars="200"/>
        <w:rPr>
          <w:rFonts w:ascii="Times New Roman" w:hAnsi="Times New Roman"/>
          <w:kern w:val="0"/>
        </w:rPr>
      </w:pPr>
      <w:r>
        <w:rPr>
          <w:rFonts w:ascii="Times New Roman" w:hAnsi="Times New Roman"/>
          <w:kern w:val="0"/>
        </w:rPr>
        <w:t>随着矿区的矿区开发，会实施一系列生态环境治理措施，生态矿区生态环境治理的目的在于阻止环境恶化，保护生态系统。生态效益是评价生态环境治理项目对矿区自然环境和生态环境的改善效果。矿区的生态治理项目不仅能在矿区开发后改善环境污染的现状，保护生态环境，维护生态系统稳定，还能带动周边林木业、工副业、旅游业等产业的发展。随着治理项目的实施，旱涝灾率以及水土流失的现象会得到改善，且矿区开发必然会在一定程度上影响社会生产生活。</w:t>
      </w:r>
    </w:p>
    <w:p>
      <w:pPr>
        <w:keepNext/>
        <w:keepLines/>
        <w:snapToGrid w:val="0"/>
        <w:spacing w:before="260" w:after="260" w:line="440" w:lineRule="exact"/>
        <w:outlineLvl w:val="1"/>
        <w:rPr>
          <w:rFonts w:ascii="Times New Roman" w:hAnsi="Times New Roman"/>
          <w:b/>
          <w:sz w:val="28"/>
        </w:rPr>
      </w:pPr>
      <w:bookmarkStart w:id="335" w:name="_Toc18838497"/>
      <w:bookmarkStart w:id="336" w:name="_Toc11361"/>
      <w:r>
        <w:rPr>
          <w:rFonts w:ascii="Times New Roman" w:hAnsi="Times New Roman"/>
          <w:b/>
          <w:sz w:val="28"/>
        </w:rPr>
        <w:t>7.3 矿区总体规划方案的优化调整建议</w:t>
      </w:r>
      <w:bookmarkEnd w:id="335"/>
      <w:bookmarkEnd w:id="336"/>
    </w:p>
    <w:p>
      <w:pPr>
        <w:keepNext/>
        <w:keepLines/>
        <w:spacing w:before="120" w:after="120" w:line="440" w:lineRule="exact"/>
        <w:outlineLvl w:val="2"/>
        <w:rPr>
          <w:rFonts w:ascii="Times New Roman" w:hAnsi="Times New Roman"/>
          <w:b/>
          <w:bCs/>
          <w:szCs w:val="32"/>
        </w:rPr>
      </w:pPr>
      <w:r>
        <w:rPr>
          <w:rFonts w:ascii="Times New Roman" w:hAnsi="Times New Roman"/>
          <w:b/>
          <w:bCs/>
          <w:szCs w:val="32"/>
        </w:rPr>
        <w:t>7.3.1 进一步优化布局，减缓规划实施环境影响</w:t>
      </w:r>
    </w:p>
    <w:p>
      <w:pPr>
        <w:spacing w:line="440" w:lineRule="exact"/>
        <w:ind w:firstLine="480" w:firstLineChars="200"/>
        <w:rPr>
          <w:rFonts w:ascii="Times New Roman" w:hAnsi="Times New Roman"/>
          <w:szCs w:val="24"/>
        </w:rPr>
      </w:pPr>
      <w:r>
        <w:rPr>
          <w:rFonts w:ascii="Times New Roman" w:hAnsi="Times New Roman"/>
          <w:szCs w:val="24"/>
        </w:rPr>
        <w:t>（1）优化选址选线，尽可能不占或少占基本农田</w:t>
      </w:r>
    </w:p>
    <w:p>
      <w:pPr>
        <w:spacing w:line="440" w:lineRule="exact"/>
        <w:ind w:firstLine="480" w:firstLineChars="200"/>
        <w:rPr>
          <w:rFonts w:ascii="Times New Roman" w:hAnsi="Times New Roman"/>
          <w:szCs w:val="24"/>
        </w:rPr>
      </w:pPr>
      <w:bookmarkStart w:id="337" w:name="_Hlk119072734"/>
      <w:r>
        <w:rPr>
          <w:rFonts w:ascii="Times New Roman" w:hAnsi="Times New Roman"/>
          <w:szCs w:val="24"/>
        </w:rPr>
        <w:t>根据矿区总平面布置，</w:t>
      </w:r>
      <w:r>
        <w:rPr>
          <w:rFonts w:ascii="Times New Roman" w:hAnsi="Times New Roman"/>
        </w:rPr>
        <w:t>矿区规划的</w:t>
      </w:r>
      <w:r>
        <w:rPr>
          <w:rFonts w:ascii="Times New Roman" w:hAnsi="Times New Roman"/>
          <w:szCs w:val="24"/>
        </w:rPr>
        <w:t>壕赖苏矿井工业场地、纳林希里矿井工业场地占用部分基本农田，</w:t>
      </w:r>
      <w:r>
        <w:rPr>
          <w:rFonts w:ascii="Times New Roman" w:hAnsi="Times New Roman"/>
        </w:rPr>
        <w:t>规划的铁路专用线从纳林希里四队穿过，</w:t>
      </w:r>
      <w:r>
        <w:rPr>
          <w:rFonts w:ascii="Times New Roman" w:hAnsi="Times New Roman"/>
          <w:szCs w:val="24"/>
        </w:rPr>
        <w:t>矿区铁路专用线部分路段占用基本农田。为尽可能避免铁路专用线建设对周边居民的影响及占用基本农田，本次评价提出应进一步优化工业场地及铁路专用线选址选线，避开村庄及基本农田分布区，尽可能不占基本农田区或少占基本农田区。</w:t>
      </w:r>
    </w:p>
    <w:p>
      <w:pPr>
        <w:spacing w:line="440" w:lineRule="exact"/>
        <w:ind w:firstLine="480" w:firstLineChars="200"/>
        <w:rPr>
          <w:rFonts w:ascii="Times New Roman" w:hAnsi="Times New Roman"/>
          <w:szCs w:val="24"/>
        </w:rPr>
      </w:pPr>
      <w:r>
        <w:rPr>
          <w:rFonts w:ascii="Times New Roman" w:hAnsi="Times New Roman"/>
          <w:szCs w:val="24"/>
        </w:rPr>
        <w:t>如若应资源赋存条件限制难以避免的，应则根据《自然资源部 农业农村部关于加强和改进永久基本农田保护工作的通知》（自然资规[2019]1号）中的规定：一般建设项目不得占用永久基本农田；重大建设项目选址确实难以避让永久基本农田的，在可行性研究阶段，省级自然资源主管部门负责组织对占用的必要性、合理性和补划方案的可行性进行严格论证，报自然资源部用地预审；农用地转用和土地征收依法报批，开展基本农田占补平衡工作。</w:t>
      </w:r>
    </w:p>
    <w:bookmarkEnd w:id="337"/>
    <w:p>
      <w:pPr>
        <w:spacing w:line="440" w:lineRule="exact"/>
        <w:ind w:firstLine="480" w:firstLineChars="200"/>
        <w:rPr>
          <w:rFonts w:ascii="Times New Roman" w:hAnsi="Times New Roman"/>
          <w:szCs w:val="24"/>
        </w:rPr>
      </w:pPr>
      <w:r>
        <w:rPr>
          <w:rFonts w:ascii="Times New Roman" w:hAnsi="Times New Roman"/>
          <w:szCs w:val="24"/>
        </w:rPr>
        <w:t>（2）矿区勘查区在后续规划井田时应避让生态保护红线区</w:t>
      </w:r>
    </w:p>
    <w:p>
      <w:pPr>
        <w:spacing w:line="440" w:lineRule="exact"/>
        <w:ind w:firstLine="480" w:firstLineChars="200"/>
        <w:rPr>
          <w:rFonts w:ascii="Times New Roman" w:hAnsi="Times New Roman"/>
          <w:szCs w:val="24"/>
        </w:rPr>
      </w:pPr>
      <w:r>
        <w:rPr>
          <w:rFonts w:ascii="Times New Roman" w:hAnsi="Times New Roman"/>
          <w:szCs w:val="24"/>
        </w:rPr>
        <w:t>矿区西部勘查区有约28.5km</w:t>
      </w:r>
      <w:r>
        <w:rPr>
          <w:rFonts w:ascii="Times New Roman" w:hAnsi="Times New Roman"/>
          <w:szCs w:val="24"/>
          <w:vertAlign w:val="superscript"/>
        </w:rPr>
        <w:t>2</w:t>
      </w:r>
      <w:r>
        <w:rPr>
          <w:rFonts w:ascii="Times New Roman" w:hAnsi="Times New Roman"/>
          <w:szCs w:val="24"/>
        </w:rPr>
        <w:t>的生态保护红线区，本次规划已剔除该红线区范围。本次评价提出，矿区勘查区在后续规划井田时应根据最终划定的生态保护红线区范围划分井田，避让生态保护红线区。</w:t>
      </w:r>
    </w:p>
    <w:p>
      <w:pPr>
        <w:spacing w:line="440" w:lineRule="exact"/>
        <w:ind w:firstLine="480" w:firstLineChars="200"/>
        <w:rPr>
          <w:rFonts w:ascii="Times New Roman" w:hAnsi="Times New Roman"/>
          <w:color w:val="FF0000"/>
          <w:szCs w:val="24"/>
        </w:rPr>
      </w:pPr>
      <w:r>
        <w:rPr>
          <w:rFonts w:hint="eastAsia" w:ascii="Times New Roman" w:hAnsi="Times New Roman"/>
          <w:color w:val="FF0000"/>
          <w:szCs w:val="24"/>
        </w:rPr>
        <w:t>（3）奎腾沟汇水影响区域暂缓开发</w:t>
      </w:r>
    </w:p>
    <w:p>
      <w:pPr>
        <w:spacing w:line="440" w:lineRule="exact"/>
        <w:ind w:firstLine="480" w:firstLineChars="200"/>
        <w:rPr>
          <w:rFonts w:ascii="Times New Roman" w:hAnsi="Times New Roman"/>
          <w:szCs w:val="24"/>
        </w:rPr>
      </w:pPr>
      <w:bookmarkStart w:id="338" w:name="_Hlk119072875"/>
      <w:r>
        <w:rPr>
          <w:rFonts w:hint="eastAsia" w:ascii="Times New Roman" w:hAnsi="Times New Roman"/>
          <w:color w:val="FF0000"/>
          <w:szCs w:val="24"/>
        </w:rPr>
        <w:t>鉴于奎腾沟矿井紧邻鄂尔多斯遗鸥国家级自然保护区且矿井北部区域位于自然保护区的汇水范围，本次评价提出对奎腾沟井田内</w:t>
      </w:r>
      <w:r>
        <w:rPr>
          <w:rFonts w:hint="eastAsia" w:ascii="Times New Roman" w:hAnsi="Times New Roman"/>
          <w:bCs/>
          <w:color w:val="FF0000"/>
          <w:kern w:val="0"/>
          <w:szCs w:val="24"/>
        </w:rPr>
        <w:t>汇水影响区域（面积约0.71km</w:t>
      </w:r>
      <w:r>
        <w:rPr>
          <w:rFonts w:hint="eastAsia" w:ascii="Times New Roman" w:hAnsi="Times New Roman"/>
          <w:bCs/>
          <w:color w:val="FF0000"/>
          <w:kern w:val="0"/>
          <w:szCs w:val="24"/>
          <w:vertAlign w:val="superscript"/>
        </w:rPr>
        <w:t>2</w:t>
      </w:r>
      <w:r>
        <w:rPr>
          <w:rFonts w:hint="eastAsia" w:ascii="Times New Roman" w:hAnsi="Times New Roman"/>
          <w:bCs/>
          <w:color w:val="FF0000"/>
          <w:kern w:val="0"/>
          <w:szCs w:val="24"/>
        </w:rPr>
        <w:t>）暂缓开发。</w:t>
      </w:r>
    </w:p>
    <w:bookmarkEnd w:id="338"/>
    <w:p>
      <w:pPr>
        <w:keepNext/>
        <w:keepLines/>
        <w:spacing w:before="120" w:after="120" w:line="440" w:lineRule="exact"/>
        <w:outlineLvl w:val="2"/>
        <w:rPr>
          <w:rFonts w:ascii="Times New Roman" w:hAnsi="Times New Roman"/>
          <w:b/>
          <w:bCs/>
          <w:szCs w:val="32"/>
        </w:rPr>
      </w:pPr>
      <w:r>
        <w:rPr>
          <w:rFonts w:ascii="Times New Roman" w:hAnsi="Times New Roman"/>
          <w:b/>
          <w:bCs/>
          <w:szCs w:val="32"/>
        </w:rPr>
        <w:t>7.3.2 开发时序优化调整建议</w:t>
      </w:r>
    </w:p>
    <w:p>
      <w:pPr>
        <w:adjustRightInd w:val="0"/>
        <w:snapToGrid w:val="0"/>
        <w:spacing w:line="440" w:lineRule="exact"/>
        <w:ind w:firstLine="480" w:firstLineChars="200"/>
        <w:rPr>
          <w:rFonts w:ascii="Times New Roman" w:hAnsi="Times New Roman"/>
          <w:szCs w:val="21"/>
        </w:rPr>
      </w:pPr>
      <w:bookmarkStart w:id="339" w:name="_Hlk119072833"/>
      <w:r>
        <w:rPr>
          <w:rFonts w:hint="eastAsia" w:ascii="Times New Roman" w:hAnsi="Times New Roman"/>
          <w:szCs w:val="24"/>
        </w:rPr>
        <w:t>经本次评价分析，</w:t>
      </w:r>
      <w:r>
        <w:rPr>
          <w:rFonts w:ascii="Times New Roman" w:hAnsi="Times New Roman"/>
          <w:szCs w:val="24"/>
        </w:rPr>
        <w:t>矿区开发的污染影响和生态影响在当地环境可承受范围</w:t>
      </w:r>
      <w:r>
        <w:rPr>
          <w:rFonts w:hint="eastAsia" w:ascii="Times New Roman" w:hAnsi="Times New Roman"/>
          <w:szCs w:val="24"/>
        </w:rPr>
        <w:t>，各井田开发均无重大环境制约因素。</w:t>
      </w:r>
      <w:r>
        <w:rPr>
          <w:rFonts w:ascii="Times New Roman" w:hAnsi="Times New Roman"/>
        </w:rPr>
        <w:t>结合规划项目前期工作推进情况，评价建议</w:t>
      </w:r>
      <w:r>
        <w:rPr>
          <w:rFonts w:ascii="Times New Roman" w:hAnsi="Times New Roman"/>
          <w:szCs w:val="24"/>
        </w:rPr>
        <w:t>奎腾沟井田、苏布尔嘎井田、纳林希里井田先行开发，壕赖苏井田</w:t>
      </w:r>
      <w:r>
        <w:rPr>
          <w:rFonts w:hint="eastAsia" w:ascii="Times New Roman" w:hAnsi="Times New Roman"/>
          <w:szCs w:val="24"/>
        </w:rPr>
        <w:t>根据</w:t>
      </w:r>
      <w:r>
        <w:rPr>
          <w:rFonts w:ascii="Times New Roman" w:hAnsi="Times New Roman"/>
          <w:szCs w:val="24"/>
        </w:rPr>
        <w:t>国家和地方能源和社会经济发展需求适时开发。</w:t>
      </w:r>
    </w:p>
    <w:bookmarkEnd w:id="339"/>
    <w:p>
      <w:pPr>
        <w:keepNext/>
        <w:keepLines/>
        <w:spacing w:before="120" w:after="120" w:line="440" w:lineRule="exact"/>
        <w:outlineLvl w:val="2"/>
        <w:rPr>
          <w:rFonts w:ascii="Times New Roman" w:hAnsi="Times New Roman"/>
          <w:b/>
          <w:bCs/>
          <w:szCs w:val="32"/>
        </w:rPr>
      </w:pPr>
      <w:r>
        <w:rPr>
          <w:rFonts w:ascii="Times New Roman" w:hAnsi="Times New Roman"/>
          <w:b/>
          <w:bCs/>
          <w:szCs w:val="32"/>
        </w:rPr>
        <w:t>7.3.3 优化矿区煤柱留设设计，加强对生态保护红线区的保护</w:t>
      </w:r>
    </w:p>
    <w:p>
      <w:pPr>
        <w:topLinePunct/>
        <w:adjustRightInd w:val="0"/>
        <w:snapToGrid w:val="0"/>
        <w:spacing w:line="440" w:lineRule="exact"/>
        <w:ind w:firstLine="480"/>
        <w:textAlignment w:val="baseline"/>
        <w:rPr>
          <w:rFonts w:ascii="Times New Roman" w:hAnsi="Times New Roman"/>
          <w:szCs w:val="24"/>
        </w:rPr>
      </w:pPr>
      <w:r>
        <w:rPr>
          <w:rFonts w:ascii="Times New Roman" w:hAnsi="Times New Roman"/>
        </w:rPr>
        <w:t>矿区北部边界（</w:t>
      </w:r>
      <w:r>
        <w:rPr>
          <w:rFonts w:ascii="Times New Roman" w:hAnsi="Times New Roman"/>
          <w:szCs w:val="24"/>
        </w:rPr>
        <w:t>奎腾沟井田</w:t>
      </w:r>
      <w:r>
        <w:rPr>
          <w:rFonts w:ascii="Times New Roman" w:hAnsi="Times New Roman"/>
        </w:rPr>
        <w:t>）</w:t>
      </w:r>
      <w:r>
        <w:rPr>
          <w:rFonts w:ascii="Times New Roman" w:hAnsi="Times New Roman"/>
          <w:szCs w:val="24"/>
        </w:rPr>
        <w:t>紧邻</w:t>
      </w:r>
      <w:r>
        <w:rPr>
          <w:rFonts w:ascii="Times New Roman" w:hAnsi="Times New Roman"/>
        </w:rPr>
        <w:t>鄂尔多斯遗鸥国家级保护区，根据沉陷预测结果，规划的</w:t>
      </w:r>
      <w:r>
        <w:rPr>
          <w:rFonts w:ascii="Times New Roman" w:hAnsi="Times New Roman"/>
          <w:szCs w:val="24"/>
        </w:rPr>
        <w:t>奎腾沟井田开采后，遗鸥国家级自然保护区部分临近奎腾沟井田的区域会受到开采沉陷影响。</w:t>
      </w:r>
    </w:p>
    <w:p>
      <w:pPr>
        <w:topLinePunct/>
        <w:adjustRightInd w:val="0"/>
        <w:snapToGrid w:val="0"/>
        <w:spacing w:line="440" w:lineRule="exact"/>
        <w:ind w:firstLine="480"/>
        <w:textAlignment w:val="baseline"/>
        <w:rPr>
          <w:rFonts w:ascii="Times New Roman" w:hAnsi="Times New Roman"/>
          <w:color w:val="FF0000"/>
        </w:rPr>
      </w:pPr>
      <w:r>
        <w:rPr>
          <w:rFonts w:ascii="Times New Roman" w:hAnsi="Times New Roman"/>
          <w:color w:val="FF0000"/>
          <w:szCs w:val="24"/>
        </w:rPr>
        <w:t>因此本次环评提出在项目实施阶段</w:t>
      </w:r>
      <w:r>
        <w:rPr>
          <w:rFonts w:ascii="Times New Roman" w:hAnsi="Times New Roman"/>
          <w:color w:val="FF0000"/>
        </w:rPr>
        <w:t>，</w:t>
      </w:r>
      <w:r>
        <w:rPr>
          <w:rFonts w:ascii="Times New Roman" w:hAnsi="Times New Roman"/>
          <w:color w:val="FF0000"/>
          <w:szCs w:val="24"/>
        </w:rPr>
        <w:t>应根据</w:t>
      </w:r>
      <w:r>
        <w:rPr>
          <w:rFonts w:ascii="Times New Roman" w:hAnsi="Times New Roman"/>
          <w:color w:val="FF0000"/>
        </w:rPr>
        <w:t>本矿地表沉陷实际观测结果，优化对</w:t>
      </w:r>
      <w:r>
        <w:rPr>
          <w:rFonts w:ascii="Times New Roman" w:hAnsi="Times New Roman"/>
          <w:color w:val="FF0000"/>
          <w:szCs w:val="24"/>
        </w:rPr>
        <w:t>遗鸥国家级自然保护区（</w:t>
      </w:r>
      <w:r>
        <w:rPr>
          <w:rFonts w:ascii="Times New Roman" w:hAnsi="Times New Roman"/>
          <w:color w:val="FF0000"/>
        </w:rPr>
        <w:t>生态保护红线区）的保护煤柱设置，确保生态保护红线区不受开采沉陷影响。</w:t>
      </w:r>
    </w:p>
    <w:p>
      <w:pPr>
        <w:topLinePunct/>
        <w:adjustRightInd w:val="0"/>
        <w:snapToGrid w:val="0"/>
        <w:spacing w:line="440" w:lineRule="exact"/>
        <w:ind w:firstLine="480"/>
        <w:textAlignment w:val="baseline"/>
        <w:rPr>
          <w:rFonts w:ascii="Times New Roman" w:hAnsi="Times New Roman"/>
          <w:color w:val="FF0000"/>
        </w:rPr>
      </w:pPr>
      <w:r>
        <w:rPr>
          <w:rFonts w:ascii="Times New Roman" w:hAnsi="Times New Roman"/>
          <w:color w:val="FF0000"/>
        </w:rPr>
        <w:t>矿区规划时对勘查区内生态保护红线区已与规划矿区铁路专用线一起留设了保护煤柱，</w:t>
      </w:r>
      <w:r>
        <w:rPr>
          <w:rFonts w:ascii="Times New Roman" w:hAnsi="Times New Roman"/>
          <w:color w:val="FF0000"/>
          <w:szCs w:val="24"/>
        </w:rPr>
        <w:t>本次环评提出苏布尔嘎井田</w:t>
      </w:r>
      <w:r>
        <w:rPr>
          <w:rFonts w:ascii="Times New Roman" w:hAnsi="Times New Roman"/>
          <w:color w:val="FF0000"/>
        </w:rPr>
        <w:t>下阶段设计及生产过程中，</w:t>
      </w:r>
      <w:r>
        <w:rPr>
          <w:rFonts w:ascii="Times New Roman" w:hAnsi="Times New Roman"/>
          <w:color w:val="FF0000"/>
          <w:szCs w:val="24"/>
        </w:rPr>
        <w:t>应根据</w:t>
      </w:r>
      <w:r>
        <w:rPr>
          <w:rFonts w:ascii="Times New Roman" w:hAnsi="Times New Roman"/>
          <w:color w:val="FF0000"/>
        </w:rPr>
        <w:t>本矿地表沉陷实际观测结果，优化对井田</w:t>
      </w:r>
      <w:r>
        <w:rPr>
          <w:rFonts w:hint="eastAsia" w:ascii="Times New Roman" w:hAnsi="Times New Roman"/>
          <w:color w:val="FF0000"/>
        </w:rPr>
        <w:t>东、西</w:t>
      </w:r>
      <w:r>
        <w:rPr>
          <w:rFonts w:ascii="Times New Roman" w:hAnsi="Times New Roman"/>
          <w:color w:val="FF0000"/>
        </w:rPr>
        <w:t>部外生态保护红线区的保护煤柱设置，确保生态保护红线区不受开采沉陷影响。</w:t>
      </w:r>
    </w:p>
    <w:p>
      <w:pPr>
        <w:keepNext/>
        <w:keepLines/>
        <w:spacing w:before="120" w:after="120" w:line="440" w:lineRule="exact"/>
        <w:outlineLvl w:val="2"/>
        <w:rPr>
          <w:rFonts w:ascii="Times New Roman" w:hAnsi="Times New Roman"/>
          <w:b/>
          <w:bCs/>
          <w:szCs w:val="32"/>
        </w:rPr>
      </w:pPr>
      <w:r>
        <w:rPr>
          <w:rFonts w:ascii="Times New Roman" w:hAnsi="Times New Roman"/>
          <w:b/>
          <w:bCs/>
          <w:szCs w:val="32"/>
        </w:rPr>
        <w:t>7.3.4</w:t>
      </w:r>
      <w:bookmarkStart w:id="340" w:name="_Hlk119073026"/>
      <w:r>
        <w:rPr>
          <w:rFonts w:ascii="Times New Roman" w:hAnsi="Times New Roman"/>
          <w:b/>
          <w:bCs/>
          <w:szCs w:val="32"/>
        </w:rPr>
        <w:t>对红庆河镇、水源地及文物留设足够保护煤柱，确保不影响</w:t>
      </w:r>
      <w:bookmarkEnd w:id="340"/>
    </w:p>
    <w:p>
      <w:pPr>
        <w:spacing w:line="440" w:lineRule="exact"/>
        <w:ind w:firstLine="480" w:firstLineChars="200"/>
        <w:rPr>
          <w:rFonts w:ascii="Times New Roman" w:hAnsi="Times New Roman"/>
        </w:rPr>
      </w:pPr>
      <w:bookmarkStart w:id="341" w:name="_Hlk119073037"/>
      <w:r>
        <w:rPr>
          <w:rFonts w:ascii="Times New Roman" w:hAnsi="Times New Roman"/>
        </w:rPr>
        <w:t>红庆河镇位于矿区纳林希里井田内西北部，本次评价</w:t>
      </w:r>
      <w:r>
        <w:rPr>
          <w:rFonts w:ascii="Times New Roman" w:hAnsi="Times New Roman"/>
          <w:szCs w:val="24"/>
        </w:rPr>
        <w:t>提出</w:t>
      </w:r>
      <w:r>
        <w:rPr>
          <w:rFonts w:ascii="Times New Roman" w:hAnsi="Times New Roman"/>
        </w:rPr>
        <w:t>纳林希里井田下阶段设计及生产过程中，</w:t>
      </w:r>
      <w:r>
        <w:rPr>
          <w:rFonts w:ascii="Times New Roman" w:hAnsi="Times New Roman"/>
          <w:szCs w:val="24"/>
        </w:rPr>
        <w:t>应根据</w:t>
      </w:r>
      <w:r>
        <w:rPr>
          <w:rFonts w:ascii="Times New Roman" w:hAnsi="Times New Roman"/>
        </w:rPr>
        <w:t>本矿地表沉陷实际观测结果，优化对红庆河镇规划区的保护煤柱设置，确保红庆河镇不受开采沉陷影响。</w:t>
      </w:r>
    </w:p>
    <w:p>
      <w:pPr>
        <w:spacing w:line="440" w:lineRule="exact"/>
        <w:ind w:firstLine="480" w:firstLineChars="200"/>
        <w:rPr>
          <w:rFonts w:ascii="Times New Roman" w:hAnsi="Times New Roman"/>
        </w:rPr>
      </w:pPr>
      <w:r>
        <w:rPr>
          <w:rFonts w:ascii="Times New Roman" w:hAnsi="Times New Roman"/>
        </w:rPr>
        <w:t>矿区纳林希里井田内西北部分布有哈达图水源地两口水源井，纳林希里井田内西北边界附近分布有乌兰淖尔水源地1口水源井，为保护水源井，本次评价</w:t>
      </w:r>
      <w:r>
        <w:rPr>
          <w:rFonts w:ascii="Times New Roman" w:hAnsi="Times New Roman"/>
          <w:szCs w:val="24"/>
        </w:rPr>
        <w:t>提出</w:t>
      </w:r>
      <w:r>
        <w:rPr>
          <w:rFonts w:ascii="Times New Roman" w:hAnsi="Times New Roman"/>
        </w:rPr>
        <w:t>纳林希里井田下阶段设计及生产过程中，</w:t>
      </w:r>
      <w:r>
        <w:rPr>
          <w:rFonts w:ascii="Times New Roman" w:hAnsi="Times New Roman"/>
          <w:szCs w:val="24"/>
        </w:rPr>
        <w:t>应根据</w:t>
      </w:r>
      <w:r>
        <w:rPr>
          <w:rFonts w:ascii="Times New Roman" w:hAnsi="Times New Roman"/>
        </w:rPr>
        <w:t>本矿地表沉陷实际观测结果，优化对哈达图水源地两口水源井的保护煤柱设置，确保水源井不受开采沉陷影响。</w:t>
      </w:r>
    </w:p>
    <w:p>
      <w:pPr>
        <w:spacing w:line="440" w:lineRule="exact"/>
        <w:ind w:firstLine="480" w:firstLineChars="200"/>
        <w:rPr>
          <w:rFonts w:ascii="Times New Roman" w:hAnsi="Times New Roman"/>
        </w:rPr>
      </w:pPr>
      <w:r>
        <w:rPr>
          <w:rFonts w:ascii="Times New Roman" w:hAnsi="Times New Roman"/>
        </w:rPr>
        <w:t>本矿区规划范围及周边涉及26处文物遗迹。其中乌兰敖包城址为市级重点文物保护单位，其余均为未定等级的文物。根据本次沉陷预测，评价范围内有小乌兰敖包、乌素家坝墓群等15个文物位于开采范围外，不受沉陷影响；另有其日嘎墓群、敏盖四社墓群等11个文物下沉深度在5-15m不等。受影响的文物主要以墓葬、遗址为主。针对墓葬、遗址类文物可在文物保护部门的指导下进行考古发掘或异地搬迁的保护措施；对无法搬迁或容易在搬迁过程中受损坏的文物，进行原址保护（留设保护煤柱），具体留设宽度还须在项目环评阶段详细分析。</w:t>
      </w:r>
    </w:p>
    <w:bookmarkEnd w:id="341"/>
    <w:p>
      <w:pPr>
        <w:keepNext/>
        <w:keepLines/>
        <w:spacing w:before="120" w:after="120" w:line="440" w:lineRule="exact"/>
        <w:outlineLvl w:val="2"/>
        <w:rPr>
          <w:rFonts w:ascii="Times New Roman" w:hAnsi="Times New Roman"/>
          <w:b/>
          <w:bCs/>
          <w:szCs w:val="32"/>
        </w:rPr>
      </w:pPr>
      <w:r>
        <w:rPr>
          <w:rFonts w:ascii="Times New Roman" w:hAnsi="Times New Roman"/>
          <w:b/>
          <w:bCs/>
          <w:szCs w:val="32"/>
        </w:rPr>
        <w:t>7.3.5对</w:t>
      </w:r>
      <w:bookmarkStart w:id="342" w:name="_Hlk119073055"/>
      <w:r>
        <w:rPr>
          <w:rFonts w:ascii="Times New Roman" w:hAnsi="Times New Roman"/>
          <w:b/>
          <w:bCs/>
          <w:szCs w:val="32"/>
        </w:rPr>
        <w:t>荣乌高速、东乌铁路留设足够保护煤柱，确保不影响</w:t>
      </w:r>
    </w:p>
    <w:bookmarkEnd w:id="342"/>
    <w:p>
      <w:pPr>
        <w:pStyle w:val="417"/>
        <w:spacing w:line="440" w:lineRule="exact"/>
        <w:ind w:firstLine="480"/>
        <w:rPr>
          <w:rFonts w:ascii="Times New Roman" w:hAnsi="Times New Roman" w:eastAsia="宋体" w:cs="Times New Roman"/>
          <w:sz w:val="24"/>
        </w:rPr>
      </w:pPr>
      <w:bookmarkStart w:id="343" w:name="_Hlk119073069"/>
      <w:r>
        <w:rPr>
          <w:rFonts w:ascii="Times New Roman" w:hAnsi="Times New Roman" w:eastAsia="宋体" w:cs="Times New Roman"/>
          <w:sz w:val="24"/>
        </w:rPr>
        <w:t>规划对矿区北部奎腾沟井田内的荣乌高速（G18）留设了保护煤柱，对矿区南部纳林希里井田南部边界的东乌铁路留设了保护煤柱，根据本次沉陷预测，奎腾沟井田最大沉陷影响半径约380m，荣乌高速公路在沉陷影响范围外，不受矿区煤炭开采影响。东乌铁路距纳林希里开采工作面最近距离约350m。根据矿区本次规划井田划分及沉陷预测结果，矿区南部开采最大沉陷影响半径约327m，东乌铁路在沉陷影响范围外，不受矿区煤炭开采影响。</w:t>
      </w:r>
    </w:p>
    <w:bookmarkEnd w:id="343"/>
    <w:p>
      <w:pPr>
        <w:keepNext/>
        <w:keepLines/>
        <w:spacing w:before="120" w:after="120" w:line="440" w:lineRule="exact"/>
        <w:outlineLvl w:val="2"/>
        <w:rPr>
          <w:rFonts w:ascii="Times New Roman" w:hAnsi="Times New Roman"/>
          <w:b/>
          <w:bCs/>
          <w:szCs w:val="32"/>
        </w:rPr>
      </w:pPr>
      <w:r>
        <w:rPr>
          <w:rFonts w:ascii="Times New Roman" w:hAnsi="Times New Roman"/>
          <w:b/>
          <w:bCs/>
          <w:szCs w:val="32"/>
        </w:rPr>
        <w:t>7.3.6 环境保护规划优化调整建议</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（1）大气环境保护措施</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根据《大气污染防治行动计划》及《锅炉大气污染物排放标准》（GB13271-2014）等要求，供热锅炉房锅炉烟气须同步配备脱硫除尘设施，建议一级处理设施采用布袋除尘器，二级处理设施采用双碱法湿式脱硫，确保锅炉烟气处理后满足《锅炉大气污染物排放标准》（GB13271-2014）要求。</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矿区煤炭贮存应当密闭，采用封闭式煤仓储存，厂内运输采用封闭式输煤皮带走廊，避免露天储煤。</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（2）水环境保护措施</w:t>
      </w:r>
    </w:p>
    <w:p>
      <w:pPr>
        <w:topLinePunct/>
        <w:adjustRightInd w:val="0"/>
        <w:snapToGrid w:val="0"/>
        <w:spacing w:line="440" w:lineRule="exact"/>
        <w:ind w:firstLine="480" w:firstLineChars="200"/>
        <w:textAlignment w:val="baseline"/>
        <w:rPr>
          <w:rFonts w:ascii="Times New Roman" w:hAnsi="Times New Roman"/>
          <w:szCs w:val="24"/>
        </w:rPr>
      </w:pPr>
      <w:bookmarkStart w:id="344" w:name="_Hlk119073130"/>
      <w:r>
        <w:rPr>
          <w:rFonts w:ascii="Times New Roman" w:hAnsi="Times New Roman"/>
          <w:szCs w:val="24"/>
        </w:rPr>
        <w:t>环评建议矿区优先利用处理后的矿井水及生产生活污水等作为水源，生产生活污水全部回用。</w:t>
      </w:r>
      <w:r>
        <w:rPr>
          <w:rFonts w:hint="eastAsia" w:ascii="Times New Roman" w:hAnsi="Times New Roman"/>
          <w:szCs w:val="24"/>
        </w:rPr>
        <w:t>矿井水</w:t>
      </w:r>
      <w:r>
        <w:rPr>
          <w:rFonts w:ascii="Times New Roman" w:hAnsi="Times New Roman"/>
        </w:rPr>
        <w:t>剩余部分可处理达到地表水III类水水质标准后，</w:t>
      </w:r>
      <w:r>
        <w:rPr>
          <w:rFonts w:hint="eastAsia" w:ascii="Times New Roman" w:hAnsi="Times New Roman"/>
        </w:rPr>
        <w:t>送至临近的蒙苏经济开发区及纳林希里4×1000MW煤电一体化电厂项目</w:t>
      </w:r>
      <w:r>
        <w:rPr>
          <w:rFonts w:ascii="Times New Roman" w:hAnsi="Times New Roman"/>
        </w:rPr>
        <w:t>作为生产、生活及园区绿化用水等综合利用。</w:t>
      </w:r>
      <w:r>
        <w:rPr>
          <w:rFonts w:hint="eastAsia" w:ascii="Times New Roman" w:hAnsi="Times New Roman"/>
        </w:rPr>
        <w:t>如有多余可</w:t>
      </w:r>
      <w:r>
        <w:rPr>
          <w:rFonts w:ascii="Times New Roman" w:hAnsi="Times New Roman"/>
        </w:rPr>
        <w:t>就近排入井田内地势低洼的淖尔，增加淖尔水量，改善淖尔水质及周边生态。</w:t>
      </w:r>
    </w:p>
    <w:bookmarkEnd w:id="344"/>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（3）环境管理</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矿区开发过程中应加强矿区环境管理。矿区应建立长期的地表岩移、地下水观测和生态监测机制，并根据影响情况及时提出相关对策措施。</w:t>
      </w:r>
    </w:p>
    <w:p>
      <w:pPr>
        <w:keepNext/>
        <w:keepLines/>
        <w:snapToGrid w:val="0"/>
        <w:spacing w:before="260" w:after="260" w:line="440" w:lineRule="exact"/>
        <w:outlineLvl w:val="1"/>
        <w:rPr>
          <w:rFonts w:ascii="Times New Roman" w:hAnsi="Times New Roman"/>
          <w:b/>
          <w:bCs/>
          <w:sz w:val="28"/>
          <w:szCs w:val="32"/>
        </w:rPr>
      </w:pPr>
      <w:bookmarkStart w:id="345" w:name="_Toc18838498"/>
      <w:bookmarkStart w:id="346" w:name="_Toc29562"/>
      <w:r>
        <w:rPr>
          <w:rFonts w:ascii="Times New Roman" w:hAnsi="Times New Roman"/>
          <w:b/>
          <w:bCs/>
          <w:sz w:val="28"/>
          <w:szCs w:val="32"/>
        </w:rPr>
        <w:t xml:space="preserve">7.4 </w:t>
      </w:r>
      <w:bookmarkEnd w:id="345"/>
      <w:r>
        <w:rPr>
          <w:rFonts w:ascii="Times New Roman" w:hAnsi="Times New Roman"/>
          <w:b/>
          <w:bCs/>
          <w:sz w:val="28"/>
          <w:szCs w:val="32"/>
        </w:rPr>
        <w:t>“三线一单”及空间管控要求</w:t>
      </w:r>
      <w:bookmarkEnd w:id="346"/>
    </w:p>
    <w:p>
      <w:pPr>
        <w:keepNext/>
        <w:keepLines/>
        <w:spacing w:before="120" w:after="120" w:line="440" w:lineRule="exact"/>
        <w:outlineLvl w:val="2"/>
        <w:rPr>
          <w:rFonts w:ascii="Times New Roman" w:hAnsi="Times New Roman"/>
          <w:b/>
          <w:bCs/>
          <w:szCs w:val="32"/>
        </w:rPr>
      </w:pPr>
      <w:r>
        <w:rPr>
          <w:rFonts w:ascii="Times New Roman" w:hAnsi="Times New Roman"/>
          <w:b/>
          <w:bCs/>
          <w:szCs w:val="32"/>
        </w:rPr>
        <w:t>7.4.1 “三线一单”</w:t>
      </w:r>
    </w:p>
    <w:p>
      <w:pPr>
        <w:spacing w:line="440" w:lineRule="exact"/>
        <w:ind w:firstLine="482"/>
        <w:rPr>
          <w:rFonts w:ascii="Times New Roman" w:hAnsi="Times New Roman"/>
          <w:szCs w:val="24"/>
        </w:rPr>
      </w:pPr>
      <w:r>
        <w:rPr>
          <w:rFonts w:ascii="Times New Roman" w:hAnsi="Times New Roman"/>
          <w:szCs w:val="24"/>
        </w:rPr>
        <w:t>（1）生态保护红线</w:t>
      </w:r>
    </w:p>
    <w:p>
      <w:pPr>
        <w:spacing w:line="440" w:lineRule="exact"/>
        <w:ind w:firstLine="357"/>
        <w:jc w:val="left"/>
        <w:rPr>
          <w:rFonts w:ascii="Times New Roman" w:hAnsi="Times New Roman"/>
          <w:szCs w:val="32"/>
        </w:rPr>
      </w:pPr>
      <w:r>
        <w:rPr>
          <w:rFonts w:ascii="Times New Roman" w:hAnsi="Times New Roman"/>
          <w:szCs w:val="32"/>
        </w:rPr>
        <w:t>根据现有内蒙古自治区生态保护红线划定，纳林希里矿区内北侧边界与生态保护红线相接，</w:t>
      </w:r>
      <w:r>
        <w:rPr>
          <w:rFonts w:ascii="Times New Roman" w:hAnsi="Times New Roman"/>
          <w:snapToGrid w:val="0"/>
          <w:kern w:val="0"/>
          <w:szCs w:val="32"/>
        </w:rPr>
        <w:t>矿区规划矿井与生态保护红线无重叠</w:t>
      </w:r>
      <w:r>
        <w:rPr>
          <w:rFonts w:ascii="Times New Roman" w:hAnsi="Times New Roman"/>
          <w:szCs w:val="32"/>
        </w:rPr>
        <w:t>。矿区西部勘查区有约28.5km</w:t>
      </w:r>
      <w:r>
        <w:rPr>
          <w:rFonts w:ascii="Times New Roman" w:hAnsi="Times New Roman"/>
          <w:szCs w:val="32"/>
          <w:vertAlign w:val="superscript"/>
        </w:rPr>
        <w:t>2</w:t>
      </w:r>
      <w:r>
        <w:rPr>
          <w:rFonts w:ascii="Times New Roman" w:hAnsi="Times New Roman"/>
          <w:szCs w:val="32"/>
        </w:rPr>
        <w:t>的生态保护红线区，本次规划已剔除该生态保护红线区，并在苏布尔嘎井田西部边界留设了保护煤柱。</w:t>
      </w:r>
    </w:p>
    <w:p>
      <w:pPr>
        <w:spacing w:line="440" w:lineRule="exact"/>
        <w:ind w:firstLine="482"/>
        <w:rPr>
          <w:rFonts w:ascii="Times New Roman" w:hAnsi="Times New Roman"/>
          <w:szCs w:val="24"/>
        </w:rPr>
      </w:pPr>
      <w:r>
        <w:rPr>
          <w:rFonts w:ascii="Times New Roman" w:hAnsi="Times New Roman"/>
          <w:szCs w:val="24"/>
        </w:rPr>
        <w:t>（2）环境质量底线</w:t>
      </w:r>
    </w:p>
    <w:p>
      <w:pPr>
        <w:spacing w:line="440" w:lineRule="exact"/>
        <w:ind w:firstLine="482"/>
        <w:rPr>
          <w:rFonts w:ascii="Times New Roman" w:hAnsi="Times New Roman"/>
          <w:szCs w:val="24"/>
        </w:rPr>
      </w:pPr>
      <w:r>
        <w:rPr>
          <w:rFonts w:ascii="Times New Roman" w:hAnsi="Times New Roman"/>
          <w:szCs w:val="24"/>
        </w:rPr>
        <w:t>纳林希里矿区位于内蒙古自治区鄂尔多斯市，本项目所在的区域属于环境空气达标区。根据环境质量现状监测结果，矿区环境空气、声环境、地下水环境质量良好，根据预测，矿区规划实施后，对矿区环境质量影响较小，在按照本次评价提出措施和优化调整建议实施后，矿区开发不会改变矿区环境功能，对矿区环境质量的影响在容许范围内，不会突破本地区环境质量底线。</w:t>
      </w:r>
    </w:p>
    <w:p>
      <w:pPr>
        <w:spacing w:line="440" w:lineRule="exact"/>
        <w:ind w:firstLine="482"/>
        <w:rPr>
          <w:rFonts w:ascii="Times New Roman" w:hAnsi="Times New Roman"/>
          <w:szCs w:val="24"/>
        </w:rPr>
      </w:pPr>
      <w:r>
        <w:rPr>
          <w:rFonts w:ascii="Times New Roman" w:hAnsi="Times New Roman"/>
          <w:szCs w:val="24"/>
        </w:rPr>
        <w:t>（3）资源利用上线</w:t>
      </w:r>
    </w:p>
    <w:p>
      <w:pPr>
        <w:adjustRightInd w:val="0"/>
        <w:snapToGrid w:val="0"/>
        <w:spacing w:line="440" w:lineRule="exact"/>
        <w:ind w:firstLine="547" w:firstLineChars="228"/>
        <w:rPr>
          <w:rFonts w:ascii="Times New Roman" w:hAnsi="Times New Roman"/>
          <w:szCs w:val="24"/>
        </w:rPr>
      </w:pPr>
      <w:r>
        <w:rPr>
          <w:rFonts w:ascii="Times New Roman" w:hAnsi="Times New Roman"/>
          <w:szCs w:val="24"/>
        </w:rPr>
        <w:t>根据《鄂尔多斯市人民政府关于下达最严格水资源管理制度控制目标任务的通知》（鄂府发[2014]36号），到2015、2020年和2030年内，全市用水总量分别控制在16.58、16.79和19.94亿</w:t>
      </w:r>
      <w:r>
        <w:rPr>
          <w:rFonts w:ascii="Times New Roman" w:hAnsi="Times New Roman"/>
          <w:szCs w:val="21"/>
        </w:rPr>
        <w:t>m</w:t>
      </w:r>
      <w:r>
        <w:rPr>
          <w:rFonts w:ascii="Times New Roman" w:hAnsi="Times New Roman"/>
          <w:szCs w:val="21"/>
          <w:vertAlign w:val="superscript"/>
        </w:rPr>
        <w:t>3</w:t>
      </w:r>
      <w:r>
        <w:rPr>
          <w:rFonts w:ascii="Times New Roman" w:hAnsi="Times New Roman"/>
          <w:szCs w:val="24"/>
        </w:rPr>
        <w:t>以内。其中伊金霍洛旗到2015、2020年和2030年内，用水总量分别控制在1.33、1.35、1.71亿</w:t>
      </w:r>
      <w:r>
        <w:rPr>
          <w:rFonts w:ascii="Times New Roman" w:hAnsi="Times New Roman"/>
          <w:szCs w:val="21"/>
        </w:rPr>
        <w:t>m</w:t>
      </w:r>
      <w:r>
        <w:rPr>
          <w:rFonts w:ascii="Times New Roman" w:hAnsi="Times New Roman"/>
          <w:szCs w:val="21"/>
          <w:vertAlign w:val="superscript"/>
        </w:rPr>
        <w:t>3</w:t>
      </w:r>
      <w:r>
        <w:rPr>
          <w:rFonts w:ascii="Times New Roman" w:hAnsi="Times New Roman"/>
          <w:szCs w:val="24"/>
        </w:rPr>
        <w:t>以内。根据鄂尔多斯市水资源公报，2020年鄂尔多斯市全市用水总量为16.63亿</w:t>
      </w:r>
      <w:r>
        <w:rPr>
          <w:rFonts w:ascii="Times New Roman" w:hAnsi="Times New Roman"/>
          <w:szCs w:val="21"/>
        </w:rPr>
        <w:t>m</w:t>
      </w:r>
      <w:r>
        <w:rPr>
          <w:rFonts w:ascii="Times New Roman" w:hAnsi="Times New Roman"/>
          <w:szCs w:val="21"/>
          <w:vertAlign w:val="superscript"/>
        </w:rPr>
        <w:t>3</w:t>
      </w:r>
      <w:r>
        <w:rPr>
          <w:rFonts w:ascii="Times New Roman" w:hAnsi="Times New Roman"/>
          <w:szCs w:val="24"/>
        </w:rPr>
        <w:t>，伊金霍洛旗2020年鄂尔多斯全市用水总量为1.4亿</w:t>
      </w:r>
      <w:r>
        <w:rPr>
          <w:rFonts w:ascii="Times New Roman" w:hAnsi="Times New Roman"/>
          <w:szCs w:val="21"/>
        </w:rPr>
        <w:t>m</w:t>
      </w:r>
      <w:r>
        <w:rPr>
          <w:rFonts w:ascii="Times New Roman" w:hAnsi="Times New Roman"/>
          <w:szCs w:val="21"/>
          <w:vertAlign w:val="superscript"/>
        </w:rPr>
        <w:t>3</w:t>
      </w:r>
      <w:r>
        <w:rPr>
          <w:rFonts w:ascii="Times New Roman" w:hAnsi="Times New Roman"/>
          <w:szCs w:val="24"/>
        </w:rPr>
        <w:t>。满足鄂尔多斯市水管理制度要求。本矿区开发前期取用水源井用水，后期生活、生产用水均采用深度处理后矿井涌水，在按照本次评价提出的优化调整建议实施后，不会突破地方水资源利用上线。</w:t>
      </w:r>
    </w:p>
    <w:p>
      <w:pPr>
        <w:spacing w:line="440" w:lineRule="exact"/>
        <w:ind w:firstLine="482"/>
        <w:rPr>
          <w:rFonts w:ascii="Times New Roman" w:hAnsi="Times New Roman"/>
          <w:szCs w:val="24"/>
        </w:rPr>
      </w:pPr>
      <w:r>
        <w:rPr>
          <w:rFonts w:ascii="Times New Roman" w:hAnsi="Times New Roman"/>
          <w:szCs w:val="24"/>
        </w:rPr>
        <w:t>（4）生态环境准入清单</w:t>
      </w:r>
    </w:p>
    <w:p>
      <w:pPr>
        <w:spacing w:line="440" w:lineRule="exact"/>
        <w:ind w:firstLine="480" w:firstLineChars="200"/>
        <w:rPr>
          <w:rFonts w:ascii="Times New Roman" w:hAnsi="Times New Roman"/>
          <w:bCs/>
          <w:kern w:val="0"/>
        </w:rPr>
      </w:pPr>
      <w:bookmarkStart w:id="347" w:name="_Toc18838499"/>
      <w:r>
        <w:rPr>
          <w:rFonts w:ascii="Times New Roman" w:hAnsi="Times New Roman"/>
          <w:bCs/>
          <w:kern w:val="0"/>
        </w:rPr>
        <w:t>本矿区主要规划为煤炭开采和洗选业，根据</w:t>
      </w:r>
      <w:r>
        <w:rPr>
          <w:rFonts w:ascii="Times New Roman" w:hAnsi="Times New Roman"/>
          <w:szCs w:val="24"/>
        </w:rPr>
        <w:t>《产业结构调整指导目录（2019年本）》</w:t>
      </w:r>
      <w:r>
        <w:rPr>
          <w:rFonts w:ascii="Times New Roman" w:hAnsi="Times New Roman"/>
          <w:bCs/>
          <w:kern w:val="0"/>
        </w:rPr>
        <w:t>，本项目不属于国家规定的环境准入负面清单中禁止和限制准入类项目。本项目矿井水和生活污水全部回用，根据国务院印发的《矿产资源节约与综合利用鼓励、限制和淘汰技术目录》的通知（国土发[2010]146号）的要求，属于鼓励类的矿山废水利用技术。矿区开发符合《内蒙古自治区人民政府关于印发自治区国家重点生态功能区产业准入负面清单（试行）的通知》（内政发〔2018〕11号）的要求。</w:t>
      </w:r>
    </w:p>
    <w:p>
      <w:pPr>
        <w:spacing w:line="440" w:lineRule="exact"/>
        <w:ind w:firstLine="480" w:firstLineChars="200"/>
        <w:rPr>
          <w:rFonts w:ascii="Times New Roman" w:hAnsi="Times New Roman"/>
        </w:rPr>
      </w:pPr>
      <w:r>
        <w:rPr>
          <w:rFonts w:ascii="Times New Roman" w:hAnsi="Times New Roman"/>
        </w:rPr>
        <w:t>根据《内蒙古自治区人民政府关于实施“三线一单”生态环境分区管控的意见》（2021.2），内蒙古自治区全区共划分环境管控单元1135个，包括优先保护单元、重点管控单元、一般管控单元三类，实施分类管控。根据《意见》，“重点管控单元：主要包括工业园区、城市、矿区等开发强度高、污染排放量大、环境问题相对集中的区域,以及生态需水补给区等。该区域应不断提升资源利用效率，有针对性地加强污染物排放控制和环境风险防控，解决生态环境质量不达标、生态环境风险高等问题。”</w:t>
      </w:r>
    </w:p>
    <w:p>
      <w:pPr>
        <w:spacing w:line="440" w:lineRule="exact"/>
        <w:ind w:firstLine="480" w:firstLineChars="200"/>
        <w:rPr>
          <w:rFonts w:ascii="Times New Roman" w:hAnsi="Times New Roman"/>
        </w:rPr>
      </w:pPr>
      <w:r>
        <w:rPr>
          <w:rFonts w:ascii="Times New Roman" w:hAnsi="Times New Roman"/>
          <w:color w:val="FF0000"/>
        </w:rPr>
        <w:t>根据《鄂尔多斯市人民政府关于“三线一单”生态环境分区管控的实施意见》，鄂尔多斯全市共划定环境管控单元163个，包括优先保护单元、重点管控单元、一般管控单元三类，实施分类管控。本矿区属于鄂尔多斯市重点管控单元（见图7.4-1），</w:t>
      </w:r>
      <w:r>
        <w:rPr>
          <w:rFonts w:hint="eastAsia" w:ascii="Times New Roman" w:hAnsi="Times New Roman"/>
          <w:color w:val="FF0000"/>
        </w:rPr>
        <w:t>涉及的重点管控单元有蒙苏经济开发区（管控单元编码：</w:t>
      </w:r>
      <w:r>
        <w:rPr>
          <w:rFonts w:ascii="Times New Roman" w:hAnsi="Times New Roman"/>
          <w:color w:val="FF0000"/>
          <w:szCs w:val="24"/>
        </w:rPr>
        <w:t>ZH15062720001</w:t>
      </w:r>
      <w:r>
        <w:rPr>
          <w:rFonts w:hint="eastAsia" w:ascii="Times New Roman" w:hAnsi="Times New Roman"/>
          <w:color w:val="FF0000"/>
        </w:rPr>
        <w:t>）及纳林希里矿区（管控单元编码：</w:t>
      </w:r>
      <w:r>
        <w:rPr>
          <w:rFonts w:ascii="Times New Roman" w:hAnsi="Times New Roman"/>
          <w:color w:val="FF0000"/>
          <w:szCs w:val="24"/>
        </w:rPr>
        <w:t>ZH15062720012</w:t>
      </w:r>
      <w:r>
        <w:rPr>
          <w:rFonts w:hint="eastAsia" w:ascii="Times New Roman" w:hAnsi="Times New Roman"/>
          <w:color w:val="FF0000"/>
        </w:rPr>
        <w:t>），相应的管控要求见表7</w:t>
      </w:r>
      <w:r>
        <w:rPr>
          <w:rFonts w:ascii="Times New Roman" w:hAnsi="Times New Roman"/>
          <w:color w:val="FF0000"/>
        </w:rPr>
        <w:t>.4-1</w:t>
      </w:r>
      <w:r>
        <w:rPr>
          <w:rFonts w:hint="eastAsia" w:ascii="Times New Roman" w:hAnsi="Times New Roman"/>
          <w:color w:val="FF0000"/>
        </w:rPr>
        <w:t>。</w:t>
      </w:r>
      <w:r>
        <w:rPr>
          <w:rFonts w:ascii="Times New Roman" w:hAnsi="Times New Roman"/>
        </w:rPr>
        <w:t>该区域应不断提升资源利用效率，有针对性地加强污染物排放控制和环境风险防控，解决生态环境质量不达标、生态环境风险高等问题。纳林希里矿区规划环评在开展过程中针对以上要求提出了包括矿井水、生活污水全部回用不外排等提升资源利用效率，加强污染物排放控制，提出了设置危废暂存库等风险防治措施，有效的保护了矿区开发对地下水、环境污染、风险的影响。</w:t>
      </w:r>
    </w:p>
    <w:p>
      <w:pPr>
        <w:spacing w:line="440" w:lineRule="exact"/>
        <w:ind w:firstLine="480" w:firstLineChars="200"/>
        <w:rPr>
          <w:rFonts w:ascii="Times New Roman" w:hAnsi="Times New Roman"/>
        </w:rPr>
      </w:pPr>
      <w:r>
        <w:rPr>
          <w:rFonts w:ascii="Times New Roman" w:hAnsi="Times New Roman"/>
        </w:rPr>
        <w:t>本矿区建设符合内蒙古自治区、鄂尔多斯市生态环境准入要求。</w:t>
      </w:r>
    </w:p>
    <w:p>
      <w:pPr>
        <w:spacing w:line="440" w:lineRule="exact"/>
        <w:ind w:firstLine="480" w:firstLineChars="200"/>
        <w:rPr>
          <w:rFonts w:ascii="Times New Roman" w:hAnsi="Times New Roman"/>
        </w:rPr>
      </w:pPr>
      <w:r>
        <w:rPr>
          <w:rFonts w:ascii="Times New Roman" w:hAnsi="Times New Roman"/>
        </w:rPr>
        <w:t>根据矿区资源环境约束条件及上述分析结果，评价提出矿区应：</w:t>
      </w:r>
    </w:p>
    <w:p>
      <w:pPr>
        <w:spacing w:line="440" w:lineRule="exact"/>
        <w:ind w:firstLine="480" w:firstLineChars="200"/>
        <w:rPr>
          <w:rFonts w:ascii="Times New Roman" w:hAnsi="Times New Roman"/>
        </w:rPr>
      </w:pPr>
      <w:r>
        <w:rPr>
          <w:rFonts w:ascii="Times New Roman" w:hAnsi="Times New Roman"/>
        </w:rPr>
        <w:t>（1）优先利用处理后的矿井水及生产生活污水作为煤矿生产用水、绿化用水等水源，矿井水及生产生活污水全部回用不外排。</w:t>
      </w:r>
    </w:p>
    <w:p>
      <w:pPr>
        <w:spacing w:line="440" w:lineRule="exact"/>
        <w:ind w:firstLine="480" w:firstLineChars="200"/>
        <w:rPr>
          <w:rFonts w:ascii="Times New Roman" w:hAnsi="Times New Roman"/>
        </w:rPr>
      </w:pPr>
      <w:r>
        <w:rPr>
          <w:rFonts w:ascii="Times New Roman" w:hAnsi="Times New Roman"/>
        </w:rPr>
        <w:t>（2）矿区煤矿均应按照《煤炭采选业清洁生产评价指标体系》中的Ⅰ级技术指标要求进行设计、建设和运营。</w:t>
      </w:r>
    </w:p>
    <w:p>
      <w:pPr>
        <w:spacing w:line="440" w:lineRule="exact"/>
        <w:ind w:firstLine="480" w:firstLineChars="200"/>
        <w:rPr>
          <w:rFonts w:ascii="Times New Roman" w:hAnsi="Times New Roman"/>
        </w:rPr>
      </w:pPr>
      <w:r>
        <w:rPr>
          <w:rFonts w:ascii="Times New Roman" w:hAnsi="Times New Roman"/>
        </w:rPr>
        <w:t>（3）矿区煤矿项目应按照绿色矿山建设要求进行建设运行，生态优先、绿色开发，作为生态整治恢复工作，恢复草原生态。</w:t>
      </w:r>
    </w:p>
    <w:p>
      <w:pPr>
        <w:pStyle w:val="2"/>
        <w:rPr>
          <w:color w:val="auto"/>
        </w:rPr>
        <w:sectPr>
          <w:headerReference r:id="rId30" w:type="default"/>
          <w:pgSz w:w="11906" w:h="16838"/>
          <w:pgMar w:top="1701" w:right="1418" w:bottom="1134" w:left="1418" w:header="1134" w:footer="851" w:gutter="0"/>
          <w:cols w:space="425" w:num="1"/>
          <w:docGrid w:linePitch="326" w:charSpace="0"/>
        </w:sectPr>
      </w:pPr>
    </w:p>
    <w:p>
      <w:pPr>
        <w:pStyle w:val="2"/>
        <w:jc w:val="center"/>
        <w:rPr>
          <w:rFonts w:ascii="宋体" w:hAnsi="宋体" w:eastAsia="宋体" w:cs="宋体"/>
          <w:b/>
          <w:bCs/>
          <w:color w:val="FF0000"/>
        </w:rPr>
      </w:pPr>
      <w:r>
        <w:rPr>
          <w:rFonts w:hint="eastAsia" w:ascii="宋体" w:hAnsi="宋体" w:eastAsia="宋体" w:cs="宋体"/>
          <w:b/>
          <w:bCs/>
          <w:color w:val="FF0000"/>
        </w:rPr>
        <w:t>本矿区涉及管控单元管控要求</w:t>
      </w:r>
    </w:p>
    <w:p>
      <w:pPr>
        <w:pStyle w:val="2"/>
        <w:rPr>
          <w:rFonts w:ascii="Times New Roman"/>
          <w:b/>
          <w:bCs/>
          <w:color w:val="FF0000"/>
        </w:rPr>
      </w:pPr>
      <w:r>
        <w:rPr>
          <w:rFonts w:ascii="宋体" w:hAnsi="宋体" w:eastAsia="宋体"/>
          <w:color w:val="FF0000"/>
        </w:rPr>
        <w:t>表</w:t>
      </w:r>
      <w:r>
        <w:rPr>
          <w:rFonts w:ascii="Times New Roman"/>
          <w:b/>
          <w:bCs/>
          <w:color w:val="FF0000"/>
        </w:rPr>
        <w:t>7.4-1</w:t>
      </w:r>
    </w:p>
    <w:tbl>
      <w:tblPr>
        <w:tblStyle w:val="5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483"/>
        <w:gridCol w:w="1134"/>
        <w:gridCol w:w="1702"/>
        <w:gridCol w:w="81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13" w:type="pct"/>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b/>
                <w:color w:val="FF0000"/>
                <w:sz w:val="21"/>
                <w:szCs w:val="21"/>
              </w:rPr>
            </w:pPr>
            <w:r>
              <w:rPr>
                <w:rFonts w:ascii="Times New Roman" w:hAnsi="Times New Roman"/>
                <w:b/>
                <w:color w:val="FF0000"/>
                <w:sz w:val="21"/>
                <w:szCs w:val="21"/>
              </w:rPr>
              <w:t>环境管控单元编码</w:t>
            </w:r>
          </w:p>
        </w:tc>
        <w:tc>
          <w:tcPr>
            <w:tcW w:w="522" w:type="pct"/>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b/>
                <w:color w:val="FF0000"/>
                <w:sz w:val="21"/>
                <w:szCs w:val="21"/>
              </w:rPr>
            </w:pPr>
            <w:r>
              <w:rPr>
                <w:rFonts w:ascii="Times New Roman" w:hAnsi="Times New Roman"/>
                <w:b/>
                <w:color w:val="FF0000"/>
                <w:sz w:val="21"/>
                <w:szCs w:val="21"/>
              </w:rPr>
              <w:t>环境管控单元名称</w:t>
            </w:r>
          </w:p>
        </w:tc>
        <w:tc>
          <w:tcPr>
            <w:tcW w:w="399" w:type="pct"/>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b/>
                <w:color w:val="FF0000"/>
                <w:sz w:val="21"/>
                <w:szCs w:val="21"/>
              </w:rPr>
            </w:pPr>
            <w:r>
              <w:rPr>
                <w:rFonts w:ascii="Times New Roman" w:hAnsi="Times New Roman"/>
                <w:b/>
                <w:color w:val="FF0000"/>
                <w:sz w:val="21"/>
                <w:szCs w:val="21"/>
              </w:rPr>
              <w:t>管控单元类别</w:t>
            </w:r>
          </w:p>
        </w:tc>
        <w:tc>
          <w:tcPr>
            <w:tcW w:w="3466" w:type="pct"/>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b/>
                <w:color w:val="FF0000"/>
                <w:sz w:val="21"/>
                <w:szCs w:val="21"/>
              </w:rPr>
            </w:pPr>
            <w:r>
              <w:rPr>
                <w:rFonts w:ascii="Times New Roman" w:hAnsi="Times New Roman"/>
                <w:b/>
                <w:color w:val="FF0000"/>
                <w:sz w:val="21"/>
                <w:szCs w:val="21"/>
              </w:rPr>
              <w:t>管控要求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13" w:type="pct"/>
            <w:vMerge w:val="restart"/>
            <w:tcBorders>
              <w:top w:val="nil"/>
              <w:left w:val="single" w:color="auto" w:sz="4" w:space="0"/>
              <w:bottom w:val="single" w:color="auto" w:sz="4" w:space="0"/>
              <w:right w:val="single" w:color="auto" w:sz="4" w:space="0"/>
            </w:tcBorders>
            <w:vAlign w:val="center"/>
          </w:tcPr>
          <w:p>
            <w:pPr>
              <w:widowControl/>
              <w:textAlignment w:val="bottom"/>
              <w:rPr>
                <w:rFonts w:ascii="Times New Roman" w:hAnsi="Times New Roman"/>
                <w:b/>
                <w:color w:val="FF0000"/>
                <w:sz w:val="21"/>
                <w:szCs w:val="21"/>
              </w:rPr>
            </w:pPr>
            <w:r>
              <w:rPr>
                <w:rFonts w:ascii="Times New Roman" w:hAnsi="Times New Roman"/>
                <w:color w:val="FF0000"/>
                <w:sz w:val="21"/>
                <w:szCs w:val="21"/>
              </w:rPr>
              <w:t>ZH15062720001</w:t>
            </w:r>
          </w:p>
        </w:tc>
        <w:tc>
          <w:tcPr>
            <w:tcW w:w="522" w:type="pct"/>
            <w:vMerge w:val="restart"/>
            <w:tcBorders>
              <w:top w:val="nil"/>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sz w:val="21"/>
                <w:szCs w:val="21"/>
              </w:rPr>
              <w:t>蒙苏经济开发区</w:t>
            </w:r>
          </w:p>
        </w:tc>
        <w:tc>
          <w:tcPr>
            <w:tcW w:w="399" w:type="pct"/>
            <w:vMerge w:val="restart"/>
            <w:tcBorders>
              <w:top w:val="nil"/>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sz w:val="21"/>
                <w:szCs w:val="21"/>
              </w:rPr>
              <w:t>重点管控单元</w:t>
            </w:r>
          </w:p>
        </w:tc>
        <w:tc>
          <w:tcPr>
            <w:tcW w:w="599" w:type="pct"/>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kern w:val="0"/>
                <w:sz w:val="21"/>
                <w:szCs w:val="21"/>
              </w:rPr>
              <w:t>空间布局约束</w:t>
            </w:r>
          </w:p>
        </w:tc>
        <w:tc>
          <w:tcPr>
            <w:tcW w:w="2867" w:type="pct"/>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color w:val="FF0000"/>
                <w:kern w:val="0"/>
                <w:sz w:val="21"/>
                <w:szCs w:val="21"/>
              </w:rPr>
            </w:pPr>
            <w:r>
              <w:rPr>
                <w:rFonts w:ascii="Times New Roman" w:hAnsi="Times New Roman"/>
                <w:color w:val="FF0000"/>
                <w:kern w:val="0"/>
                <w:sz w:val="21"/>
                <w:szCs w:val="21"/>
              </w:rPr>
              <w:t>1.</w:t>
            </w:r>
            <w:r>
              <w:rPr>
                <w:rFonts w:ascii="Times New Roman" w:hAnsi="Times New Roman"/>
                <w:color w:val="FF0000"/>
                <w:sz w:val="21"/>
                <w:szCs w:val="21"/>
              </w:rPr>
              <w:t>禁止不符合园区产业定位及规划环评等要求的项目入园；国家明令淘汰的落后产能和不符合国家产业政策的项目，禁止向工业园区转移。</w:t>
            </w:r>
          </w:p>
          <w:p>
            <w:pPr>
              <w:rPr>
                <w:rFonts w:ascii="Times New Roman" w:hAnsi="Times New Roman"/>
                <w:color w:val="FF0000"/>
                <w:kern w:val="0"/>
                <w:sz w:val="21"/>
                <w:szCs w:val="21"/>
              </w:rPr>
            </w:pPr>
            <w:r>
              <w:rPr>
                <w:rFonts w:ascii="Times New Roman" w:hAnsi="Times New Roman"/>
                <w:color w:val="FF0000"/>
                <w:sz w:val="21"/>
                <w:szCs w:val="21"/>
              </w:rPr>
              <w:t>鄂尔多斯江苏工业园区：</w:t>
            </w:r>
          </w:p>
          <w:p>
            <w:pPr>
              <w:rPr>
                <w:rFonts w:ascii="Times New Roman" w:hAnsi="Times New Roman"/>
                <w:color w:val="FF0000"/>
                <w:kern w:val="0"/>
                <w:sz w:val="21"/>
                <w:szCs w:val="21"/>
              </w:rPr>
            </w:pPr>
            <w:r>
              <w:rPr>
                <w:rFonts w:ascii="Times New Roman" w:hAnsi="Times New Roman"/>
                <w:color w:val="FF0000"/>
                <w:kern w:val="0"/>
                <w:sz w:val="21"/>
                <w:szCs w:val="21"/>
              </w:rPr>
              <w:t>1.重点培育发展高端装备制造、高新技术和战略性新兴产业，禁止发展生物发酵类、印染类等高污染产业。</w:t>
            </w:r>
          </w:p>
          <w:p>
            <w:pPr>
              <w:pStyle w:val="16"/>
              <w:spacing w:line="240" w:lineRule="auto"/>
              <w:ind w:firstLine="420"/>
              <w:rPr>
                <w:rFonts w:ascii="Times New Roman" w:hAnsi="Times New Roman" w:cs="Times New Roman"/>
                <w:color w:val="FF0000"/>
                <w:sz w:val="21"/>
                <w:szCs w:val="21"/>
              </w:rPr>
            </w:pPr>
            <w:r>
              <w:rPr>
                <w:rFonts w:ascii="Times New Roman" w:hAnsi="Times New Roman" w:cs="Times New Roman"/>
                <w:color w:val="FF0000"/>
                <w:sz w:val="21"/>
                <w:szCs w:val="21"/>
              </w:rPr>
              <w:t>2.园区产业生产工艺达到国内先进水平（二级以上）。</w:t>
            </w:r>
          </w:p>
          <w:p>
            <w:pPr>
              <w:pStyle w:val="16"/>
              <w:spacing w:line="240" w:lineRule="auto"/>
              <w:ind w:firstLine="420"/>
              <w:rPr>
                <w:rFonts w:ascii="Times New Roman" w:hAnsi="Times New Roman" w:cs="Times New Roman"/>
                <w:color w:val="FF0000"/>
                <w:kern w:val="0"/>
                <w:sz w:val="21"/>
                <w:szCs w:val="21"/>
              </w:rPr>
            </w:pPr>
            <w:r>
              <w:rPr>
                <w:rFonts w:ascii="Times New Roman" w:hAnsi="Times New Roman" w:cs="Times New Roman"/>
                <w:color w:val="FF0000"/>
                <w:kern w:val="0"/>
                <w:sz w:val="21"/>
                <w:szCs w:val="21"/>
              </w:rPr>
              <w:t>3.居住用地周边严控布局潜在污染扰民和环境风险突出的建设项目。</w:t>
            </w:r>
          </w:p>
          <w:p>
            <w:pPr>
              <w:pStyle w:val="16"/>
              <w:spacing w:line="240" w:lineRule="auto"/>
              <w:ind w:firstLine="420"/>
              <w:rPr>
                <w:rFonts w:ascii="Times New Roman" w:hAnsi="Times New Roman" w:cs="Times New Roman"/>
                <w:color w:val="FF0000"/>
                <w:sz w:val="21"/>
                <w:szCs w:val="21"/>
              </w:rPr>
            </w:pPr>
            <w:r>
              <w:rPr>
                <w:rFonts w:ascii="Times New Roman" w:hAnsi="Times New Roman" w:cs="Times New Roman"/>
                <w:color w:val="FF0000"/>
                <w:sz w:val="21"/>
                <w:szCs w:val="21"/>
              </w:rPr>
              <w:t>乌兰木工业项目区：</w:t>
            </w:r>
          </w:p>
          <w:p>
            <w:pPr>
              <w:rPr>
                <w:rFonts w:ascii="Times New Roman" w:hAnsi="Times New Roman"/>
                <w:color w:val="FF0000"/>
                <w:sz w:val="21"/>
                <w:szCs w:val="21"/>
              </w:rPr>
            </w:pPr>
            <w:r>
              <w:rPr>
                <w:rFonts w:ascii="Times New Roman" w:hAnsi="Times New Roman"/>
                <w:color w:val="FF0000"/>
                <w:kern w:val="0"/>
                <w:sz w:val="21"/>
                <w:szCs w:val="21"/>
              </w:rPr>
              <w:t>1.</w:t>
            </w:r>
            <w:r>
              <w:rPr>
                <w:rFonts w:ascii="Times New Roman" w:hAnsi="Times New Roman"/>
                <w:color w:val="FF0000"/>
                <w:sz w:val="21"/>
                <w:szCs w:val="21"/>
              </w:rPr>
              <w:t xml:space="preserve">禁止引进硫化氢、苯并芘排放较大的企业入园 </w:t>
            </w:r>
          </w:p>
          <w:p>
            <w:pPr>
              <w:pStyle w:val="16"/>
              <w:spacing w:line="240" w:lineRule="auto"/>
              <w:ind w:firstLine="420"/>
              <w:rPr>
                <w:rFonts w:ascii="Times New Roman" w:hAnsi="Times New Roman" w:cs="Times New Roman"/>
                <w:color w:val="FF0000"/>
                <w:sz w:val="21"/>
                <w:szCs w:val="21"/>
              </w:rPr>
            </w:pPr>
            <w:r>
              <w:rPr>
                <w:rFonts w:ascii="Times New Roman" w:hAnsi="Times New Roman" w:cs="Times New Roman"/>
                <w:color w:val="FF0000"/>
                <w:kern w:val="0"/>
                <w:sz w:val="21"/>
                <w:szCs w:val="21"/>
              </w:rPr>
              <w:t>2.</w:t>
            </w:r>
            <w:r>
              <w:rPr>
                <w:rFonts w:ascii="Times New Roman" w:hAnsi="Times New Roman" w:cs="Times New Roman"/>
                <w:color w:val="FF0000"/>
                <w:sz w:val="21"/>
                <w:szCs w:val="21"/>
              </w:rPr>
              <w:t>居住用地周边严控布局潜在污染扰民和环境风险突出的建设项目。</w:t>
            </w:r>
          </w:p>
          <w:p>
            <w:pPr>
              <w:widowControl/>
              <w:textAlignment w:val="center"/>
              <w:rPr>
                <w:rFonts w:ascii="Times New Roman" w:hAnsi="Times New Roman"/>
                <w:color w:val="FF0000"/>
                <w:sz w:val="21"/>
                <w:szCs w:val="21"/>
              </w:rPr>
            </w:pPr>
            <w:r>
              <w:rPr>
                <w:rFonts w:ascii="Times New Roman" w:hAnsi="Times New Roman"/>
                <w:color w:val="FF0000"/>
                <w:sz w:val="21"/>
                <w:szCs w:val="21"/>
              </w:rPr>
              <w:t>汇能工业项目区：</w:t>
            </w:r>
          </w:p>
          <w:p>
            <w:pPr>
              <w:pStyle w:val="16"/>
              <w:spacing w:line="240" w:lineRule="auto"/>
              <w:ind w:firstLine="420"/>
              <w:rPr>
                <w:rFonts w:ascii="Times New Roman" w:hAnsi="Times New Roman" w:cs="Times New Roman"/>
                <w:color w:val="FF0000"/>
                <w:sz w:val="21"/>
                <w:szCs w:val="21"/>
              </w:rPr>
            </w:pPr>
            <w:r>
              <w:rPr>
                <w:rFonts w:ascii="Times New Roman" w:hAnsi="Times New Roman" w:cs="Times New Roman"/>
                <w:color w:val="FF0000"/>
                <w:kern w:val="0"/>
                <w:sz w:val="21"/>
                <w:szCs w:val="21"/>
              </w:rPr>
              <w:t>1.</w:t>
            </w:r>
            <w:r>
              <w:rPr>
                <w:rFonts w:ascii="Times New Roman" w:hAnsi="Times New Roman" w:cs="Times New Roman"/>
                <w:color w:val="FF0000"/>
                <w:sz w:val="21"/>
                <w:szCs w:val="21"/>
              </w:rPr>
              <w:t>禁止建设涉及铅、汞、铬、镉、砷五种重点控制的重金属产生和排放的项目；</w:t>
            </w:r>
          </w:p>
          <w:p>
            <w:pPr>
              <w:pStyle w:val="16"/>
              <w:spacing w:line="240" w:lineRule="auto"/>
              <w:ind w:firstLine="420"/>
              <w:rPr>
                <w:rFonts w:ascii="Times New Roman" w:hAnsi="Times New Roman" w:cs="Times New Roman"/>
                <w:color w:val="FF0000"/>
                <w:sz w:val="21"/>
                <w:szCs w:val="21"/>
              </w:rPr>
            </w:pPr>
            <w:r>
              <w:rPr>
                <w:rFonts w:ascii="Times New Roman" w:hAnsi="Times New Roman" w:cs="Times New Roman"/>
                <w:color w:val="FF0000"/>
                <w:sz w:val="21"/>
                <w:szCs w:val="21"/>
              </w:rPr>
              <w:t>2.引进达到清洁生产一级水平或国内国际先进水平、资源利用效率达到国内先进水平、污染排放少的项目。落实各类废渣和工业副产品的循环综合利用。</w:t>
            </w:r>
          </w:p>
          <w:p>
            <w:pPr>
              <w:widowControl/>
              <w:rPr>
                <w:rFonts w:ascii="Times New Roman" w:hAnsi="Times New Roman"/>
                <w:b/>
                <w:color w:val="FF0000"/>
                <w:sz w:val="21"/>
                <w:szCs w:val="21"/>
              </w:rPr>
            </w:pPr>
            <w:r>
              <w:rPr>
                <w:rFonts w:ascii="Times New Roman" w:hAnsi="Times New Roman"/>
                <w:color w:val="FF0000"/>
                <w:sz w:val="21"/>
                <w:szCs w:val="21"/>
              </w:rPr>
              <w:t>3.园区与居民、地表水体、文物保护等环境敏感区之间应设置合理的防护隔离区，工业区和居住区间绿化隔离带不小于500米。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13"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22"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399"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99" w:type="pct"/>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kern w:val="0"/>
                <w:sz w:val="21"/>
                <w:szCs w:val="21"/>
              </w:rPr>
              <w:t>污染物排放管控</w:t>
            </w:r>
          </w:p>
        </w:tc>
        <w:tc>
          <w:tcPr>
            <w:tcW w:w="2867" w:type="pct"/>
            <w:tcBorders>
              <w:top w:val="single" w:color="auto" w:sz="4" w:space="0"/>
              <w:left w:val="single" w:color="auto" w:sz="4" w:space="0"/>
              <w:bottom w:val="single" w:color="auto" w:sz="4" w:space="0"/>
              <w:right w:val="single" w:color="auto" w:sz="4" w:space="0"/>
            </w:tcBorders>
            <w:vAlign w:val="center"/>
          </w:tcPr>
          <w:p>
            <w:pPr>
              <w:pStyle w:val="16"/>
              <w:spacing w:line="240" w:lineRule="auto"/>
              <w:ind w:firstLine="420"/>
              <w:rPr>
                <w:rFonts w:ascii="Times New Roman" w:hAnsi="Times New Roman" w:cs="Times New Roman"/>
                <w:color w:val="FF0000"/>
                <w:kern w:val="0"/>
                <w:sz w:val="21"/>
                <w:szCs w:val="21"/>
              </w:rPr>
            </w:pPr>
            <w:r>
              <w:rPr>
                <w:rFonts w:ascii="Times New Roman" w:hAnsi="Times New Roman" w:cs="Times New Roman"/>
                <w:color w:val="FF0000"/>
                <w:kern w:val="0"/>
                <w:sz w:val="21"/>
                <w:szCs w:val="21"/>
              </w:rPr>
              <w:t>1.按“清污分流”、“雨污分流”、“污污分流”原则，污水应收尽收，全部回用或作为景观用水不外排。</w:t>
            </w:r>
          </w:p>
          <w:p>
            <w:pPr>
              <w:pStyle w:val="16"/>
              <w:spacing w:line="240" w:lineRule="auto"/>
              <w:ind w:firstLine="420"/>
              <w:rPr>
                <w:rFonts w:ascii="Times New Roman" w:hAnsi="Times New Roman" w:cs="Times New Roman"/>
                <w:color w:val="FF0000"/>
                <w:kern w:val="0"/>
                <w:sz w:val="21"/>
                <w:szCs w:val="21"/>
              </w:rPr>
            </w:pPr>
            <w:r>
              <w:rPr>
                <w:rFonts w:ascii="Times New Roman" w:hAnsi="Times New Roman" w:cs="Times New Roman"/>
                <w:color w:val="FF0000"/>
                <w:kern w:val="0"/>
                <w:sz w:val="21"/>
                <w:szCs w:val="21"/>
              </w:rPr>
              <w:t>2.一律不得新建晾晒池，园区浓盐水实现零排放。</w:t>
            </w:r>
          </w:p>
          <w:p>
            <w:pPr>
              <w:pStyle w:val="16"/>
              <w:spacing w:line="240" w:lineRule="auto"/>
              <w:ind w:firstLine="420"/>
              <w:rPr>
                <w:rFonts w:ascii="Times New Roman" w:hAnsi="Times New Roman" w:cs="Times New Roman"/>
                <w:color w:val="FF0000"/>
                <w:kern w:val="0"/>
                <w:sz w:val="21"/>
                <w:szCs w:val="21"/>
              </w:rPr>
            </w:pPr>
            <w:r>
              <w:rPr>
                <w:rFonts w:ascii="Times New Roman" w:hAnsi="Times New Roman" w:cs="Times New Roman"/>
                <w:color w:val="FF0000"/>
                <w:kern w:val="0"/>
                <w:sz w:val="21"/>
                <w:szCs w:val="21"/>
              </w:rPr>
              <w:t>2.实施集中供热，禁止建设分散燃煤锅炉。</w:t>
            </w:r>
          </w:p>
          <w:p>
            <w:pPr>
              <w:widowControl/>
              <w:rPr>
                <w:rFonts w:ascii="Times New Roman" w:hAnsi="Times New Roman"/>
                <w:color w:val="FF0000"/>
                <w:kern w:val="0"/>
                <w:sz w:val="21"/>
                <w:szCs w:val="21"/>
              </w:rPr>
            </w:pPr>
            <w:r>
              <w:rPr>
                <w:rFonts w:ascii="Times New Roman" w:hAnsi="Times New Roman"/>
                <w:color w:val="FF0000"/>
                <w:kern w:val="0"/>
                <w:sz w:val="21"/>
                <w:szCs w:val="21"/>
              </w:rPr>
              <w:t>3.涉VOCs项目应使用低（无）VOCs含量的原辅材料，安装废气收集、高效治理设施。</w:t>
            </w:r>
          </w:p>
          <w:p>
            <w:pPr>
              <w:pStyle w:val="16"/>
              <w:spacing w:line="240" w:lineRule="auto"/>
              <w:ind w:firstLine="420"/>
              <w:rPr>
                <w:rFonts w:ascii="Times New Roman" w:hAnsi="Times New Roman" w:cs="Times New Roman"/>
                <w:b/>
                <w:color w:val="FF0000"/>
                <w:sz w:val="21"/>
                <w:szCs w:val="21"/>
              </w:rPr>
            </w:pPr>
            <w:r>
              <w:rPr>
                <w:rFonts w:ascii="Times New Roman" w:hAnsi="Times New Roman" w:cs="Times New Roman"/>
                <w:color w:val="FF0000"/>
                <w:kern w:val="0"/>
                <w:sz w:val="21"/>
                <w:szCs w:val="21"/>
              </w:rPr>
              <w:t>4.园区实施集中供热，禁止企业自建燃煤锅炉，燃煤发电机组执行大气污染物超低排放限值。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13"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22"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399"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99" w:type="pct"/>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sz w:val="21"/>
                <w:szCs w:val="21"/>
              </w:rPr>
              <w:t>环境风险防控</w:t>
            </w:r>
          </w:p>
        </w:tc>
        <w:tc>
          <w:tcPr>
            <w:tcW w:w="2867" w:type="pct"/>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kern w:val="0"/>
                <w:sz w:val="21"/>
                <w:szCs w:val="21"/>
              </w:rPr>
              <w:t>完善区域环境风险防范机制，有效防范环境风险。建立和不断完善环境风险方法机制和应急体系，构建有效的区域环境风险联防联控机制，最大限度降低环境风险。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13"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22"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399"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99" w:type="pct"/>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kern w:val="0"/>
                <w:sz w:val="21"/>
                <w:szCs w:val="21"/>
              </w:rPr>
              <w:t>资源利用效率要 求</w:t>
            </w:r>
          </w:p>
        </w:tc>
        <w:tc>
          <w:tcPr>
            <w:tcW w:w="2867" w:type="pct"/>
            <w:tcBorders>
              <w:top w:val="single" w:color="auto" w:sz="4" w:space="0"/>
              <w:left w:val="single" w:color="auto" w:sz="4" w:space="0"/>
              <w:bottom w:val="single" w:color="auto" w:sz="4" w:space="0"/>
              <w:right w:val="single" w:color="auto" w:sz="4" w:space="0"/>
            </w:tcBorders>
            <w:vAlign w:val="center"/>
          </w:tcPr>
          <w:p>
            <w:pPr>
              <w:pStyle w:val="16"/>
              <w:spacing w:line="240" w:lineRule="auto"/>
              <w:ind w:firstLine="420"/>
              <w:rPr>
                <w:rFonts w:ascii="Times New Roman" w:hAnsi="Times New Roman" w:cs="Times New Roman"/>
                <w:color w:val="FF0000"/>
                <w:sz w:val="21"/>
                <w:szCs w:val="21"/>
              </w:rPr>
            </w:pPr>
            <w:r>
              <w:rPr>
                <w:rFonts w:ascii="Times New Roman" w:hAnsi="Times New Roman" w:cs="Times New Roman"/>
                <w:color w:val="FF0000"/>
                <w:sz w:val="21"/>
                <w:szCs w:val="21"/>
              </w:rPr>
              <w:t>1.严格“以水定产业、以水定规模”，做好节水工作，按分质供水原则，合理进行水资源分配，优先使用疏干水、污水处理厂中水。</w:t>
            </w:r>
          </w:p>
          <w:p>
            <w:pPr>
              <w:widowControl/>
              <w:rPr>
                <w:rFonts w:ascii="Times New Roman" w:hAnsi="Times New Roman"/>
                <w:b/>
                <w:color w:val="FF0000"/>
                <w:sz w:val="21"/>
                <w:szCs w:val="21"/>
              </w:rPr>
            </w:pPr>
            <w:r>
              <w:rPr>
                <w:rFonts w:ascii="Times New Roman" w:hAnsi="Times New Roman"/>
                <w:color w:val="FF0000"/>
                <w:sz w:val="21"/>
                <w:szCs w:val="21"/>
              </w:rPr>
              <w:t>2.严控地下水超采。</w:t>
            </w:r>
            <w:r>
              <w:rPr>
                <w:rFonts w:ascii="Times New Roman" w:hAnsi="Times New Roman"/>
                <w:color w:val="FF0000"/>
                <w:kern w:val="0"/>
                <w:sz w:val="21"/>
                <w:szCs w:val="21"/>
              </w:rPr>
              <w:t>新建、改建、扩建的高耗水工业项目，禁止擅自使用地下水。食品、制药等项目取用地下水，须经有管理权限的水行政主管部门批准。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13" w:type="pct"/>
            <w:vMerge w:val="restart"/>
            <w:tcBorders>
              <w:top w:val="nil"/>
              <w:left w:val="single" w:color="auto" w:sz="4" w:space="0"/>
              <w:bottom w:val="single" w:color="auto" w:sz="4" w:space="0"/>
              <w:right w:val="single" w:color="auto" w:sz="4" w:space="0"/>
            </w:tcBorders>
            <w:vAlign w:val="center"/>
          </w:tcPr>
          <w:p>
            <w:pPr>
              <w:widowControl/>
              <w:textAlignment w:val="bottom"/>
              <w:rPr>
                <w:rFonts w:ascii="Times New Roman" w:hAnsi="Times New Roman"/>
                <w:b/>
                <w:color w:val="FF0000"/>
                <w:sz w:val="21"/>
                <w:szCs w:val="21"/>
              </w:rPr>
            </w:pPr>
            <w:r>
              <w:rPr>
                <w:rFonts w:ascii="Times New Roman" w:hAnsi="Times New Roman"/>
                <w:color w:val="FF0000"/>
                <w:sz w:val="21"/>
                <w:szCs w:val="21"/>
              </w:rPr>
              <w:t>ZH15062720012</w:t>
            </w:r>
          </w:p>
        </w:tc>
        <w:tc>
          <w:tcPr>
            <w:tcW w:w="522" w:type="pct"/>
            <w:vMerge w:val="restart"/>
            <w:tcBorders>
              <w:top w:val="nil"/>
              <w:left w:val="single" w:color="auto" w:sz="4" w:space="0"/>
              <w:bottom w:val="single" w:color="auto" w:sz="4" w:space="0"/>
              <w:right w:val="single" w:color="auto" w:sz="4" w:space="0"/>
            </w:tcBorders>
            <w:vAlign w:val="center"/>
          </w:tcPr>
          <w:p>
            <w:pPr>
              <w:widowControl/>
              <w:textAlignment w:val="bottom"/>
              <w:rPr>
                <w:rFonts w:ascii="Times New Roman" w:hAnsi="Times New Roman"/>
                <w:b/>
                <w:color w:val="FF0000"/>
                <w:sz w:val="21"/>
                <w:szCs w:val="21"/>
              </w:rPr>
            </w:pPr>
            <w:r>
              <w:rPr>
                <w:rFonts w:ascii="Times New Roman" w:hAnsi="Times New Roman"/>
                <w:color w:val="FF0000"/>
                <w:sz w:val="21"/>
                <w:szCs w:val="21"/>
              </w:rPr>
              <w:t>纳林希里矿区</w:t>
            </w:r>
          </w:p>
        </w:tc>
        <w:tc>
          <w:tcPr>
            <w:tcW w:w="399" w:type="pct"/>
            <w:vMerge w:val="restart"/>
            <w:tcBorders>
              <w:top w:val="nil"/>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sz w:val="21"/>
                <w:szCs w:val="21"/>
              </w:rPr>
              <w:t>重点管控单元</w:t>
            </w:r>
          </w:p>
        </w:tc>
        <w:tc>
          <w:tcPr>
            <w:tcW w:w="599" w:type="pct"/>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kern w:val="0"/>
                <w:sz w:val="21"/>
                <w:szCs w:val="21"/>
              </w:rPr>
              <w:t>空间布局约束</w:t>
            </w:r>
          </w:p>
        </w:tc>
        <w:tc>
          <w:tcPr>
            <w:tcW w:w="2867" w:type="pct"/>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color w:val="FF0000"/>
                <w:kern w:val="0"/>
                <w:sz w:val="21"/>
                <w:szCs w:val="21"/>
              </w:rPr>
            </w:pPr>
            <w:r>
              <w:rPr>
                <w:rFonts w:ascii="Times New Roman" w:hAnsi="Times New Roman"/>
                <w:color w:val="FF0000"/>
                <w:kern w:val="0"/>
                <w:sz w:val="21"/>
                <w:szCs w:val="21"/>
              </w:rPr>
              <w:t>1.非经国务院授权的有关主管部门同意，不得在《中华人民共和国矿产资源法（修正）》中所列的6种地区开采矿产资源。</w:t>
            </w:r>
          </w:p>
          <w:p>
            <w:pPr>
              <w:widowControl/>
              <w:textAlignment w:val="center"/>
              <w:rPr>
                <w:rFonts w:ascii="Times New Roman" w:hAnsi="Times New Roman"/>
                <w:color w:val="FF0000"/>
                <w:kern w:val="0"/>
                <w:sz w:val="21"/>
                <w:szCs w:val="21"/>
              </w:rPr>
            </w:pPr>
            <w:r>
              <w:rPr>
                <w:rFonts w:ascii="Times New Roman" w:hAnsi="Times New Roman"/>
                <w:color w:val="FF0000"/>
                <w:kern w:val="0"/>
                <w:sz w:val="21"/>
                <w:szCs w:val="21"/>
              </w:rPr>
              <w:t>2.禁止新建、扩建《产业结构调整指导目录（2019年本）》明确的淘汰类项目；严格执行《自治区国家重点生态功能区产业准入负面清单（试行）》（内政发〔2018〕11号）中采矿业管控要求。</w:t>
            </w:r>
          </w:p>
          <w:p>
            <w:pPr>
              <w:pStyle w:val="16"/>
              <w:spacing w:line="240" w:lineRule="auto"/>
              <w:ind w:firstLine="0" w:firstLineChars="0"/>
              <w:textAlignment w:val="center"/>
              <w:rPr>
                <w:rFonts w:ascii="Times New Roman" w:hAnsi="Times New Roman" w:cs="Times New Roman"/>
                <w:color w:val="FF0000"/>
                <w:kern w:val="0"/>
                <w:sz w:val="21"/>
                <w:szCs w:val="21"/>
              </w:rPr>
            </w:pPr>
            <w:r>
              <w:rPr>
                <w:rFonts w:ascii="Times New Roman" w:hAnsi="Times New Roman" w:cs="Times New Roman"/>
                <w:color w:val="FF0000"/>
                <w:kern w:val="0"/>
                <w:sz w:val="21"/>
                <w:szCs w:val="21"/>
              </w:rPr>
              <w:t>3.严格控制草原上新建矿产资源开发项目。新上矿产资源开发项目在开展前期工作时，应征求林业和草原行政主管部门意见，严格执行国家林草局草原征占用审核审批管理制度，把先预审、再立项、后建设的源头把控原则落到实处。</w:t>
            </w:r>
          </w:p>
          <w:p>
            <w:pPr>
              <w:pStyle w:val="16"/>
              <w:spacing w:line="240" w:lineRule="auto"/>
              <w:ind w:firstLine="0" w:firstLineChars="0"/>
              <w:textAlignment w:val="center"/>
              <w:rPr>
                <w:rFonts w:ascii="Times New Roman" w:hAnsi="Times New Roman" w:cs="Times New Roman"/>
                <w:color w:val="FF0000"/>
                <w:kern w:val="0"/>
                <w:sz w:val="21"/>
                <w:szCs w:val="21"/>
              </w:rPr>
            </w:pPr>
            <w:r>
              <w:rPr>
                <w:rFonts w:ascii="Times New Roman" w:hAnsi="Times New Roman" w:cs="Times New Roman"/>
                <w:color w:val="FF0000"/>
                <w:kern w:val="0"/>
                <w:sz w:val="21"/>
                <w:szCs w:val="21"/>
              </w:rPr>
              <w:t>4.严格规范草原上已建矿产资源开发项目。对依法批准的草原上已建和在建矿产资源开发项目，不得在依法确定的矿区范围外平面增扩面积，不得未经批准由井工开采变为露天开采，严格控制排渣场、排土场、煤矸石堆场、场区道路占用草原面积。</w:t>
            </w:r>
          </w:p>
          <w:p>
            <w:pPr>
              <w:widowControl/>
              <w:rPr>
                <w:rFonts w:ascii="Times New Roman" w:hAnsi="Times New Roman"/>
                <w:b/>
                <w:color w:val="FF0000"/>
                <w:sz w:val="21"/>
                <w:szCs w:val="21"/>
              </w:rPr>
            </w:pPr>
            <w:r>
              <w:rPr>
                <w:rFonts w:ascii="Times New Roman" w:hAnsi="Times New Roman"/>
                <w:color w:val="FF0000"/>
                <w:kern w:val="0"/>
                <w:sz w:val="21"/>
                <w:szCs w:val="21"/>
              </w:rPr>
              <w:t>5.执行《内蒙古自治区矿产资源总体规划（2016~2020）》中最低开采规模相关要求。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13"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22"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399"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99" w:type="pct"/>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kern w:val="0"/>
                <w:sz w:val="21"/>
                <w:szCs w:val="21"/>
              </w:rPr>
              <w:t>污染物排放管控</w:t>
            </w:r>
          </w:p>
        </w:tc>
        <w:tc>
          <w:tcPr>
            <w:tcW w:w="2867" w:type="pct"/>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color w:val="FF0000"/>
                <w:kern w:val="0"/>
                <w:sz w:val="21"/>
                <w:szCs w:val="21"/>
              </w:rPr>
            </w:pPr>
            <w:r>
              <w:rPr>
                <w:rFonts w:ascii="Times New Roman" w:hAnsi="Times New Roman"/>
                <w:color w:val="FF0000"/>
                <w:kern w:val="0"/>
                <w:sz w:val="21"/>
                <w:szCs w:val="21"/>
              </w:rPr>
              <w:t>1.矿产资源勘查以及采选过程中排土场、露天采场、尾矿库、矿区专用道路、矿山工业场地、沉陷区、矸石场、矿山污染场地等的生态环境保护与治理恢复工作须满足《矿山生态环境保护与治理恢复技术规范（试行）》（HJ651-2013）要求。落实边开采、边保护、边复垦的要求，使新建、在建矿山损毁土地得到全面复垦。</w:t>
            </w:r>
          </w:p>
          <w:p>
            <w:pPr>
              <w:widowControl/>
              <w:textAlignment w:val="center"/>
              <w:rPr>
                <w:rFonts w:ascii="Times New Roman" w:hAnsi="Times New Roman"/>
                <w:color w:val="FF0000"/>
                <w:kern w:val="0"/>
                <w:sz w:val="21"/>
                <w:szCs w:val="21"/>
              </w:rPr>
            </w:pPr>
            <w:r>
              <w:rPr>
                <w:rFonts w:ascii="Times New Roman" w:hAnsi="Times New Roman"/>
                <w:color w:val="FF0000"/>
                <w:kern w:val="0"/>
                <w:sz w:val="21"/>
                <w:szCs w:val="21"/>
              </w:rPr>
              <w:t>2.生产矿山年度占用土地面积与年度治理面积基本达到平衡，“三废”排放符合环保指标要求。</w:t>
            </w:r>
          </w:p>
          <w:p>
            <w:pPr>
              <w:pStyle w:val="16"/>
              <w:spacing w:line="240" w:lineRule="auto"/>
              <w:ind w:firstLine="0" w:firstLineChars="0"/>
              <w:rPr>
                <w:rFonts w:ascii="Times New Roman" w:hAnsi="Times New Roman" w:cs="Times New Roman"/>
                <w:color w:val="FF0000"/>
                <w:kern w:val="0"/>
                <w:sz w:val="21"/>
                <w:szCs w:val="21"/>
              </w:rPr>
            </w:pPr>
            <w:r>
              <w:rPr>
                <w:rFonts w:ascii="Times New Roman" w:hAnsi="Times New Roman" w:cs="Times New Roman"/>
                <w:color w:val="FF0000"/>
                <w:kern w:val="0"/>
                <w:sz w:val="21"/>
                <w:szCs w:val="21"/>
              </w:rPr>
              <w:t>3.煤矿地面运煤系统、运输设备、煤炭贮存场所应当全封闭。鼓励有条件的露天矿山采用密闭式皮带运输系统，煤炭企业应当负责矿权范围内和排矸场等着火点灭火工作；提高煤矸石、矿井水的综合利用。</w:t>
            </w:r>
          </w:p>
          <w:p>
            <w:pPr>
              <w:pStyle w:val="16"/>
              <w:spacing w:line="240" w:lineRule="auto"/>
              <w:ind w:firstLine="0" w:firstLineChars="0"/>
              <w:rPr>
                <w:rFonts w:ascii="Times New Roman" w:hAnsi="Times New Roman" w:cs="Times New Roman"/>
                <w:b/>
                <w:color w:val="FF0000"/>
                <w:sz w:val="21"/>
                <w:szCs w:val="21"/>
              </w:rPr>
            </w:pPr>
            <w:r>
              <w:rPr>
                <w:rFonts w:ascii="Times New Roman" w:hAnsi="Times New Roman" w:cs="Times New Roman"/>
                <w:color w:val="FF0000"/>
                <w:kern w:val="0"/>
                <w:sz w:val="21"/>
                <w:szCs w:val="21"/>
              </w:rPr>
              <w:t>4.对新建硫份大于1.5%的煤矿，应配套建设煤炭洗选设施；对现有硫份大于2%的煤矿，应补建配套煤炭洗选设施。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13"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22"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399"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99" w:type="pct"/>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sz w:val="21"/>
                <w:szCs w:val="21"/>
              </w:rPr>
              <w:t>环境风险防控</w:t>
            </w:r>
          </w:p>
        </w:tc>
        <w:tc>
          <w:tcPr>
            <w:tcW w:w="2867" w:type="pct"/>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color w:val="FF0000"/>
                <w:kern w:val="0"/>
                <w:sz w:val="21"/>
                <w:szCs w:val="21"/>
              </w:rPr>
            </w:pPr>
            <w:r>
              <w:rPr>
                <w:rFonts w:ascii="Times New Roman" w:hAnsi="Times New Roman"/>
                <w:color w:val="FF0000"/>
                <w:kern w:val="0"/>
                <w:sz w:val="21"/>
                <w:szCs w:val="21"/>
              </w:rPr>
              <w:t>1.制定环境风险应急预案，成立应急组织机构，配备必要的应急设施和应急物资，定期开展环境风险应急演练。</w:t>
            </w:r>
          </w:p>
          <w:p>
            <w:pPr>
              <w:pStyle w:val="16"/>
              <w:spacing w:line="240" w:lineRule="auto"/>
              <w:ind w:firstLine="0" w:firstLineChars="0"/>
              <w:rPr>
                <w:rFonts w:ascii="Times New Roman" w:hAnsi="Times New Roman" w:cs="Times New Roman"/>
                <w:b/>
                <w:color w:val="FF0000"/>
                <w:sz w:val="21"/>
                <w:szCs w:val="21"/>
              </w:rPr>
            </w:pPr>
            <w:r>
              <w:rPr>
                <w:rFonts w:ascii="Times New Roman" w:hAnsi="Times New Roman" w:cs="Times New Roman"/>
                <w:color w:val="FF0000"/>
                <w:kern w:val="0"/>
                <w:sz w:val="21"/>
                <w:szCs w:val="21"/>
              </w:rPr>
              <w:t>2.加强采矿引起的滑坡、塌陷等次生地质灾害的防范和治理，及时回填废弃巷道和采空区，要充分利用采矿疏干排出的地下水，最大限度的维持矿区生态平衡。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613"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22"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399" w:type="pct"/>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仿宋_GB2312"/>
                <w:b/>
                <w:color w:val="FF0000"/>
                <w:sz w:val="21"/>
                <w:szCs w:val="21"/>
              </w:rPr>
            </w:pPr>
          </w:p>
        </w:tc>
        <w:tc>
          <w:tcPr>
            <w:tcW w:w="599" w:type="pct"/>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b/>
                <w:color w:val="FF0000"/>
                <w:sz w:val="21"/>
                <w:szCs w:val="21"/>
              </w:rPr>
            </w:pPr>
            <w:r>
              <w:rPr>
                <w:rFonts w:ascii="Times New Roman" w:hAnsi="Times New Roman"/>
                <w:color w:val="FF0000"/>
                <w:kern w:val="0"/>
                <w:sz w:val="21"/>
                <w:szCs w:val="21"/>
              </w:rPr>
              <w:t>资源利用效率要 求</w:t>
            </w:r>
          </w:p>
        </w:tc>
        <w:tc>
          <w:tcPr>
            <w:tcW w:w="2867" w:type="pct"/>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color w:val="FF0000"/>
                <w:kern w:val="0"/>
                <w:sz w:val="21"/>
                <w:szCs w:val="21"/>
              </w:rPr>
            </w:pPr>
            <w:r>
              <w:rPr>
                <w:rFonts w:ascii="Times New Roman" w:hAnsi="Times New Roman"/>
                <w:color w:val="FF0000"/>
                <w:kern w:val="0"/>
                <w:sz w:val="21"/>
                <w:szCs w:val="21"/>
              </w:rPr>
              <w:t>1.原煤入选率不低于75%；煤矸石综合利用率应达到75%以上；矿井水、疏干水应采用洁净化、资源化技术和工艺进行合理处置，处置率达到100%。</w:t>
            </w:r>
          </w:p>
          <w:p>
            <w:pPr>
              <w:widowControl/>
              <w:textAlignment w:val="center"/>
              <w:rPr>
                <w:rFonts w:ascii="Times New Roman" w:hAnsi="Times New Roman"/>
                <w:b/>
                <w:color w:val="FF0000"/>
                <w:sz w:val="21"/>
                <w:szCs w:val="21"/>
              </w:rPr>
            </w:pPr>
            <w:r>
              <w:rPr>
                <w:rFonts w:ascii="Times New Roman" w:hAnsi="Times New Roman"/>
                <w:color w:val="FF0000"/>
                <w:kern w:val="0"/>
                <w:sz w:val="21"/>
                <w:szCs w:val="21"/>
              </w:rPr>
              <w:t>2.煤矿采区回采率、原煤入选率、煤矸石与共伴生矿产资源综合利用率等三项指标符合自然资源部发布的《煤炭资源合理开发利用“三率”指标要求（试行）》。</w:t>
            </w:r>
          </w:p>
        </w:tc>
      </w:tr>
    </w:tbl>
    <w:p>
      <w:pPr>
        <w:pStyle w:val="2"/>
        <w:rPr>
          <w:color w:val="auto"/>
        </w:rPr>
        <w:sectPr>
          <w:headerReference r:id="rId31" w:type="default"/>
          <w:pgSz w:w="16838" w:h="11906" w:orient="landscape"/>
          <w:pgMar w:top="1418" w:right="1701" w:bottom="1418" w:left="1134" w:header="1134" w:footer="851" w:gutter="0"/>
          <w:cols w:space="425" w:num="1"/>
          <w:docGrid w:linePitch="326" w:charSpace="0"/>
        </w:sectPr>
      </w:pPr>
    </w:p>
    <w:p>
      <w:pPr>
        <w:keepNext/>
        <w:keepLines/>
        <w:spacing w:before="120" w:after="120" w:line="440" w:lineRule="exact"/>
        <w:outlineLvl w:val="2"/>
        <w:rPr>
          <w:rFonts w:ascii="Times New Roman" w:hAnsi="Times New Roman"/>
          <w:b/>
          <w:bCs/>
          <w:szCs w:val="32"/>
        </w:rPr>
      </w:pPr>
      <w:r>
        <w:rPr>
          <w:rFonts w:ascii="Times New Roman" w:hAnsi="Times New Roman"/>
          <w:b/>
          <w:bCs/>
          <w:szCs w:val="32"/>
        </w:rPr>
        <w:t>7.4.2 矿区空间管控要求</w:t>
      </w:r>
    </w:p>
    <w:p>
      <w:pPr>
        <w:spacing w:line="440" w:lineRule="exact"/>
        <w:ind w:firstLine="480" w:firstLineChars="200"/>
        <w:rPr>
          <w:rFonts w:ascii="Times New Roman" w:hAnsi="Times New Roman"/>
        </w:rPr>
      </w:pPr>
      <w:r>
        <w:rPr>
          <w:rFonts w:ascii="Times New Roman" w:hAnsi="Times New Roman"/>
        </w:rPr>
        <w:t>结合鄂尔多斯市“三线一单”、矿区开发环境影响和矿区环境特征，本次规划环评提出矿区开发的空间管控要求如下：</w:t>
      </w:r>
    </w:p>
    <w:p>
      <w:pPr>
        <w:spacing w:line="440" w:lineRule="exact"/>
        <w:ind w:firstLine="480" w:firstLineChars="200"/>
        <w:rPr>
          <w:rFonts w:ascii="Times New Roman" w:hAnsi="Times New Roman"/>
        </w:rPr>
      </w:pPr>
      <w:r>
        <w:rPr>
          <w:rFonts w:ascii="Times New Roman" w:hAnsi="Times New Roman"/>
        </w:rPr>
        <w:t>矿区内勘查区涉及市级文物：乌兰敖包城址，纳林希里井田分布有2处水源地保护区以及红庆河镇。总体规划将红庆河镇规划范围设置禁采区，上述其他区域均留设保护煤柱。确保后续矿区开发不对其造成影响。</w:t>
      </w:r>
    </w:p>
    <w:p>
      <w:pPr>
        <w:spacing w:line="440" w:lineRule="exact"/>
        <w:ind w:firstLine="480" w:firstLineChars="200"/>
        <w:rPr>
          <w:rFonts w:ascii="Times New Roman" w:hAnsi="Times New Roman"/>
        </w:rPr>
      </w:pPr>
      <w:r>
        <w:rPr>
          <w:rFonts w:ascii="Times New Roman" w:hAnsi="Times New Roman"/>
        </w:rPr>
        <w:t>本次规划环评提出纳林希里矿区空间管控要求见表7.4-1。</w:t>
      </w:r>
    </w:p>
    <w:p>
      <w:pPr>
        <w:spacing w:line="440" w:lineRule="exact"/>
        <w:jc w:val="center"/>
        <w:rPr>
          <w:rFonts w:ascii="Times New Roman" w:hAnsi="Times New Roman"/>
          <w:b/>
        </w:rPr>
      </w:pPr>
      <w:r>
        <w:rPr>
          <w:rFonts w:ascii="Times New Roman" w:hAnsi="Times New Roman"/>
          <w:b/>
        </w:rPr>
        <w:t>纳林希里矿区开发的空间管控要求</w:t>
      </w:r>
    </w:p>
    <w:p>
      <w:pPr>
        <w:spacing w:line="440" w:lineRule="exact"/>
        <w:rPr>
          <w:rFonts w:ascii="Times New Roman" w:hAnsi="Times New Roman"/>
        </w:rPr>
      </w:pPr>
      <w:r>
        <w:rPr>
          <w:rFonts w:ascii="Times New Roman" w:hAnsi="Times New Roman"/>
        </w:rPr>
        <w:t>表7.4-1</w:t>
      </w:r>
    </w:p>
    <w:tbl>
      <w:tblPr>
        <w:tblStyle w:val="59"/>
        <w:tblW w:w="9620"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73"/>
        <w:gridCol w:w="2813"/>
        <w:gridCol w:w="2317"/>
        <w:gridCol w:w="3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8" w:hRule="atLeast"/>
        </w:trPr>
        <w:tc>
          <w:tcPr>
            <w:tcW w:w="873" w:type="dxa"/>
            <w:vAlign w:val="center"/>
          </w:tcPr>
          <w:p>
            <w:pPr>
              <w:jc w:val="center"/>
              <w:rPr>
                <w:rFonts w:ascii="Times New Roman" w:hAnsi="Times New Roman"/>
                <w:sz w:val="21"/>
                <w:szCs w:val="21"/>
              </w:rPr>
            </w:pPr>
            <w:r>
              <w:rPr>
                <w:rFonts w:ascii="Times New Roman" w:hAnsi="Times New Roman"/>
                <w:sz w:val="21"/>
                <w:szCs w:val="21"/>
              </w:rPr>
              <w:t>类 别</w:t>
            </w:r>
          </w:p>
        </w:tc>
        <w:tc>
          <w:tcPr>
            <w:tcW w:w="2813" w:type="dxa"/>
            <w:vAlign w:val="center"/>
          </w:tcPr>
          <w:p>
            <w:pPr>
              <w:jc w:val="center"/>
              <w:rPr>
                <w:rFonts w:ascii="Times New Roman" w:hAnsi="Times New Roman"/>
                <w:sz w:val="21"/>
                <w:szCs w:val="21"/>
              </w:rPr>
            </w:pPr>
            <w:r>
              <w:rPr>
                <w:rFonts w:ascii="Times New Roman" w:hAnsi="Times New Roman"/>
                <w:sz w:val="21"/>
                <w:szCs w:val="21"/>
              </w:rPr>
              <w:t>井田名称</w:t>
            </w:r>
          </w:p>
        </w:tc>
        <w:tc>
          <w:tcPr>
            <w:tcW w:w="2317" w:type="dxa"/>
            <w:vAlign w:val="center"/>
          </w:tcPr>
          <w:p>
            <w:pPr>
              <w:jc w:val="center"/>
              <w:rPr>
                <w:rFonts w:ascii="Times New Roman" w:hAnsi="Times New Roman"/>
                <w:sz w:val="21"/>
                <w:szCs w:val="21"/>
              </w:rPr>
            </w:pPr>
            <w:r>
              <w:rPr>
                <w:rFonts w:ascii="Times New Roman" w:hAnsi="Times New Roman"/>
                <w:sz w:val="21"/>
                <w:szCs w:val="21"/>
              </w:rPr>
              <w:t>面积及管控要求</w:t>
            </w:r>
          </w:p>
        </w:tc>
        <w:tc>
          <w:tcPr>
            <w:tcW w:w="3617" w:type="dxa"/>
            <w:vAlign w:val="center"/>
          </w:tcPr>
          <w:p>
            <w:pPr>
              <w:jc w:val="center"/>
              <w:rPr>
                <w:rFonts w:ascii="Times New Roman" w:hAnsi="Times New Roman"/>
                <w:sz w:val="21"/>
                <w:szCs w:val="21"/>
              </w:rPr>
            </w:pPr>
            <w:r>
              <w:rPr>
                <w:rFonts w:ascii="Times New Roman" w:hAnsi="Times New Roman"/>
                <w:sz w:val="21"/>
                <w:szCs w:val="21"/>
              </w:rPr>
              <w:t>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87" w:hRule="atLeast"/>
        </w:trPr>
        <w:tc>
          <w:tcPr>
            <w:tcW w:w="873" w:type="dxa"/>
            <w:vAlign w:val="center"/>
          </w:tcPr>
          <w:p>
            <w:pPr>
              <w:jc w:val="center"/>
              <w:rPr>
                <w:rFonts w:ascii="Times New Roman" w:hAnsi="Times New Roman"/>
                <w:sz w:val="21"/>
                <w:szCs w:val="21"/>
              </w:rPr>
            </w:pPr>
            <w:r>
              <w:rPr>
                <w:rFonts w:ascii="Times New Roman" w:hAnsi="Times New Roman"/>
                <w:sz w:val="21"/>
                <w:szCs w:val="21"/>
              </w:rPr>
              <w:t>开发区</w:t>
            </w:r>
          </w:p>
        </w:tc>
        <w:tc>
          <w:tcPr>
            <w:tcW w:w="2813" w:type="dxa"/>
            <w:vAlign w:val="center"/>
          </w:tcPr>
          <w:p>
            <w:pPr>
              <w:jc w:val="center"/>
              <w:rPr>
                <w:rFonts w:ascii="Times New Roman" w:hAnsi="Times New Roman"/>
                <w:sz w:val="21"/>
                <w:szCs w:val="21"/>
              </w:rPr>
            </w:pPr>
            <w:r>
              <w:rPr>
                <w:rFonts w:ascii="Times New Roman" w:hAnsi="Times New Roman"/>
                <w:sz w:val="21"/>
                <w:szCs w:val="21"/>
              </w:rPr>
              <w:t>苏布尔噶井田、纳林希里井田、壕赖苏井田、奎腾沟井田</w:t>
            </w:r>
          </w:p>
        </w:tc>
        <w:tc>
          <w:tcPr>
            <w:tcW w:w="2317" w:type="dxa"/>
            <w:vAlign w:val="center"/>
          </w:tcPr>
          <w:p>
            <w:pPr>
              <w:rPr>
                <w:rFonts w:ascii="Times New Roman" w:hAnsi="Times New Roman"/>
                <w:sz w:val="21"/>
                <w:szCs w:val="21"/>
              </w:rPr>
            </w:pPr>
            <w:r>
              <w:rPr>
                <w:rFonts w:ascii="Times New Roman" w:hAnsi="Times New Roman"/>
                <w:sz w:val="21"/>
                <w:szCs w:val="21"/>
              </w:rPr>
              <w:t>开发时序根据能源基地煤炭深加工和煤炭供需情况适时推进。后开发过程中应做好生态整治与恢复。</w:t>
            </w:r>
          </w:p>
        </w:tc>
        <w:tc>
          <w:tcPr>
            <w:tcW w:w="3617" w:type="dxa"/>
            <w:vAlign w:val="center"/>
          </w:tcPr>
          <w:p>
            <w:pPr>
              <w:jc w:val="left"/>
              <w:rPr>
                <w:rFonts w:ascii="Times New Roman" w:hAnsi="Times New Roman"/>
                <w:bCs/>
                <w:sz w:val="21"/>
                <w:szCs w:val="21"/>
              </w:rPr>
            </w:pPr>
            <w:r>
              <w:rPr>
                <w:rFonts w:ascii="Times New Roman" w:hAnsi="Times New Roman"/>
                <w:bCs/>
                <w:sz w:val="21"/>
                <w:szCs w:val="21"/>
              </w:rPr>
              <w:t>《内蒙古自治区国民经济和社会发展第十四个五年规划和2035年远景目标纲要》、《内蒙古自治区党委 自治区人民政府关于促进煤炭工业高质量发展的意见》（内党发[2021]8号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13" w:hRule="atLeast"/>
        </w:trPr>
        <w:tc>
          <w:tcPr>
            <w:tcW w:w="873" w:type="dxa"/>
            <w:vAlign w:val="center"/>
          </w:tcPr>
          <w:p>
            <w:pPr>
              <w:jc w:val="center"/>
              <w:rPr>
                <w:rFonts w:ascii="Times New Roman" w:hAnsi="Times New Roman"/>
                <w:sz w:val="21"/>
                <w:szCs w:val="21"/>
              </w:rPr>
            </w:pPr>
            <w:r>
              <w:rPr>
                <w:rFonts w:ascii="Times New Roman" w:hAnsi="Times New Roman"/>
                <w:sz w:val="21"/>
                <w:szCs w:val="21"/>
              </w:rPr>
              <w:t>禁止开发区</w:t>
            </w:r>
          </w:p>
        </w:tc>
        <w:tc>
          <w:tcPr>
            <w:tcW w:w="2813" w:type="dxa"/>
            <w:vAlign w:val="center"/>
          </w:tcPr>
          <w:p>
            <w:pPr>
              <w:jc w:val="center"/>
              <w:rPr>
                <w:rFonts w:ascii="Times New Roman" w:hAnsi="Times New Roman"/>
                <w:sz w:val="21"/>
                <w:szCs w:val="21"/>
              </w:rPr>
            </w:pPr>
            <w:r>
              <w:rPr>
                <w:rFonts w:ascii="Times New Roman" w:hAnsi="Times New Roman"/>
                <w:sz w:val="21"/>
                <w:szCs w:val="21"/>
              </w:rPr>
              <w:t>红庆河镇规划范围</w:t>
            </w:r>
          </w:p>
        </w:tc>
        <w:tc>
          <w:tcPr>
            <w:tcW w:w="2317" w:type="dxa"/>
            <w:vAlign w:val="center"/>
          </w:tcPr>
          <w:p>
            <w:pPr>
              <w:jc w:val="center"/>
              <w:rPr>
                <w:rFonts w:ascii="Times New Roman" w:hAnsi="Times New Roman"/>
                <w:sz w:val="21"/>
                <w:szCs w:val="21"/>
              </w:rPr>
            </w:pPr>
            <w:r>
              <w:rPr>
                <w:rFonts w:ascii="Times New Roman" w:hAnsi="Times New Roman"/>
                <w:sz w:val="21"/>
                <w:szCs w:val="21"/>
              </w:rPr>
              <w:t>禁止开发</w:t>
            </w:r>
          </w:p>
        </w:tc>
        <w:tc>
          <w:tcPr>
            <w:tcW w:w="3617" w:type="dxa"/>
            <w:vAlign w:val="center"/>
          </w:tcPr>
          <w:p>
            <w:pPr>
              <w:rPr>
                <w:rFonts w:ascii="Times New Roman" w:hAnsi="Times New Roman"/>
                <w:sz w:val="21"/>
                <w:szCs w:val="21"/>
              </w:rPr>
            </w:pPr>
            <w:r>
              <w:rPr>
                <w:rFonts w:ascii="Times New Roman" w:hAnsi="Times New Roman"/>
                <w:bCs/>
                <w:sz w:val="21"/>
                <w:szCs w:val="21"/>
              </w:rPr>
              <w:t>《内蒙古自治区人民政府关于实施“三线一单”生态环境分区管控的意见》、自治区“三线一单”相关要求</w:t>
            </w:r>
          </w:p>
        </w:tc>
      </w:tr>
    </w:tbl>
    <w:p>
      <w:pPr>
        <w:keepNext/>
        <w:keepLines/>
        <w:snapToGrid w:val="0"/>
        <w:spacing w:before="260" w:after="260" w:line="440" w:lineRule="exact"/>
        <w:outlineLvl w:val="1"/>
        <w:rPr>
          <w:rFonts w:ascii="Times New Roman" w:hAnsi="Times New Roman"/>
          <w:b/>
          <w:bCs/>
          <w:sz w:val="28"/>
          <w:szCs w:val="32"/>
        </w:rPr>
      </w:pPr>
      <w:bookmarkStart w:id="348" w:name="_Toc17729"/>
      <w:r>
        <w:rPr>
          <w:rFonts w:ascii="Times New Roman" w:hAnsi="Times New Roman"/>
          <w:b/>
          <w:bCs/>
          <w:sz w:val="28"/>
          <w:szCs w:val="32"/>
        </w:rPr>
        <w:t>7.5 规划环评与规划编制的互动成果</w:t>
      </w:r>
      <w:bookmarkEnd w:id="348"/>
    </w:p>
    <w:p>
      <w:pPr>
        <w:spacing w:line="440" w:lineRule="exact"/>
        <w:ind w:firstLine="480" w:firstLineChars="200"/>
        <w:rPr>
          <w:rFonts w:ascii="Times New Roman" w:hAnsi="Times New Roman"/>
          <w:bCs/>
        </w:rPr>
      </w:pPr>
      <w:r>
        <w:rPr>
          <w:rFonts w:ascii="Times New Roman" w:hAnsi="Times New Roman"/>
          <w:bCs/>
        </w:rPr>
        <w:t>根据</w:t>
      </w:r>
      <w:r>
        <w:rPr>
          <w:rFonts w:ascii="Times New Roman" w:hAnsi="Times New Roman"/>
        </w:rPr>
        <w:t>规划环评导则之中“早期介入、过程互动”的原则，规划环评应在规划编制的早期阶段介入，在前期研究和方案编制、论证、审定等关键环节和过程中充分互动，不断优化规划方案，提高环境合理性。</w:t>
      </w:r>
      <w:r>
        <w:rPr>
          <w:rFonts w:ascii="Times New Roman" w:hAnsi="Times New Roman"/>
          <w:bCs/>
        </w:rPr>
        <w:t>在本次规划环评编制过程中，及时与规划编制单位进行了沟通，主要互动成果如下：</w:t>
      </w:r>
    </w:p>
    <w:p>
      <w:pPr>
        <w:numPr>
          <w:ilvl w:val="0"/>
          <w:numId w:val="21"/>
        </w:numPr>
        <w:adjustRightInd w:val="0"/>
        <w:snapToGrid w:val="0"/>
        <w:spacing w:line="440" w:lineRule="exact"/>
        <w:ind w:firstLine="482"/>
        <w:rPr>
          <w:rFonts w:ascii="Times New Roman" w:hAnsi="Times New Roman"/>
          <w:szCs w:val="24"/>
        </w:rPr>
      </w:pPr>
      <w:r>
        <w:rPr>
          <w:rFonts w:ascii="Times New Roman" w:hAnsi="Times New Roman"/>
          <w:szCs w:val="24"/>
        </w:rPr>
        <w:t>矿区范围调整</w:t>
      </w:r>
    </w:p>
    <w:p>
      <w:pPr>
        <w:numPr>
          <w:ilvl w:val="255"/>
          <w:numId w:val="0"/>
        </w:numPr>
        <w:adjustRightInd w:val="0"/>
        <w:snapToGrid w:val="0"/>
        <w:spacing w:line="440" w:lineRule="exact"/>
        <w:ind w:firstLine="480" w:firstLineChars="200"/>
        <w:rPr>
          <w:rFonts w:ascii="Times New Roman" w:hAnsi="Times New Roman"/>
          <w:szCs w:val="24"/>
        </w:rPr>
      </w:pPr>
      <w:bookmarkStart w:id="349" w:name="_Hlk119072352"/>
      <w:r>
        <w:rPr>
          <w:rFonts w:ascii="Times New Roman" w:hAnsi="Times New Roman"/>
          <w:szCs w:val="24"/>
        </w:rPr>
        <w:t>根据本次评价初期调查，矿区勘查区分布有生态保护红线，经本规划环评单位与建设单位反复沟通，现已将勘查区处红线区剔除矿区范围。矿区与生态保护红线无重叠。</w:t>
      </w:r>
    </w:p>
    <w:bookmarkEnd w:id="349"/>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（2）在规划环评编制过程中，本单位及时向规划编制单位反馈公益林、基本草原的有关情况，并根据《国家公益林管理办法》提出保护建议。编制单位采纳了建议，对工业场地，道路等选址选线进行调整。</w:t>
      </w:r>
    </w:p>
    <w:p>
      <w:pPr>
        <w:pStyle w:val="4"/>
        <w:adjustRightInd w:val="0"/>
        <w:snapToGrid w:val="0"/>
        <w:spacing w:line="440" w:lineRule="exact"/>
        <w:jc w:val="left"/>
        <w:rPr>
          <w:rFonts w:ascii="Times New Roman" w:hAnsi="Times New Roman" w:eastAsia="宋体"/>
          <w:sz w:val="28"/>
        </w:rPr>
      </w:pPr>
      <w:bookmarkStart w:id="350" w:name="_Toc6886"/>
      <w:r>
        <w:rPr>
          <w:rFonts w:ascii="Times New Roman" w:hAnsi="Times New Roman" w:eastAsia="宋体"/>
          <w:sz w:val="28"/>
        </w:rPr>
        <w:t>7.6 矿区规划实施环境目标可达性分析</w:t>
      </w:r>
      <w:bookmarkEnd w:id="347"/>
      <w:bookmarkEnd w:id="350"/>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本报告利用第五章构建的矿区规划环境影响评价指标体系和提出的指标建议值，分析本矿区对这些指标建议值的可达性，并提出达到这些指标值需要采取的措施。</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矿区环境目标可达性分析见下表7.6-1。</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由表7.6-1可知，若矿区能够严格按照总体规划及本环评报告中提出的环境保护要求安排生产，矿区规划的环境影响评价指标是可达的，矿区开发将符合国家国民经济和社会发展“十四五”规划要求，符合国家产业和环保政策要求，能够提高煤炭资源利用率、节约资源和能源、避免和减缓矿区开发产生的污染影响和生态影响，能够促进国家和地方经济可持续发展，矿区总体发展水平将符合煤炭行业清洁生产要求，达到国际先进水平。</w:t>
      </w:r>
    </w:p>
    <w:p>
      <w:pPr>
        <w:spacing w:line="440" w:lineRule="exact"/>
        <w:jc w:val="center"/>
        <w:rPr>
          <w:rFonts w:ascii="Times New Roman" w:hAnsi="Times New Roman"/>
          <w:b/>
          <w:szCs w:val="24"/>
          <w:lang w:bidi="ar"/>
        </w:rPr>
      </w:pPr>
      <w:r>
        <w:rPr>
          <w:rFonts w:ascii="Times New Roman" w:hAnsi="Times New Roman"/>
          <w:b/>
          <w:szCs w:val="24"/>
          <w:lang w:bidi="ar"/>
        </w:rPr>
        <w:t>矿区环境目标可达性分析表</w:t>
      </w:r>
    </w:p>
    <w:p>
      <w:pPr>
        <w:spacing w:line="240" w:lineRule="atLeast"/>
        <w:rPr>
          <w:rFonts w:ascii="Times New Roman" w:hAnsi="Times New Roman"/>
          <w:b/>
          <w:szCs w:val="24"/>
          <w:lang w:bidi="ar"/>
        </w:rPr>
      </w:pPr>
      <w:r>
        <w:rPr>
          <w:rFonts w:ascii="Times New Roman" w:hAnsi="Times New Roman"/>
          <w:b/>
          <w:szCs w:val="24"/>
          <w:lang w:bidi="ar"/>
        </w:rPr>
        <w:t>表7.6-1</w:t>
      </w:r>
    </w:p>
    <w:tbl>
      <w:tblPr>
        <w:tblStyle w:val="59"/>
        <w:tblpPr w:leftFromText="180" w:rightFromText="180" w:vertAnchor="text" w:horzAnchor="page" w:tblpX="1337" w:tblpY="324"/>
        <w:tblOverlap w:val="never"/>
        <w:tblW w:w="92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
        <w:gridCol w:w="489"/>
        <w:gridCol w:w="533"/>
        <w:gridCol w:w="1412"/>
        <w:gridCol w:w="705"/>
        <w:gridCol w:w="2676"/>
        <w:gridCol w:w="1850"/>
        <w:gridCol w:w="11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451"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环境</w:t>
            </w:r>
          </w:p>
          <w:p>
            <w:pPr>
              <w:spacing w:line="240" w:lineRule="atLeast"/>
              <w:jc w:val="center"/>
              <w:outlineLvl w:val="4"/>
              <w:rPr>
                <w:rFonts w:ascii="Times New Roman" w:hAnsi="Times New Roman"/>
                <w:sz w:val="21"/>
                <w:szCs w:val="21"/>
              </w:rPr>
            </w:pPr>
            <w:r>
              <w:rPr>
                <w:rFonts w:ascii="Times New Roman" w:hAnsi="Times New Roman"/>
                <w:sz w:val="21"/>
                <w:szCs w:val="21"/>
                <w:lang w:bidi="ar"/>
              </w:rPr>
              <w:t>目标</w:t>
            </w:r>
          </w:p>
        </w:tc>
        <w:tc>
          <w:tcPr>
            <w:tcW w:w="2434" w:type="dxa"/>
            <w:gridSpan w:val="3"/>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评价指标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规划水平</w:t>
            </w:r>
          </w:p>
          <w:p>
            <w:pPr>
              <w:spacing w:line="240" w:lineRule="atLeast"/>
              <w:jc w:val="center"/>
              <w:outlineLvl w:val="4"/>
              <w:rPr>
                <w:rFonts w:ascii="Times New Roman" w:hAnsi="Times New Roman"/>
                <w:sz w:val="21"/>
                <w:szCs w:val="21"/>
              </w:rPr>
            </w:pPr>
            <w:r>
              <w:rPr>
                <w:rFonts w:ascii="Times New Roman" w:hAnsi="Times New Roman"/>
                <w:sz w:val="21"/>
                <w:szCs w:val="21"/>
                <w:lang w:bidi="ar"/>
              </w:rPr>
              <w:t>目标值</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规划实施具体指标值分析</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环评推荐</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资源开发利用</w:t>
            </w:r>
          </w:p>
        </w:tc>
        <w:tc>
          <w:tcPr>
            <w:tcW w:w="1022" w:type="dxa"/>
            <w:gridSpan w:val="2"/>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生产工艺及装备指标</w:t>
            </w:r>
          </w:p>
        </w:tc>
        <w:tc>
          <w:tcPr>
            <w:tcW w:w="1412"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煤矿机械化采煤比例（％）</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符合《煤炭采选业清洁生产评价指标体系》Ⅰ级技术指标</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≥95%</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restart"/>
            <w:tcBorders>
              <w:top w:val="nil"/>
              <w:left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533"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exact"/>
              <w:outlineLvl w:val="4"/>
              <w:rPr>
                <w:rFonts w:ascii="Times New Roman" w:hAnsi="Times New Roman"/>
                <w:sz w:val="21"/>
                <w:szCs w:val="21"/>
              </w:rPr>
            </w:pPr>
            <w:r>
              <w:rPr>
                <w:rFonts w:ascii="Times New Roman" w:hAnsi="Times New Roman"/>
                <w:sz w:val="21"/>
                <w:szCs w:val="21"/>
                <w:lang w:bidi="ar"/>
              </w:rPr>
              <w:t>采</w:t>
            </w:r>
            <w:r>
              <w:rPr>
                <w:rFonts w:ascii="Times New Roman" w:hAnsi="Times New Roman"/>
                <w:sz w:val="18"/>
                <w:szCs w:val="18"/>
                <w:lang w:bidi="ar"/>
              </w:rPr>
              <w:t>区回采率（％）——井工</w:t>
            </w:r>
          </w:p>
        </w:tc>
        <w:tc>
          <w:tcPr>
            <w:tcW w:w="1412"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煤层厚度≤1.3m</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restart"/>
            <w:tcBorders>
              <w:top w:val="nil"/>
              <w:left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r>
              <w:rPr>
                <w:rFonts w:ascii="Times New Roman" w:hAnsi="Times New Roman"/>
                <w:sz w:val="21"/>
                <w:szCs w:val="21"/>
              </w:rPr>
              <w:t>规划煤矿为大型矿井，根据目前的技术形势，环评要求煤矿按照《煤炭采选业清洁生产评价指标体系》Ⅰ级技术指标进行设计生产，满足《生产煤矿回采率管理暂行规定》，同时不得低于绿色矿山建设规范指标要求。</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≥85</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533"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412"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煤层厚度1.3～3.5m</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≥80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533"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412"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煤层厚度≥3.5m</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≥75</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left"/>
              <w:outlineLvl w:val="4"/>
              <w:rPr>
                <w:rFonts w:ascii="Times New Roman" w:hAnsi="Times New Roman"/>
                <w:sz w:val="21"/>
                <w:szCs w:val="21"/>
              </w:rPr>
            </w:pPr>
            <w:r>
              <w:rPr>
                <w:rFonts w:ascii="Times New Roman" w:hAnsi="Times New Roman"/>
                <w:sz w:val="21"/>
                <w:szCs w:val="21"/>
                <w:lang w:bidi="ar"/>
              </w:rPr>
              <w:t>原煤生产电耗（kWh/ t煤）</w:t>
            </w:r>
          </w:p>
        </w:tc>
        <w:tc>
          <w:tcPr>
            <w:tcW w:w="705"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符合《煤炭采选业清洁生产评价指标体系》Ⅰ级技术指标</w:t>
            </w:r>
          </w:p>
        </w:tc>
        <w:tc>
          <w:tcPr>
            <w:tcW w:w="1850" w:type="dxa"/>
            <w:vMerge w:val="restart"/>
            <w:tcBorders>
              <w:top w:val="single" w:color="auto" w:sz="4" w:space="0"/>
              <w:left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井工：≤18</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left"/>
              <w:rPr>
                <w:rFonts w:ascii="Times New Roman" w:hAnsi="Times New Roman"/>
                <w:sz w:val="20"/>
              </w:rPr>
            </w:pPr>
          </w:p>
        </w:tc>
        <w:tc>
          <w:tcPr>
            <w:tcW w:w="705"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vMerge w:val="continue"/>
            <w:tcBorders>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rPr>
                <w:rFonts w:ascii="Times New Roman" w:hAnsi="Times New Roman"/>
                <w:sz w:val="21"/>
                <w:szCs w:val="21"/>
              </w:rPr>
            </w:pP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left"/>
              <w:outlineLvl w:val="4"/>
              <w:rPr>
                <w:rFonts w:ascii="Times New Roman" w:hAnsi="Times New Roman"/>
                <w:sz w:val="21"/>
                <w:szCs w:val="21"/>
              </w:rPr>
            </w:pPr>
            <w:r>
              <w:rPr>
                <w:rFonts w:ascii="Times New Roman" w:hAnsi="Times New Roman"/>
                <w:bCs/>
                <w:sz w:val="21"/>
                <w:szCs w:val="21"/>
                <w:lang w:bidi="ar"/>
              </w:rPr>
              <w:t>原煤生产水耗（不含选煤厂）</w:t>
            </w:r>
          </w:p>
        </w:tc>
        <w:tc>
          <w:tcPr>
            <w:tcW w:w="705"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vMerge w:val="restart"/>
            <w:tcBorders>
              <w:top w:val="single" w:color="auto" w:sz="4" w:space="0"/>
              <w:left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井工：0.15 m</w:t>
            </w:r>
            <w:r>
              <w:rPr>
                <w:rFonts w:ascii="Times New Roman" w:hAnsi="Times New Roman"/>
                <w:sz w:val="21"/>
                <w:szCs w:val="21"/>
                <w:vertAlign w:val="superscript"/>
                <w:lang w:bidi="ar"/>
              </w:rPr>
              <w:t>3</w:t>
            </w:r>
            <w:r>
              <w:rPr>
                <w:rFonts w:ascii="Times New Roman" w:hAnsi="Times New Roman"/>
                <w:sz w:val="21"/>
                <w:szCs w:val="21"/>
                <w:lang w:bidi="ar"/>
              </w:rPr>
              <w:t>/t煤</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705"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vMerge w:val="continue"/>
            <w:tcBorders>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rPr>
                <w:rFonts w:ascii="Times New Roman" w:hAnsi="Times New Roman"/>
                <w:sz w:val="21"/>
                <w:szCs w:val="21"/>
              </w:rPr>
            </w:pP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restart"/>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资源综合利用指标</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当年产生煤矸石综合利用率（％）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矸石用于充填井下，也可结合生态恢复治理的需要充填沉陷区使用。</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矿井水利用率（％）（水资源丰富矿区）</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矿区属水资源丰富矿区，矿井水100%回用</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70%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矿区生活污水综合利用率（％）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生活污水100%回用</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restart"/>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资源承载力指标</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区域水资源承载力</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区域水资源可以支撑矿区总体规划方案的实施。</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可承载，不对区域“三生用水”产生大的影响.</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区域生态承载力</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矿区生态承载力较好，在开发过程中以开发和生态环境保护并重，采取的环境影响减缓措施（如废水资源化、增加环保设施投资及生态整治）可减缓矿区开发环境影响。</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使区域生态环境不受大的影响、维持区域生态系统功能</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区域土地资源承载力</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矿区开发不会对区域土地利用现状造成大的改变</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可承载，不对区域土地利用结构产生大的影响</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污染防治</w:t>
            </w:r>
          </w:p>
        </w:tc>
        <w:tc>
          <w:tcPr>
            <w:tcW w:w="489" w:type="dxa"/>
            <w:vMerge w:val="restart"/>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大气污染控制指标</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工业废气处理率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按照环境保护及环评一般要求，要求矿区工业废气处理率和大气污染源达标排放率必须达到100%</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大气污染物达标排放率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restart"/>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水污染控制指标</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工业废水及生活污水处理率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要求矿区工业废水和生活污水处理率必须达到100%</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水污染达标排放率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全部回用，无污水外排</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restart"/>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固体废物处置指标</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煤矸石、煤泥处置率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2676"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煤矸石、生活垃圾、污水处理站污泥处置率要达到100%处</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生活垃圾无害化处置率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污泥处置率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噪声环境影响指标</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声环境功能区达标率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环境质量改善</w:t>
            </w:r>
          </w:p>
        </w:tc>
        <w:tc>
          <w:tcPr>
            <w:tcW w:w="489"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环境</w:t>
            </w:r>
          </w:p>
          <w:p>
            <w:pPr>
              <w:spacing w:line="240" w:lineRule="atLeast"/>
              <w:outlineLvl w:val="4"/>
              <w:rPr>
                <w:rFonts w:ascii="Times New Roman" w:hAnsi="Times New Roman"/>
                <w:sz w:val="21"/>
                <w:szCs w:val="21"/>
              </w:rPr>
            </w:pPr>
            <w:r>
              <w:rPr>
                <w:rFonts w:ascii="Times New Roman" w:hAnsi="Times New Roman"/>
                <w:sz w:val="21"/>
                <w:szCs w:val="21"/>
                <w:lang w:bidi="ar"/>
              </w:rPr>
              <w:t>空气</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环境空气质量2类区达标率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矿区环境空气质量保持2类区</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地表水</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地表水III类水体达标率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矿区地表水保持III类水体功能</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地下水</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地下水III类水达标率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矿区地下水保持III类水体功能</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声环境</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声环境2类区达标率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矿区声环境保持2类区</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土壤</w:t>
            </w:r>
          </w:p>
          <w:p>
            <w:pPr>
              <w:spacing w:line="240" w:lineRule="atLeast"/>
              <w:outlineLvl w:val="4"/>
              <w:rPr>
                <w:rFonts w:ascii="Times New Roman" w:hAnsi="Times New Roman"/>
                <w:sz w:val="21"/>
                <w:szCs w:val="21"/>
              </w:rPr>
            </w:pPr>
            <w:r>
              <w:rPr>
                <w:rFonts w:ascii="Times New Roman" w:hAnsi="Times New Roman"/>
                <w:sz w:val="21"/>
                <w:szCs w:val="21"/>
                <w:lang w:bidi="ar"/>
              </w:rPr>
              <w:t>环境</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农用地土壤污染风险管制值达标率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矿区土壤环境质量不超过农用地土壤污染风险管制值</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生态功能保护</w:t>
            </w:r>
          </w:p>
        </w:tc>
        <w:tc>
          <w:tcPr>
            <w:tcW w:w="489" w:type="dxa"/>
            <w:vMerge w:val="restart"/>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生态保护与恢复指标</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扰动土地治理率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评价区属草原区。水土流失主要类型以为风力侵蚀为主，兼有水力侵蚀，原始地貌土壤侵蚀以中度侵蚀为主，故按照水土流失治理一级标准，确定生态保护与恢复指标。</w:t>
            </w:r>
          </w:p>
          <w:p>
            <w:pPr>
              <w:spacing w:line="240" w:lineRule="atLeast"/>
              <w:outlineLvl w:val="4"/>
              <w:rPr>
                <w:rFonts w:ascii="Times New Roman" w:hAnsi="Times New Roman"/>
                <w:sz w:val="21"/>
                <w:szCs w:val="21"/>
              </w:rPr>
            </w:pPr>
            <w:r>
              <w:rPr>
                <w:rFonts w:ascii="Times New Roman" w:hAnsi="Times New Roman"/>
                <w:sz w:val="21"/>
                <w:szCs w:val="21"/>
                <w:lang w:bidi="ar"/>
              </w:rPr>
              <w:t>若按照本报告提出的优化调整建议及沉陷治理、水土流失治理等措施，规划开发不会造成区域生态系统功能发生不可逆的变化</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90%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水土流失总治理度</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93%</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vMerge w:val="restart"/>
            <w:tcBorders>
              <w:top w:val="single" w:color="auto" w:sz="4" w:space="0"/>
              <w:left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土壤流失控制比——远期 井工</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vMerge w:val="restart"/>
            <w:tcBorders>
              <w:top w:val="single" w:color="auto" w:sz="4" w:space="0"/>
              <w:left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0.8</w:t>
            </w:r>
          </w:p>
        </w:tc>
        <w:tc>
          <w:tcPr>
            <w:tcW w:w="1169" w:type="dxa"/>
            <w:vMerge w:val="restart"/>
            <w:tcBorders>
              <w:top w:val="single" w:color="auto" w:sz="4" w:space="0"/>
              <w:left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vMerge w:val="continue"/>
            <w:tcBorders>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rPr>
                <w:rFonts w:ascii="Times New Roman" w:hAnsi="Times New Roman"/>
                <w:sz w:val="21"/>
                <w:szCs w:val="21"/>
              </w:rPr>
            </w:pP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rPr>
                <w:rFonts w:ascii="Times New Roman" w:hAnsi="Times New Roman"/>
                <w:sz w:val="21"/>
                <w:szCs w:val="21"/>
              </w:rPr>
            </w:pP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vMerge w:val="continue"/>
            <w:tcBorders>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rPr>
                <w:rFonts w:ascii="Times New Roman" w:hAnsi="Times New Roman"/>
                <w:sz w:val="21"/>
                <w:szCs w:val="21"/>
              </w:rPr>
            </w:pPr>
          </w:p>
        </w:tc>
        <w:tc>
          <w:tcPr>
            <w:tcW w:w="1169" w:type="dxa"/>
            <w:vMerge w:val="continue"/>
            <w:tcBorders>
              <w:left w:val="single" w:color="auto" w:sz="4" w:space="0"/>
              <w:bottom w:val="single" w:color="auto" w:sz="4" w:space="0"/>
              <w:right w:val="single" w:color="auto" w:sz="4" w:space="0"/>
            </w:tcBorders>
            <w:shd w:val="clear" w:color="auto" w:fill="auto"/>
            <w:vAlign w:val="center"/>
          </w:tcPr>
          <w:p>
            <w:pPr>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危害性裂缝等沉陷灾害的治理率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100%</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工业场地林草覆盖率（％）</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≥18</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jc w:val="cente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生态系统整体性和生态功能变化趋势</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保持生态系统完整，促成生态系统功能向好的方向发展</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促进区域社会经济发展</w:t>
            </w:r>
          </w:p>
        </w:tc>
        <w:tc>
          <w:tcPr>
            <w:tcW w:w="489" w:type="dxa"/>
            <w:vMerge w:val="restart"/>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社会发展指标</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单位生产总值能耗降低（%）</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restart"/>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根据《内蒙古自治区国民经济和社会发展第十四个五年规划和2035年远景目标纲要》</w:t>
            </w:r>
          </w:p>
          <w:p>
            <w:pPr>
              <w:spacing w:line="240" w:lineRule="atLeast"/>
              <w:rPr>
                <w:rFonts w:ascii="Times New Roman" w:hAnsi="Times New Roman"/>
                <w:sz w:val="21"/>
                <w:szCs w:val="21"/>
              </w:rPr>
            </w:pPr>
          </w:p>
          <w:p>
            <w:pPr>
              <w:spacing w:line="240" w:lineRule="atLeast"/>
              <w:outlineLvl w:val="4"/>
              <w:rPr>
                <w:rFonts w:ascii="Times New Roman" w:hAnsi="Times New Roman"/>
                <w:sz w:val="21"/>
                <w:szCs w:val="21"/>
              </w:rPr>
            </w:pPr>
            <w:r>
              <w:rPr>
                <w:rFonts w:ascii="Times New Roman" w:hAnsi="Times New Roman"/>
                <w:sz w:val="21"/>
                <w:szCs w:val="21"/>
                <w:lang w:bidi="ar"/>
              </w:rPr>
              <w:t>矿区开发将带来地方税金和财政收入的大大提高，促进所在地区经济的进一步发展，并带动地区其他产业的发展，从而提供大量就业机会，最终规划实施将提高当地居民生活水平和质量。</w:t>
            </w: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降低</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单位生产总值用水量降低（%）</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降低</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restart"/>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经济发展指标</w:t>
            </w: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工业总产值增加值（万元）</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提高</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1"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489" w:type="dxa"/>
            <w:vMerge w:val="continue"/>
            <w:tcBorders>
              <w:top w:val="nil"/>
              <w:left w:val="single" w:color="auto" w:sz="4" w:space="0"/>
              <w:bottom w:val="single" w:color="auto" w:sz="4" w:space="0"/>
              <w:right w:val="single" w:color="auto" w:sz="4" w:space="0"/>
            </w:tcBorders>
            <w:shd w:val="clear" w:color="auto" w:fill="auto"/>
            <w:tcMar>
              <w:left w:w="28" w:type="dxa"/>
              <w:right w:w="28" w:type="dxa"/>
            </w:tcMar>
            <w:vAlign w:val="center"/>
          </w:tcPr>
          <w:p>
            <w:pPr>
              <w:rPr>
                <w:rFonts w:ascii="Times New Roman" w:hAnsi="Times New Roman"/>
                <w:sz w:val="20"/>
              </w:rPr>
            </w:pPr>
          </w:p>
        </w:tc>
        <w:tc>
          <w:tcPr>
            <w:tcW w:w="1945" w:type="dxa"/>
            <w:gridSpan w:val="2"/>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outlineLvl w:val="4"/>
              <w:rPr>
                <w:rFonts w:ascii="Times New Roman" w:hAnsi="Times New Roman"/>
                <w:sz w:val="21"/>
                <w:szCs w:val="21"/>
              </w:rPr>
            </w:pPr>
            <w:r>
              <w:rPr>
                <w:rFonts w:ascii="Times New Roman" w:hAnsi="Times New Roman"/>
                <w:sz w:val="21"/>
                <w:szCs w:val="21"/>
                <w:lang w:bidi="ar"/>
              </w:rPr>
              <w:t>税收（万元）</w:t>
            </w:r>
          </w:p>
        </w:tc>
        <w:tc>
          <w:tcPr>
            <w:tcW w:w="705"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w:t>
            </w:r>
          </w:p>
        </w:tc>
        <w:tc>
          <w:tcPr>
            <w:tcW w:w="2676" w:type="dxa"/>
            <w:vMerge w:val="continue"/>
            <w:tcBorders>
              <w:top w:val="nil"/>
              <w:left w:val="single" w:color="auto" w:sz="4" w:space="0"/>
              <w:bottom w:val="single" w:color="auto" w:sz="4" w:space="0"/>
              <w:right w:val="single" w:color="auto" w:sz="4" w:space="0"/>
            </w:tcBorders>
            <w:shd w:val="clear" w:color="auto" w:fill="auto"/>
            <w:tcMar>
              <w:left w:w="57" w:type="dxa"/>
              <w:right w:w="57" w:type="dxa"/>
            </w:tcMar>
            <w:vAlign w:val="center"/>
          </w:tcPr>
          <w:p>
            <w:pPr>
              <w:rPr>
                <w:rFonts w:ascii="Times New Roman" w:hAnsi="Times New Roman"/>
                <w:sz w:val="20"/>
              </w:rPr>
            </w:pPr>
          </w:p>
        </w:tc>
        <w:tc>
          <w:tcPr>
            <w:tcW w:w="1850" w:type="dxa"/>
            <w:tcBorders>
              <w:top w:val="single" w:color="auto" w:sz="4" w:space="0"/>
              <w:left w:val="single" w:color="auto" w:sz="4" w:space="0"/>
              <w:bottom w:val="single" w:color="auto" w:sz="4" w:space="0"/>
              <w:right w:val="single" w:color="auto" w:sz="4" w:space="0"/>
            </w:tcBorders>
            <w:shd w:val="clear" w:color="auto" w:fill="auto"/>
            <w:tcMar>
              <w:left w:w="57" w:type="dxa"/>
              <w:right w:w="57" w:type="dxa"/>
            </w:tcMar>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增加</w:t>
            </w:r>
          </w:p>
        </w:tc>
        <w:tc>
          <w:tcPr>
            <w:tcW w:w="116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40" w:lineRule="atLeast"/>
              <w:jc w:val="center"/>
              <w:outlineLvl w:val="4"/>
              <w:rPr>
                <w:rFonts w:ascii="Times New Roman" w:hAnsi="Times New Roman"/>
                <w:sz w:val="21"/>
                <w:szCs w:val="21"/>
              </w:rPr>
            </w:pPr>
            <w:r>
              <w:rPr>
                <w:rFonts w:ascii="Times New Roman" w:hAnsi="Times New Roman"/>
                <w:sz w:val="21"/>
                <w:szCs w:val="21"/>
                <w:lang w:bidi="ar"/>
              </w:rPr>
              <w:t>可达</w:t>
            </w:r>
          </w:p>
        </w:tc>
      </w:tr>
    </w:tbl>
    <w:p>
      <w:pPr>
        <w:adjustRightInd w:val="0"/>
        <w:snapToGrid w:val="0"/>
        <w:spacing w:line="440" w:lineRule="exact"/>
        <w:ind w:firstLine="480" w:firstLineChars="200"/>
        <w:rPr>
          <w:rFonts w:ascii="Times New Roman" w:hAnsi="Times New Roman"/>
          <w:szCs w:val="24"/>
        </w:rPr>
      </w:pPr>
    </w:p>
    <w:p>
      <w:pPr>
        <w:adjustRightInd w:val="0"/>
        <w:snapToGrid w:val="0"/>
        <w:spacing w:line="440" w:lineRule="exact"/>
        <w:ind w:firstLine="480" w:firstLineChars="200"/>
        <w:rPr>
          <w:rFonts w:ascii="Times New Roman" w:hAnsi="Times New Roman"/>
          <w:szCs w:val="24"/>
        </w:rPr>
      </w:pPr>
    </w:p>
    <w:p>
      <w:pPr>
        <w:adjustRightInd w:val="0"/>
        <w:snapToGrid w:val="0"/>
        <w:spacing w:line="440" w:lineRule="exact"/>
        <w:ind w:firstLine="480" w:firstLineChars="200"/>
        <w:rPr>
          <w:rFonts w:ascii="Times New Roman" w:hAnsi="Times New Roman"/>
          <w:szCs w:val="24"/>
        </w:rPr>
        <w:sectPr>
          <w:headerReference r:id="rId32" w:type="default"/>
          <w:pgSz w:w="11906" w:h="16838"/>
          <w:pgMar w:top="1701" w:right="1418" w:bottom="1134" w:left="1418" w:header="1134" w:footer="851" w:gutter="0"/>
          <w:cols w:space="425" w:num="1"/>
          <w:docGrid w:linePitch="326" w:charSpace="0"/>
        </w:sectPr>
      </w:pPr>
    </w:p>
    <w:p>
      <w:pPr>
        <w:pStyle w:val="3"/>
        <w:adjustRightInd w:val="0"/>
        <w:snapToGrid w:val="0"/>
        <w:spacing w:before="360" w:after="360" w:line="440" w:lineRule="exact"/>
        <w:jc w:val="center"/>
        <w:rPr>
          <w:sz w:val="36"/>
        </w:rPr>
      </w:pPr>
      <w:bookmarkStart w:id="351" w:name="_Toc14460"/>
      <w:r>
        <w:rPr>
          <w:sz w:val="36"/>
        </w:rPr>
        <w:t>8 规划实施环境影响减缓措施</w:t>
      </w:r>
      <w:bookmarkEnd w:id="316"/>
      <w:bookmarkEnd w:id="323"/>
      <w:bookmarkEnd w:id="351"/>
    </w:p>
    <w:p>
      <w:pPr>
        <w:pStyle w:val="4"/>
        <w:adjustRightInd w:val="0"/>
        <w:snapToGrid w:val="0"/>
        <w:spacing w:line="440" w:lineRule="exact"/>
        <w:jc w:val="left"/>
        <w:rPr>
          <w:rFonts w:ascii="Times New Roman" w:hAnsi="Times New Roman" w:eastAsia="宋体"/>
          <w:sz w:val="28"/>
        </w:rPr>
      </w:pPr>
      <w:bookmarkStart w:id="352" w:name="_Toc163441030"/>
      <w:bookmarkStart w:id="353" w:name="_Toc18838468"/>
      <w:bookmarkStart w:id="354" w:name="_Toc17882"/>
      <w:bookmarkStart w:id="355" w:name="_Toc18838469"/>
      <w:bookmarkStart w:id="356" w:name="_Toc163441031"/>
      <w:r>
        <w:rPr>
          <w:rFonts w:ascii="Times New Roman" w:hAnsi="Times New Roman" w:eastAsia="宋体"/>
          <w:sz w:val="28"/>
        </w:rPr>
        <w:t>8.1 矿区生态环境综合整治措施</w:t>
      </w:r>
      <w:bookmarkEnd w:id="352"/>
      <w:bookmarkEnd w:id="353"/>
      <w:bookmarkEnd w:id="354"/>
    </w:p>
    <w:p>
      <w:pPr>
        <w:keepNext/>
        <w:keepLines/>
        <w:adjustRightInd w:val="0"/>
        <w:snapToGrid w:val="0"/>
        <w:spacing w:line="440" w:lineRule="exact"/>
        <w:outlineLvl w:val="2"/>
        <w:rPr>
          <w:rFonts w:ascii="Times New Roman" w:hAnsi="Times New Roman"/>
          <w:b/>
        </w:rPr>
      </w:pPr>
      <w:bookmarkStart w:id="357" w:name="_Toc279840397"/>
      <w:bookmarkStart w:id="358" w:name="_Toc303443138"/>
      <w:bookmarkStart w:id="359" w:name="_Toc302080648"/>
      <w:bookmarkStart w:id="360" w:name="_Toc279866382"/>
      <w:bookmarkStart w:id="361" w:name="_Toc279840215"/>
      <w:r>
        <w:rPr>
          <w:rFonts w:ascii="Times New Roman" w:hAnsi="Times New Roman"/>
          <w:b/>
        </w:rPr>
        <w:t>8.1.1 综合整治区划原则与方法</w:t>
      </w:r>
      <w:bookmarkEnd w:id="357"/>
      <w:bookmarkEnd w:id="358"/>
      <w:bookmarkEnd w:id="359"/>
      <w:bookmarkEnd w:id="360"/>
      <w:bookmarkEnd w:id="361"/>
    </w:p>
    <w:p>
      <w:pPr>
        <w:spacing w:line="440" w:lineRule="exact"/>
        <w:ind w:firstLine="480" w:firstLineChars="200"/>
        <w:rPr>
          <w:rFonts w:ascii="Times New Roman" w:hAnsi="Times New Roman"/>
          <w:szCs w:val="24"/>
        </w:rPr>
      </w:pPr>
      <w:r>
        <w:rPr>
          <w:rFonts w:ascii="Times New Roman" w:hAnsi="Times New Roman"/>
          <w:szCs w:val="24"/>
        </w:rPr>
        <w:t>综合整治分区是依据区域生态环境敏感性、生态服务功能重要性以及生态环境特征的相似性和差异性而进行的地理空间分区。</w:t>
      </w:r>
    </w:p>
    <w:p>
      <w:pPr>
        <w:spacing w:line="440" w:lineRule="exact"/>
        <w:ind w:firstLine="480" w:firstLineChars="200"/>
        <w:rPr>
          <w:rFonts w:ascii="Times New Roman" w:hAnsi="Times New Roman"/>
          <w:szCs w:val="24"/>
        </w:rPr>
      </w:pPr>
      <w:r>
        <w:rPr>
          <w:rFonts w:ascii="Times New Roman" w:hAnsi="Times New Roman"/>
          <w:szCs w:val="24"/>
        </w:rPr>
        <w:t>（1）综合整治区划应遵循以下原则：</w:t>
      </w:r>
    </w:p>
    <w:p>
      <w:pPr>
        <w:spacing w:line="440" w:lineRule="exact"/>
        <w:ind w:firstLine="480" w:firstLineChars="200"/>
        <w:rPr>
          <w:rFonts w:ascii="Times New Roman" w:hAnsi="Times New Roman"/>
          <w:szCs w:val="24"/>
        </w:rPr>
      </w:pPr>
      <w:r>
        <w:rPr>
          <w:rFonts w:ascii="Times New Roman" w:hAnsi="Times New Roman"/>
          <w:szCs w:val="24"/>
        </w:rPr>
        <w:t>发生学原则：生态系统服务功能是生态系统结构与过程与人类社会经济发展要求的综合结果。只有在充分调查分析生态系统结构与过程，与社会经济发展对生态环境要求，以及人类活动和生态服务功能的影响，及可能产生的生态环境问题后果的差异才能够提出科学的综合整治区划。</w:t>
      </w:r>
    </w:p>
    <w:p>
      <w:pPr>
        <w:spacing w:line="440" w:lineRule="exact"/>
        <w:ind w:firstLine="480" w:firstLineChars="200"/>
        <w:rPr>
          <w:rFonts w:ascii="Times New Roman" w:hAnsi="Times New Roman"/>
          <w:szCs w:val="24"/>
        </w:rPr>
      </w:pPr>
      <w:r>
        <w:rPr>
          <w:rFonts w:ascii="Times New Roman" w:hAnsi="Times New Roman"/>
          <w:szCs w:val="24"/>
        </w:rPr>
        <w:t>结构的相似性与差异性原则：自然地理环境是生态系统形成和分异的物质基础。但由于自然因素的差别和人类活动的影响，使得区域内生态系统的结构、过程和服务功能存在某些相似性和差异性，而识别这些自然单元加以概括，才是综合整治区划的本质。</w:t>
      </w:r>
    </w:p>
    <w:p>
      <w:pPr>
        <w:spacing w:line="440" w:lineRule="exact"/>
        <w:ind w:firstLine="480" w:firstLineChars="200"/>
        <w:rPr>
          <w:rFonts w:ascii="Times New Roman" w:hAnsi="Times New Roman"/>
          <w:szCs w:val="24"/>
        </w:rPr>
      </w:pPr>
      <w:r>
        <w:rPr>
          <w:rFonts w:ascii="Times New Roman" w:hAnsi="Times New Roman"/>
          <w:szCs w:val="24"/>
        </w:rPr>
        <w:t>综合分析原则：区域生态服务功能是自然环境因素与人类活动因素综合作用的体现，只有采用综合分析的方法，才能揭示区域生态服务功能形成机制及其区域差异，及其与人类活动的关系。</w:t>
      </w:r>
    </w:p>
    <w:p>
      <w:pPr>
        <w:spacing w:line="440" w:lineRule="exact"/>
        <w:ind w:firstLine="480" w:firstLineChars="200"/>
        <w:rPr>
          <w:rFonts w:ascii="Times New Roman" w:hAnsi="Times New Roman"/>
          <w:szCs w:val="24"/>
        </w:rPr>
      </w:pPr>
      <w:r>
        <w:rPr>
          <w:rFonts w:ascii="Times New Roman" w:hAnsi="Times New Roman"/>
          <w:szCs w:val="24"/>
        </w:rPr>
        <w:fldChar w:fldCharType="begin"/>
      </w:r>
      <w:r>
        <w:rPr>
          <w:rFonts w:ascii="Times New Roman" w:hAnsi="Times New Roman"/>
          <w:szCs w:val="24"/>
        </w:rPr>
        <w:instrText xml:space="preserve"> = 4 \* GB3 </w:instrText>
      </w:r>
      <w:r>
        <w:rPr>
          <w:rFonts w:ascii="Times New Roman" w:hAnsi="Times New Roman"/>
          <w:szCs w:val="24"/>
        </w:rPr>
        <w:fldChar w:fldCharType="end"/>
      </w:r>
      <w:r>
        <w:rPr>
          <w:rFonts w:ascii="Times New Roman" w:hAnsi="Times New Roman"/>
          <w:szCs w:val="24"/>
        </w:rPr>
        <w:t>相互关联原则：生态服务功能形成都与该区域甚至更大范围的自然与社会经济因素有关。在生态服务功能的形成机制上，生态服务功能与生态系统的结构、过程、格局密切相关，相互关联性分析有利于确定区划主导因子。</w:t>
      </w:r>
    </w:p>
    <w:p>
      <w:pPr>
        <w:spacing w:line="440" w:lineRule="exact"/>
        <w:ind w:firstLine="480" w:firstLineChars="200"/>
        <w:rPr>
          <w:rFonts w:ascii="Times New Roman" w:hAnsi="Times New Roman"/>
          <w:szCs w:val="24"/>
        </w:rPr>
      </w:pPr>
      <w:r>
        <w:rPr>
          <w:rFonts w:ascii="Times New Roman" w:hAnsi="Times New Roman"/>
          <w:szCs w:val="24"/>
        </w:rPr>
        <w:t>可持续发展原则：生态服务功能评价与区划目的是促进土地合理利用与开发，避免盲目的资源开发和生态环境破坏，增强区域社会经济发展的生态环境支撑能力，推进区域的可持续发展。</w:t>
      </w:r>
    </w:p>
    <w:p>
      <w:pPr>
        <w:spacing w:line="440" w:lineRule="exact"/>
        <w:ind w:firstLine="480" w:firstLineChars="200"/>
        <w:rPr>
          <w:rFonts w:ascii="Times New Roman" w:hAnsi="Times New Roman"/>
          <w:szCs w:val="24"/>
        </w:rPr>
      </w:pPr>
      <w:r>
        <w:rPr>
          <w:rFonts w:ascii="Times New Roman" w:hAnsi="Times New Roman"/>
          <w:szCs w:val="24"/>
        </w:rPr>
        <w:t>（2）综合整治区划方法</w:t>
      </w:r>
    </w:p>
    <w:p>
      <w:pPr>
        <w:spacing w:line="440" w:lineRule="exact"/>
        <w:ind w:firstLine="480" w:firstLineChars="200"/>
        <w:rPr>
          <w:rFonts w:ascii="Times New Roman" w:hAnsi="Times New Roman"/>
          <w:szCs w:val="24"/>
        </w:rPr>
      </w:pPr>
      <w:r>
        <w:rPr>
          <w:rFonts w:ascii="Times New Roman" w:hAnsi="Times New Roman"/>
          <w:szCs w:val="24"/>
        </w:rPr>
        <w:t>综合整治区划的方法是在生态环境现状调研分析基础上，结合区域社会经济状况分析，综合运用遥感（RS）和地理信息系统（GIS）技术，进行各相关资料数据的处理，结合生态环境现状评价、生态敏感性分析和生态服务功能评价进行分区划界。</w:t>
      </w:r>
    </w:p>
    <w:p>
      <w:pPr>
        <w:keepNext/>
        <w:keepLines/>
        <w:adjustRightInd w:val="0"/>
        <w:snapToGrid w:val="0"/>
        <w:spacing w:line="440" w:lineRule="exact"/>
        <w:outlineLvl w:val="2"/>
        <w:rPr>
          <w:rFonts w:ascii="Times New Roman" w:hAnsi="Times New Roman"/>
          <w:b/>
        </w:rPr>
      </w:pPr>
      <w:r>
        <w:rPr>
          <w:rFonts w:ascii="Times New Roman" w:hAnsi="Times New Roman"/>
          <w:b/>
        </w:rPr>
        <w:t>8.1.2 生态环境综合整治区划目标及限制要求</w:t>
      </w:r>
    </w:p>
    <w:p>
      <w:pPr>
        <w:spacing w:line="440" w:lineRule="exact"/>
        <w:ind w:firstLine="480" w:firstLineChars="200"/>
        <w:rPr>
          <w:rFonts w:ascii="Times New Roman" w:hAnsi="Times New Roman"/>
          <w:szCs w:val="24"/>
        </w:rPr>
      </w:pPr>
      <w:r>
        <w:rPr>
          <w:rFonts w:ascii="Times New Roman" w:hAnsi="Times New Roman"/>
          <w:szCs w:val="24"/>
        </w:rPr>
        <w:t>（1）矿区生态综合整治目标</w:t>
      </w:r>
    </w:p>
    <w:p>
      <w:pPr>
        <w:spacing w:line="440" w:lineRule="exact"/>
        <w:ind w:firstLine="480" w:firstLineChars="200"/>
        <w:rPr>
          <w:rFonts w:ascii="Times New Roman" w:hAnsi="Times New Roman"/>
          <w:szCs w:val="24"/>
        </w:rPr>
      </w:pPr>
      <w:r>
        <w:rPr>
          <w:rFonts w:ascii="Times New Roman" w:hAnsi="Times New Roman"/>
          <w:szCs w:val="24"/>
        </w:rPr>
        <w:t>1）水土流失总治理度达到93%；</w:t>
      </w:r>
    </w:p>
    <w:p>
      <w:pPr>
        <w:spacing w:line="440" w:lineRule="exact"/>
        <w:ind w:firstLine="480" w:firstLineChars="200"/>
        <w:rPr>
          <w:rFonts w:ascii="Times New Roman" w:hAnsi="Times New Roman"/>
          <w:szCs w:val="24"/>
        </w:rPr>
      </w:pPr>
      <w:r>
        <w:rPr>
          <w:rFonts w:ascii="Times New Roman" w:hAnsi="Times New Roman"/>
          <w:szCs w:val="24"/>
        </w:rPr>
        <w:t>2）土壤流失控制比达到0.8；</w:t>
      </w:r>
    </w:p>
    <w:p>
      <w:pPr>
        <w:adjustRightInd w:val="0"/>
        <w:snapToGrid w:val="0"/>
        <w:spacing w:line="440" w:lineRule="exact"/>
        <w:ind w:firstLine="480" w:firstLineChars="200"/>
        <w:rPr>
          <w:rFonts w:ascii="Times New Roman" w:hAnsi="Times New Roman"/>
        </w:rPr>
      </w:pPr>
      <w:r>
        <w:rPr>
          <w:rFonts w:ascii="Times New Roman" w:hAnsi="Times New Roman"/>
        </w:rPr>
        <w:t>3）沉陷土地治理率达到95%；</w:t>
      </w:r>
    </w:p>
    <w:p>
      <w:pPr>
        <w:adjustRightInd w:val="0"/>
        <w:snapToGrid w:val="0"/>
        <w:spacing w:line="440" w:lineRule="exact"/>
        <w:ind w:firstLine="480" w:firstLineChars="200"/>
        <w:rPr>
          <w:rFonts w:ascii="Times New Roman" w:hAnsi="Times New Roman"/>
        </w:rPr>
      </w:pPr>
      <w:r>
        <w:rPr>
          <w:rFonts w:ascii="Times New Roman" w:hAnsi="Times New Roman"/>
        </w:rPr>
        <w:t>4）沉陷区林草植被恢复率达到95%；</w:t>
      </w:r>
    </w:p>
    <w:p>
      <w:pPr>
        <w:adjustRightInd w:val="0"/>
        <w:snapToGrid w:val="0"/>
        <w:spacing w:line="440" w:lineRule="exact"/>
        <w:ind w:firstLine="480" w:firstLineChars="200"/>
        <w:rPr>
          <w:rFonts w:ascii="Times New Roman" w:hAnsi="Times New Roman"/>
        </w:rPr>
      </w:pPr>
      <w:r>
        <w:rPr>
          <w:rFonts w:ascii="Times New Roman" w:hAnsi="Times New Roman"/>
          <w:szCs w:val="24"/>
        </w:rPr>
        <w:t>5）危害性缝等地质灾害的治理率达到100%；</w:t>
      </w:r>
    </w:p>
    <w:p>
      <w:pPr>
        <w:adjustRightInd w:val="0"/>
        <w:snapToGrid w:val="0"/>
        <w:spacing w:line="440" w:lineRule="exact"/>
        <w:ind w:firstLine="480" w:firstLineChars="200"/>
        <w:rPr>
          <w:rFonts w:ascii="Times New Roman" w:hAnsi="Times New Roman"/>
        </w:rPr>
      </w:pPr>
      <w:r>
        <w:rPr>
          <w:rFonts w:ascii="Times New Roman" w:hAnsi="Times New Roman"/>
        </w:rPr>
        <w:t>6）工业场地绿化达到20%。</w:t>
      </w:r>
    </w:p>
    <w:p>
      <w:pPr>
        <w:spacing w:line="440" w:lineRule="exact"/>
        <w:ind w:firstLine="480" w:firstLineChars="200"/>
        <w:rPr>
          <w:rFonts w:ascii="Times New Roman" w:hAnsi="Times New Roman"/>
          <w:szCs w:val="24"/>
        </w:rPr>
      </w:pPr>
      <w:r>
        <w:rPr>
          <w:rFonts w:ascii="Times New Roman" w:hAnsi="Times New Roman"/>
          <w:szCs w:val="24"/>
        </w:rPr>
        <w:t>（2）矿区发展限制要求</w:t>
      </w:r>
    </w:p>
    <w:p>
      <w:pPr>
        <w:spacing w:line="440" w:lineRule="exact"/>
        <w:ind w:firstLine="480" w:firstLineChars="200"/>
        <w:rPr>
          <w:rFonts w:ascii="Times New Roman" w:hAnsi="Times New Roman"/>
          <w:szCs w:val="24"/>
        </w:rPr>
      </w:pPr>
      <w:r>
        <w:rPr>
          <w:rFonts w:ascii="Times New Roman" w:hAnsi="Times New Roman"/>
          <w:szCs w:val="24"/>
        </w:rPr>
        <w:t>矿区开发不得对鄂尔多斯遗鸥国家级</w:t>
      </w:r>
      <w:r>
        <w:rPr>
          <w:rFonts w:ascii="Times New Roman" w:hAnsi="Times New Roman"/>
        </w:rPr>
        <w:t>自然保护区</w:t>
      </w:r>
      <w:r>
        <w:rPr>
          <w:rFonts w:ascii="Times New Roman" w:hAnsi="Times New Roman"/>
          <w:szCs w:val="24"/>
        </w:rPr>
        <w:t>造成不良影响。</w:t>
      </w:r>
    </w:p>
    <w:p>
      <w:pPr>
        <w:spacing w:line="440" w:lineRule="exact"/>
        <w:ind w:firstLine="480" w:firstLineChars="200"/>
        <w:rPr>
          <w:rFonts w:ascii="Times New Roman" w:hAnsi="Times New Roman"/>
          <w:szCs w:val="24"/>
        </w:rPr>
      </w:pPr>
      <w:r>
        <w:rPr>
          <w:rFonts w:ascii="Times New Roman" w:hAnsi="Times New Roman"/>
          <w:szCs w:val="24"/>
        </w:rPr>
        <w:t>矿区开发不对生态红线区造成不良影响。</w:t>
      </w:r>
    </w:p>
    <w:p>
      <w:pPr>
        <w:keepNext/>
        <w:keepLines/>
        <w:adjustRightInd w:val="0"/>
        <w:snapToGrid w:val="0"/>
        <w:spacing w:line="440" w:lineRule="exact"/>
        <w:outlineLvl w:val="2"/>
        <w:rPr>
          <w:rFonts w:ascii="Times New Roman" w:hAnsi="Times New Roman"/>
          <w:b/>
        </w:rPr>
      </w:pPr>
      <w:r>
        <w:rPr>
          <w:rFonts w:ascii="Times New Roman" w:hAnsi="Times New Roman"/>
          <w:b/>
        </w:rPr>
        <w:t>8.1.3 生态环境综合整治区划</w:t>
      </w:r>
    </w:p>
    <w:p>
      <w:pPr>
        <w:adjustRightInd w:val="0"/>
        <w:snapToGrid w:val="0"/>
        <w:spacing w:line="440" w:lineRule="exact"/>
        <w:ind w:firstLine="480" w:firstLineChars="200"/>
        <w:rPr>
          <w:rFonts w:ascii="Times New Roman" w:hAnsi="Times New Roman"/>
        </w:rPr>
      </w:pPr>
      <w:r>
        <w:rPr>
          <w:rFonts w:ascii="Times New Roman" w:hAnsi="Times New Roman"/>
        </w:rPr>
        <w:t>根据矿区生态环境保护区划方案以及矿区地面总布局制定的矿区生态综合治理功能分区，根据矿区规划实施对矿区生态环境的影响不同，纳林希里矿区生态环境综合整治划分为3个分区，分别是：工业场地恢复重建区、连接道路恢复重建区、地表沉陷治理区。纳林希里矿区生态环境综合整治分区特征见表8.1-1，矿区生态综合整治措施图见图8.1-1。</w:t>
      </w:r>
    </w:p>
    <w:p>
      <w:pPr>
        <w:adjustRightInd w:val="0"/>
        <w:snapToGrid w:val="0"/>
        <w:spacing w:line="440" w:lineRule="exact"/>
        <w:jc w:val="center"/>
        <w:rPr>
          <w:rFonts w:ascii="Times New Roman" w:hAnsi="Times New Roman"/>
          <w:b/>
          <w:szCs w:val="24"/>
        </w:rPr>
      </w:pPr>
      <w:r>
        <w:rPr>
          <w:rFonts w:ascii="Times New Roman" w:hAnsi="Times New Roman"/>
          <w:b/>
          <w:szCs w:val="24"/>
        </w:rPr>
        <w:t>矿区生态环境综合整治分区表</w:t>
      </w:r>
    </w:p>
    <w:p>
      <w:pPr>
        <w:adjustRightInd w:val="0"/>
        <w:snapToGrid w:val="0"/>
        <w:spacing w:line="440" w:lineRule="exact"/>
        <w:outlineLvl w:val="4"/>
        <w:rPr>
          <w:rFonts w:ascii="Times New Roman" w:hAnsi="Times New Roman"/>
          <w:szCs w:val="32"/>
        </w:rPr>
      </w:pPr>
      <w:r>
        <w:rPr>
          <w:rFonts w:ascii="Times New Roman" w:hAnsi="Times New Roman"/>
          <w:szCs w:val="32"/>
        </w:rPr>
        <w:t>表8.1-1</w:t>
      </w:r>
    </w:p>
    <w:tbl>
      <w:tblPr>
        <w:tblStyle w:val="59"/>
        <w:tblW w:w="9281" w:type="dxa"/>
        <w:tblInd w:w="0" w:type="dxa"/>
        <w:tblLayout w:type="fixed"/>
        <w:tblCellMar>
          <w:top w:w="0" w:type="dxa"/>
          <w:left w:w="108" w:type="dxa"/>
          <w:bottom w:w="0" w:type="dxa"/>
          <w:right w:w="108" w:type="dxa"/>
        </w:tblCellMar>
      </w:tblPr>
      <w:tblGrid>
        <w:gridCol w:w="1188"/>
        <w:gridCol w:w="2020"/>
        <w:gridCol w:w="4513"/>
        <w:gridCol w:w="1560"/>
      </w:tblGrid>
      <w:tr>
        <w:tblPrEx>
          <w:tblCellMar>
            <w:top w:w="0" w:type="dxa"/>
            <w:left w:w="108" w:type="dxa"/>
            <w:bottom w:w="0" w:type="dxa"/>
            <w:right w:w="108" w:type="dxa"/>
          </w:tblCellMar>
        </w:tblPrEx>
        <w:trPr>
          <w:trHeight w:val="540" w:hRule="atLeast"/>
        </w:trPr>
        <w:tc>
          <w:tcPr>
            <w:tcW w:w="118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生态整治分区</w:t>
            </w:r>
          </w:p>
        </w:tc>
        <w:tc>
          <w:tcPr>
            <w:tcW w:w="2020" w:type="dxa"/>
            <w:tcBorders>
              <w:top w:val="single" w:color="000000" w:sz="8" w:space="0"/>
              <w:left w:val="nil"/>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分区特征</w:t>
            </w:r>
          </w:p>
        </w:tc>
        <w:tc>
          <w:tcPr>
            <w:tcW w:w="4513" w:type="dxa"/>
            <w:tcBorders>
              <w:top w:val="single" w:color="000000" w:sz="8" w:space="0"/>
              <w:left w:val="nil"/>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整治措施</w:t>
            </w:r>
          </w:p>
        </w:tc>
        <w:tc>
          <w:tcPr>
            <w:tcW w:w="1560" w:type="dxa"/>
            <w:tcBorders>
              <w:top w:val="single" w:color="000000" w:sz="8" w:space="0"/>
              <w:left w:val="nil"/>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整治目标</w:t>
            </w:r>
          </w:p>
        </w:tc>
      </w:tr>
      <w:tr>
        <w:tblPrEx>
          <w:tblCellMar>
            <w:top w:w="0" w:type="dxa"/>
            <w:left w:w="108" w:type="dxa"/>
            <w:bottom w:w="0" w:type="dxa"/>
            <w:right w:w="108" w:type="dxa"/>
          </w:tblCellMar>
        </w:tblPrEx>
        <w:trPr>
          <w:trHeight w:val="2162" w:hRule="atLeast"/>
        </w:trPr>
        <w:tc>
          <w:tcPr>
            <w:tcW w:w="1188" w:type="dxa"/>
            <w:tcBorders>
              <w:top w:val="nil"/>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工业场地</w:t>
            </w:r>
          </w:p>
          <w:p>
            <w:pPr>
              <w:widowControl/>
              <w:jc w:val="center"/>
              <w:textAlignment w:val="center"/>
              <w:rPr>
                <w:rFonts w:ascii="Times New Roman" w:hAnsi="Times New Roman"/>
                <w:sz w:val="21"/>
                <w:szCs w:val="21"/>
              </w:rPr>
            </w:pPr>
            <w:r>
              <w:rPr>
                <w:rFonts w:ascii="Times New Roman" w:hAnsi="Times New Roman"/>
                <w:kern w:val="0"/>
                <w:sz w:val="21"/>
                <w:szCs w:val="21"/>
                <w:lang w:bidi="ar"/>
              </w:rPr>
              <w:t>恢复重建区</w:t>
            </w:r>
          </w:p>
        </w:tc>
        <w:tc>
          <w:tcPr>
            <w:tcW w:w="2020" w:type="dxa"/>
            <w:tcBorders>
              <w:top w:val="nil"/>
              <w:left w:val="nil"/>
              <w:bottom w:val="single" w:color="000000" w:sz="8" w:space="0"/>
              <w:right w:val="single" w:color="000000" w:sz="8" w:space="0"/>
            </w:tcBorders>
            <w:shd w:val="clear" w:color="auto" w:fill="auto"/>
            <w:vAlign w:val="center"/>
          </w:tcPr>
          <w:p>
            <w:pPr>
              <w:widowControl/>
              <w:textAlignment w:val="center"/>
              <w:rPr>
                <w:rFonts w:ascii="Times New Roman" w:hAnsi="Times New Roman"/>
                <w:sz w:val="21"/>
                <w:szCs w:val="21"/>
              </w:rPr>
            </w:pPr>
            <w:r>
              <w:rPr>
                <w:rFonts w:ascii="Times New Roman" w:hAnsi="Times New Roman"/>
                <w:kern w:val="0"/>
                <w:sz w:val="21"/>
                <w:szCs w:val="21"/>
                <w:lang w:bidi="ar"/>
              </w:rPr>
              <w:t>包括矿井工业场地、风井工业场地、矸石周转场地、爆破材料库和矿区辅助企业等地面设施及其外扩100米的影响范围。</w:t>
            </w:r>
          </w:p>
        </w:tc>
        <w:tc>
          <w:tcPr>
            <w:tcW w:w="4513" w:type="dxa"/>
            <w:tcBorders>
              <w:top w:val="nil"/>
              <w:left w:val="nil"/>
              <w:bottom w:val="single" w:color="000000" w:sz="8" w:space="0"/>
              <w:right w:val="single" w:color="000000" w:sz="8" w:space="0"/>
            </w:tcBorders>
            <w:shd w:val="clear" w:color="auto" w:fill="auto"/>
            <w:vAlign w:val="center"/>
          </w:tcPr>
          <w:p>
            <w:pPr>
              <w:widowControl/>
              <w:textAlignment w:val="center"/>
              <w:rPr>
                <w:rFonts w:ascii="Times New Roman" w:hAnsi="Times New Roman"/>
                <w:sz w:val="21"/>
                <w:szCs w:val="21"/>
              </w:rPr>
            </w:pPr>
            <w:r>
              <w:rPr>
                <w:rFonts w:ascii="Times New Roman" w:hAnsi="Times New Roman"/>
                <w:kern w:val="0"/>
                <w:sz w:val="21"/>
                <w:szCs w:val="21"/>
                <w:lang w:bidi="ar"/>
              </w:rPr>
              <w:t>布设截排水和拦挡措施；采用乔灌草立体配置模式进行园区绿化；采用编织袋挡墙、临时排水沟、防尘网等临时防护措施；场地周边布设草方格进行边坡防护。严格控制场地施工期活动范围，减少对林草地生态系统干扰；对破坏植被进行人工补植、撒播草籽等措施促进植被恢复，维持林草地生产力。</w:t>
            </w:r>
          </w:p>
        </w:tc>
        <w:tc>
          <w:tcPr>
            <w:tcW w:w="1560" w:type="dxa"/>
            <w:tcBorders>
              <w:top w:val="nil"/>
              <w:left w:val="nil"/>
              <w:bottom w:val="single" w:color="000000" w:sz="8" w:space="0"/>
              <w:right w:val="single" w:color="000000" w:sz="8" w:space="0"/>
            </w:tcBorders>
            <w:shd w:val="clear" w:color="auto" w:fill="auto"/>
            <w:vAlign w:val="center"/>
          </w:tcPr>
          <w:p>
            <w:pPr>
              <w:widowControl/>
              <w:textAlignment w:val="center"/>
              <w:rPr>
                <w:rFonts w:ascii="Times New Roman" w:hAnsi="Times New Roman"/>
                <w:sz w:val="21"/>
                <w:szCs w:val="21"/>
              </w:rPr>
            </w:pPr>
            <w:r>
              <w:rPr>
                <w:rFonts w:ascii="Times New Roman" w:hAnsi="Times New Roman"/>
                <w:kern w:val="0"/>
                <w:sz w:val="21"/>
                <w:szCs w:val="21"/>
                <w:lang w:bidi="ar"/>
              </w:rPr>
              <w:t>建设期场地周边受干扰林草地生产力得到恢复，工业场地绿化系数达到20%。</w:t>
            </w:r>
          </w:p>
        </w:tc>
      </w:tr>
      <w:tr>
        <w:tblPrEx>
          <w:tblCellMar>
            <w:top w:w="0" w:type="dxa"/>
            <w:left w:w="108" w:type="dxa"/>
            <w:bottom w:w="0" w:type="dxa"/>
            <w:right w:w="108" w:type="dxa"/>
          </w:tblCellMar>
        </w:tblPrEx>
        <w:trPr>
          <w:trHeight w:val="1811" w:hRule="atLeast"/>
        </w:trPr>
        <w:tc>
          <w:tcPr>
            <w:tcW w:w="1188" w:type="dxa"/>
            <w:tcBorders>
              <w:top w:val="nil"/>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连接道路</w:t>
            </w:r>
          </w:p>
          <w:p>
            <w:pPr>
              <w:widowControl/>
              <w:jc w:val="center"/>
              <w:textAlignment w:val="center"/>
              <w:rPr>
                <w:rFonts w:ascii="Times New Roman" w:hAnsi="Times New Roman"/>
                <w:sz w:val="21"/>
                <w:szCs w:val="21"/>
              </w:rPr>
            </w:pPr>
            <w:r>
              <w:rPr>
                <w:rFonts w:ascii="Times New Roman" w:hAnsi="Times New Roman"/>
                <w:kern w:val="0"/>
                <w:sz w:val="21"/>
                <w:szCs w:val="21"/>
                <w:lang w:bidi="ar"/>
              </w:rPr>
              <w:t>恢复重建区</w:t>
            </w:r>
          </w:p>
        </w:tc>
        <w:tc>
          <w:tcPr>
            <w:tcW w:w="2020" w:type="dxa"/>
            <w:tcBorders>
              <w:top w:val="nil"/>
              <w:left w:val="nil"/>
              <w:bottom w:val="single" w:color="000000" w:sz="8" w:space="0"/>
              <w:right w:val="single" w:color="000000" w:sz="8" w:space="0"/>
            </w:tcBorders>
            <w:shd w:val="clear" w:color="auto" w:fill="auto"/>
            <w:vAlign w:val="center"/>
          </w:tcPr>
          <w:p>
            <w:pPr>
              <w:widowControl/>
              <w:textAlignment w:val="center"/>
              <w:rPr>
                <w:rFonts w:ascii="Times New Roman" w:hAnsi="Times New Roman"/>
                <w:sz w:val="21"/>
                <w:szCs w:val="21"/>
              </w:rPr>
            </w:pPr>
            <w:r>
              <w:rPr>
                <w:rFonts w:ascii="Times New Roman" w:hAnsi="Times New Roman"/>
                <w:kern w:val="0"/>
                <w:sz w:val="21"/>
                <w:szCs w:val="21"/>
                <w:lang w:bidi="ar"/>
              </w:rPr>
              <w:t>包括矿区公路和矿区铁路及其外扩50米的影响区域。</w:t>
            </w:r>
          </w:p>
        </w:tc>
        <w:tc>
          <w:tcPr>
            <w:tcW w:w="4513" w:type="dxa"/>
            <w:tcBorders>
              <w:top w:val="nil"/>
              <w:left w:val="nil"/>
              <w:bottom w:val="single" w:color="000000" w:sz="8" w:space="0"/>
              <w:right w:val="single" w:color="000000" w:sz="8" w:space="0"/>
            </w:tcBorders>
            <w:shd w:val="clear" w:color="auto" w:fill="auto"/>
            <w:vAlign w:val="center"/>
          </w:tcPr>
          <w:p>
            <w:pPr>
              <w:widowControl/>
              <w:textAlignment w:val="center"/>
              <w:rPr>
                <w:rFonts w:ascii="Times New Roman" w:hAnsi="Times New Roman"/>
                <w:sz w:val="21"/>
                <w:szCs w:val="21"/>
              </w:rPr>
            </w:pPr>
            <w:r>
              <w:rPr>
                <w:rFonts w:ascii="Times New Roman" w:hAnsi="Times New Roman"/>
                <w:kern w:val="0"/>
                <w:sz w:val="21"/>
                <w:szCs w:val="21"/>
                <w:lang w:bidi="ar"/>
              </w:rPr>
              <w:t>道路施工期间对临时堆土布设临时排水沟、编织袋挡土墙和防尘网进行临时防护；严格控制道路建设影响范围，减少对草地生态系统干扰，对破坏植被进行人工补植、撒播草籽等措施进行自然恢复，维持林草地生产力。</w:t>
            </w:r>
          </w:p>
        </w:tc>
        <w:tc>
          <w:tcPr>
            <w:tcW w:w="1560" w:type="dxa"/>
            <w:tcBorders>
              <w:top w:val="nil"/>
              <w:left w:val="nil"/>
              <w:bottom w:val="single" w:color="000000" w:sz="8" w:space="0"/>
              <w:right w:val="single" w:color="000000" w:sz="8" w:space="0"/>
            </w:tcBorders>
            <w:shd w:val="clear" w:color="auto" w:fill="auto"/>
            <w:vAlign w:val="center"/>
          </w:tcPr>
          <w:p>
            <w:pPr>
              <w:widowControl/>
              <w:textAlignment w:val="center"/>
              <w:rPr>
                <w:rFonts w:ascii="Times New Roman" w:hAnsi="Times New Roman"/>
                <w:sz w:val="21"/>
                <w:szCs w:val="21"/>
              </w:rPr>
            </w:pPr>
            <w:r>
              <w:rPr>
                <w:rFonts w:ascii="Times New Roman" w:hAnsi="Times New Roman"/>
                <w:kern w:val="0"/>
                <w:sz w:val="21"/>
                <w:szCs w:val="21"/>
                <w:lang w:bidi="ar"/>
              </w:rPr>
              <w:t>建设期施工区及周边受干扰林草地生产力得到恢复，林草植被恢复率达到95%。</w:t>
            </w:r>
          </w:p>
        </w:tc>
      </w:tr>
      <w:tr>
        <w:tblPrEx>
          <w:tblCellMar>
            <w:top w:w="0" w:type="dxa"/>
            <w:left w:w="108" w:type="dxa"/>
            <w:bottom w:w="0" w:type="dxa"/>
            <w:right w:w="108" w:type="dxa"/>
          </w:tblCellMar>
        </w:tblPrEx>
        <w:trPr>
          <w:trHeight w:val="2088" w:hRule="atLeast"/>
        </w:trPr>
        <w:tc>
          <w:tcPr>
            <w:tcW w:w="1188" w:type="dxa"/>
            <w:tcBorders>
              <w:top w:val="nil"/>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kern w:val="0"/>
                <w:sz w:val="21"/>
                <w:szCs w:val="21"/>
                <w:lang w:bidi="ar"/>
              </w:rPr>
            </w:pPr>
            <w:r>
              <w:rPr>
                <w:rFonts w:ascii="Times New Roman" w:hAnsi="Times New Roman"/>
                <w:kern w:val="0"/>
                <w:sz w:val="21"/>
                <w:szCs w:val="21"/>
                <w:lang w:bidi="ar"/>
              </w:rPr>
              <w:t>地表沉陷</w:t>
            </w:r>
          </w:p>
          <w:p>
            <w:pPr>
              <w:widowControl/>
              <w:jc w:val="center"/>
              <w:textAlignment w:val="center"/>
              <w:rPr>
                <w:rFonts w:ascii="Times New Roman" w:hAnsi="Times New Roman"/>
                <w:sz w:val="21"/>
                <w:szCs w:val="21"/>
              </w:rPr>
            </w:pPr>
            <w:r>
              <w:rPr>
                <w:rFonts w:ascii="Times New Roman" w:hAnsi="Times New Roman"/>
                <w:kern w:val="0"/>
                <w:sz w:val="21"/>
                <w:szCs w:val="21"/>
                <w:lang w:bidi="ar"/>
              </w:rPr>
              <w:t>治理区</w:t>
            </w:r>
          </w:p>
        </w:tc>
        <w:tc>
          <w:tcPr>
            <w:tcW w:w="2020" w:type="dxa"/>
            <w:tcBorders>
              <w:top w:val="nil"/>
              <w:left w:val="nil"/>
              <w:bottom w:val="single" w:color="000000" w:sz="8" w:space="0"/>
              <w:right w:val="single" w:color="000000" w:sz="8" w:space="0"/>
            </w:tcBorders>
            <w:shd w:val="clear" w:color="auto" w:fill="auto"/>
            <w:vAlign w:val="center"/>
          </w:tcPr>
          <w:p>
            <w:pPr>
              <w:widowControl/>
              <w:textAlignment w:val="center"/>
              <w:rPr>
                <w:rFonts w:ascii="Times New Roman" w:hAnsi="Times New Roman"/>
                <w:sz w:val="21"/>
                <w:szCs w:val="21"/>
              </w:rPr>
            </w:pPr>
            <w:r>
              <w:rPr>
                <w:rFonts w:ascii="Times New Roman" w:hAnsi="Times New Roman"/>
                <w:kern w:val="0"/>
                <w:sz w:val="21"/>
                <w:szCs w:val="21"/>
                <w:lang w:bidi="ar"/>
              </w:rPr>
              <w:t>矿区煤炭开采造成的地表沉陷的区域，由于地表下沉变形、裂缝给区域生态环境造成破坏，水土流失加剧，植被覆盖率降低，土地生产力下降。</w:t>
            </w:r>
          </w:p>
        </w:tc>
        <w:tc>
          <w:tcPr>
            <w:tcW w:w="4513" w:type="dxa"/>
            <w:tcBorders>
              <w:top w:val="nil"/>
              <w:left w:val="nil"/>
              <w:bottom w:val="single" w:color="000000" w:sz="8" w:space="0"/>
              <w:right w:val="single" w:color="000000" w:sz="8" w:space="0"/>
            </w:tcBorders>
            <w:shd w:val="clear" w:color="auto" w:fill="auto"/>
            <w:vAlign w:val="center"/>
          </w:tcPr>
          <w:p>
            <w:pPr>
              <w:widowControl/>
              <w:jc w:val="center"/>
              <w:textAlignment w:val="center"/>
              <w:rPr>
                <w:rFonts w:ascii="Times New Roman" w:hAnsi="Times New Roman"/>
                <w:sz w:val="21"/>
                <w:szCs w:val="21"/>
              </w:rPr>
            </w:pPr>
            <w:r>
              <w:rPr>
                <w:rFonts w:ascii="Times New Roman" w:hAnsi="Times New Roman"/>
                <w:kern w:val="0"/>
                <w:sz w:val="21"/>
                <w:szCs w:val="21"/>
                <w:lang w:bidi="ar"/>
              </w:rPr>
              <w:t>首先对裂缝进行充填，并对局部土地进行平整处理；然后人工栽植灌木、撒播草籽自然恢复植被；沉陷区内草场进行封育，尽快恢复植被覆盖度，防止植被退化和土地沙化。</w:t>
            </w:r>
          </w:p>
        </w:tc>
        <w:tc>
          <w:tcPr>
            <w:tcW w:w="1560" w:type="dxa"/>
            <w:tcBorders>
              <w:top w:val="nil"/>
              <w:left w:val="nil"/>
              <w:bottom w:val="single" w:color="000000" w:sz="8" w:space="0"/>
              <w:right w:val="single" w:color="000000" w:sz="8" w:space="0"/>
            </w:tcBorders>
            <w:shd w:val="clear" w:color="auto" w:fill="auto"/>
            <w:vAlign w:val="center"/>
          </w:tcPr>
          <w:p>
            <w:pPr>
              <w:widowControl/>
              <w:textAlignment w:val="center"/>
              <w:rPr>
                <w:rFonts w:ascii="Times New Roman" w:hAnsi="Times New Roman"/>
                <w:sz w:val="21"/>
                <w:szCs w:val="21"/>
              </w:rPr>
            </w:pPr>
            <w:r>
              <w:rPr>
                <w:rFonts w:ascii="Times New Roman" w:hAnsi="Times New Roman"/>
                <w:kern w:val="0"/>
                <w:sz w:val="21"/>
                <w:szCs w:val="21"/>
                <w:lang w:bidi="ar"/>
              </w:rPr>
              <w:t>沉陷土地治理率达到95%，稳定土地生产力，防止植被退化、土地沙化、盐碱化，林草植被恢复率达到95%。</w:t>
            </w:r>
          </w:p>
        </w:tc>
      </w:tr>
    </w:tbl>
    <w:p>
      <w:pPr>
        <w:keepNext/>
        <w:keepLines/>
        <w:adjustRightInd w:val="0"/>
        <w:snapToGrid w:val="0"/>
        <w:spacing w:line="440" w:lineRule="exact"/>
        <w:outlineLvl w:val="2"/>
        <w:rPr>
          <w:rFonts w:ascii="Times New Roman" w:hAnsi="Times New Roman"/>
          <w:b/>
        </w:rPr>
      </w:pPr>
      <w:r>
        <w:rPr>
          <w:rFonts w:ascii="Times New Roman" w:hAnsi="Times New Roman"/>
          <w:b/>
        </w:rPr>
        <w:t>8.1.4 生态环境综合整治措施</w:t>
      </w:r>
    </w:p>
    <w:p>
      <w:pPr>
        <w:keepNext/>
        <w:keepLines/>
        <w:adjustRightInd w:val="0"/>
        <w:snapToGrid w:val="0"/>
        <w:spacing w:line="440" w:lineRule="exact"/>
        <w:outlineLvl w:val="3"/>
        <w:rPr>
          <w:rFonts w:ascii="Times New Roman" w:hAnsi="Times New Roman"/>
          <w:b/>
        </w:rPr>
      </w:pPr>
      <w:r>
        <w:rPr>
          <w:rFonts w:ascii="Times New Roman" w:hAnsi="Times New Roman"/>
          <w:b/>
        </w:rPr>
        <w:t>8.1.4.1 工业场地区恢复重建区</w:t>
      </w:r>
    </w:p>
    <w:p>
      <w:pPr>
        <w:autoSpaceDE w:val="0"/>
        <w:autoSpaceDN w:val="0"/>
        <w:spacing w:line="440" w:lineRule="exact"/>
        <w:ind w:firstLine="480" w:firstLineChars="200"/>
        <w:rPr>
          <w:rFonts w:ascii="Times New Roman" w:hAnsi="Times New Roman"/>
        </w:rPr>
      </w:pPr>
      <w:r>
        <w:rPr>
          <w:rFonts w:ascii="Times New Roman" w:hAnsi="Times New Roman"/>
        </w:rPr>
        <w:t>工业场地恢复重建区包括工业场地和矿区辅助企业等以及各场地外扩100米的影响范围。场地占地属于永久占地，建设完毕后会彻底改变矿区原有的土地利用类型，区域植被面积减少，工矿用地增加。因此矿区工业场地恢复重建区的整治目标是工业场地绿化系数达到20%，尽量增加工业场地的植被面积，并通过地面硬化防止水土流失产生。同时还要严格控制工业场地施工期的活动范围，减少对工业场地周边林草地生态系统的干扰。</w:t>
      </w:r>
    </w:p>
    <w:p>
      <w:pPr>
        <w:autoSpaceDE w:val="0"/>
        <w:autoSpaceDN w:val="0"/>
        <w:spacing w:line="440" w:lineRule="exact"/>
        <w:ind w:firstLine="480" w:firstLineChars="200"/>
        <w:rPr>
          <w:rFonts w:ascii="Times New Roman" w:hAnsi="Times New Roman"/>
        </w:rPr>
      </w:pPr>
      <w:r>
        <w:rPr>
          <w:rFonts w:ascii="Times New Roman" w:hAnsi="Times New Roman"/>
        </w:rPr>
        <w:t>工业场地恢复重建区具体生态整治措施如下：</w:t>
      </w:r>
    </w:p>
    <w:p>
      <w:pPr>
        <w:autoSpaceDE w:val="0"/>
        <w:autoSpaceDN w:val="0"/>
        <w:spacing w:line="440" w:lineRule="exact"/>
        <w:ind w:firstLine="480" w:firstLineChars="200"/>
        <w:rPr>
          <w:rFonts w:ascii="Times New Roman" w:hAnsi="Times New Roman"/>
        </w:rPr>
      </w:pPr>
      <w:r>
        <w:rPr>
          <w:rFonts w:ascii="Times New Roman" w:hAnsi="Times New Roman"/>
        </w:rPr>
        <w:t>1）在工业场地内布设截排水沟、护坡等工程防护措施，防止水土流失产生，保障生产安全；</w:t>
      </w:r>
    </w:p>
    <w:p>
      <w:pPr>
        <w:adjustRightInd w:val="0"/>
        <w:snapToGrid w:val="0"/>
        <w:spacing w:line="440" w:lineRule="exact"/>
        <w:ind w:firstLine="480" w:firstLineChars="200"/>
        <w:rPr>
          <w:rFonts w:ascii="Times New Roman" w:hAnsi="Times New Roman"/>
        </w:rPr>
      </w:pPr>
      <w:r>
        <w:rPr>
          <w:rFonts w:ascii="Times New Roman" w:hAnsi="Times New Roman"/>
        </w:rPr>
        <w:t>2）工业场地内采用乔灌草立体植被配置模式，并因地制宜选用当地适生植物种进行园区绿化，保证园区绿化系数达到20%以上；</w:t>
      </w:r>
    </w:p>
    <w:p>
      <w:pPr>
        <w:adjustRightInd w:val="0"/>
        <w:snapToGrid w:val="0"/>
        <w:spacing w:line="440" w:lineRule="exact"/>
        <w:ind w:firstLine="480" w:firstLineChars="200"/>
        <w:rPr>
          <w:rFonts w:ascii="Times New Roman" w:hAnsi="Times New Roman"/>
        </w:rPr>
      </w:pPr>
      <w:r>
        <w:rPr>
          <w:rFonts w:ascii="Times New Roman" w:hAnsi="Times New Roman"/>
        </w:rPr>
        <w:t>3）工业场地的植被恢复与重建应充分考虑在工业场地道路两侧布置行道树，重点绿化区域为场地空地部分，布置绿篱、花坛、草坪和乔木。根据不同的地形地势和植物造景要求，分别采取孤植、对植、丛植、群植、带植和绿篱等多种形式；</w:t>
      </w:r>
    </w:p>
    <w:p>
      <w:pPr>
        <w:autoSpaceDE w:val="0"/>
        <w:autoSpaceDN w:val="0"/>
        <w:spacing w:line="440" w:lineRule="exact"/>
        <w:ind w:firstLine="480" w:firstLineChars="200"/>
        <w:rPr>
          <w:rFonts w:ascii="Times New Roman" w:hAnsi="Times New Roman"/>
        </w:rPr>
      </w:pPr>
      <w:r>
        <w:rPr>
          <w:rFonts w:ascii="Times New Roman" w:hAnsi="Times New Roman"/>
        </w:rPr>
        <w:t>4）对于工业场地建设期间施工区域采用编织袋挡墙、临时排水沟、防尘网等临时防护措施，周边开挖的边坡上布设草方格边坡防护措施，防止水土流失产生；</w:t>
      </w:r>
    </w:p>
    <w:p>
      <w:pPr>
        <w:autoSpaceDE w:val="0"/>
        <w:autoSpaceDN w:val="0"/>
        <w:spacing w:line="440" w:lineRule="exact"/>
        <w:ind w:firstLine="480" w:firstLineChars="200"/>
        <w:rPr>
          <w:rFonts w:ascii="Times New Roman" w:hAnsi="Times New Roman"/>
        </w:rPr>
      </w:pPr>
      <w:r>
        <w:rPr>
          <w:rFonts w:ascii="Times New Roman" w:hAnsi="Times New Roman"/>
        </w:rPr>
        <w:t>5）对与工业场地周围区域内破坏的植被进行人工补植灌木、撒播草籽等措施促进植被恢复，维持林草地生产力。</w:t>
      </w:r>
    </w:p>
    <w:p>
      <w:pPr>
        <w:keepNext/>
        <w:keepLines/>
        <w:adjustRightInd w:val="0"/>
        <w:snapToGrid w:val="0"/>
        <w:spacing w:line="440" w:lineRule="exact"/>
        <w:outlineLvl w:val="3"/>
        <w:rPr>
          <w:rFonts w:ascii="Times New Roman" w:hAnsi="Times New Roman"/>
          <w:b/>
          <w:szCs w:val="22"/>
        </w:rPr>
      </w:pPr>
      <w:r>
        <w:rPr>
          <w:rFonts w:ascii="Times New Roman" w:hAnsi="Times New Roman"/>
          <w:b/>
          <w:szCs w:val="22"/>
        </w:rPr>
        <w:t>8.1.4.2 连接道路、管线工程区整治措施</w:t>
      </w:r>
    </w:p>
    <w:p>
      <w:pPr>
        <w:adjustRightInd w:val="0"/>
        <w:snapToGrid w:val="0"/>
        <w:spacing w:line="440" w:lineRule="exact"/>
        <w:ind w:firstLine="480" w:firstLineChars="200"/>
        <w:rPr>
          <w:rFonts w:ascii="Times New Roman" w:hAnsi="Times New Roman"/>
        </w:rPr>
      </w:pPr>
      <w:r>
        <w:rPr>
          <w:rFonts w:ascii="Times New Roman" w:hAnsi="Times New Roman"/>
        </w:rPr>
        <w:t>连接道路恢复重建区主要包括矿区公路和铁路及其外扩50米的影响区域。由于修建公路和铁路属于线性工程，破坏形式也是线性破坏。因此整治目标主要是对公路及铁路周围受干扰的草地覆盖度进行恢复。连接道路恢复重建区具体生态整治措施包括：</w:t>
      </w:r>
    </w:p>
    <w:p>
      <w:pPr>
        <w:adjustRightInd w:val="0"/>
        <w:snapToGrid w:val="0"/>
        <w:spacing w:line="440" w:lineRule="exact"/>
        <w:ind w:firstLine="480" w:firstLineChars="200"/>
        <w:rPr>
          <w:rFonts w:ascii="Times New Roman" w:hAnsi="Times New Roman"/>
        </w:rPr>
      </w:pPr>
      <w:r>
        <w:rPr>
          <w:rFonts w:ascii="Times New Roman" w:hAnsi="Times New Roman"/>
        </w:rPr>
        <w:t>1）道路建设期间在施工区域布设临时排水沟、编织袋挡土墙和防尘网进行临时防护；</w:t>
      </w:r>
    </w:p>
    <w:p>
      <w:pPr>
        <w:spacing w:line="440" w:lineRule="exact"/>
        <w:ind w:firstLine="480" w:firstLineChars="200"/>
        <w:rPr>
          <w:rFonts w:ascii="Times New Roman" w:hAnsi="Times New Roman"/>
        </w:rPr>
      </w:pPr>
      <w:r>
        <w:rPr>
          <w:rFonts w:ascii="Times New Roman" w:hAnsi="Times New Roman"/>
        </w:rPr>
        <w:t>2）严格控制道路建设影响范围，减少建设期间对周围草地生态系统的干扰，对受破坏植被进行人工补植、撒播草籽等措施进行自然恢复；</w:t>
      </w:r>
    </w:p>
    <w:p>
      <w:pPr>
        <w:spacing w:line="440" w:lineRule="exact"/>
        <w:ind w:firstLine="480" w:firstLineChars="200"/>
        <w:rPr>
          <w:rFonts w:ascii="Times New Roman" w:hAnsi="Times New Roman"/>
        </w:rPr>
      </w:pPr>
      <w:r>
        <w:rPr>
          <w:rFonts w:ascii="Times New Roman" w:hAnsi="Times New Roman"/>
        </w:rPr>
        <w:t>3）为防止坡面重力侵蚀对公路的危害及影响，在公路两侧种植植物措施防护体系，不但可以起到稳定边坡，巩固路基的作用，还可以减少水土流失对交通线路造成的危害，同时可以美化环境，起到一定的阻隔噪声和降低粉尘的作用；</w:t>
      </w:r>
    </w:p>
    <w:p>
      <w:pPr>
        <w:adjustRightInd w:val="0"/>
        <w:snapToGrid w:val="0"/>
        <w:spacing w:line="440" w:lineRule="exact"/>
        <w:ind w:firstLine="480" w:firstLineChars="200"/>
        <w:rPr>
          <w:rFonts w:ascii="Times New Roman" w:hAnsi="Times New Roman"/>
          <w:szCs w:val="24"/>
        </w:rPr>
      </w:pPr>
      <w:r>
        <w:rPr>
          <w:rFonts w:ascii="Times New Roman" w:hAnsi="Times New Roman"/>
        </w:rPr>
        <w:t>4）在道路两侧分别营造防护林，防护林带可采用乔灌混交林，乔木布设3行，灌木在林下分散种植，禁止引入外来种。</w:t>
      </w:r>
    </w:p>
    <w:p>
      <w:pPr>
        <w:keepNext/>
        <w:keepLines/>
        <w:adjustRightInd w:val="0"/>
        <w:snapToGrid w:val="0"/>
        <w:spacing w:line="440" w:lineRule="exact"/>
        <w:outlineLvl w:val="3"/>
        <w:rPr>
          <w:rFonts w:ascii="Times New Roman" w:hAnsi="Times New Roman"/>
          <w:b/>
          <w:szCs w:val="22"/>
        </w:rPr>
      </w:pPr>
      <w:r>
        <w:rPr>
          <w:rFonts w:ascii="Times New Roman" w:hAnsi="Times New Roman"/>
          <w:b/>
          <w:szCs w:val="22"/>
        </w:rPr>
        <w:t>8.1.4.3 地表沉陷治理区</w:t>
      </w:r>
    </w:p>
    <w:p>
      <w:pPr>
        <w:adjustRightInd w:val="0"/>
        <w:snapToGrid w:val="0"/>
        <w:spacing w:line="440" w:lineRule="exact"/>
        <w:ind w:firstLine="480" w:firstLineChars="200"/>
        <w:rPr>
          <w:rFonts w:ascii="Times New Roman" w:hAnsi="Times New Roman"/>
        </w:rPr>
      </w:pPr>
      <w:r>
        <w:rPr>
          <w:rFonts w:ascii="Times New Roman" w:hAnsi="Times New Roman"/>
        </w:rPr>
        <w:t>地表沉陷区生态整治措施主要是针对不同破坏程度的植被进行复垦：首先应对矿区内出现的裂缝进行充填，并对局部土地进行平整处理；然后采用人工撒播草籽的方式，对矿区内破坏植被进行自然恢复；另外对沉陷区草场进行封育，尽快恢复植被覆盖度，防止草地退化和沙化。具体措施如下：</w:t>
      </w:r>
    </w:p>
    <w:p>
      <w:pPr>
        <w:adjustRightInd w:val="0"/>
        <w:snapToGrid w:val="0"/>
        <w:spacing w:line="440" w:lineRule="exact"/>
        <w:ind w:firstLine="480" w:firstLineChars="200"/>
        <w:rPr>
          <w:rFonts w:ascii="Times New Roman" w:hAnsi="Times New Roman"/>
        </w:rPr>
      </w:pPr>
      <w:r>
        <w:rPr>
          <w:rFonts w:ascii="Times New Roman" w:hAnsi="Times New Roman"/>
        </w:rPr>
        <w:t>1）沉陷裂缝整治</w:t>
      </w:r>
    </w:p>
    <w:p>
      <w:pPr>
        <w:adjustRightInd w:val="0"/>
        <w:snapToGrid w:val="0"/>
        <w:spacing w:line="440" w:lineRule="exact"/>
        <w:ind w:firstLine="480" w:firstLineChars="200"/>
        <w:rPr>
          <w:rFonts w:ascii="Times New Roman" w:hAnsi="Times New Roman"/>
        </w:rPr>
      </w:pPr>
      <w:r>
        <w:rPr>
          <w:rFonts w:hint="eastAsia" w:cs="宋体"/>
        </w:rPr>
        <w:t>①</w:t>
      </w:r>
      <w:r>
        <w:rPr>
          <w:rFonts w:ascii="Times New Roman" w:hAnsi="Times New Roman"/>
        </w:rPr>
        <w:t>破坏特征</w:t>
      </w:r>
    </w:p>
    <w:p>
      <w:pPr>
        <w:adjustRightInd w:val="0"/>
        <w:snapToGrid w:val="0"/>
        <w:spacing w:line="440" w:lineRule="exact"/>
        <w:ind w:firstLine="480" w:firstLineChars="200"/>
        <w:rPr>
          <w:rFonts w:ascii="Times New Roman" w:hAnsi="Times New Roman"/>
        </w:rPr>
      </w:pPr>
      <w:r>
        <w:rPr>
          <w:rFonts w:ascii="Times New Roman" w:hAnsi="Times New Roman"/>
        </w:rPr>
        <w:t>沉陷裂缝是该区采煤沉陷地表变形主要形式，沉陷裂缝发生在不同沉陷阶段的各种土地利用类型中，它是导致水土资源损失、土地利用率降低最主要原因，应及早发现、及时处理。</w:t>
      </w:r>
    </w:p>
    <w:p>
      <w:pPr>
        <w:adjustRightInd w:val="0"/>
        <w:snapToGrid w:val="0"/>
        <w:spacing w:line="440" w:lineRule="exact"/>
        <w:ind w:firstLine="480" w:firstLineChars="200"/>
        <w:rPr>
          <w:rFonts w:ascii="Times New Roman" w:hAnsi="Times New Roman"/>
        </w:rPr>
      </w:pPr>
      <w:r>
        <w:rPr>
          <w:rFonts w:hint="eastAsia" w:cs="宋体"/>
        </w:rPr>
        <w:t>②</w:t>
      </w:r>
      <w:r>
        <w:rPr>
          <w:rFonts w:ascii="Times New Roman" w:hAnsi="Times New Roman"/>
        </w:rPr>
        <w:t>沉陷裂缝充填处理</w:t>
      </w:r>
    </w:p>
    <w:p>
      <w:pPr>
        <w:adjustRightInd w:val="0"/>
        <w:snapToGrid w:val="0"/>
        <w:spacing w:line="440" w:lineRule="exact"/>
        <w:ind w:firstLine="480" w:firstLineChars="200"/>
        <w:rPr>
          <w:rFonts w:ascii="Times New Roman" w:hAnsi="Times New Roman"/>
        </w:rPr>
      </w:pPr>
      <w:r>
        <w:rPr>
          <w:rFonts w:ascii="Times New Roman" w:hAnsi="Times New Roman"/>
        </w:rPr>
        <w:t>根据裂缝的形态，本方案将其划分为两个类型区，分别提出相应的土地整治措施。对不同裂缝形态类型区划分依据如表8.1-2所示。</w:t>
      </w:r>
    </w:p>
    <w:p>
      <w:pPr>
        <w:spacing w:line="440" w:lineRule="exact"/>
        <w:ind w:firstLine="482" w:firstLineChars="200"/>
        <w:jc w:val="center"/>
        <w:rPr>
          <w:rFonts w:ascii="Times New Roman" w:hAnsi="Times New Roman"/>
          <w:b/>
          <w:snapToGrid w:val="0"/>
          <w:kern w:val="0"/>
        </w:rPr>
      </w:pPr>
      <w:r>
        <w:rPr>
          <w:rFonts w:ascii="Times New Roman" w:hAnsi="Times New Roman"/>
          <w:b/>
        </w:rPr>
        <w:t>裂缝类型区划分</w:t>
      </w:r>
    </w:p>
    <w:p>
      <w:pPr>
        <w:spacing w:line="440" w:lineRule="exact"/>
        <w:outlineLvl w:val="4"/>
        <w:rPr>
          <w:rFonts w:ascii="Times New Roman" w:hAnsi="Times New Roman"/>
          <w:snapToGrid w:val="0"/>
          <w:kern w:val="0"/>
        </w:rPr>
      </w:pPr>
      <w:r>
        <w:rPr>
          <w:rFonts w:ascii="Times New Roman" w:hAnsi="Times New Roman"/>
        </w:rPr>
        <w:t>表8.1-2</w:t>
      </w:r>
      <w:r>
        <w:rPr>
          <w:rFonts w:ascii="Times New Roman" w:hAnsi="Times New Roman"/>
          <w:snapToGrid w:val="0"/>
          <w:kern w:val="0"/>
        </w:rPr>
        <w:t xml:space="preserve">   </w:t>
      </w:r>
    </w:p>
    <w:tbl>
      <w:tblPr>
        <w:tblStyle w:val="59"/>
        <w:tblW w:w="91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28" w:type="dxa"/>
          <w:bottom w:w="28" w:type="dxa"/>
          <w:right w:w="28" w:type="dxa"/>
        </w:tblCellMar>
      </w:tblPr>
      <w:tblGrid>
        <w:gridCol w:w="1317"/>
        <w:gridCol w:w="1917"/>
        <w:gridCol w:w="2793"/>
        <w:gridCol w:w="1656"/>
        <w:gridCol w:w="1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rPr>
          <w:trHeight w:val="397" w:hRule="atLeast"/>
          <w:jc w:val="center"/>
        </w:trPr>
        <w:tc>
          <w:tcPr>
            <w:tcW w:w="1317" w:type="dxa"/>
            <w:vAlign w:val="center"/>
          </w:tcPr>
          <w:p>
            <w:pPr>
              <w:jc w:val="center"/>
              <w:rPr>
                <w:rFonts w:ascii="Times New Roman" w:hAnsi="Times New Roman"/>
                <w:sz w:val="21"/>
                <w:szCs w:val="21"/>
              </w:rPr>
            </w:pPr>
            <w:r>
              <w:rPr>
                <w:rFonts w:ascii="Times New Roman" w:hAnsi="Times New Roman"/>
                <w:sz w:val="21"/>
                <w:szCs w:val="21"/>
              </w:rPr>
              <w:t>裂缝类型</w:t>
            </w:r>
          </w:p>
        </w:tc>
        <w:tc>
          <w:tcPr>
            <w:tcW w:w="1917" w:type="dxa"/>
            <w:vAlign w:val="center"/>
          </w:tcPr>
          <w:p>
            <w:pPr>
              <w:jc w:val="center"/>
              <w:rPr>
                <w:rFonts w:ascii="Times New Roman" w:hAnsi="Times New Roman"/>
                <w:sz w:val="21"/>
                <w:szCs w:val="21"/>
              </w:rPr>
            </w:pPr>
            <w:r>
              <w:rPr>
                <w:rFonts w:ascii="Times New Roman" w:hAnsi="Times New Roman"/>
                <w:sz w:val="21"/>
                <w:szCs w:val="21"/>
              </w:rPr>
              <w:t>特 征</w:t>
            </w:r>
          </w:p>
        </w:tc>
        <w:tc>
          <w:tcPr>
            <w:tcW w:w="2793" w:type="dxa"/>
            <w:vAlign w:val="center"/>
          </w:tcPr>
          <w:p>
            <w:pPr>
              <w:jc w:val="center"/>
              <w:rPr>
                <w:rFonts w:ascii="Times New Roman" w:hAnsi="Times New Roman"/>
                <w:sz w:val="21"/>
                <w:szCs w:val="21"/>
              </w:rPr>
            </w:pPr>
            <w:r>
              <w:rPr>
                <w:rFonts w:ascii="Times New Roman" w:hAnsi="Times New Roman"/>
                <w:sz w:val="21"/>
                <w:szCs w:val="21"/>
              </w:rPr>
              <w:t>位 置</w:t>
            </w:r>
          </w:p>
        </w:tc>
        <w:tc>
          <w:tcPr>
            <w:tcW w:w="1656" w:type="dxa"/>
            <w:vAlign w:val="center"/>
          </w:tcPr>
          <w:p>
            <w:pPr>
              <w:jc w:val="center"/>
              <w:rPr>
                <w:rFonts w:ascii="Times New Roman" w:hAnsi="Times New Roman"/>
                <w:sz w:val="21"/>
                <w:szCs w:val="21"/>
              </w:rPr>
            </w:pPr>
            <w:r>
              <w:rPr>
                <w:rFonts w:ascii="Times New Roman" w:hAnsi="Times New Roman"/>
                <w:sz w:val="21"/>
                <w:szCs w:val="21"/>
              </w:rPr>
              <w:t>沉陷程度</w:t>
            </w:r>
          </w:p>
        </w:tc>
        <w:tc>
          <w:tcPr>
            <w:tcW w:w="1445" w:type="dxa"/>
            <w:vAlign w:val="center"/>
          </w:tcPr>
          <w:p>
            <w:pPr>
              <w:jc w:val="center"/>
              <w:rPr>
                <w:rFonts w:ascii="Times New Roman" w:hAnsi="Times New Roman"/>
                <w:sz w:val="21"/>
                <w:szCs w:val="21"/>
              </w:rPr>
            </w:pPr>
            <w:r>
              <w:rPr>
                <w:rFonts w:ascii="Times New Roman" w:hAnsi="Times New Roman"/>
                <w:sz w:val="21"/>
                <w:szCs w:val="21"/>
              </w:rPr>
              <w:t>治理措施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rPr>
          <w:trHeight w:val="397" w:hRule="atLeast"/>
          <w:jc w:val="center"/>
        </w:trPr>
        <w:tc>
          <w:tcPr>
            <w:tcW w:w="1317" w:type="dxa"/>
            <w:vAlign w:val="center"/>
          </w:tcPr>
          <w:p>
            <w:pPr>
              <w:jc w:val="center"/>
              <w:rPr>
                <w:rFonts w:ascii="Times New Roman" w:hAnsi="Times New Roman"/>
                <w:sz w:val="21"/>
                <w:szCs w:val="21"/>
              </w:rPr>
            </w:pPr>
            <w:r>
              <w:rPr>
                <w:rFonts w:ascii="Times New Roman" w:hAnsi="Times New Roman"/>
                <w:sz w:val="21"/>
                <w:szCs w:val="21"/>
              </w:rPr>
              <w:t>Ⅰ类区</w:t>
            </w:r>
          </w:p>
        </w:tc>
        <w:tc>
          <w:tcPr>
            <w:tcW w:w="1917" w:type="dxa"/>
            <w:vAlign w:val="center"/>
          </w:tcPr>
          <w:p>
            <w:pPr>
              <w:rPr>
                <w:rFonts w:ascii="Times New Roman" w:hAnsi="Times New Roman"/>
                <w:sz w:val="21"/>
                <w:szCs w:val="21"/>
              </w:rPr>
            </w:pPr>
            <w:r>
              <w:rPr>
                <w:rFonts w:ascii="Times New Roman" w:hAnsi="Times New Roman"/>
                <w:sz w:val="21"/>
                <w:szCs w:val="21"/>
              </w:rPr>
              <w:t>裂缝窄浅，密度低</w:t>
            </w:r>
          </w:p>
        </w:tc>
        <w:tc>
          <w:tcPr>
            <w:tcW w:w="2793" w:type="dxa"/>
            <w:vAlign w:val="center"/>
          </w:tcPr>
          <w:p>
            <w:pPr>
              <w:rPr>
                <w:rFonts w:ascii="Times New Roman" w:hAnsi="Times New Roman"/>
                <w:sz w:val="21"/>
                <w:szCs w:val="21"/>
              </w:rPr>
            </w:pPr>
            <w:r>
              <w:rPr>
                <w:rFonts w:ascii="Times New Roman" w:hAnsi="Times New Roman"/>
                <w:sz w:val="21"/>
                <w:szCs w:val="21"/>
              </w:rPr>
              <w:t>坡度10°以下的缓坡丘陵区</w:t>
            </w:r>
          </w:p>
        </w:tc>
        <w:tc>
          <w:tcPr>
            <w:tcW w:w="1656" w:type="dxa"/>
            <w:vAlign w:val="center"/>
          </w:tcPr>
          <w:p>
            <w:pPr>
              <w:jc w:val="center"/>
              <w:rPr>
                <w:rFonts w:ascii="Times New Roman" w:hAnsi="Times New Roman"/>
                <w:sz w:val="21"/>
                <w:szCs w:val="21"/>
              </w:rPr>
            </w:pPr>
            <w:r>
              <w:rPr>
                <w:rFonts w:ascii="Times New Roman" w:hAnsi="Times New Roman"/>
                <w:sz w:val="21"/>
                <w:szCs w:val="21"/>
              </w:rPr>
              <w:t>轻度、中度</w:t>
            </w:r>
          </w:p>
        </w:tc>
        <w:tc>
          <w:tcPr>
            <w:tcW w:w="1445" w:type="dxa"/>
            <w:vAlign w:val="center"/>
          </w:tcPr>
          <w:p>
            <w:pPr>
              <w:jc w:val="center"/>
              <w:rPr>
                <w:rFonts w:ascii="Times New Roman" w:hAnsi="Times New Roman"/>
                <w:sz w:val="21"/>
                <w:szCs w:val="21"/>
              </w:rPr>
            </w:pPr>
            <w:r>
              <w:rPr>
                <w:rFonts w:ascii="Times New Roman" w:hAnsi="Times New Roman"/>
                <w:sz w:val="21"/>
                <w:szCs w:val="21"/>
              </w:rPr>
              <w:t>人工治理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rPr>
          <w:trHeight w:val="397" w:hRule="atLeast"/>
          <w:jc w:val="center"/>
        </w:trPr>
        <w:tc>
          <w:tcPr>
            <w:tcW w:w="1317" w:type="dxa"/>
            <w:vAlign w:val="center"/>
          </w:tcPr>
          <w:p>
            <w:pPr>
              <w:jc w:val="center"/>
              <w:rPr>
                <w:rFonts w:ascii="Times New Roman" w:hAnsi="Times New Roman"/>
                <w:sz w:val="21"/>
                <w:szCs w:val="21"/>
              </w:rPr>
            </w:pPr>
            <w:r>
              <w:rPr>
                <w:rFonts w:ascii="Times New Roman" w:hAnsi="Times New Roman"/>
                <w:sz w:val="21"/>
                <w:szCs w:val="21"/>
              </w:rPr>
              <w:t>Ⅱ类区</w:t>
            </w:r>
          </w:p>
        </w:tc>
        <w:tc>
          <w:tcPr>
            <w:tcW w:w="1917" w:type="dxa"/>
            <w:vAlign w:val="center"/>
          </w:tcPr>
          <w:p>
            <w:pPr>
              <w:rPr>
                <w:rFonts w:ascii="Times New Roman" w:hAnsi="Times New Roman"/>
                <w:sz w:val="21"/>
                <w:szCs w:val="21"/>
              </w:rPr>
            </w:pPr>
            <w:r>
              <w:rPr>
                <w:rFonts w:ascii="Times New Roman" w:hAnsi="Times New Roman"/>
                <w:sz w:val="21"/>
                <w:szCs w:val="21"/>
              </w:rPr>
              <w:t>裂缝宽深，密度高</w:t>
            </w:r>
          </w:p>
        </w:tc>
        <w:tc>
          <w:tcPr>
            <w:tcW w:w="2793" w:type="dxa"/>
            <w:vAlign w:val="center"/>
          </w:tcPr>
          <w:p>
            <w:pPr>
              <w:rPr>
                <w:rFonts w:ascii="Times New Roman" w:hAnsi="Times New Roman"/>
                <w:sz w:val="21"/>
                <w:szCs w:val="21"/>
              </w:rPr>
            </w:pPr>
            <w:r>
              <w:rPr>
                <w:rFonts w:ascii="Times New Roman" w:hAnsi="Times New Roman"/>
                <w:sz w:val="21"/>
                <w:szCs w:val="21"/>
              </w:rPr>
              <w:t>坡度10°以上的山坡区</w:t>
            </w:r>
          </w:p>
        </w:tc>
        <w:tc>
          <w:tcPr>
            <w:tcW w:w="1656" w:type="dxa"/>
            <w:vAlign w:val="center"/>
          </w:tcPr>
          <w:p>
            <w:pPr>
              <w:jc w:val="center"/>
              <w:rPr>
                <w:rFonts w:ascii="Times New Roman" w:hAnsi="Times New Roman"/>
                <w:sz w:val="21"/>
                <w:szCs w:val="21"/>
              </w:rPr>
            </w:pPr>
            <w:r>
              <w:rPr>
                <w:rFonts w:ascii="Times New Roman" w:hAnsi="Times New Roman"/>
                <w:sz w:val="21"/>
                <w:szCs w:val="21"/>
              </w:rPr>
              <w:t>中度、重度</w:t>
            </w:r>
          </w:p>
        </w:tc>
        <w:tc>
          <w:tcPr>
            <w:tcW w:w="1445" w:type="dxa"/>
            <w:vAlign w:val="center"/>
          </w:tcPr>
          <w:p>
            <w:pPr>
              <w:jc w:val="center"/>
              <w:rPr>
                <w:rFonts w:ascii="Times New Roman" w:hAnsi="Times New Roman"/>
                <w:sz w:val="21"/>
                <w:szCs w:val="21"/>
              </w:rPr>
            </w:pPr>
            <w:r>
              <w:rPr>
                <w:rFonts w:ascii="Times New Roman" w:hAnsi="Times New Roman"/>
                <w:sz w:val="21"/>
                <w:szCs w:val="21"/>
              </w:rPr>
              <w:t>机械治理</w:t>
            </w:r>
          </w:p>
        </w:tc>
      </w:tr>
    </w:tbl>
    <w:p>
      <w:pPr>
        <w:adjustRightInd w:val="0"/>
        <w:snapToGrid w:val="0"/>
        <w:spacing w:line="440" w:lineRule="exact"/>
        <w:ind w:firstLine="480" w:firstLineChars="200"/>
        <w:rPr>
          <w:rFonts w:ascii="Times New Roman" w:hAnsi="Times New Roman"/>
        </w:rPr>
      </w:pPr>
      <w:r>
        <w:rPr>
          <w:rFonts w:ascii="Times New Roman" w:hAnsi="Times New Roman"/>
        </w:rPr>
        <w:t>Ⅰ类裂缝区治理：采用人工治理措施及工艺，即用人工就近挖取土石直接充填塌陷裂缝，进行平整。这种方法土方工程量小，土地类型和土壤的理化性态基本不变。</w:t>
      </w:r>
    </w:p>
    <w:p>
      <w:pPr>
        <w:adjustRightInd w:val="0"/>
        <w:snapToGrid w:val="0"/>
        <w:spacing w:line="440" w:lineRule="exact"/>
        <w:ind w:firstLine="480" w:firstLineChars="200"/>
        <w:rPr>
          <w:rFonts w:ascii="Times New Roman" w:hAnsi="Times New Roman"/>
        </w:rPr>
      </w:pPr>
      <w:r>
        <w:rPr>
          <w:rFonts w:ascii="Times New Roman" w:hAnsi="Times New Roman"/>
        </w:rPr>
        <w:t>Ⅱ类裂缝区治理：采用机械治理措施及工艺，一般使用推土机和铲运机械，其特点是工序复杂，土方工程量较大。</w:t>
      </w:r>
    </w:p>
    <w:p>
      <w:pPr>
        <w:adjustRightInd w:val="0"/>
        <w:snapToGrid w:val="0"/>
        <w:spacing w:line="440" w:lineRule="exact"/>
        <w:ind w:firstLine="480" w:firstLineChars="200"/>
        <w:rPr>
          <w:rFonts w:ascii="Times New Roman" w:hAnsi="Times New Roman"/>
        </w:rPr>
      </w:pPr>
      <w:r>
        <w:rPr>
          <w:rFonts w:ascii="Times New Roman" w:hAnsi="Times New Roman"/>
        </w:rPr>
        <w:t>除充填沉陷裂缝，将沉陷区梯田进行整治外，还需很多配套工程，如修筑施工公路、田坎边坡支护、土地防洪、排灌蓄水和绿化工程等。沉陷区无论采取人工治理方式还是机械治理方式，都必须保证不降低原土地生产能力，分区分阶段治理，特别是在施工过程中要加强临地防护措施，以免引起新的水土流失。</w:t>
      </w:r>
    </w:p>
    <w:p>
      <w:pPr>
        <w:numPr>
          <w:ilvl w:val="0"/>
          <w:numId w:val="22"/>
        </w:numPr>
        <w:adjustRightInd w:val="0"/>
        <w:snapToGrid w:val="0"/>
        <w:spacing w:line="440" w:lineRule="exact"/>
        <w:ind w:firstLine="480" w:firstLineChars="200"/>
        <w:rPr>
          <w:rFonts w:ascii="Times New Roman" w:hAnsi="Times New Roman"/>
        </w:rPr>
      </w:pPr>
      <w:r>
        <w:rPr>
          <w:rFonts w:ascii="Times New Roman" w:hAnsi="Times New Roman"/>
        </w:rPr>
        <w:t>沉陷耕地的恢复与重建</w:t>
      </w:r>
    </w:p>
    <w:p>
      <w:pPr>
        <w:adjustRightInd w:val="0"/>
        <w:snapToGrid w:val="0"/>
        <w:spacing w:line="440" w:lineRule="exact"/>
        <w:ind w:firstLine="480" w:firstLineChars="200"/>
        <w:rPr>
          <w:rFonts w:ascii="Times New Roman" w:hAnsi="Times New Roman"/>
        </w:rPr>
      </w:pPr>
      <w:r>
        <w:rPr>
          <w:rFonts w:ascii="Times New Roman" w:hAnsi="Times New Roman"/>
        </w:rPr>
        <w:fldChar w:fldCharType="begin"/>
      </w:r>
      <w:r>
        <w:rPr>
          <w:rFonts w:ascii="Times New Roman" w:hAnsi="Times New Roman"/>
        </w:rPr>
        <w:instrText xml:space="preserve"> = 1 \* GB3 \* MERGEFORMAT </w:instrText>
      </w:r>
      <w:r>
        <w:rPr>
          <w:rFonts w:ascii="Times New Roman" w:hAnsi="Times New Roman"/>
        </w:rPr>
        <w:fldChar w:fldCharType="separate"/>
      </w:r>
      <w:r>
        <w:rPr>
          <w:rFonts w:hint="eastAsia" w:cs="宋体"/>
        </w:rPr>
        <w:t>①</w:t>
      </w:r>
      <w:r>
        <w:rPr>
          <w:rFonts w:ascii="Times New Roman" w:hAnsi="Times New Roman"/>
        </w:rPr>
        <w:fldChar w:fldCharType="end"/>
      </w:r>
      <w:r>
        <w:rPr>
          <w:rFonts w:ascii="Times New Roman" w:hAnsi="Times New Roman"/>
        </w:rPr>
        <w:t xml:space="preserve">土地平整 </w:t>
      </w:r>
    </w:p>
    <w:p>
      <w:pPr>
        <w:adjustRightInd w:val="0"/>
        <w:snapToGrid w:val="0"/>
        <w:spacing w:line="440" w:lineRule="exact"/>
        <w:ind w:firstLine="480" w:firstLineChars="200"/>
        <w:rPr>
          <w:rFonts w:ascii="Times New Roman" w:hAnsi="Times New Roman"/>
        </w:rPr>
      </w:pPr>
      <w:r>
        <w:rPr>
          <w:rFonts w:ascii="Times New Roman" w:hAnsi="Times New Roman"/>
        </w:rPr>
        <w:t>在开采过程中由于移动盆地内相邻两点的不均匀下沉导致地表倾斜度产生，加大了田面坡度，不利于耕种和水利灌溉。平整工程主要用于消除因开采沉陷造成的地表附加坡度。采用机械或人工挖方取土，按照不同的耕作条件，进行填挖平衡，使各地块的地面坡度保持在规定的标准内。</w:t>
      </w:r>
    </w:p>
    <w:p>
      <w:pPr>
        <w:adjustRightInd w:val="0"/>
        <w:snapToGrid w:val="0"/>
        <w:spacing w:line="440" w:lineRule="exact"/>
        <w:ind w:firstLine="480" w:firstLineChars="200"/>
        <w:rPr>
          <w:rFonts w:ascii="Times New Roman" w:hAnsi="Times New Roman"/>
        </w:rPr>
      </w:pPr>
      <w:r>
        <w:rPr>
          <w:rFonts w:ascii="Times New Roman" w:hAnsi="Times New Roman"/>
        </w:rPr>
        <w:fldChar w:fldCharType="begin"/>
      </w:r>
      <w:r>
        <w:rPr>
          <w:rFonts w:ascii="Times New Roman" w:hAnsi="Times New Roman"/>
        </w:rPr>
        <w:instrText xml:space="preserve"> = 2 \* GB3 \* MERGEFORMAT </w:instrText>
      </w:r>
      <w:r>
        <w:rPr>
          <w:rFonts w:ascii="Times New Roman" w:hAnsi="Times New Roman"/>
        </w:rPr>
        <w:fldChar w:fldCharType="separate"/>
      </w:r>
      <w:r>
        <w:rPr>
          <w:rFonts w:hint="eastAsia" w:cs="宋体"/>
        </w:rPr>
        <w:t>②</w:t>
      </w:r>
      <w:r>
        <w:rPr>
          <w:rFonts w:ascii="Times New Roman" w:hAnsi="Times New Roman"/>
        </w:rPr>
        <w:fldChar w:fldCharType="end"/>
      </w:r>
      <w:r>
        <w:rPr>
          <w:rFonts w:ascii="Times New Roman" w:hAnsi="Times New Roman"/>
        </w:rPr>
        <w:t>土地翻耕</w:t>
      </w:r>
    </w:p>
    <w:p>
      <w:pPr>
        <w:adjustRightInd w:val="0"/>
        <w:snapToGrid w:val="0"/>
        <w:spacing w:line="440" w:lineRule="exact"/>
        <w:ind w:firstLine="480" w:firstLineChars="200"/>
        <w:rPr>
          <w:rFonts w:ascii="Times New Roman" w:hAnsi="Times New Roman"/>
        </w:rPr>
      </w:pPr>
      <w:r>
        <w:rPr>
          <w:rFonts w:ascii="Times New Roman" w:hAnsi="Times New Roman"/>
        </w:rPr>
        <w:t>对耕地翻耕可以将一定深度的紧实土层变为疏松细碎的耕层，从而增加孔隙度，以利于接纳和贮存雨水，促进土壤中潜在养分转化为有效养分和促使根系的伸展。可以将地表的作物残茬、翻入土中，清洁耕层表面，从而提高耕作质量，翻埋的肥料则可调整养分的垂直分布；此外，翻耕还可以消除沉陷产生的微小裂缝。</w:t>
      </w:r>
    </w:p>
    <w:p>
      <w:pPr>
        <w:adjustRightInd w:val="0"/>
        <w:snapToGrid w:val="0"/>
        <w:spacing w:line="440" w:lineRule="exact"/>
        <w:ind w:firstLine="480" w:firstLineChars="200"/>
        <w:rPr>
          <w:rFonts w:ascii="Times New Roman" w:hAnsi="Times New Roman"/>
        </w:rPr>
      </w:pPr>
      <w:r>
        <w:rPr>
          <w:rFonts w:ascii="Times New Roman" w:hAnsi="Times New Roman"/>
        </w:rPr>
        <w:fldChar w:fldCharType="begin"/>
      </w:r>
      <w:r>
        <w:rPr>
          <w:rFonts w:ascii="Times New Roman" w:hAnsi="Times New Roman"/>
        </w:rPr>
        <w:instrText xml:space="preserve"> = 3 \* GB3 \* MERGEFORMAT </w:instrText>
      </w:r>
      <w:r>
        <w:rPr>
          <w:rFonts w:ascii="Times New Roman" w:hAnsi="Times New Roman"/>
        </w:rPr>
        <w:fldChar w:fldCharType="separate"/>
      </w:r>
      <w:r>
        <w:rPr>
          <w:rFonts w:hint="eastAsia" w:cs="宋体"/>
        </w:rPr>
        <w:t>③</w:t>
      </w:r>
      <w:r>
        <w:rPr>
          <w:rFonts w:ascii="Times New Roman" w:hAnsi="Times New Roman"/>
        </w:rPr>
        <w:fldChar w:fldCharType="end"/>
      </w:r>
      <w:r>
        <w:rPr>
          <w:rFonts w:ascii="Times New Roman" w:hAnsi="Times New Roman"/>
        </w:rPr>
        <w:t>灌溉工程</w:t>
      </w:r>
    </w:p>
    <w:p>
      <w:pPr>
        <w:adjustRightInd w:val="0"/>
        <w:snapToGrid w:val="0"/>
        <w:spacing w:line="440" w:lineRule="exact"/>
        <w:ind w:firstLine="480" w:firstLineChars="200"/>
        <w:rPr>
          <w:rFonts w:ascii="Times New Roman" w:hAnsi="Times New Roman"/>
          <w:color w:val="FF0000"/>
        </w:rPr>
      </w:pPr>
      <w:r>
        <w:rPr>
          <w:rFonts w:hint="eastAsia" w:ascii="Times New Roman" w:hAnsi="Times New Roman"/>
          <w:color w:val="FF0000"/>
        </w:rPr>
        <w:t>矿区</w:t>
      </w:r>
      <w:r>
        <w:rPr>
          <w:rFonts w:ascii="Times New Roman" w:hAnsi="Times New Roman"/>
          <w:color w:val="FF0000"/>
        </w:rPr>
        <w:t>内的水浇地分布较分散，灌溉方式均为滴灌，水源取自地下水。根据沉陷预测结果，地表主要变形为整体下沉，矿区煤层开采后对水浇地的水源井可能会产生影响。因此，应煤炭开采过程中应加强灌溉设施的监测，发现破损及时维修。</w:t>
      </w:r>
    </w:p>
    <w:p>
      <w:pPr>
        <w:adjustRightInd w:val="0"/>
        <w:snapToGrid w:val="0"/>
        <w:spacing w:line="440" w:lineRule="exact"/>
        <w:ind w:firstLine="480" w:firstLineChars="200"/>
        <w:rPr>
          <w:rFonts w:ascii="Times New Roman" w:hAnsi="Times New Roman"/>
        </w:rPr>
      </w:pPr>
      <w:r>
        <w:rPr>
          <w:rFonts w:ascii="Times New Roman" w:hAnsi="Times New Roman"/>
        </w:rPr>
        <w:t>3）沉陷草地的恢复与重建</w:t>
      </w:r>
    </w:p>
    <w:p>
      <w:pPr>
        <w:adjustRightInd w:val="0"/>
        <w:snapToGrid w:val="0"/>
        <w:spacing w:line="440" w:lineRule="exact"/>
        <w:ind w:firstLine="480" w:firstLineChars="200"/>
        <w:rPr>
          <w:rFonts w:ascii="Times New Roman" w:hAnsi="Times New Roman"/>
        </w:rPr>
      </w:pPr>
      <w:r>
        <w:rPr>
          <w:rFonts w:ascii="Times New Roman" w:hAnsi="Times New Roman"/>
        </w:rPr>
        <w:t>裂缝处理是沉陷草地整理最主要的方式，裂缝处理措施如前所述。受沉陷影响的草地，根据土层的厚度，选择不同的整地方式。土地整理后，原则优良草种，采用人工撒播草籽的方式进行草地改良，对矿区内破坏的植被进行自然恢复。另外对沉陷区草场进行封育，尤其在复垦恢复过渡阶段，尽快恢复植被覆盖度，防止草地退化和沙化。</w:t>
      </w:r>
    </w:p>
    <w:p>
      <w:pPr>
        <w:adjustRightInd w:val="0"/>
        <w:snapToGrid w:val="0"/>
        <w:spacing w:line="440" w:lineRule="exact"/>
        <w:ind w:firstLine="480" w:firstLineChars="200"/>
        <w:rPr>
          <w:rFonts w:ascii="Times New Roman" w:hAnsi="Times New Roman"/>
        </w:rPr>
      </w:pPr>
      <w:r>
        <w:rPr>
          <w:rFonts w:ascii="Times New Roman" w:hAnsi="Times New Roman"/>
        </w:rPr>
        <w:t>4）沉陷区林地恢复与重建</w:t>
      </w:r>
    </w:p>
    <w:p>
      <w:pPr>
        <w:adjustRightInd w:val="0"/>
        <w:snapToGrid w:val="0"/>
        <w:spacing w:line="440" w:lineRule="exact"/>
        <w:ind w:firstLine="480" w:firstLineChars="200"/>
        <w:rPr>
          <w:rFonts w:ascii="Times New Roman" w:hAnsi="Times New Roman"/>
        </w:rPr>
      </w:pPr>
      <w:r>
        <w:rPr>
          <w:rFonts w:ascii="Times New Roman" w:hAnsi="Times New Roman"/>
        </w:rPr>
        <w:t>沉陷区林地恢复与重建采取的措施主要有：封禁、补播、平茬复壮、人工促进更新、沙障设置等育林措施。</w:t>
      </w:r>
    </w:p>
    <w:p>
      <w:pPr>
        <w:adjustRightInd w:val="0"/>
        <w:snapToGrid w:val="0"/>
        <w:spacing w:line="440" w:lineRule="exact"/>
        <w:ind w:firstLine="480" w:firstLineChars="200"/>
        <w:rPr>
          <w:rFonts w:ascii="Times New Roman" w:hAnsi="Times New Roman"/>
        </w:rPr>
      </w:pPr>
      <w:r>
        <w:rPr>
          <w:rFonts w:ascii="Times New Roman" w:hAnsi="Times New Roman"/>
        </w:rPr>
        <w:t>a.补播</w:t>
      </w:r>
    </w:p>
    <w:p>
      <w:pPr>
        <w:adjustRightInd w:val="0"/>
        <w:snapToGrid w:val="0"/>
        <w:spacing w:line="440" w:lineRule="exact"/>
        <w:ind w:firstLine="480" w:firstLineChars="200"/>
        <w:rPr>
          <w:rFonts w:ascii="Times New Roman" w:hAnsi="Times New Roman"/>
        </w:rPr>
      </w:pPr>
      <w:r>
        <w:rPr>
          <w:rFonts w:ascii="Times New Roman" w:hAnsi="Times New Roman"/>
        </w:rPr>
        <w:t>为迅速恢复植被，提高植物种的多样性，林间空地进行补播，一是人工撒播，播种量为每亩1kg，树草种为杨柴、花棒、沙蒿混播，其配置比例为2：1：1。二是点播，树种为沙棘或柠条，穴状点播，株行距为1×4m。</w:t>
      </w:r>
    </w:p>
    <w:p>
      <w:pPr>
        <w:adjustRightInd w:val="0"/>
        <w:snapToGrid w:val="0"/>
        <w:spacing w:line="440" w:lineRule="exact"/>
        <w:ind w:firstLine="480" w:firstLineChars="200"/>
        <w:rPr>
          <w:rFonts w:ascii="Times New Roman" w:hAnsi="Times New Roman"/>
        </w:rPr>
      </w:pPr>
      <w:r>
        <w:rPr>
          <w:rFonts w:ascii="Times New Roman" w:hAnsi="Times New Roman"/>
        </w:rPr>
        <w:t>b.平茬复壮</w:t>
      </w:r>
    </w:p>
    <w:p>
      <w:pPr>
        <w:adjustRightInd w:val="0"/>
        <w:snapToGrid w:val="0"/>
        <w:spacing w:line="440" w:lineRule="exact"/>
        <w:ind w:firstLine="480" w:firstLineChars="200"/>
        <w:rPr>
          <w:rFonts w:ascii="Times New Roman" w:hAnsi="Times New Roman"/>
        </w:rPr>
      </w:pPr>
      <w:r>
        <w:rPr>
          <w:rFonts w:ascii="Times New Roman" w:hAnsi="Times New Roman"/>
        </w:rPr>
        <w:t xml:space="preserve">定期对封育区内枝条老化或由于牲畜啃食枝条生长不良的柠条进行平茬复壮，以提高林木质量，平茬时间在树木停止生长的晚秋或树液未流动的早春进行。平茬要贴地面，保持茬口平滑，平后茬口要用土覆盖。    </w:t>
      </w:r>
    </w:p>
    <w:p>
      <w:pPr>
        <w:adjustRightInd w:val="0"/>
        <w:snapToGrid w:val="0"/>
        <w:spacing w:line="440" w:lineRule="exact"/>
        <w:ind w:firstLine="480" w:firstLineChars="200"/>
        <w:rPr>
          <w:rFonts w:ascii="Times New Roman" w:hAnsi="Times New Roman"/>
        </w:rPr>
      </w:pPr>
      <w:r>
        <w:rPr>
          <w:rFonts w:ascii="Times New Roman" w:hAnsi="Times New Roman"/>
        </w:rPr>
        <w:t>c.沙障设置</w:t>
      </w:r>
    </w:p>
    <w:p>
      <w:pPr>
        <w:adjustRightInd w:val="0"/>
        <w:snapToGrid w:val="0"/>
        <w:spacing w:line="440" w:lineRule="exact"/>
        <w:ind w:firstLine="480" w:firstLineChars="200"/>
        <w:rPr>
          <w:rFonts w:ascii="Times New Roman" w:hAnsi="Times New Roman"/>
        </w:rPr>
      </w:pPr>
      <w:r>
        <w:rPr>
          <w:rFonts w:ascii="Times New Roman" w:hAnsi="Times New Roman"/>
        </w:rPr>
        <w:t>为确保补播树种的成活和正常生长发育，在流动和半流动沙丘迎风坡和严重风蚀区栽植沙柳沙障。沙障规格为6×6m网格状，栽植沙柳为1—2年生，长50cm，每延长米插10株，埋深45cm，栽植时间为春季。</w:t>
      </w:r>
    </w:p>
    <w:p>
      <w:pPr>
        <w:adjustRightInd w:val="0"/>
        <w:snapToGrid w:val="0"/>
        <w:spacing w:line="440" w:lineRule="exact"/>
        <w:ind w:firstLine="480" w:firstLineChars="200"/>
        <w:rPr>
          <w:rFonts w:ascii="Times New Roman" w:hAnsi="Times New Roman"/>
        </w:rPr>
      </w:pPr>
      <w:r>
        <w:rPr>
          <w:rFonts w:ascii="Times New Roman" w:hAnsi="Times New Roman"/>
        </w:rPr>
        <w:t>d.人工促进更新</w:t>
      </w:r>
    </w:p>
    <w:p>
      <w:pPr>
        <w:adjustRightInd w:val="0"/>
        <w:snapToGrid w:val="0"/>
        <w:spacing w:line="440" w:lineRule="exact"/>
        <w:ind w:firstLine="480" w:firstLineChars="200"/>
        <w:rPr>
          <w:rFonts w:ascii="Times New Roman" w:hAnsi="Times New Roman"/>
        </w:rPr>
      </w:pPr>
      <w:r>
        <w:rPr>
          <w:rFonts w:ascii="Times New Roman" w:hAnsi="Times New Roman"/>
        </w:rPr>
        <w:t>对有柠条等灌木林天然分布地段，种子成熟落种前，对落种区域进行人工穴状整地，规格为40×40×20cm，穴距为2m，行距为3m。自然落种后更新。</w:t>
      </w:r>
    </w:p>
    <w:p>
      <w:pPr>
        <w:keepNext/>
        <w:keepLines/>
        <w:adjustRightInd w:val="0"/>
        <w:snapToGrid w:val="0"/>
        <w:spacing w:line="440" w:lineRule="exact"/>
        <w:outlineLvl w:val="2"/>
        <w:rPr>
          <w:rFonts w:ascii="Times New Roman" w:hAnsi="Times New Roman"/>
          <w:b/>
        </w:rPr>
      </w:pPr>
      <w:r>
        <w:rPr>
          <w:rFonts w:ascii="Times New Roman" w:hAnsi="Times New Roman"/>
          <w:b/>
        </w:rPr>
        <w:t>8.1.5 生态补偿及保障措施</w:t>
      </w:r>
    </w:p>
    <w:p>
      <w:pPr>
        <w:spacing w:line="440" w:lineRule="exact"/>
        <w:ind w:firstLine="480" w:firstLineChars="200"/>
        <w:rPr>
          <w:rFonts w:ascii="Times New Roman" w:hAnsi="Times New Roman"/>
          <w:szCs w:val="24"/>
        </w:rPr>
      </w:pPr>
      <w:r>
        <w:rPr>
          <w:rFonts w:ascii="Times New Roman" w:hAnsi="Times New Roman"/>
          <w:szCs w:val="24"/>
        </w:rPr>
        <w:t>矿区煤炭开采后会形成地表沉陷，进而引发水土流失、土地沙化等一系列生态问题，为达到在开发矿区煤炭资源的同时，控制由煤炭开采引起的主要生态问题、促进当地生态改善和促进区域可持续发展，环评建议：</w:t>
      </w:r>
    </w:p>
    <w:p>
      <w:pPr>
        <w:spacing w:line="440" w:lineRule="exact"/>
        <w:ind w:firstLine="480" w:firstLineChars="200"/>
        <w:rPr>
          <w:rFonts w:ascii="Times New Roman" w:hAnsi="Times New Roman"/>
          <w:szCs w:val="24"/>
        </w:rPr>
      </w:pPr>
      <w:r>
        <w:rPr>
          <w:rFonts w:ascii="Times New Roman" w:hAnsi="Times New Roman"/>
          <w:szCs w:val="24"/>
        </w:rPr>
        <w:t>（1）矿区开发者（采矿企业）应按照《关于做好矿山地质环境保护与土地复垦方案编报有关工作的通知》（国土资规〔2016〕21号）要求编制矿山地质环境保护与土地复垦方案；</w:t>
      </w:r>
      <w:r>
        <w:rPr>
          <w:rFonts w:ascii="Times New Roman" w:hAnsi="Times New Roman"/>
        </w:rPr>
        <w:t>根据《自然资源部 农业农村部关于加强和改进永久基本农田保护工作的通知》（自然资规[2019]1号）要求编织《矿产资源开发利用与生态保护修复方案》，落实保护性开发措施，</w:t>
      </w:r>
      <w:r>
        <w:rPr>
          <w:rFonts w:ascii="Times New Roman" w:hAnsi="Times New Roman"/>
          <w:szCs w:val="24"/>
        </w:rPr>
        <w:t>以确保生态恢复工作的顺利进行。</w:t>
      </w:r>
    </w:p>
    <w:p>
      <w:pPr>
        <w:spacing w:line="440" w:lineRule="exact"/>
        <w:ind w:firstLine="480" w:firstLineChars="200"/>
        <w:rPr>
          <w:rFonts w:ascii="Times New Roman" w:hAnsi="Times New Roman"/>
          <w:szCs w:val="24"/>
        </w:rPr>
      </w:pPr>
      <w:r>
        <w:rPr>
          <w:rFonts w:ascii="Times New Roman" w:hAnsi="Times New Roman"/>
          <w:szCs w:val="24"/>
        </w:rPr>
        <w:t>（2）根据《内蒙古自治区矿山地质环境治理恢复基金管理办法（试行）》中的规定计入生产成本，设立矿山地质环境治理恢复基金矿山地质环境治理恢复基金。基金按年度提取，年度基金提取额按照矿类计提基数、露天开采影响系数、地下开采影响系数、土地复垦难度影响系数、地区影响系数、煤矿价格影响系数、上一年度实际生产矿石量综合确定。采矿权人应当在每年3月底前将年度治理计划书，包括上年度矿山地质环境保护与土地复垦方案的编制执行情况、基金提取使用情况和本年度相关信息及时准确向社会公开，接受监督。自然资源主管部门、财政主管部门和生态环境主管部门按各自职责进行监督管理。以保证基金提取后应及时用于矿山地质环境治理恢复与土地复垦工程，不得挤占和挪用。</w:t>
      </w:r>
    </w:p>
    <w:p>
      <w:pPr>
        <w:keepNext/>
        <w:keepLines/>
        <w:adjustRightInd w:val="0"/>
        <w:snapToGrid w:val="0"/>
        <w:spacing w:line="440" w:lineRule="exact"/>
        <w:outlineLvl w:val="2"/>
        <w:rPr>
          <w:rFonts w:ascii="Times New Roman" w:hAnsi="Times New Roman"/>
          <w:b/>
        </w:rPr>
      </w:pPr>
      <w:r>
        <w:rPr>
          <w:rFonts w:ascii="Times New Roman" w:hAnsi="Times New Roman"/>
          <w:b/>
        </w:rPr>
        <w:t>8.1.6 生态环境管理与监控</w:t>
      </w:r>
    </w:p>
    <w:p>
      <w:pPr>
        <w:adjustRightInd w:val="0"/>
        <w:snapToGrid w:val="0"/>
        <w:spacing w:line="440" w:lineRule="exact"/>
        <w:ind w:firstLine="480" w:firstLineChars="200"/>
        <w:rPr>
          <w:rFonts w:ascii="Times New Roman" w:hAnsi="Times New Roman"/>
        </w:rPr>
      </w:pPr>
      <w:r>
        <w:rPr>
          <w:rFonts w:ascii="Times New Roman" w:hAnsi="Times New Roman"/>
        </w:rPr>
        <w:t>（1）完善矿区生态管理体制</w:t>
      </w:r>
    </w:p>
    <w:p>
      <w:pPr>
        <w:adjustRightInd w:val="0"/>
        <w:snapToGrid w:val="0"/>
        <w:spacing w:line="440" w:lineRule="exact"/>
        <w:ind w:firstLine="482"/>
        <w:rPr>
          <w:rFonts w:ascii="Times New Roman" w:hAnsi="Times New Roman"/>
        </w:rPr>
      </w:pPr>
      <w:r>
        <w:rPr>
          <w:rFonts w:ascii="Times New Roman" w:hAnsi="Times New Roman"/>
        </w:rPr>
        <w:t>在矿区生态环境的治理与防治上，形成一整套比较完善的管理措施和法律法规。在矿区项目运营前，要求企业提交资源合理开发和环境成本管理和环境监测计划、矿地复垦计划和保证金、补偿费等，以取得勘查和采矿许可证、排污许可证；在矿区项目运营中，提交资源开采过程造成的资源环境经济损失评价报告，建立环境经济激励机制减少环境污染。</w:t>
      </w:r>
    </w:p>
    <w:p>
      <w:pPr>
        <w:adjustRightInd w:val="0"/>
        <w:snapToGrid w:val="0"/>
        <w:spacing w:line="440" w:lineRule="exact"/>
        <w:ind w:firstLine="482"/>
        <w:rPr>
          <w:rFonts w:ascii="Times New Roman" w:hAnsi="Times New Roman"/>
        </w:rPr>
      </w:pPr>
      <w:r>
        <w:rPr>
          <w:rFonts w:ascii="Times New Roman" w:hAnsi="Times New Roman"/>
        </w:rPr>
        <w:t>进一步完善生态环境管理的法律政策，建立不同区域、不同生态类型的管理制度和治理标准。加强矿区生态管理规划的建设，最好是独立编写，具体详细地提出规划内容和政策措施。</w:t>
      </w:r>
    </w:p>
    <w:p>
      <w:pPr>
        <w:adjustRightInd w:val="0"/>
        <w:snapToGrid w:val="0"/>
        <w:spacing w:line="440" w:lineRule="exact"/>
        <w:ind w:firstLine="480" w:firstLineChars="200"/>
        <w:rPr>
          <w:rFonts w:ascii="Times New Roman" w:hAnsi="Times New Roman"/>
        </w:rPr>
      </w:pPr>
      <w:r>
        <w:rPr>
          <w:rFonts w:ascii="Times New Roman" w:hAnsi="Times New Roman"/>
        </w:rPr>
        <w:t>（2）采取环境经济激励制度，减少矿区环境污染</w:t>
      </w:r>
    </w:p>
    <w:p>
      <w:pPr>
        <w:adjustRightInd w:val="0"/>
        <w:snapToGrid w:val="0"/>
        <w:spacing w:line="440" w:lineRule="exact"/>
        <w:ind w:firstLine="482"/>
        <w:rPr>
          <w:rFonts w:ascii="Times New Roman" w:hAnsi="Times New Roman"/>
        </w:rPr>
      </w:pPr>
      <w:r>
        <w:rPr>
          <w:rFonts w:ascii="Times New Roman" w:hAnsi="Times New Roman"/>
        </w:rPr>
        <w:t>矿区环境管理问题的实质是一个经济管理问题，因而解决环境问题也必须从经济方面入手，运用经济手段来管理。在治理环境污染中采取有效的经济激励制度，解决好环境污染经济外部性内部化的问题。</w:t>
      </w:r>
    </w:p>
    <w:p>
      <w:pPr>
        <w:adjustRightInd w:val="0"/>
        <w:snapToGrid w:val="0"/>
        <w:spacing w:line="440" w:lineRule="exact"/>
        <w:ind w:firstLine="482"/>
        <w:rPr>
          <w:rFonts w:ascii="Times New Roman" w:hAnsi="Times New Roman"/>
        </w:rPr>
      </w:pPr>
      <w:r>
        <w:rPr>
          <w:rFonts w:ascii="Times New Roman" w:hAnsi="Times New Roman"/>
        </w:rPr>
        <w:t>矿区各企业污染物排放均须满足达标排放要求，各企业均须做好污染防治设施的日常维护，确保正常运行。</w:t>
      </w:r>
    </w:p>
    <w:p>
      <w:pPr>
        <w:adjustRightInd w:val="0"/>
        <w:snapToGrid w:val="0"/>
        <w:spacing w:line="440" w:lineRule="exact"/>
        <w:ind w:firstLine="480" w:firstLineChars="200"/>
        <w:rPr>
          <w:rFonts w:ascii="Times New Roman" w:hAnsi="Times New Roman"/>
        </w:rPr>
      </w:pPr>
      <w:r>
        <w:rPr>
          <w:rFonts w:ascii="Times New Roman" w:hAnsi="Times New Roman"/>
        </w:rPr>
        <w:t>（3）加强融入循环经济理念的矿区环境成本管理</w:t>
      </w:r>
    </w:p>
    <w:p>
      <w:pPr>
        <w:adjustRightInd w:val="0"/>
        <w:snapToGrid w:val="0"/>
        <w:spacing w:line="440" w:lineRule="exact"/>
        <w:ind w:firstLine="482"/>
        <w:rPr>
          <w:rFonts w:ascii="Times New Roman" w:hAnsi="Times New Roman"/>
        </w:rPr>
      </w:pPr>
      <w:r>
        <w:rPr>
          <w:rFonts w:ascii="Times New Roman" w:hAnsi="Times New Roman"/>
        </w:rPr>
        <w:t>通过资源减量消耗、资源节约与循环、废弃物再资源化、污染物的减排和无害化等循环经济方式，将会有效地优化环境成本的结构，扩大环保效果和效益，走经济发展与环境保护协调发展的良性循环之路。</w:t>
      </w:r>
    </w:p>
    <w:p>
      <w:pPr>
        <w:adjustRightInd w:val="0"/>
        <w:snapToGrid w:val="0"/>
        <w:spacing w:line="440" w:lineRule="exact"/>
        <w:ind w:firstLine="480" w:firstLineChars="200"/>
        <w:rPr>
          <w:rFonts w:ascii="Times New Roman" w:hAnsi="Times New Roman"/>
        </w:rPr>
      </w:pPr>
      <w:r>
        <w:rPr>
          <w:rFonts w:ascii="Times New Roman" w:hAnsi="Times New Roman"/>
        </w:rPr>
        <w:t>（4）加强对采煤沉陷的观测和调查，为采取保护措施提供基础数据</w:t>
      </w:r>
    </w:p>
    <w:p>
      <w:pPr>
        <w:adjustRightInd w:val="0"/>
        <w:snapToGrid w:val="0"/>
        <w:spacing w:line="440" w:lineRule="exact"/>
        <w:ind w:firstLine="482"/>
        <w:rPr>
          <w:rFonts w:ascii="Times New Roman" w:hAnsi="Times New Roman"/>
        </w:rPr>
      </w:pPr>
      <w:r>
        <w:rPr>
          <w:rFonts w:ascii="Times New Roman" w:hAnsi="Times New Roman"/>
        </w:rPr>
        <w:t>1）矿区须在典型区域设岩移观测站，长期动态观测采煤后地表沉陷相关参数，为将来能够准确预测沉陷的影响和采取预防治理措施提供基础数据。</w:t>
      </w:r>
    </w:p>
    <w:p>
      <w:pPr>
        <w:adjustRightInd w:val="0"/>
        <w:snapToGrid w:val="0"/>
        <w:spacing w:line="440" w:lineRule="exact"/>
        <w:ind w:firstLine="482"/>
        <w:rPr>
          <w:rFonts w:ascii="Times New Roman" w:hAnsi="Times New Roman"/>
        </w:rPr>
      </w:pPr>
      <w:r>
        <w:rPr>
          <w:rFonts w:ascii="Times New Roman" w:hAnsi="Times New Roman"/>
        </w:rPr>
        <w:t>2）矿区应对采煤沉陷后的影响进行定期的调查，并建立采煤沉陷影响调查档案。</w:t>
      </w:r>
    </w:p>
    <w:p>
      <w:pPr>
        <w:adjustRightInd w:val="0"/>
        <w:snapToGrid w:val="0"/>
        <w:spacing w:line="440" w:lineRule="exact"/>
        <w:ind w:firstLine="480" w:firstLineChars="200"/>
        <w:rPr>
          <w:rFonts w:ascii="Times New Roman" w:hAnsi="Times New Roman"/>
        </w:rPr>
      </w:pPr>
      <w:r>
        <w:rPr>
          <w:rFonts w:ascii="Times New Roman" w:hAnsi="Times New Roman"/>
        </w:rPr>
        <w:t>3）地方环保部门应加强矿区采煤沉陷治理工作的监督管理。</w:t>
      </w:r>
    </w:p>
    <w:p>
      <w:pPr>
        <w:adjustRightInd w:val="0"/>
        <w:snapToGrid w:val="0"/>
        <w:spacing w:line="440" w:lineRule="exact"/>
        <w:ind w:firstLine="480" w:firstLineChars="200"/>
        <w:rPr>
          <w:rFonts w:ascii="Times New Roman" w:hAnsi="Times New Roman"/>
        </w:rPr>
      </w:pPr>
      <w:r>
        <w:rPr>
          <w:rFonts w:ascii="Times New Roman" w:hAnsi="Times New Roman"/>
        </w:rPr>
        <w:t>（5）加强项目设计及建设阶段环境管理</w:t>
      </w:r>
    </w:p>
    <w:p>
      <w:pPr>
        <w:adjustRightInd w:val="0"/>
        <w:snapToGrid w:val="0"/>
        <w:spacing w:line="440" w:lineRule="exact"/>
        <w:ind w:firstLine="480" w:firstLineChars="200"/>
        <w:rPr>
          <w:rFonts w:ascii="Times New Roman" w:hAnsi="Times New Roman"/>
        </w:rPr>
      </w:pPr>
      <w:r>
        <w:rPr>
          <w:rFonts w:ascii="Times New Roman" w:hAnsi="Times New Roman"/>
        </w:rPr>
        <w:t>1）矿区规划项目建设占地、选址选线禁止占用永久基本农田和一级国家级公益林，尽可能不占或少占其它类型公益林和基本草原；</w:t>
      </w:r>
    </w:p>
    <w:p>
      <w:pPr>
        <w:adjustRightInd w:val="0"/>
        <w:snapToGrid w:val="0"/>
        <w:spacing w:line="440" w:lineRule="exact"/>
        <w:ind w:firstLine="480" w:firstLineChars="200"/>
        <w:rPr>
          <w:rFonts w:ascii="Times New Roman" w:hAnsi="Times New Roman"/>
        </w:rPr>
      </w:pPr>
      <w:r>
        <w:rPr>
          <w:rFonts w:ascii="Times New Roman" w:hAnsi="Times New Roman"/>
        </w:rPr>
        <w:t>2）合理规划施工营地和路线，禁止施工车辆在草原、林地区随意行驶和碾压；</w:t>
      </w:r>
    </w:p>
    <w:p>
      <w:pPr>
        <w:adjustRightInd w:val="0"/>
        <w:snapToGrid w:val="0"/>
        <w:spacing w:line="440" w:lineRule="exact"/>
        <w:ind w:firstLine="480" w:firstLineChars="200"/>
        <w:rPr>
          <w:rFonts w:ascii="Times New Roman" w:hAnsi="Times New Roman"/>
        </w:rPr>
      </w:pPr>
      <w:r>
        <w:rPr>
          <w:rFonts w:ascii="Times New Roman" w:hAnsi="Times New Roman"/>
        </w:rPr>
        <w:t>3）开展施工人员队伍和本矿职工环境保护教育工作，禁止各种破坏草地、林地的行为。</w:t>
      </w:r>
    </w:p>
    <w:p>
      <w:pPr>
        <w:pStyle w:val="4"/>
        <w:adjustRightInd w:val="0"/>
        <w:snapToGrid w:val="0"/>
        <w:spacing w:line="440" w:lineRule="exact"/>
        <w:jc w:val="left"/>
        <w:rPr>
          <w:rFonts w:ascii="Times New Roman" w:hAnsi="Times New Roman" w:eastAsia="宋体"/>
          <w:sz w:val="28"/>
        </w:rPr>
      </w:pPr>
      <w:bookmarkStart w:id="362" w:name="_Toc26187"/>
      <w:r>
        <w:rPr>
          <w:rFonts w:ascii="Times New Roman" w:hAnsi="Times New Roman" w:eastAsia="宋体"/>
          <w:sz w:val="28"/>
        </w:rPr>
        <w:t>8.2 矿区大气污染控制措施</w:t>
      </w:r>
      <w:bookmarkEnd w:id="355"/>
      <w:bookmarkEnd w:id="356"/>
      <w:bookmarkEnd w:id="362"/>
    </w:p>
    <w:p>
      <w:pPr>
        <w:spacing w:line="440" w:lineRule="exact"/>
        <w:ind w:firstLine="482"/>
        <w:rPr>
          <w:rFonts w:ascii="Times New Roman" w:hAnsi="Times New Roman"/>
        </w:rPr>
      </w:pPr>
      <w:r>
        <w:rPr>
          <w:rFonts w:ascii="Times New Roman" w:hAnsi="Times New Roman"/>
        </w:rPr>
        <w:t>（1）锅炉烟气治理措施</w:t>
      </w:r>
    </w:p>
    <w:p>
      <w:pPr>
        <w:adjustRightInd w:val="0"/>
        <w:snapToGrid w:val="0"/>
        <w:spacing w:line="440" w:lineRule="exact"/>
        <w:ind w:firstLine="480" w:firstLineChars="200"/>
        <w:rPr>
          <w:rFonts w:ascii="Times New Roman" w:hAnsi="Times New Roman"/>
        </w:rPr>
      </w:pPr>
      <w:r>
        <w:rPr>
          <w:rFonts w:ascii="Times New Roman" w:hAnsi="Times New Roman"/>
        </w:rPr>
        <w:t>《内蒙古自治区打赢蓝天保卫战三年行动计划实施方案》中指出：</w:t>
      </w:r>
      <w:r>
        <w:rPr>
          <w:rFonts w:hint="eastAsia" w:cs="宋体"/>
        </w:rPr>
        <w:t>①</w:t>
      </w:r>
      <w:r>
        <w:rPr>
          <w:rFonts w:ascii="Times New Roman" w:hAnsi="Times New Roman"/>
        </w:rPr>
        <w:t>全区旗县（市、区）及以上城市建成区基本淘汰每小时10蒸吨及以下燃煤锅炉及茶水炉、经营性炉灶、储粮烘干设备等燃煤设施，原则上不再新建每小时35蒸吨以下的燃煤锅炉，其他地区原则上不再新建每小时10蒸吨以下的燃煤锅炉；</w:t>
      </w:r>
      <w:r>
        <w:rPr>
          <w:rFonts w:hint="eastAsia" w:cs="宋体"/>
        </w:rPr>
        <w:t>②</w:t>
      </w:r>
      <w:r>
        <w:rPr>
          <w:rFonts w:ascii="Times New Roman" w:hAnsi="Times New Roman"/>
        </w:rPr>
        <w:t>加大对纯凝机组和热电联产机组技术改造力度，加快供热管网建设，推进老旧管网改造，降低系统能耗，充分释放和提高供热能力，淘汰管网覆盖范围内的燃煤锅炉和散煤。</w:t>
      </w:r>
    </w:p>
    <w:p>
      <w:pPr>
        <w:pStyle w:val="573"/>
        <w:spacing w:line="440" w:lineRule="exact"/>
        <w:ind w:firstLine="480"/>
        <w:jc w:val="both"/>
        <w:rPr>
          <w:rFonts w:ascii="Times New Roman" w:hAnsi="Times New Roman" w:eastAsia="宋体" w:cs="Times New Roman"/>
          <w:bCs w:val="0"/>
          <w:szCs w:val="20"/>
        </w:rPr>
      </w:pPr>
      <w:r>
        <w:rPr>
          <w:rFonts w:ascii="Times New Roman" w:hAnsi="Times New Roman" w:eastAsia="宋体" w:cs="Times New Roman"/>
          <w:bCs w:val="0"/>
          <w:szCs w:val="20"/>
        </w:rPr>
        <w:t>本项目各矿井均规划建设40t/h热水锅炉，锅炉烟气排放会对大气环境造成一定的影响。建议矿区各矿井燃煤锅炉均配置高效除尘脱硫脱硝的设备和装置。除尘效率不低于99%，脱硫效率不低于80%，脱硝效率不低于40%。</w:t>
      </w:r>
    </w:p>
    <w:p>
      <w:pPr>
        <w:adjustRightInd w:val="0"/>
        <w:snapToGrid w:val="0"/>
        <w:spacing w:line="440" w:lineRule="exact"/>
        <w:ind w:firstLine="480" w:firstLineChars="200"/>
        <w:rPr>
          <w:rFonts w:ascii="Times New Roman" w:hAnsi="Times New Roman"/>
        </w:rPr>
      </w:pPr>
      <w:r>
        <w:rPr>
          <w:rFonts w:ascii="Times New Roman" w:hAnsi="Times New Roman"/>
        </w:rPr>
        <w:t>（2）颗粒物防治措施</w:t>
      </w:r>
    </w:p>
    <w:p>
      <w:pPr>
        <w:adjustRightInd w:val="0"/>
        <w:snapToGrid w:val="0"/>
        <w:spacing w:line="440" w:lineRule="exact"/>
        <w:ind w:firstLine="480" w:firstLineChars="200"/>
        <w:rPr>
          <w:rFonts w:ascii="Times New Roman" w:hAnsi="Times New Roman"/>
        </w:rPr>
      </w:pPr>
      <w:r>
        <w:rPr>
          <w:rFonts w:ascii="Times New Roman" w:hAnsi="Times New Roman"/>
        </w:rPr>
        <w:t>煤矿排放TSP主要来源于煤炭储存、场内输送以及选煤厂筛分破碎车间等。</w:t>
      </w:r>
    </w:p>
    <w:p>
      <w:pPr>
        <w:spacing w:line="440" w:lineRule="exact"/>
        <w:ind w:firstLine="482"/>
        <w:rPr>
          <w:rFonts w:ascii="Times New Roman" w:hAnsi="Times New Roman"/>
        </w:rPr>
      </w:pPr>
      <w:r>
        <w:rPr>
          <w:rFonts w:ascii="Times New Roman" w:hAnsi="Times New Roman"/>
        </w:rPr>
        <w:t>1）工业场地原料转载点、准备车间等易产生扬尘的工作环节设置集尘罩、袋式防爆除尘器和喷雾洒水装置，抑制和减少煤粉尘的污染，除尘器效率不应低于9</w:t>
      </w:r>
      <w:r>
        <w:rPr>
          <w:rFonts w:hint="eastAsia" w:ascii="Times New Roman" w:hAnsi="Times New Roman"/>
        </w:rPr>
        <w:t>9</w:t>
      </w:r>
      <w:r>
        <w:rPr>
          <w:rFonts w:ascii="Times New Roman" w:hAnsi="Times New Roman"/>
        </w:rPr>
        <w:t>%；</w:t>
      </w:r>
    </w:p>
    <w:p>
      <w:pPr>
        <w:spacing w:line="440" w:lineRule="exact"/>
        <w:ind w:firstLine="482"/>
        <w:rPr>
          <w:rFonts w:ascii="Times New Roman" w:hAnsi="Times New Roman"/>
        </w:rPr>
      </w:pPr>
      <w:r>
        <w:rPr>
          <w:rFonts w:ascii="Times New Roman" w:hAnsi="Times New Roman"/>
        </w:rPr>
        <w:t>2）场内运输采用全封闭式输煤栈桥，减少扬尘；储煤场应采用全封闭形式；</w:t>
      </w:r>
    </w:p>
    <w:p>
      <w:pPr>
        <w:spacing w:line="440" w:lineRule="exact"/>
        <w:ind w:firstLine="482"/>
        <w:rPr>
          <w:rFonts w:ascii="Times New Roman" w:hAnsi="Times New Roman"/>
        </w:rPr>
      </w:pPr>
      <w:r>
        <w:rPr>
          <w:rFonts w:ascii="Times New Roman" w:hAnsi="Times New Roman"/>
        </w:rPr>
        <w:t>3）企业运输专用道路采用定期清扫和洒水降尘；</w:t>
      </w:r>
    </w:p>
    <w:p>
      <w:pPr>
        <w:spacing w:line="440" w:lineRule="exact"/>
        <w:ind w:firstLine="482"/>
        <w:rPr>
          <w:rFonts w:ascii="Times New Roman" w:hAnsi="Times New Roman"/>
        </w:rPr>
      </w:pPr>
      <w:r>
        <w:rPr>
          <w:rFonts w:ascii="Times New Roman" w:hAnsi="Times New Roman"/>
        </w:rPr>
        <w:t>4）矿区产生的大量煤矸石，本次规划矿井掘进矸石全部用于井下充填废弃巷道不出井。洗选矸石初期运往矸石周转场地临时堆存，后期主要用于井下充填采空区。针对矸石周转场扬尘，本环评要求矸石运输车辆在卸车过程中降低落差，减少卸车扬尘，矸石在周转场堆放时将小颗粒物料堆放在下层，较大颗粒物料堆放在表层，减少大风扬尘量，另外需在矸石周转场设置可以覆盖全周转场的喷洒水装置，定期洒水增加物料湿度，降低扬尘量，控制矸石场周界外浓度最高点粉尘浓度在1.0mg/m</w:t>
      </w:r>
      <w:r>
        <w:rPr>
          <w:rFonts w:ascii="Times New Roman" w:hAnsi="Times New Roman"/>
          <w:vertAlign w:val="superscript"/>
        </w:rPr>
        <w:t>3</w:t>
      </w:r>
      <w:r>
        <w:rPr>
          <w:rFonts w:ascii="Times New Roman" w:hAnsi="Times New Roman"/>
        </w:rPr>
        <w:t>之内。</w:t>
      </w:r>
    </w:p>
    <w:p>
      <w:pPr>
        <w:pStyle w:val="4"/>
        <w:adjustRightInd w:val="0"/>
        <w:snapToGrid w:val="0"/>
        <w:spacing w:line="440" w:lineRule="exact"/>
        <w:jc w:val="left"/>
        <w:rPr>
          <w:rFonts w:ascii="Times New Roman" w:hAnsi="Times New Roman" w:eastAsia="宋体"/>
          <w:sz w:val="28"/>
        </w:rPr>
      </w:pPr>
      <w:bookmarkStart w:id="363" w:name="_Toc163441032"/>
      <w:bookmarkStart w:id="364" w:name="_Toc18838470"/>
      <w:bookmarkStart w:id="365" w:name="_Toc31370"/>
      <w:bookmarkStart w:id="366" w:name="_Toc62292065"/>
      <w:bookmarkStart w:id="367" w:name="_Toc69850429"/>
      <w:bookmarkStart w:id="368" w:name="_Toc69849939"/>
      <w:r>
        <w:rPr>
          <w:rFonts w:ascii="Times New Roman" w:hAnsi="Times New Roman" w:eastAsia="宋体"/>
          <w:sz w:val="28"/>
        </w:rPr>
        <w:t>8.3 矿区水</w:t>
      </w:r>
      <w:bookmarkEnd w:id="363"/>
      <w:r>
        <w:rPr>
          <w:rFonts w:ascii="Times New Roman" w:hAnsi="Times New Roman" w:eastAsia="宋体"/>
          <w:sz w:val="28"/>
        </w:rPr>
        <w:t>环境影响控制措施</w:t>
      </w:r>
      <w:bookmarkEnd w:id="364"/>
      <w:bookmarkEnd w:id="365"/>
    </w:p>
    <w:bookmarkEnd w:id="366"/>
    <w:bookmarkEnd w:id="367"/>
    <w:bookmarkEnd w:id="368"/>
    <w:p>
      <w:pPr>
        <w:pStyle w:val="5"/>
        <w:adjustRightInd w:val="0"/>
        <w:snapToGrid w:val="0"/>
        <w:spacing w:before="0" w:after="0" w:line="440" w:lineRule="exact"/>
        <w:rPr>
          <w:sz w:val="24"/>
        </w:rPr>
      </w:pPr>
      <w:bookmarkStart w:id="369" w:name="_Toc318786787"/>
      <w:bookmarkStart w:id="370" w:name="_Toc167639504"/>
      <w:r>
        <w:rPr>
          <w:sz w:val="24"/>
        </w:rPr>
        <w:t>8.3.1 水污染控制和综合利用措施</w:t>
      </w:r>
    </w:p>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8.3.1.1 矿井水处理措施</w:t>
      </w:r>
    </w:p>
    <w:p>
      <w:pPr>
        <w:pStyle w:val="298"/>
        <w:adjustRightInd w:val="0"/>
        <w:snapToGrid w:val="0"/>
        <w:spacing w:line="440" w:lineRule="exact"/>
        <w:ind w:firstLine="480"/>
        <w:rPr>
          <w:rFonts w:ascii="Times New Roman" w:hAnsi="Times New Roman" w:eastAsia="宋体"/>
          <w:bCs/>
        </w:rPr>
      </w:pPr>
      <w:r>
        <w:rPr>
          <w:rFonts w:ascii="Times New Roman" w:hAnsi="Times New Roman" w:eastAsia="宋体"/>
          <w:bCs/>
        </w:rPr>
        <w:t>规划将矿井水实现资源化利用，建设矿井水处理站，主要处理工艺为混凝、沉淀、过滤、深度处理工艺。本矿区矿井水分质处理达标后回用于矿井井下消防洒水、选煤厂生产补充水、辅助企业生产用水，经深度处理达标后可用于矿井生活用水；剩余部分可处理达到地表水III类水水质标准后，</w:t>
      </w:r>
      <w:r>
        <w:rPr>
          <w:rFonts w:hint="eastAsia" w:ascii="Times New Roman" w:hAnsi="Times New Roman" w:eastAsia="宋体"/>
          <w:bCs/>
        </w:rPr>
        <w:t>送至临近的蒙苏经济开发区及纳林希里4×1000MW煤电一体化电厂项目</w:t>
      </w:r>
      <w:r>
        <w:rPr>
          <w:rFonts w:ascii="Times New Roman" w:hAnsi="Times New Roman" w:eastAsia="宋体"/>
          <w:bCs/>
        </w:rPr>
        <w:t>作为生产、生活及园区绿化用水等综合利用。</w:t>
      </w:r>
      <w:r>
        <w:rPr>
          <w:rFonts w:hint="eastAsia" w:ascii="Times New Roman" w:hAnsi="Times New Roman" w:eastAsia="宋体"/>
          <w:bCs/>
        </w:rPr>
        <w:t>如有多余可</w:t>
      </w:r>
      <w:r>
        <w:rPr>
          <w:rFonts w:ascii="Times New Roman" w:hAnsi="Times New Roman" w:eastAsia="宋体"/>
          <w:bCs/>
        </w:rPr>
        <w:t>就近排入井田内地势低洼的淖尔，增加淖尔水量，改善淖尔水质及周边生态。详细见表8.3-1。</w:t>
      </w:r>
    </w:p>
    <w:p>
      <w:pPr>
        <w:rPr>
          <w:rFonts w:ascii="Times New Roman" w:hAnsi="Times New Roman"/>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pStyle w:val="2"/>
        <w:rPr>
          <w:rFonts w:ascii="Times New Roman"/>
          <w:color w:val="auto"/>
        </w:rPr>
      </w:pPr>
    </w:p>
    <w:p>
      <w:pPr>
        <w:spacing w:line="500" w:lineRule="exact"/>
        <w:jc w:val="center"/>
        <w:rPr>
          <w:rFonts w:ascii="Times New Roman" w:hAnsi="Times New Roman"/>
          <w:b/>
        </w:rPr>
      </w:pPr>
      <w:r>
        <w:rPr>
          <w:rFonts w:ascii="Times New Roman" w:hAnsi="Times New Roman"/>
          <w:b/>
        </w:rPr>
        <w:t>矿井水处理站处理工艺表</w:t>
      </w:r>
    </w:p>
    <w:p>
      <w:pPr>
        <w:widowControl/>
        <w:adjustRightInd w:val="0"/>
        <w:snapToGrid w:val="0"/>
        <w:spacing w:line="440" w:lineRule="exact"/>
        <w:outlineLvl w:val="4"/>
        <w:rPr>
          <w:rFonts w:ascii="Times New Roman" w:hAnsi="Times New Roman"/>
          <w:kern w:val="0"/>
          <w:szCs w:val="24"/>
        </w:rPr>
      </w:pPr>
      <w:r>
        <w:rPr>
          <w:rFonts w:ascii="Times New Roman" w:hAnsi="Times New Roman"/>
          <w:kern w:val="0"/>
          <w:szCs w:val="24"/>
        </w:rPr>
        <w:t>表8.3-1</w:t>
      </w:r>
    </w:p>
    <w:tbl>
      <w:tblPr>
        <w:tblStyle w:val="59"/>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1663"/>
        <w:gridCol w:w="1300"/>
        <w:gridCol w:w="1148"/>
        <w:gridCol w:w="1148"/>
        <w:gridCol w:w="3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672" w:type="dxa"/>
            <w:tcBorders>
              <w:bottom w:val="single" w:color="auto" w:sz="4" w:space="0"/>
            </w:tcBorders>
            <w:vAlign w:val="center"/>
          </w:tcPr>
          <w:p>
            <w:pPr>
              <w:jc w:val="center"/>
              <w:rPr>
                <w:rFonts w:ascii="Times New Roman" w:hAnsi="Times New Roman"/>
                <w:sz w:val="21"/>
                <w:szCs w:val="21"/>
              </w:rPr>
            </w:pPr>
            <w:r>
              <w:rPr>
                <w:rFonts w:ascii="Times New Roman" w:hAnsi="Times New Roman"/>
                <w:sz w:val="21"/>
                <w:szCs w:val="21"/>
              </w:rPr>
              <w:t>序号</w:t>
            </w:r>
          </w:p>
        </w:tc>
        <w:tc>
          <w:tcPr>
            <w:tcW w:w="1663" w:type="dxa"/>
            <w:tcBorders>
              <w:bottom w:val="single" w:color="auto" w:sz="4" w:space="0"/>
            </w:tcBorders>
            <w:vAlign w:val="center"/>
          </w:tcPr>
          <w:p>
            <w:pPr>
              <w:jc w:val="center"/>
              <w:rPr>
                <w:rFonts w:ascii="Times New Roman" w:hAnsi="Times New Roman"/>
                <w:sz w:val="21"/>
                <w:szCs w:val="21"/>
              </w:rPr>
            </w:pPr>
            <w:r>
              <w:rPr>
                <w:rFonts w:ascii="Times New Roman" w:hAnsi="Times New Roman"/>
                <w:sz w:val="21"/>
                <w:szCs w:val="21"/>
              </w:rPr>
              <w:t>名称</w:t>
            </w:r>
          </w:p>
        </w:tc>
        <w:tc>
          <w:tcPr>
            <w:tcW w:w="1300" w:type="dxa"/>
            <w:tcBorders>
              <w:bottom w:val="single" w:color="auto" w:sz="4" w:space="0"/>
            </w:tcBorders>
            <w:vAlign w:val="center"/>
          </w:tcPr>
          <w:p>
            <w:pPr>
              <w:jc w:val="center"/>
              <w:rPr>
                <w:rFonts w:ascii="Times New Roman" w:hAnsi="Times New Roman"/>
                <w:sz w:val="21"/>
                <w:szCs w:val="21"/>
              </w:rPr>
            </w:pPr>
            <w:r>
              <w:rPr>
                <w:rFonts w:ascii="Times New Roman" w:hAnsi="Times New Roman"/>
                <w:sz w:val="21"/>
                <w:szCs w:val="21"/>
              </w:rPr>
              <w:t>正常涌水量</w:t>
            </w:r>
          </w:p>
          <w:p>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1148" w:type="dxa"/>
            <w:tcBorders>
              <w:bottom w:val="single" w:color="auto" w:sz="4" w:space="0"/>
            </w:tcBorders>
          </w:tcPr>
          <w:p>
            <w:pPr>
              <w:jc w:val="center"/>
              <w:rPr>
                <w:rFonts w:ascii="Times New Roman" w:hAnsi="Times New Roman"/>
                <w:sz w:val="21"/>
                <w:szCs w:val="21"/>
              </w:rPr>
            </w:pPr>
            <w:r>
              <w:rPr>
                <w:rFonts w:ascii="Times New Roman" w:hAnsi="Times New Roman"/>
                <w:sz w:val="21"/>
                <w:szCs w:val="21"/>
              </w:rPr>
              <w:t>最大涌水量（m</w:t>
            </w:r>
            <w:r>
              <w:rPr>
                <w:rFonts w:ascii="Times New Roman" w:hAnsi="Times New Roman"/>
                <w:sz w:val="21"/>
                <w:szCs w:val="21"/>
                <w:vertAlign w:val="superscript"/>
              </w:rPr>
              <w:t>3</w:t>
            </w:r>
            <w:r>
              <w:rPr>
                <w:rFonts w:ascii="Times New Roman" w:hAnsi="Times New Roman"/>
                <w:sz w:val="21"/>
                <w:szCs w:val="21"/>
              </w:rPr>
              <w:t>/d）</w:t>
            </w:r>
          </w:p>
        </w:tc>
        <w:tc>
          <w:tcPr>
            <w:tcW w:w="1148" w:type="dxa"/>
            <w:tcBorders>
              <w:bottom w:val="single" w:color="auto" w:sz="4" w:space="0"/>
            </w:tcBorders>
            <w:vAlign w:val="center"/>
          </w:tcPr>
          <w:p>
            <w:pPr>
              <w:jc w:val="center"/>
              <w:rPr>
                <w:rFonts w:ascii="Times New Roman" w:hAnsi="Times New Roman"/>
                <w:sz w:val="21"/>
                <w:szCs w:val="21"/>
              </w:rPr>
            </w:pPr>
            <w:r>
              <w:rPr>
                <w:rFonts w:ascii="Times New Roman" w:hAnsi="Times New Roman"/>
                <w:sz w:val="21"/>
                <w:szCs w:val="21"/>
              </w:rPr>
              <w:t>处理规模</w:t>
            </w:r>
          </w:p>
          <w:p>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3357" w:type="dxa"/>
            <w:tcBorders>
              <w:bottom w:val="single" w:color="auto" w:sz="4" w:space="0"/>
            </w:tcBorders>
            <w:vAlign w:val="center"/>
          </w:tcPr>
          <w:p>
            <w:pPr>
              <w:ind w:right="-329" w:rightChars="-137"/>
              <w:jc w:val="center"/>
              <w:rPr>
                <w:rFonts w:ascii="Times New Roman" w:hAnsi="Times New Roman"/>
                <w:sz w:val="21"/>
                <w:szCs w:val="21"/>
              </w:rPr>
            </w:pPr>
            <w:r>
              <w:rPr>
                <w:rFonts w:ascii="Times New Roman" w:hAnsi="Times New Roman"/>
                <w:sz w:val="21"/>
                <w:szCs w:val="21"/>
              </w:rPr>
              <w:t>主要处理工艺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672" w:type="dxa"/>
            <w:vAlign w:val="center"/>
          </w:tcPr>
          <w:p>
            <w:pPr>
              <w:jc w:val="center"/>
              <w:rPr>
                <w:rFonts w:ascii="Times New Roman" w:hAnsi="Times New Roman" w:eastAsiaTheme="minorEastAsia"/>
                <w:sz w:val="21"/>
                <w:szCs w:val="21"/>
              </w:rPr>
            </w:pPr>
            <w:r>
              <w:rPr>
                <w:rFonts w:ascii="Times New Roman" w:hAnsi="Times New Roman" w:eastAsiaTheme="minorEastAsia"/>
                <w:sz w:val="21"/>
                <w:szCs w:val="21"/>
              </w:rPr>
              <w:t>1</w:t>
            </w:r>
          </w:p>
        </w:tc>
        <w:tc>
          <w:tcPr>
            <w:tcW w:w="1663"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奎腾沟矿井</w:t>
            </w:r>
          </w:p>
        </w:tc>
        <w:tc>
          <w:tcPr>
            <w:tcW w:w="1300"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25200</w:t>
            </w:r>
          </w:p>
        </w:tc>
        <w:tc>
          <w:tcPr>
            <w:tcW w:w="1148" w:type="dxa"/>
            <w:vAlign w:val="center"/>
          </w:tcPr>
          <w:p>
            <w:pPr>
              <w:jc w:val="center"/>
              <w:rPr>
                <w:rFonts w:ascii="Times New Roman" w:hAnsi="Times New Roman"/>
                <w:bCs/>
                <w:kern w:val="0"/>
                <w:sz w:val="21"/>
                <w:szCs w:val="21"/>
              </w:rPr>
            </w:pPr>
            <w:r>
              <w:rPr>
                <w:rFonts w:ascii="Times New Roman" w:hAnsi="Times New Roman"/>
                <w:kern w:val="0"/>
                <w:sz w:val="21"/>
                <w:szCs w:val="21"/>
              </w:rPr>
              <w:t>37800</w:t>
            </w:r>
          </w:p>
        </w:tc>
        <w:tc>
          <w:tcPr>
            <w:tcW w:w="1148"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40800</w:t>
            </w:r>
          </w:p>
        </w:tc>
        <w:tc>
          <w:tcPr>
            <w:tcW w:w="3357" w:type="dxa"/>
            <w:vAlign w:val="center"/>
          </w:tcPr>
          <w:p>
            <w:pPr>
              <w:jc w:val="center"/>
              <w:rPr>
                <w:rFonts w:ascii="Times New Roman" w:hAnsi="Times New Roman"/>
                <w:sz w:val="21"/>
                <w:szCs w:val="21"/>
              </w:rPr>
            </w:pPr>
            <w:r>
              <w:rPr>
                <w:rFonts w:ascii="Times New Roman" w:hAnsi="Times New Roman"/>
                <w:sz w:val="21"/>
                <w:szCs w:val="21"/>
              </w:rPr>
              <w:t>混凝、沉淀、过滤、深度处理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672" w:type="dxa"/>
            <w:vAlign w:val="center"/>
          </w:tcPr>
          <w:p>
            <w:pPr>
              <w:jc w:val="center"/>
              <w:rPr>
                <w:rFonts w:ascii="Times New Roman" w:hAnsi="Times New Roman" w:eastAsiaTheme="minorEastAsia"/>
                <w:sz w:val="21"/>
                <w:szCs w:val="21"/>
              </w:rPr>
            </w:pPr>
            <w:r>
              <w:rPr>
                <w:rFonts w:ascii="Times New Roman" w:hAnsi="Times New Roman" w:eastAsiaTheme="minorEastAsia"/>
                <w:sz w:val="21"/>
                <w:szCs w:val="21"/>
              </w:rPr>
              <w:t>2</w:t>
            </w:r>
          </w:p>
        </w:tc>
        <w:tc>
          <w:tcPr>
            <w:tcW w:w="1663"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苏布尔嘎矿井</w:t>
            </w:r>
          </w:p>
        </w:tc>
        <w:tc>
          <w:tcPr>
            <w:tcW w:w="1300"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22800</w:t>
            </w:r>
          </w:p>
        </w:tc>
        <w:tc>
          <w:tcPr>
            <w:tcW w:w="1148" w:type="dxa"/>
            <w:vAlign w:val="center"/>
          </w:tcPr>
          <w:p>
            <w:pPr>
              <w:jc w:val="center"/>
              <w:rPr>
                <w:rFonts w:ascii="Times New Roman" w:hAnsi="Times New Roman"/>
                <w:bCs/>
                <w:kern w:val="0"/>
                <w:sz w:val="21"/>
                <w:szCs w:val="21"/>
              </w:rPr>
            </w:pPr>
            <w:r>
              <w:rPr>
                <w:rFonts w:ascii="Times New Roman" w:hAnsi="Times New Roman"/>
                <w:kern w:val="0"/>
                <w:sz w:val="21"/>
                <w:szCs w:val="21"/>
              </w:rPr>
              <w:t>34200</w:t>
            </w:r>
          </w:p>
        </w:tc>
        <w:tc>
          <w:tcPr>
            <w:tcW w:w="1148"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40800</w:t>
            </w:r>
          </w:p>
        </w:tc>
        <w:tc>
          <w:tcPr>
            <w:tcW w:w="3357" w:type="dxa"/>
            <w:vAlign w:val="center"/>
          </w:tcPr>
          <w:p>
            <w:pPr>
              <w:jc w:val="center"/>
              <w:rPr>
                <w:rFonts w:ascii="Times New Roman" w:hAnsi="Times New Roman"/>
                <w:sz w:val="21"/>
                <w:szCs w:val="21"/>
              </w:rPr>
            </w:pPr>
            <w:r>
              <w:rPr>
                <w:rFonts w:ascii="Times New Roman" w:hAnsi="Times New Roman"/>
                <w:sz w:val="21"/>
                <w:szCs w:val="21"/>
              </w:rPr>
              <w:t>混凝、沉淀、过滤、深度处理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672" w:type="dxa"/>
            <w:vAlign w:val="center"/>
          </w:tcPr>
          <w:p>
            <w:pPr>
              <w:jc w:val="center"/>
              <w:rPr>
                <w:rFonts w:ascii="Times New Roman" w:hAnsi="Times New Roman" w:eastAsiaTheme="minorEastAsia"/>
                <w:sz w:val="21"/>
                <w:szCs w:val="21"/>
              </w:rPr>
            </w:pPr>
            <w:r>
              <w:rPr>
                <w:rFonts w:ascii="Times New Roman" w:hAnsi="Times New Roman" w:eastAsiaTheme="minorEastAsia"/>
                <w:sz w:val="21"/>
                <w:szCs w:val="21"/>
              </w:rPr>
              <w:t>3</w:t>
            </w:r>
          </w:p>
        </w:tc>
        <w:tc>
          <w:tcPr>
            <w:tcW w:w="1663"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壕赖苏矿井</w:t>
            </w:r>
          </w:p>
        </w:tc>
        <w:tc>
          <w:tcPr>
            <w:tcW w:w="1300"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16800</w:t>
            </w:r>
          </w:p>
        </w:tc>
        <w:tc>
          <w:tcPr>
            <w:tcW w:w="1148" w:type="dxa"/>
            <w:vAlign w:val="center"/>
          </w:tcPr>
          <w:p>
            <w:pPr>
              <w:jc w:val="center"/>
              <w:rPr>
                <w:rFonts w:ascii="Times New Roman" w:hAnsi="Times New Roman"/>
                <w:bCs/>
                <w:kern w:val="0"/>
                <w:sz w:val="21"/>
                <w:szCs w:val="21"/>
              </w:rPr>
            </w:pPr>
            <w:r>
              <w:rPr>
                <w:rFonts w:ascii="Times New Roman" w:hAnsi="Times New Roman"/>
                <w:kern w:val="0"/>
                <w:sz w:val="21"/>
                <w:szCs w:val="21"/>
              </w:rPr>
              <w:t>25200</w:t>
            </w:r>
          </w:p>
        </w:tc>
        <w:tc>
          <w:tcPr>
            <w:tcW w:w="1148"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37800</w:t>
            </w:r>
          </w:p>
        </w:tc>
        <w:tc>
          <w:tcPr>
            <w:tcW w:w="3357" w:type="dxa"/>
            <w:vAlign w:val="center"/>
          </w:tcPr>
          <w:p>
            <w:pPr>
              <w:jc w:val="center"/>
              <w:rPr>
                <w:rFonts w:ascii="Times New Roman" w:hAnsi="Times New Roman"/>
                <w:sz w:val="21"/>
                <w:szCs w:val="21"/>
              </w:rPr>
            </w:pPr>
            <w:r>
              <w:rPr>
                <w:rFonts w:ascii="Times New Roman" w:hAnsi="Times New Roman"/>
                <w:sz w:val="21"/>
                <w:szCs w:val="21"/>
              </w:rPr>
              <w:t>混凝、沉淀、过滤、深度处理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672" w:type="dxa"/>
            <w:vAlign w:val="center"/>
          </w:tcPr>
          <w:p>
            <w:pPr>
              <w:jc w:val="center"/>
              <w:rPr>
                <w:rFonts w:ascii="Times New Roman" w:hAnsi="Times New Roman" w:eastAsiaTheme="minorEastAsia"/>
                <w:sz w:val="21"/>
                <w:szCs w:val="21"/>
              </w:rPr>
            </w:pPr>
            <w:r>
              <w:rPr>
                <w:rFonts w:ascii="Times New Roman" w:hAnsi="Times New Roman" w:eastAsiaTheme="minorEastAsia"/>
                <w:sz w:val="21"/>
                <w:szCs w:val="21"/>
              </w:rPr>
              <w:t>4</w:t>
            </w:r>
          </w:p>
        </w:tc>
        <w:tc>
          <w:tcPr>
            <w:tcW w:w="1663"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纳林希里矿井</w:t>
            </w:r>
          </w:p>
        </w:tc>
        <w:tc>
          <w:tcPr>
            <w:tcW w:w="1300"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14400</w:t>
            </w:r>
          </w:p>
        </w:tc>
        <w:tc>
          <w:tcPr>
            <w:tcW w:w="1148" w:type="dxa"/>
            <w:vAlign w:val="center"/>
          </w:tcPr>
          <w:p>
            <w:pPr>
              <w:jc w:val="center"/>
              <w:rPr>
                <w:rFonts w:ascii="Times New Roman" w:hAnsi="Times New Roman"/>
                <w:bCs/>
                <w:kern w:val="0"/>
                <w:sz w:val="21"/>
                <w:szCs w:val="21"/>
              </w:rPr>
            </w:pPr>
            <w:r>
              <w:rPr>
                <w:rFonts w:ascii="Times New Roman" w:hAnsi="Times New Roman"/>
                <w:kern w:val="0"/>
                <w:sz w:val="21"/>
                <w:szCs w:val="21"/>
              </w:rPr>
              <w:t>21600</w:t>
            </w:r>
          </w:p>
        </w:tc>
        <w:tc>
          <w:tcPr>
            <w:tcW w:w="1148"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37800</w:t>
            </w:r>
          </w:p>
        </w:tc>
        <w:tc>
          <w:tcPr>
            <w:tcW w:w="3357" w:type="dxa"/>
            <w:vAlign w:val="center"/>
          </w:tcPr>
          <w:p>
            <w:pPr>
              <w:jc w:val="center"/>
              <w:rPr>
                <w:rFonts w:ascii="Times New Roman" w:hAnsi="Times New Roman"/>
                <w:sz w:val="21"/>
                <w:szCs w:val="21"/>
              </w:rPr>
            </w:pPr>
            <w:r>
              <w:rPr>
                <w:rFonts w:ascii="Times New Roman" w:hAnsi="Times New Roman"/>
                <w:sz w:val="21"/>
                <w:szCs w:val="21"/>
              </w:rPr>
              <w:t>混凝、沉淀、过滤、深度处理</w:t>
            </w:r>
          </w:p>
        </w:tc>
      </w:tr>
    </w:tbl>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8.3.1.2 生活污水治理措施</w:t>
      </w:r>
    </w:p>
    <w:p>
      <w:pPr>
        <w:adjustRightInd w:val="0"/>
        <w:snapToGrid w:val="0"/>
        <w:spacing w:line="440" w:lineRule="exact"/>
        <w:ind w:firstLine="480"/>
        <w:rPr>
          <w:rFonts w:ascii="Times New Roman" w:hAnsi="Times New Roman"/>
          <w:bCs/>
          <w:szCs w:val="24"/>
        </w:rPr>
      </w:pPr>
      <w:r>
        <w:rPr>
          <w:rFonts w:ascii="Times New Roman" w:hAnsi="Times New Roman"/>
          <w:bCs/>
          <w:szCs w:val="24"/>
        </w:rPr>
        <w:t>对于矿区内的生产生活污水，在单个项目中实行雨污分流制，并建设生活污水处理站，处理站采用“二级生化+深度处理”的工艺，辅助中心区生活污水送至</w:t>
      </w:r>
      <w:r>
        <w:rPr>
          <w:rFonts w:ascii="Times New Roman" w:hAnsi="Times New Roman"/>
          <w:bCs/>
          <w:kern w:val="0"/>
          <w:szCs w:val="24"/>
        </w:rPr>
        <w:t>壕赖苏矿井生活污水处理站处理。矿区</w:t>
      </w:r>
      <w:r>
        <w:rPr>
          <w:rFonts w:ascii="Times New Roman" w:hAnsi="Times New Roman"/>
          <w:bCs/>
          <w:szCs w:val="24"/>
        </w:rPr>
        <w:t>处理后的生产生活污水首先回用于工业场地绿化及降尘洒水、黄泥灌浆用水、选煤厂生产补充水等，全部回用，不外排。</w:t>
      </w:r>
    </w:p>
    <w:p>
      <w:pPr>
        <w:spacing w:line="500" w:lineRule="exact"/>
        <w:ind w:firstLine="482" w:firstLineChars="200"/>
        <w:jc w:val="center"/>
        <w:rPr>
          <w:rFonts w:ascii="Times New Roman" w:hAnsi="Times New Roman"/>
          <w:b/>
        </w:rPr>
      </w:pPr>
      <w:r>
        <w:rPr>
          <w:rFonts w:ascii="Times New Roman" w:hAnsi="Times New Roman"/>
          <w:b/>
        </w:rPr>
        <w:t>污水处理站规划表</w:t>
      </w:r>
    </w:p>
    <w:p>
      <w:pPr>
        <w:widowControl/>
        <w:adjustRightInd w:val="0"/>
        <w:snapToGrid w:val="0"/>
        <w:spacing w:line="440" w:lineRule="exact"/>
        <w:ind w:firstLine="240" w:firstLineChars="100"/>
        <w:outlineLvl w:val="4"/>
        <w:rPr>
          <w:rFonts w:ascii="Times New Roman" w:hAnsi="Times New Roman" w:eastAsia="汉鼎简书宋"/>
          <w:snapToGrid w:val="0"/>
          <w:kern w:val="0"/>
          <w:szCs w:val="24"/>
        </w:rPr>
      </w:pPr>
      <w:r>
        <w:rPr>
          <w:rFonts w:ascii="Times New Roman" w:hAnsi="Times New Roman"/>
          <w:kern w:val="0"/>
          <w:szCs w:val="24"/>
        </w:rPr>
        <w:t xml:space="preserve">表8.3-2 </w:t>
      </w:r>
    </w:p>
    <w:tbl>
      <w:tblPr>
        <w:tblStyle w:val="59"/>
        <w:tblW w:w="9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1964"/>
        <w:gridCol w:w="1667"/>
        <w:gridCol w:w="1442"/>
        <w:gridCol w:w="32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blHeader/>
          <w:jc w:val="center"/>
        </w:trPr>
        <w:tc>
          <w:tcPr>
            <w:tcW w:w="734" w:type="dxa"/>
            <w:tcBorders>
              <w:top w:val="single" w:color="auto" w:sz="4" w:space="0"/>
              <w:bottom w:val="single" w:color="auto" w:sz="4" w:space="0"/>
            </w:tcBorders>
            <w:vAlign w:val="center"/>
          </w:tcPr>
          <w:p>
            <w:pPr>
              <w:jc w:val="center"/>
              <w:rPr>
                <w:rFonts w:ascii="Times New Roman" w:hAnsi="Times New Roman"/>
                <w:sz w:val="21"/>
                <w:szCs w:val="21"/>
              </w:rPr>
            </w:pPr>
            <w:r>
              <w:rPr>
                <w:rFonts w:ascii="Times New Roman" w:hAnsi="Times New Roman"/>
                <w:sz w:val="21"/>
                <w:szCs w:val="21"/>
              </w:rPr>
              <w:t>序号</w:t>
            </w:r>
          </w:p>
        </w:tc>
        <w:tc>
          <w:tcPr>
            <w:tcW w:w="1964" w:type="dxa"/>
            <w:tcBorders>
              <w:top w:val="single" w:color="auto" w:sz="4" w:space="0"/>
              <w:bottom w:val="single" w:color="auto" w:sz="4" w:space="0"/>
            </w:tcBorders>
            <w:vAlign w:val="center"/>
          </w:tcPr>
          <w:p>
            <w:pPr>
              <w:jc w:val="center"/>
              <w:rPr>
                <w:rFonts w:ascii="Times New Roman" w:hAnsi="Times New Roman"/>
                <w:sz w:val="21"/>
                <w:szCs w:val="21"/>
              </w:rPr>
            </w:pPr>
            <w:r>
              <w:rPr>
                <w:rFonts w:ascii="Times New Roman" w:hAnsi="Times New Roman"/>
                <w:sz w:val="21"/>
                <w:szCs w:val="21"/>
              </w:rPr>
              <w:t>名称</w:t>
            </w:r>
          </w:p>
        </w:tc>
        <w:tc>
          <w:tcPr>
            <w:tcW w:w="1667" w:type="dxa"/>
            <w:tcBorders>
              <w:top w:val="single" w:color="auto" w:sz="4" w:space="0"/>
              <w:bottom w:val="single" w:color="auto" w:sz="4" w:space="0"/>
            </w:tcBorders>
            <w:vAlign w:val="center"/>
          </w:tcPr>
          <w:p>
            <w:pPr>
              <w:jc w:val="center"/>
              <w:rPr>
                <w:rFonts w:ascii="Times New Roman" w:hAnsi="Times New Roman"/>
                <w:sz w:val="21"/>
                <w:szCs w:val="21"/>
              </w:rPr>
            </w:pPr>
            <w:r>
              <w:rPr>
                <w:rFonts w:ascii="Times New Roman" w:hAnsi="Times New Roman"/>
                <w:sz w:val="21"/>
                <w:szCs w:val="21"/>
              </w:rPr>
              <w:t>污水产生量</w:t>
            </w:r>
          </w:p>
          <w:p>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1442" w:type="dxa"/>
            <w:tcBorders>
              <w:top w:val="single" w:color="auto" w:sz="4" w:space="0"/>
              <w:bottom w:val="single" w:color="auto" w:sz="4" w:space="0"/>
            </w:tcBorders>
          </w:tcPr>
          <w:p>
            <w:pPr>
              <w:jc w:val="center"/>
              <w:rPr>
                <w:rFonts w:ascii="Times New Roman" w:hAnsi="Times New Roman"/>
                <w:sz w:val="21"/>
                <w:szCs w:val="21"/>
              </w:rPr>
            </w:pPr>
            <w:r>
              <w:rPr>
                <w:rFonts w:ascii="Times New Roman" w:hAnsi="Times New Roman"/>
                <w:sz w:val="21"/>
                <w:szCs w:val="21"/>
              </w:rPr>
              <w:t>处理规模</w:t>
            </w:r>
          </w:p>
          <w:p>
            <w:pPr>
              <w:jc w:val="center"/>
              <w:rPr>
                <w:rFonts w:ascii="Times New Roman" w:hAnsi="Times New Roman"/>
                <w:sz w:val="21"/>
                <w:szCs w:val="21"/>
              </w:rPr>
            </w:pPr>
            <w:r>
              <w:rPr>
                <w:rFonts w:ascii="Times New Roman" w:hAnsi="Times New Roman"/>
                <w:sz w:val="21"/>
                <w:szCs w:val="21"/>
              </w:rPr>
              <w:t>（m</w:t>
            </w:r>
            <w:r>
              <w:rPr>
                <w:rFonts w:ascii="Times New Roman" w:hAnsi="Times New Roman"/>
                <w:sz w:val="21"/>
                <w:szCs w:val="21"/>
                <w:vertAlign w:val="superscript"/>
              </w:rPr>
              <w:t>3</w:t>
            </w:r>
            <w:r>
              <w:rPr>
                <w:rFonts w:ascii="Times New Roman" w:hAnsi="Times New Roman"/>
                <w:sz w:val="21"/>
                <w:szCs w:val="21"/>
              </w:rPr>
              <w:t>/d）</w:t>
            </w:r>
          </w:p>
        </w:tc>
        <w:tc>
          <w:tcPr>
            <w:tcW w:w="3293" w:type="dxa"/>
            <w:tcBorders>
              <w:top w:val="single" w:color="auto" w:sz="4" w:space="0"/>
              <w:bottom w:val="single" w:color="auto" w:sz="4" w:space="0"/>
            </w:tcBorders>
            <w:vAlign w:val="center"/>
          </w:tcPr>
          <w:p>
            <w:pPr>
              <w:jc w:val="center"/>
              <w:rPr>
                <w:rFonts w:ascii="Times New Roman" w:hAnsi="Times New Roman"/>
                <w:sz w:val="21"/>
                <w:szCs w:val="21"/>
              </w:rPr>
            </w:pPr>
            <w:r>
              <w:rPr>
                <w:rFonts w:ascii="Times New Roman" w:hAnsi="Times New Roman"/>
                <w:sz w:val="21"/>
                <w:szCs w:val="21"/>
              </w:rPr>
              <w:t>主要处理工艺及说明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34"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1</w:t>
            </w:r>
          </w:p>
        </w:tc>
        <w:tc>
          <w:tcPr>
            <w:tcW w:w="1964"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奎腾沟矿井</w:t>
            </w:r>
          </w:p>
        </w:tc>
        <w:tc>
          <w:tcPr>
            <w:tcW w:w="1667" w:type="dxa"/>
            <w:vAlign w:val="center"/>
          </w:tcPr>
          <w:p>
            <w:pPr>
              <w:jc w:val="center"/>
              <w:rPr>
                <w:rFonts w:ascii="Times New Roman" w:hAnsi="Times New Roman" w:eastAsiaTheme="minorEastAsia"/>
                <w:sz w:val="21"/>
                <w:szCs w:val="21"/>
              </w:rPr>
            </w:pPr>
            <w:r>
              <w:rPr>
                <w:rFonts w:ascii="Times New Roman" w:hAnsi="Times New Roman"/>
                <w:kern w:val="0"/>
                <w:sz w:val="21"/>
                <w:szCs w:val="21"/>
                <w:lang w:bidi="ar"/>
              </w:rPr>
              <w:t>950</w:t>
            </w:r>
          </w:p>
        </w:tc>
        <w:tc>
          <w:tcPr>
            <w:tcW w:w="1442"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1425</w:t>
            </w:r>
          </w:p>
        </w:tc>
        <w:tc>
          <w:tcPr>
            <w:tcW w:w="3293" w:type="dxa"/>
            <w:vAlign w:val="center"/>
          </w:tcPr>
          <w:p>
            <w:pPr>
              <w:jc w:val="center"/>
              <w:rPr>
                <w:rFonts w:ascii="Times New Roman" w:hAnsi="Times New Roman"/>
                <w:sz w:val="21"/>
                <w:szCs w:val="21"/>
              </w:rPr>
            </w:pPr>
            <w:r>
              <w:rPr>
                <w:rFonts w:ascii="Times New Roman" w:hAnsi="Times New Roman"/>
                <w:sz w:val="21"/>
                <w:szCs w:val="21"/>
              </w:rPr>
              <w:t>含选煤厂，二级生化+深度处理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34"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2</w:t>
            </w:r>
          </w:p>
        </w:tc>
        <w:tc>
          <w:tcPr>
            <w:tcW w:w="1964"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苏布尔嘎矿井</w:t>
            </w:r>
          </w:p>
        </w:tc>
        <w:tc>
          <w:tcPr>
            <w:tcW w:w="1667" w:type="dxa"/>
            <w:vAlign w:val="center"/>
          </w:tcPr>
          <w:p>
            <w:pPr>
              <w:jc w:val="center"/>
              <w:rPr>
                <w:rFonts w:ascii="Times New Roman" w:hAnsi="Times New Roman" w:eastAsiaTheme="minorEastAsia"/>
                <w:sz w:val="21"/>
                <w:szCs w:val="21"/>
              </w:rPr>
            </w:pPr>
            <w:r>
              <w:rPr>
                <w:rFonts w:ascii="Times New Roman" w:hAnsi="Times New Roman"/>
                <w:kern w:val="0"/>
                <w:sz w:val="21"/>
                <w:szCs w:val="21"/>
                <w:lang w:bidi="ar"/>
              </w:rPr>
              <w:t>950</w:t>
            </w:r>
          </w:p>
        </w:tc>
        <w:tc>
          <w:tcPr>
            <w:tcW w:w="1442"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1425</w:t>
            </w:r>
          </w:p>
        </w:tc>
        <w:tc>
          <w:tcPr>
            <w:tcW w:w="3293" w:type="dxa"/>
            <w:vAlign w:val="center"/>
          </w:tcPr>
          <w:p>
            <w:pPr>
              <w:jc w:val="center"/>
              <w:rPr>
                <w:rFonts w:ascii="Times New Roman" w:hAnsi="Times New Roman"/>
                <w:sz w:val="21"/>
                <w:szCs w:val="21"/>
              </w:rPr>
            </w:pPr>
            <w:r>
              <w:rPr>
                <w:rFonts w:ascii="Times New Roman" w:hAnsi="Times New Roman"/>
                <w:sz w:val="21"/>
                <w:szCs w:val="21"/>
              </w:rPr>
              <w:t>含选煤厂，二级生化+深度处理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34"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3</w:t>
            </w:r>
          </w:p>
        </w:tc>
        <w:tc>
          <w:tcPr>
            <w:tcW w:w="1964"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壕赖苏矿井</w:t>
            </w:r>
          </w:p>
        </w:tc>
        <w:tc>
          <w:tcPr>
            <w:tcW w:w="1667" w:type="dxa"/>
            <w:vAlign w:val="center"/>
          </w:tcPr>
          <w:p>
            <w:pPr>
              <w:jc w:val="center"/>
              <w:rPr>
                <w:rFonts w:ascii="Times New Roman" w:hAnsi="Times New Roman" w:eastAsiaTheme="minorEastAsia"/>
                <w:sz w:val="21"/>
                <w:szCs w:val="21"/>
              </w:rPr>
            </w:pPr>
            <w:r>
              <w:rPr>
                <w:rFonts w:ascii="Times New Roman" w:hAnsi="Times New Roman"/>
                <w:kern w:val="0"/>
                <w:sz w:val="21"/>
                <w:szCs w:val="21"/>
                <w:lang w:bidi="ar"/>
              </w:rPr>
              <w:t>950</w:t>
            </w:r>
          </w:p>
        </w:tc>
        <w:tc>
          <w:tcPr>
            <w:tcW w:w="1442"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2279</w:t>
            </w:r>
          </w:p>
        </w:tc>
        <w:tc>
          <w:tcPr>
            <w:tcW w:w="3293" w:type="dxa"/>
            <w:vAlign w:val="center"/>
          </w:tcPr>
          <w:p>
            <w:pPr>
              <w:jc w:val="center"/>
              <w:rPr>
                <w:rFonts w:ascii="Times New Roman" w:hAnsi="Times New Roman"/>
                <w:sz w:val="21"/>
                <w:szCs w:val="21"/>
              </w:rPr>
            </w:pPr>
            <w:r>
              <w:rPr>
                <w:rFonts w:ascii="Times New Roman" w:hAnsi="Times New Roman"/>
                <w:sz w:val="21"/>
                <w:szCs w:val="21"/>
              </w:rPr>
              <w:t>含选煤厂、辅助中心区，二级生化+深度处理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34"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4</w:t>
            </w:r>
          </w:p>
        </w:tc>
        <w:tc>
          <w:tcPr>
            <w:tcW w:w="1964" w:type="dxa"/>
            <w:vAlign w:val="center"/>
          </w:tcPr>
          <w:p>
            <w:pPr>
              <w:jc w:val="center"/>
              <w:rPr>
                <w:rFonts w:ascii="Times New Roman" w:hAnsi="Times New Roman" w:eastAsiaTheme="minorEastAsia"/>
                <w:sz w:val="21"/>
                <w:szCs w:val="21"/>
              </w:rPr>
            </w:pPr>
            <w:r>
              <w:rPr>
                <w:rFonts w:ascii="Times New Roman" w:hAnsi="Times New Roman"/>
                <w:bCs/>
                <w:kern w:val="0"/>
                <w:sz w:val="21"/>
                <w:szCs w:val="21"/>
              </w:rPr>
              <w:t>纳林希里矿井</w:t>
            </w:r>
          </w:p>
        </w:tc>
        <w:tc>
          <w:tcPr>
            <w:tcW w:w="1667" w:type="dxa"/>
            <w:vAlign w:val="center"/>
          </w:tcPr>
          <w:p>
            <w:pPr>
              <w:jc w:val="center"/>
              <w:rPr>
                <w:rFonts w:ascii="Times New Roman" w:hAnsi="Times New Roman" w:eastAsiaTheme="minorEastAsia"/>
                <w:sz w:val="21"/>
                <w:szCs w:val="21"/>
              </w:rPr>
            </w:pPr>
            <w:r>
              <w:rPr>
                <w:rFonts w:ascii="Times New Roman" w:hAnsi="Times New Roman"/>
                <w:kern w:val="0"/>
                <w:sz w:val="21"/>
                <w:szCs w:val="21"/>
                <w:lang w:bidi="ar"/>
              </w:rPr>
              <w:t>950</w:t>
            </w:r>
          </w:p>
        </w:tc>
        <w:tc>
          <w:tcPr>
            <w:tcW w:w="1442" w:type="dxa"/>
            <w:vAlign w:val="center"/>
          </w:tcPr>
          <w:p>
            <w:pPr>
              <w:jc w:val="center"/>
              <w:rPr>
                <w:rFonts w:ascii="Times New Roman" w:hAnsi="Times New Roman" w:eastAsiaTheme="minorEastAsia"/>
                <w:sz w:val="21"/>
                <w:szCs w:val="21"/>
              </w:rPr>
            </w:pPr>
            <w:r>
              <w:rPr>
                <w:rFonts w:ascii="Times New Roman" w:hAnsi="Times New Roman"/>
                <w:kern w:val="0"/>
                <w:sz w:val="21"/>
                <w:szCs w:val="21"/>
              </w:rPr>
              <w:t>1425</w:t>
            </w:r>
          </w:p>
        </w:tc>
        <w:tc>
          <w:tcPr>
            <w:tcW w:w="3293" w:type="dxa"/>
            <w:vAlign w:val="center"/>
          </w:tcPr>
          <w:p>
            <w:pPr>
              <w:jc w:val="center"/>
              <w:rPr>
                <w:rFonts w:ascii="Times New Roman" w:hAnsi="Times New Roman"/>
                <w:sz w:val="21"/>
                <w:szCs w:val="21"/>
              </w:rPr>
            </w:pPr>
            <w:r>
              <w:rPr>
                <w:rFonts w:ascii="Times New Roman" w:hAnsi="Times New Roman"/>
                <w:sz w:val="21"/>
                <w:szCs w:val="21"/>
              </w:rPr>
              <w:t>含选煤厂，二级生化+深度处理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734" w:type="dxa"/>
            <w:shd w:val="clear" w:color="auto" w:fill="auto"/>
            <w:vAlign w:val="center"/>
          </w:tcPr>
          <w:p>
            <w:pPr>
              <w:jc w:val="center"/>
              <w:rPr>
                <w:rFonts w:ascii="Times New Roman" w:hAnsi="Times New Roman" w:eastAsiaTheme="minorEastAsia"/>
                <w:sz w:val="21"/>
                <w:szCs w:val="21"/>
              </w:rPr>
            </w:pPr>
            <w:r>
              <w:rPr>
                <w:rFonts w:ascii="Times New Roman" w:hAnsi="Times New Roman"/>
                <w:bCs/>
                <w:kern w:val="0"/>
                <w:sz w:val="21"/>
                <w:szCs w:val="21"/>
              </w:rPr>
              <w:t>5</w:t>
            </w:r>
          </w:p>
        </w:tc>
        <w:tc>
          <w:tcPr>
            <w:tcW w:w="1964" w:type="dxa"/>
            <w:shd w:val="clear" w:color="auto" w:fill="auto"/>
            <w:vAlign w:val="center"/>
          </w:tcPr>
          <w:p>
            <w:pPr>
              <w:jc w:val="center"/>
              <w:rPr>
                <w:rFonts w:ascii="Times New Roman" w:hAnsi="Times New Roman" w:eastAsiaTheme="minorEastAsia"/>
                <w:sz w:val="21"/>
                <w:szCs w:val="21"/>
              </w:rPr>
            </w:pPr>
            <w:r>
              <w:rPr>
                <w:rFonts w:ascii="Times New Roman" w:hAnsi="Times New Roman"/>
                <w:bCs/>
                <w:kern w:val="0"/>
                <w:sz w:val="21"/>
                <w:szCs w:val="21"/>
              </w:rPr>
              <w:t>辅助中心区</w:t>
            </w:r>
          </w:p>
        </w:tc>
        <w:tc>
          <w:tcPr>
            <w:tcW w:w="1667" w:type="dxa"/>
            <w:shd w:val="clear" w:color="auto" w:fill="auto"/>
            <w:vAlign w:val="center"/>
          </w:tcPr>
          <w:p>
            <w:pPr>
              <w:jc w:val="center"/>
              <w:rPr>
                <w:rFonts w:ascii="Times New Roman" w:hAnsi="Times New Roman" w:eastAsiaTheme="minorEastAsia"/>
                <w:sz w:val="21"/>
                <w:szCs w:val="21"/>
              </w:rPr>
            </w:pPr>
            <w:r>
              <w:rPr>
                <w:rFonts w:ascii="Times New Roman" w:hAnsi="Times New Roman"/>
                <w:kern w:val="0"/>
                <w:sz w:val="21"/>
                <w:szCs w:val="21"/>
                <w:lang w:bidi="ar"/>
              </w:rPr>
              <w:t>569</w:t>
            </w:r>
          </w:p>
        </w:tc>
        <w:tc>
          <w:tcPr>
            <w:tcW w:w="1442" w:type="dxa"/>
            <w:shd w:val="clear" w:color="auto" w:fill="auto"/>
            <w:vAlign w:val="center"/>
          </w:tcPr>
          <w:p>
            <w:pPr>
              <w:jc w:val="center"/>
              <w:rPr>
                <w:rFonts w:ascii="Times New Roman" w:hAnsi="Times New Roman" w:eastAsiaTheme="minorEastAsia"/>
                <w:sz w:val="21"/>
                <w:szCs w:val="21"/>
              </w:rPr>
            </w:pPr>
          </w:p>
        </w:tc>
        <w:tc>
          <w:tcPr>
            <w:tcW w:w="3293" w:type="dxa"/>
            <w:shd w:val="clear" w:color="auto" w:fill="auto"/>
            <w:vAlign w:val="center"/>
          </w:tcPr>
          <w:p>
            <w:pPr>
              <w:jc w:val="center"/>
              <w:rPr>
                <w:rFonts w:ascii="Times New Roman" w:hAnsi="Times New Roman"/>
                <w:sz w:val="21"/>
                <w:szCs w:val="21"/>
              </w:rPr>
            </w:pPr>
            <w:r>
              <w:rPr>
                <w:rFonts w:ascii="Times New Roman" w:hAnsi="Times New Roman"/>
                <w:sz w:val="21"/>
                <w:szCs w:val="21"/>
              </w:rPr>
              <w:t>送至壕赖苏生活污水处理站处理</w:t>
            </w:r>
          </w:p>
        </w:tc>
      </w:tr>
    </w:tbl>
    <w:p>
      <w:pPr>
        <w:pStyle w:val="6"/>
        <w:adjustRightInd w:val="0"/>
        <w:snapToGrid w:val="0"/>
        <w:spacing w:before="0" w:after="0" w:line="440" w:lineRule="exact"/>
        <w:rPr>
          <w:rFonts w:ascii="Times New Roman" w:hAnsi="Times New Roman" w:eastAsia="宋体"/>
          <w:sz w:val="24"/>
        </w:rPr>
      </w:pPr>
      <w:r>
        <w:rPr>
          <w:rFonts w:ascii="Times New Roman" w:hAnsi="Times New Roman" w:eastAsia="宋体"/>
          <w:sz w:val="24"/>
        </w:rPr>
        <w:t>8.3.1.3 选煤厂煤泥水治理措施</w:t>
      </w:r>
    </w:p>
    <w:p>
      <w:pPr>
        <w:adjustRightInd w:val="0"/>
        <w:snapToGrid w:val="0"/>
        <w:spacing w:line="440" w:lineRule="exact"/>
        <w:ind w:firstLine="480"/>
        <w:rPr>
          <w:rFonts w:ascii="Times New Roman" w:hAnsi="Times New Roman"/>
          <w:bCs/>
        </w:rPr>
      </w:pPr>
      <w:r>
        <w:rPr>
          <w:rFonts w:ascii="Times New Roman" w:hAnsi="Times New Roman"/>
          <w:bCs/>
        </w:rPr>
        <w:t>本矿区煤矿选煤厂煤泥水及车间内的跑冒滴漏水全部进入浓缩机进行处理，出水作为循环水使用，煤泥水处理系统应实现一级闭路循环，不外排。</w:t>
      </w:r>
    </w:p>
    <w:p>
      <w:pPr>
        <w:adjustRightInd w:val="0"/>
        <w:snapToGrid w:val="0"/>
        <w:spacing w:line="440" w:lineRule="exact"/>
        <w:ind w:firstLine="480"/>
        <w:rPr>
          <w:rFonts w:ascii="Times New Roman" w:hAnsi="Times New Roman"/>
          <w:bCs/>
        </w:rPr>
      </w:pPr>
      <w:r>
        <w:rPr>
          <w:rFonts w:ascii="Times New Roman" w:hAnsi="Times New Roman"/>
          <w:bCs/>
        </w:rPr>
        <w:t>为防止事故状态下煤泥水外排，选煤厂应设置事故浓缩机。</w:t>
      </w:r>
    </w:p>
    <w:p>
      <w:pPr>
        <w:pStyle w:val="5"/>
        <w:adjustRightInd w:val="0"/>
        <w:snapToGrid w:val="0"/>
        <w:spacing w:before="0" w:after="0" w:line="440" w:lineRule="exact"/>
        <w:rPr>
          <w:sz w:val="24"/>
        </w:rPr>
      </w:pPr>
      <w:r>
        <w:rPr>
          <w:sz w:val="24"/>
        </w:rPr>
        <w:t>8.3.2 地下水环境保护措施</w:t>
      </w:r>
    </w:p>
    <w:p>
      <w:pPr>
        <w:snapToGrid w:val="0"/>
        <w:spacing w:line="440" w:lineRule="exact"/>
        <w:ind w:firstLine="480" w:firstLineChars="200"/>
        <w:rPr>
          <w:rFonts w:ascii="Times New Roman" w:hAnsi="Times New Roman"/>
          <w:szCs w:val="24"/>
        </w:rPr>
      </w:pPr>
      <w:r>
        <w:rPr>
          <w:rFonts w:ascii="Times New Roman" w:hAnsi="Times New Roman"/>
          <w:szCs w:val="24"/>
        </w:rPr>
        <w:t>（1）地下水污染防治措施</w:t>
      </w:r>
    </w:p>
    <w:p>
      <w:pPr>
        <w:snapToGrid w:val="0"/>
        <w:spacing w:line="440" w:lineRule="exact"/>
        <w:ind w:firstLine="480" w:firstLineChars="200"/>
        <w:rPr>
          <w:rFonts w:ascii="Times New Roman" w:hAnsi="Times New Roman"/>
          <w:szCs w:val="24"/>
        </w:rPr>
      </w:pPr>
      <w:r>
        <w:rPr>
          <w:rFonts w:ascii="Times New Roman" w:hAnsi="Times New Roman"/>
          <w:szCs w:val="24"/>
        </w:rPr>
        <w:t>矿区各煤矿开采过程中会产生污废水，若管理不善就可能因污废水散排或管网渗漏造成地下水污染，为防止煤炭开采对地下水造成污染：</w:t>
      </w:r>
    </w:p>
    <w:p>
      <w:pPr>
        <w:snapToGrid w:val="0"/>
        <w:spacing w:line="440" w:lineRule="exact"/>
        <w:ind w:firstLine="480" w:firstLineChars="200"/>
        <w:rPr>
          <w:rFonts w:ascii="Times New Roman" w:hAnsi="Times New Roman"/>
          <w:szCs w:val="24"/>
        </w:rPr>
      </w:pPr>
      <w:r>
        <w:rPr>
          <w:rFonts w:ascii="Times New Roman" w:hAnsi="Times New Roman"/>
          <w:szCs w:val="24"/>
        </w:rPr>
        <w:t>1）矿区各规划矿井设井下水处理站和生活污水处理站，矿区辅助企业区设生活污水处理厂，经井下水处理站和生活污水处理站处理后的中水全部回用，不外排。并对矿井工业场地制定分区防渗措施，防止污染地下水。</w:t>
      </w:r>
    </w:p>
    <w:p>
      <w:pPr>
        <w:snapToGrid w:val="0"/>
        <w:spacing w:line="440" w:lineRule="exact"/>
        <w:ind w:firstLine="480" w:firstLineChars="200"/>
        <w:rPr>
          <w:rFonts w:ascii="Times New Roman" w:hAnsi="Times New Roman"/>
          <w:szCs w:val="24"/>
        </w:rPr>
      </w:pPr>
      <w:r>
        <w:rPr>
          <w:rFonts w:ascii="Times New Roman" w:hAnsi="Times New Roman"/>
          <w:szCs w:val="24"/>
        </w:rPr>
        <w:t>2）矿区各规划煤矿工业场地内均应设置事故水池，以保证在水处理站事故情况下能及时收集各煤矿在生产过程中产生的污废水，防止污废水未经处理直接外排对地下水造成污染。</w:t>
      </w:r>
    </w:p>
    <w:p>
      <w:pPr>
        <w:snapToGrid w:val="0"/>
        <w:spacing w:line="440" w:lineRule="exact"/>
        <w:ind w:firstLine="480" w:firstLineChars="200"/>
        <w:rPr>
          <w:rFonts w:ascii="Times New Roman" w:hAnsi="Times New Roman"/>
          <w:szCs w:val="24"/>
        </w:rPr>
      </w:pPr>
      <w:r>
        <w:rPr>
          <w:rFonts w:ascii="Times New Roman" w:hAnsi="Times New Roman"/>
          <w:szCs w:val="24"/>
        </w:rPr>
        <w:t>3）加强对矿区周边居民水井水质的监测，同时要加强对矸石临时堆放场的管理，在规划期内对矸石临时堆放场进行规范化整治，防止矸石淋溶水的渗漏、减少对地下水的污染。</w:t>
      </w:r>
    </w:p>
    <w:p>
      <w:pPr>
        <w:snapToGrid w:val="0"/>
        <w:spacing w:line="440" w:lineRule="exact"/>
        <w:ind w:firstLine="480" w:firstLineChars="200"/>
        <w:rPr>
          <w:rFonts w:ascii="Times New Roman" w:hAnsi="Times New Roman"/>
          <w:szCs w:val="24"/>
        </w:rPr>
      </w:pPr>
      <w:r>
        <w:rPr>
          <w:rFonts w:ascii="Times New Roman" w:hAnsi="Times New Roman"/>
          <w:szCs w:val="24"/>
        </w:rPr>
        <w:t>4）定期对水处理站管网以及事故备用水池进行检查，若发现有渗漏情况及时进行维修。</w:t>
      </w:r>
    </w:p>
    <w:p>
      <w:pPr>
        <w:snapToGrid w:val="0"/>
        <w:spacing w:line="440" w:lineRule="exact"/>
        <w:ind w:firstLine="480" w:firstLineChars="200"/>
        <w:rPr>
          <w:rFonts w:ascii="Times New Roman" w:hAnsi="Times New Roman"/>
          <w:szCs w:val="24"/>
        </w:rPr>
      </w:pPr>
      <w:r>
        <w:rPr>
          <w:rFonts w:ascii="Times New Roman" w:hAnsi="Times New Roman"/>
          <w:szCs w:val="24"/>
        </w:rPr>
        <w:t>（2）矿区水资源保护措施</w:t>
      </w:r>
    </w:p>
    <w:p>
      <w:pPr>
        <w:snapToGrid w:val="0"/>
        <w:spacing w:line="440" w:lineRule="exact"/>
        <w:ind w:firstLine="480" w:firstLineChars="200"/>
        <w:rPr>
          <w:rFonts w:ascii="Times New Roman" w:hAnsi="Times New Roman"/>
          <w:szCs w:val="24"/>
        </w:rPr>
      </w:pPr>
      <w:r>
        <w:rPr>
          <w:rFonts w:ascii="Times New Roman" w:hAnsi="Times New Roman"/>
          <w:szCs w:val="24"/>
        </w:rPr>
        <w:t>本矿区对地下水资源保护的重点为矿区各规划矿井井下排水的综合利用以及矿区周边居民水源的保护等，为此本次环评建议：</w:t>
      </w:r>
    </w:p>
    <w:p>
      <w:pPr>
        <w:snapToGrid w:val="0"/>
        <w:spacing w:line="440" w:lineRule="exact"/>
        <w:ind w:firstLine="480" w:firstLineChars="200"/>
        <w:rPr>
          <w:rFonts w:ascii="Times New Roman" w:hAnsi="Times New Roman"/>
          <w:szCs w:val="24"/>
        </w:rPr>
      </w:pPr>
      <w:r>
        <w:rPr>
          <w:rFonts w:ascii="Times New Roman" w:hAnsi="Times New Roman"/>
          <w:szCs w:val="24"/>
        </w:rPr>
        <w:t>1）矿区各规划煤矿井下排水经水处理站处理后</w:t>
      </w:r>
      <w:r>
        <w:rPr>
          <w:rFonts w:hint="eastAsia" w:ascii="Times New Roman" w:hAnsi="Times New Roman"/>
          <w:szCs w:val="24"/>
        </w:rPr>
        <w:t>优先</w:t>
      </w:r>
      <w:r>
        <w:rPr>
          <w:rFonts w:ascii="Times New Roman" w:hAnsi="Times New Roman"/>
          <w:szCs w:val="24"/>
        </w:rPr>
        <w:t>回用于煤矿生产用水，以减少外来取水量，做到地下水资源最大限度的利用。</w:t>
      </w:r>
    </w:p>
    <w:p>
      <w:pPr>
        <w:snapToGrid w:val="0"/>
        <w:spacing w:line="440" w:lineRule="exact"/>
        <w:ind w:firstLine="480" w:firstLineChars="200"/>
        <w:rPr>
          <w:rFonts w:ascii="Times New Roman" w:hAnsi="Times New Roman"/>
          <w:szCs w:val="24"/>
        </w:rPr>
      </w:pPr>
      <w:r>
        <w:rPr>
          <w:rFonts w:ascii="Times New Roman" w:hAnsi="Times New Roman"/>
          <w:szCs w:val="24"/>
        </w:rPr>
        <w:t>2）矿区井工煤矿在开发及开采过程中穿过各含水层的井筒、钻孔或巷道应采取冻结、注浆等一系列的防渗漏措施，严禁疏排施工，完工后井巷如发现长期涌水要及时进行封堵。</w:t>
      </w:r>
    </w:p>
    <w:p>
      <w:pPr>
        <w:snapToGrid w:val="0"/>
        <w:spacing w:line="440" w:lineRule="exact"/>
        <w:ind w:firstLine="480" w:firstLineChars="200"/>
        <w:rPr>
          <w:rFonts w:ascii="Times New Roman" w:hAnsi="Times New Roman"/>
          <w:szCs w:val="24"/>
        </w:rPr>
      </w:pPr>
      <w:r>
        <w:rPr>
          <w:rFonts w:ascii="Times New Roman" w:hAnsi="Times New Roman"/>
          <w:szCs w:val="24"/>
        </w:rPr>
        <w:t>3）矿区井工煤矿在开采过程中如需穿过直通各含水层的钻孔时，采取先探后采的方针，若涌水量过大应采取留设保护煤柱或其他封堵措施，防止形成涌水通道，致使水大量涌入井下。</w:t>
      </w:r>
    </w:p>
    <w:p>
      <w:pPr>
        <w:snapToGrid w:val="0"/>
        <w:spacing w:line="440" w:lineRule="exact"/>
        <w:ind w:firstLine="480" w:firstLineChars="200"/>
        <w:rPr>
          <w:rFonts w:ascii="Times New Roman" w:hAnsi="Times New Roman"/>
          <w:szCs w:val="24"/>
        </w:rPr>
      </w:pPr>
      <w:r>
        <w:rPr>
          <w:rFonts w:ascii="Times New Roman" w:hAnsi="Times New Roman"/>
          <w:szCs w:val="24"/>
        </w:rPr>
        <w:t>4）矿区井工开采造成的地表沉陷有可能对煤矿及周边居民饮用水井产生破坏作用，建议煤矿方在开发的过程中对周边居民的水井进行长期跟踪观察和监测，一旦发现水井受煤矿开采破坏，矿方应及时采取措施向受影响居民供水或采取搬迁措施，以解决居民用水问题。</w:t>
      </w:r>
    </w:p>
    <w:p>
      <w:pPr>
        <w:snapToGrid w:val="0"/>
        <w:spacing w:line="440" w:lineRule="exact"/>
        <w:ind w:firstLine="480" w:firstLineChars="200"/>
        <w:rPr>
          <w:rFonts w:ascii="Times New Roman" w:hAnsi="Times New Roman"/>
          <w:szCs w:val="24"/>
        </w:rPr>
      </w:pPr>
      <w:r>
        <w:rPr>
          <w:rFonts w:ascii="Times New Roman" w:hAnsi="Times New Roman"/>
          <w:szCs w:val="24"/>
        </w:rPr>
        <w:t>5）设立地下水保护监控区和建立地下水动态监控网，尤其是监测该区域第四系含水层及白垩系志丹群含水岩组地下水水位和水量变化，定期采样监测，定期整理研究，定期预报，发现问题及时采取措施，尽量减小煤炭开采对地下水的不利影响</w:t>
      </w:r>
      <w:r>
        <w:rPr>
          <w:rFonts w:hint="eastAsia" w:ascii="Times New Roman" w:hAnsi="Times New Roman"/>
          <w:szCs w:val="24"/>
        </w:rPr>
        <w:t>。</w:t>
      </w:r>
    </w:p>
    <w:p>
      <w:pPr>
        <w:snapToGrid w:val="0"/>
        <w:spacing w:line="440" w:lineRule="exact"/>
        <w:ind w:firstLine="480" w:firstLineChars="200"/>
        <w:rPr>
          <w:rFonts w:ascii="Times New Roman" w:hAnsi="Times New Roman"/>
          <w:color w:val="FF0000"/>
        </w:rPr>
      </w:pPr>
      <w:r>
        <w:rPr>
          <w:rFonts w:hint="eastAsia" w:ascii="Times New Roman" w:hAnsi="Times New Roman"/>
          <w:color w:val="FF0000"/>
        </w:rPr>
        <w:t>①地下水水质跟踪监测</w:t>
      </w:r>
    </w:p>
    <w:p>
      <w:pPr>
        <w:snapToGrid w:val="0"/>
        <w:spacing w:line="440" w:lineRule="exact"/>
        <w:ind w:firstLine="480" w:firstLineChars="200"/>
        <w:rPr>
          <w:rFonts w:ascii="Times New Roman" w:hAnsi="Times New Roman"/>
          <w:color w:val="FF0000"/>
          <w:szCs w:val="24"/>
        </w:rPr>
      </w:pPr>
      <w:r>
        <w:rPr>
          <w:rFonts w:hint="eastAsia" w:ascii="Times New Roman" w:hAnsi="Times New Roman"/>
          <w:color w:val="FF0000"/>
          <w:szCs w:val="24"/>
        </w:rPr>
        <w:t>各矿应在工业场地及矸石周转场上、下游各布设1个水质跟踪监测点，定期采样监测，定期整理研究，定期预报，发现问题及时采取措施。</w:t>
      </w:r>
    </w:p>
    <w:p>
      <w:pPr>
        <w:snapToGrid w:val="0"/>
        <w:spacing w:line="440" w:lineRule="exact"/>
        <w:ind w:firstLine="480" w:firstLineChars="200"/>
        <w:rPr>
          <w:rFonts w:ascii="Times New Roman" w:hAnsi="Times New Roman"/>
          <w:color w:val="FF0000"/>
          <w:szCs w:val="24"/>
        </w:rPr>
      </w:pPr>
      <w:r>
        <w:rPr>
          <w:rFonts w:hint="eastAsia" w:ascii="Times New Roman" w:hAnsi="Times New Roman"/>
          <w:color w:val="FF0000"/>
          <w:szCs w:val="24"/>
        </w:rPr>
        <w:t>水质监测项目：pH、总硬度、高锰酸盐指数、溶解性总固体、硫酸盐、挥发性酚类、氰化物、硝酸盐、亚硝酸盐、氨氮、氟化物、氯化物、砷、汞、镉、铅、六价铬、铁、锰、总大肠菌群、细菌总数、石油类共 22项，同时记录水位及井深。</w:t>
      </w:r>
    </w:p>
    <w:p>
      <w:pPr>
        <w:snapToGrid w:val="0"/>
        <w:spacing w:line="440" w:lineRule="exact"/>
        <w:ind w:firstLine="480" w:firstLineChars="200"/>
        <w:rPr>
          <w:rFonts w:ascii="Times New Roman" w:hAnsi="Times New Roman"/>
          <w:color w:val="FF0000"/>
          <w:szCs w:val="24"/>
        </w:rPr>
      </w:pPr>
      <w:r>
        <w:rPr>
          <w:rFonts w:hint="eastAsia" w:ascii="Times New Roman" w:hAnsi="Times New Roman"/>
          <w:color w:val="FF0000"/>
          <w:szCs w:val="24"/>
        </w:rPr>
        <w:t>监测情况见表</w:t>
      </w:r>
      <w:r>
        <w:rPr>
          <w:rFonts w:ascii="Times New Roman" w:hAnsi="Times New Roman"/>
          <w:color w:val="FF0000"/>
          <w:szCs w:val="24"/>
        </w:rPr>
        <w:t>8.3-1</w:t>
      </w:r>
      <w:r>
        <w:rPr>
          <w:rFonts w:hint="eastAsia" w:ascii="Times New Roman" w:hAnsi="Times New Roman"/>
          <w:color w:val="FF0000"/>
          <w:szCs w:val="24"/>
        </w:rPr>
        <w:t>。</w:t>
      </w:r>
    </w:p>
    <w:p>
      <w:pPr>
        <w:adjustRightInd w:val="0"/>
        <w:snapToGrid w:val="0"/>
        <w:spacing w:line="440" w:lineRule="exact"/>
        <w:jc w:val="center"/>
        <w:rPr>
          <w:rFonts w:ascii="Times New Roman" w:hAnsi="Times New Roman"/>
          <w:b/>
          <w:color w:val="FF0000"/>
          <w:szCs w:val="24"/>
        </w:rPr>
      </w:pPr>
      <w:r>
        <w:rPr>
          <w:rFonts w:ascii="Times New Roman" w:hAnsi="Times New Roman"/>
          <w:b/>
          <w:color w:val="FF0000"/>
          <w:szCs w:val="24"/>
        </w:rPr>
        <w:t>地下水跟踪监测</w:t>
      </w:r>
      <w:r>
        <w:rPr>
          <w:rFonts w:hint="eastAsia" w:ascii="Times New Roman" w:hAnsi="Times New Roman"/>
          <w:b/>
          <w:color w:val="FF0000"/>
          <w:szCs w:val="24"/>
        </w:rPr>
        <w:t>情况</w:t>
      </w:r>
    </w:p>
    <w:p>
      <w:pPr>
        <w:widowControl/>
        <w:adjustRightInd w:val="0"/>
        <w:snapToGrid w:val="0"/>
        <w:spacing w:line="440" w:lineRule="exact"/>
        <w:ind w:firstLine="120" w:firstLineChars="50"/>
        <w:outlineLvl w:val="4"/>
        <w:rPr>
          <w:rFonts w:ascii="Times New Roman" w:hAnsi="Times New Roman"/>
          <w:color w:val="FF0000"/>
          <w:kern w:val="0"/>
        </w:rPr>
      </w:pPr>
      <w:r>
        <w:rPr>
          <w:rFonts w:ascii="Times New Roman" w:hAnsi="Times New Roman"/>
          <w:color w:val="FF0000"/>
          <w:kern w:val="0"/>
        </w:rPr>
        <w:t>表8.3-1</w:t>
      </w:r>
    </w:p>
    <w:tbl>
      <w:tblPr>
        <w:tblStyle w:val="5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73"/>
        <w:gridCol w:w="3266"/>
        <w:gridCol w:w="1686"/>
        <w:gridCol w:w="994"/>
        <w:gridCol w:w="8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252" w:type="pc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监测位置</w:t>
            </w:r>
          </w:p>
        </w:tc>
        <w:tc>
          <w:tcPr>
            <w:tcW w:w="1798" w:type="pct"/>
            <w:vAlign w:val="center"/>
          </w:tcPr>
          <w:p>
            <w:pPr>
              <w:autoSpaceDE w:val="0"/>
              <w:autoSpaceDN w:val="0"/>
              <w:jc w:val="center"/>
              <w:rPr>
                <w:rFonts w:ascii="Times New Roman" w:hAnsi="Times New Roman"/>
                <w:bCs/>
                <w:color w:val="FF0000"/>
                <w:sz w:val="21"/>
                <w:szCs w:val="21"/>
                <w:lang w:eastAsia="en-US"/>
              </w:rPr>
            </w:pPr>
            <w:r>
              <w:rPr>
                <w:rFonts w:hint="eastAsia" w:ascii="Times New Roman" w:hAnsi="Times New Roman"/>
                <w:bCs/>
                <w:color w:val="FF0000"/>
                <w:sz w:val="21"/>
                <w:szCs w:val="21"/>
              </w:rPr>
              <w:t>监测因子</w:t>
            </w:r>
          </w:p>
        </w:tc>
        <w:tc>
          <w:tcPr>
            <w:tcW w:w="928" w:type="pct"/>
            <w:vAlign w:val="center"/>
          </w:tcPr>
          <w:p>
            <w:pPr>
              <w:autoSpaceDE w:val="0"/>
              <w:autoSpaceDN w:val="0"/>
              <w:jc w:val="center"/>
              <w:rPr>
                <w:rFonts w:ascii="Times New Roman" w:hAnsi="Times New Roman"/>
                <w:bCs/>
                <w:color w:val="FF0000"/>
                <w:sz w:val="21"/>
                <w:szCs w:val="21"/>
                <w:lang w:eastAsia="en-US"/>
              </w:rPr>
            </w:pPr>
            <w:r>
              <w:rPr>
                <w:rFonts w:ascii="Times New Roman" w:hAnsi="Times New Roman"/>
                <w:bCs/>
                <w:color w:val="FF0000"/>
                <w:sz w:val="21"/>
                <w:szCs w:val="21"/>
                <w:lang w:eastAsia="en-US"/>
              </w:rPr>
              <w:t>层位</w:t>
            </w:r>
          </w:p>
        </w:tc>
        <w:tc>
          <w:tcPr>
            <w:tcW w:w="547" w:type="pct"/>
            <w:vAlign w:val="center"/>
          </w:tcPr>
          <w:p>
            <w:pPr>
              <w:autoSpaceDE w:val="0"/>
              <w:autoSpaceDN w:val="0"/>
              <w:jc w:val="center"/>
              <w:rPr>
                <w:rFonts w:ascii="Times New Roman" w:hAnsi="Times New Roman"/>
                <w:bCs/>
                <w:color w:val="FF0000"/>
                <w:sz w:val="21"/>
                <w:szCs w:val="21"/>
                <w:lang w:eastAsia="en-US"/>
              </w:rPr>
            </w:pPr>
            <w:r>
              <w:rPr>
                <w:rFonts w:ascii="Times New Roman" w:hAnsi="Times New Roman"/>
                <w:bCs/>
                <w:color w:val="FF0000"/>
                <w:sz w:val="21"/>
                <w:szCs w:val="21"/>
                <w:lang w:eastAsia="en-US"/>
              </w:rPr>
              <w:t>监测频次</w:t>
            </w:r>
          </w:p>
        </w:tc>
        <w:tc>
          <w:tcPr>
            <w:tcW w:w="475" w:type="pct"/>
            <w:vAlign w:val="center"/>
          </w:tcPr>
          <w:p>
            <w:pPr>
              <w:autoSpaceDE w:val="0"/>
              <w:autoSpaceDN w:val="0"/>
              <w:jc w:val="center"/>
              <w:rPr>
                <w:rFonts w:ascii="Times New Roman" w:hAnsi="Times New Roman"/>
                <w:bCs/>
                <w:color w:val="FF0000"/>
                <w:sz w:val="21"/>
                <w:szCs w:val="21"/>
                <w:lang w:eastAsia="en-US"/>
              </w:rPr>
            </w:pPr>
            <w:r>
              <w:rPr>
                <w:rFonts w:hint="eastAsia" w:ascii="Times New Roman" w:hAnsi="Times New Roman"/>
                <w:bCs/>
                <w:color w:val="FF0000"/>
                <w:sz w:val="21"/>
                <w:szCs w:val="21"/>
              </w:rPr>
              <w:t>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0" w:hRule="atLeast"/>
          <w:jc w:val="center"/>
        </w:trPr>
        <w:tc>
          <w:tcPr>
            <w:tcW w:w="1252" w:type="pct"/>
            <w:vAlign w:val="center"/>
          </w:tcPr>
          <w:p>
            <w:pPr>
              <w:autoSpaceDE w:val="0"/>
              <w:autoSpaceDN w:val="0"/>
              <w:jc w:val="center"/>
              <w:rPr>
                <w:rFonts w:ascii="Times New Roman" w:hAnsi="Times New Roman"/>
                <w:color w:val="FF0000"/>
                <w:kern w:val="0"/>
                <w:sz w:val="21"/>
                <w:szCs w:val="21"/>
              </w:rPr>
            </w:pPr>
            <w:r>
              <w:rPr>
                <w:rFonts w:hint="eastAsia" w:ascii="Times New Roman" w:hAnsi="Times New Roman"/>
                <w:bCs/>
                <w:color w:val="FF0000"/>
                <w:sz w:val="21"/>
                <w:szCs w:val="21"/>
              </w:rPr>
              <w:t>各矿工业场地上游</w:t>
            </w:r>
          </w:p>
        </w:tc>
        <w:tc>
          <w:tcPr>
            <w:tcW w:w="1798" w:type="pct"/>
            <w:vMerge w:val="restart"/>
            <w:vAlign w:val="center"/>
          </w:tcPr>
          <w:p>
            <w:pPr>
              <w:autoSpaceDE w:val="0"/>
              <w:autoSpaceDN w:val="0"/>
              <w:rPr>
                <w:rFonts w:ascii="Times New Roman" w:hAnsi="Times New Roman"/>
                <w:color w:val="FF0000"/>
                <w:kern w:val="0"/>
                <w:sz w:val="21"/>
                <w:szCs w:val="21"/>
              </w:rPr>
            </w:pPr>
            <w:r>
              <w:rPr>
                <w:rFonts w:hint="eastAsia" w:ascii="Times New Roman" w:hAnsi="Times New Roman"/>
                <w:color w:val="FF0000"/>
                <w:kern w:val="0"/>
                <w:sz w:val="21"/>
                <w:szCs w:val="21"/>
              </w:rPr>
              <w:t>pH、总硬度、高锰酸盐指数、溶解性总固体、硫酸盐、挥发性酚类、氰化物、硝酸盐、亚硝酸盐、氨氮、氟化物、氯化物、砷、汞、镉、铅、六价铬、铁、锰、总大肠菌群、细菌总数、石油类共 22项。</w:t>
            </w:r>
          </w:p>
        </w:tc>
        <w:tc>
          <w:tcPr>
            <w:tcW w:w="928" w:type="pc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Q</w:t>
            </w:r>
            <w:r>
              <w:rPr>
                <w:rFonts w:ascii="Times New Roman" w:hAnsi="Times New Roman"/>
                <w:bCs/>
                <w:color w:val="FF0000"/>
                <w:sz w:val="21"/>
                <w:szCs w:val="21"/>
              </w:rPr>
              <w:t>+K</w:t>
            </w:r>
            <w:r>
              <w:rPr>
                <w:rFonts w:ascii="Times New Roman" w:hAnsi="Times New Roman"/>
                <w:bCs/>
                <w:color w:val="FF0000"/>
                <w:sz w:val="21"/>
                <w:szCs w:val="21"/>
                <w:vertAlign w:val="subscript"/>
              </w:rPr>
              <w:t>1</w:t>
            </w:r>
            <w:r>
              <w:rPr>
                <w:rFonts w:ascii="Times New Roman" w:hAnsi="Times New Roman"/>
                <w:bCs/>
                <w:color w:val="FF0000"/>
                <w:sz w:val="21"/>
                <w:szCs w:val="21"/>
              </w:rPr>
              <w:t>zh</w:t>
            </w:r>
          </w:p>
        </w:tc>
        <w:tc>
          <w:tcPr>
            <w:tcW w:w="547" w:type="pc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每季度1次</w:t>
            </w:r>
          </w:p>
        </w:tc>
        <w:tc>
          <w:tcPr>
            <w:tcW w:w="475" w:type="pct"/>
            <w:vMerge w:val="restar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水质跟踪监测点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0" w:hRule="atLeast"/>
          <w:jc w:val="center"/>
        </w:trPr>
        <w:tc>
          <w:tcPr>
            <w:tcW w:w="1252" w:type="pct"/>
            <w:vAlign w:val="center"/>
          </w:tcPr>
          <w:p>
            <w:pPr>
              <w:autoSpaceDE w:val="0"/>
              <w:autoSpaceDN w:val="0"/>
              <w:jc w:val="center"/>
              <w:rPr>
                <w:rFonts w:ascii="Times New Roman" w:hAnsi="Times New Roman"/>
                <w:color w:val="FF0000"/>
                <w:kern w:val="0"/>
                <w:sz w:val="21"/>
                <w:szCs w:val="21"/>
              </w:rPr>
            </w:pPr>
            <w:r>
              <w:rPr>
                <w:rFonts w:hint="eastAsia" w:ascii="Times New Roman" w:hAnsi="Times New Roman"/>
                <w:bCs/>
                <w:color w:val="FF0000"/>
                <w:sz w:val="21"/>
                <w:szCs w:val="21"/>
              </w:rPr>
              <w:t>各矿工业场地下游10m</w:t>
            </w:r>
          </w:p>
        </w:tc>
        <w:tc>
          <w:tcPr>
            <w:tcW w:w="1798" w:type="pct"/>
            <w:vMerge w:val="continue"/>
            <w:vAlign w:val="center"/>
          </w:tcPr>
          <w:p>
            <w:pPr>
              <w:autoSpaceDE w:val="0"/>
              <w:autoSpaceDN w:val="0"/>
              <w:jc w:val="center"/>
              <w:rPr>
                <w:rFonts w:ascii="Times New Roman" w:hAnsi="Times New Roman"/>
                <w:color w:val="FF0000"/>
                <w:kern w:val="0"/>
                <w:sz w:val="21"/>
                <w:szCs w:val="21"/>
              </w:rPr>
            </w:pPr>
          </w:p>
        </w:tc>
        <w:tc>
          <w:tcPr>
            <w:tcW w:w="928" w:type="pc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Q</w:t>
            </w:r>
            <w:r>
              <w:rPr>
                <w:rFonts w:ascii="Times New Roman" w:hAnsi="Times New Roman"/>
                <w:bCs/>
                <w:color w:val="FF0000"/>
                <w:sz w:val="21"/>
                <w:szCs w:val="21"/>
              </w:rPr>
              <w:t>+K</w:t>
            </w:r>
            <w:r>
              <w:rPr>
                <w:rFonts w:ascii="Times New Roman" w:hAnsi="Times New Roman"/>
                <w:bCs/>
                <w:color w:val="FF0000"/>
                <w:sz w:val="21"/>
                <w:szCs w:val="21"/>
                <w:vertAlign w:val="subscript"/>
              </w:rPr>
              <w:t>1</w:t>
            </w:r>
            <w:r>
              <w:rPr>
                <w:rFonts w:ascii="Times New Roman" w:hAnsi="Times New Roman"/>
                <w:bCs/>
                <w:color w:val="FF0000"/>
                <w:sz w:val="21"/>
                <w:szCs w:val="21"/>
              </w:rPr>
              <w:t>zh</w:t>
            </w:r>
          </w:p>
        </w:tc>
        <w:tc>
          <w:tcPr>
            <w:tcW w:w="547" w:type="pc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每季度1次</w:t>
            </w:r>
          </w:p>
        </w:tc>
        <w:tc>
          <w:tcPr>
            <w:tcW w:w="475" w:type="pct"/>
            <w:vMerge w:val="continue"/>
            <w:vAlign w:val="center"/>
          </w:tcPr>
          <w:p>
            <w:pPr>
              <w:autoSpaceDE w:val="0"/>
              <w:autoSpaceDN w:val="0"/>
              <w:jc w:val="center"/>
              <w:rPr>
                <w:rFonts w:ascii="Times New Roman" w:hAnsi="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0" w:hRule="atLeast"/>
          <w:jc w:val="center"/>
        </w:trPr>
        <w:tc>
          <w:tcPr>
            <w:tcW w:w="1252" w:type="pc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各矿矸石周转场上游</w:t>
            </w:r>
          </w:p>
        </w:tc>
        <w:tc>
          <w:tcPr>
            <w:tcW w:w="1798" w:type="pct"/>
            <w:vMerge w:val="continue"/>
            <w:vAlign w:val="center"/>
          </w:tcPr>
          <w:p>
            <w:pPr>
              <w:autoSpaceDE w:val="0"/>
              <w:autoSpaceDN w:val="0"/>
              <w:jc w:val="center"/>
              <w:rPr>
                <w:rFonts w:ascii="Times New Roman" w:hAnsi="Times New Roman"/>
                <w:color w:val="FF0000"/>
                <w:kern w:val="0"/>
                <w:sz w:val="21"/>
                <w:szCs w:val="21"/>
              </w:rPr>
            </w:pPr>
          </w:p>
        </w:tc>
        <w:tc>
          <w:tcPr>
            <w:tcW w:w="928" w:type="pct"/>
            <w:vAlign w:val="center"/>
          </w:tcPr>
          <w:p>
            <w:pPr>
              <w:jc w:val="center"/>
              <w:rPr>
                <w:color w:val="FF0000"/>
              </w:rPr>
            </w:pPr>
            <w:r>
              <w:rPr>
                <w:rFonts w:hint="eastAsia" w:ascii="Times New Roman" w:hAnsi="Times New Roman"/>
                <w:bCs/>
                <w:color w:val="FF0000"/>
                <w:sz w:val="21"/>
                <w:szCs w:val="21"/>
              </w:rPr>
              <w:t>Q</w:t>
            </w:r>
            <w:r>
              <w:rPr>
                <w:rFonts w:ascii="Times New Roman" w:hAnsi="Times New Roman"/>
                <w:bCs/>
                <w:color w:val="FF0000"/>
                <w:sz w:val="21"/>
                <w:szCs w:val="21"/>
              </w:rPr>
              <w:t>+K</w:t>
            </w:r>
            <w:r>
              <w:rPr>
                <w:rFonts w:ascii="Times New Roman" w:hAnsi="Times New Roman"/>
                <w:bCs/>
                <w:color w:val="FF0000"/>
                <w:sz w:val="21"/>
                <w:szCs w:val="21"/>
                <w:vertAlign w:val="subscript"/>
              </w:rPr>
              <w:t>1</w:t>
            </w:r>
            <w:r>
              <w:rPr>
                <w:rFonts w:ascii="Times New Roman" w:hAnsi="Times New Roman"/>
                <w:bCs/>
                <w:color w:val="FF0000"/>
                <w:sz w:val="21"/>
                <w:szCs w:val="21"/>
              </w:rPr>
              <w:t>zh</w:t>
            </w:r>
          </w:p>
        </w:tc>
        <w:tc>
          <w:tcPr>
            <w:tcW w:w="547" w:type="pc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每季度1次</w:t>
            </w:r>
          </w:p>
        </w:tc>
        <w:tc>
          <w:tcPr>
            <w:tcW w:w="475" w:type="pct"/>
            <w:vMerge w:val="continue"/>
            <w:vAlign w:val="center"/>
          </w:tcPr>
          <w:p>
            <w:pPr>
              <w:autoSpaceDE w:val="0"/>
              <w:autoSpaceDN w:val="0"/>
              <w:jc w:val="center"/>
              <w:rPr>
                <w:rFonts w:ascii="Times New Roman" w:hAnsi="Times New Roman"/>
                <w:bCs/>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0" w:hRule="atLeast"/>
          <w:jc w:val="center"/>
        </w:trPr>
        <w:tc>
          <w:tcPr>
            <w:tcW w:w="1252" w:type="pc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各矿矸石周转场下游1</w:t>
            </w:r>
            <w:r>
              <w:rPr>
                <w:rFonts w:ascii="Times New Roman" w:hAnsi="Times New Roman"/>
                <w:bCs/>
                <w:color w:val="FF0000"/>
                <w:sz w:val="21"/>
                <w:szCs w:val="21"/>
              </w:rPr>
              <w:t>0</w:t>
            </w:r>
            <w:r>
              <w:rPr>
                <w:rFonts w:hint="eastAsia" w:ascii="Times New Roman" w:hAnsi="Times New Roman"/>
                <w:bCs/>
                <w:color w:val="FF0000"/>
                <w:sz w:val="21"/>
                <w:szCs w:val="21"/>
              </w:rPr>
              <w:t>m</w:t>
            </w:r>
          </w:p>
        </w:tc>
        <w:tc>
          <w:tcPr>
            <w:tcW w:w="1798" w:type="pct"/>
            <w:vMerge w:val="continue"/>
            <w:vAlign w:val="center"/>
          </w:tcPr>
          <w:p>
            <w:pPr>
              <w:autoSpaceDE w:val="0"/>
              <w:autoSpaceDN w:val="0"/>
              <w:jc w:val="center"/>
              <w:rPr>
                <w:rFonts w:ascii="Times New Roman" w:hAnsi="Times New Roman"/>
                <w:color w:val="FF0000"/>
                <w:kern w:val="0"/>
                <w:sz w:val="21"/>
                <w:szCs w:val="21"/>
              </w:rPr>
            </w:pPr>
          </w:p>
        </w:tc>
        <w:tc>
          <w:tcPr>
            <w:tcW w:w="928" w:type="pct"/>
            <w:vAlign w:val="center"/>
          </w:tcPr>
          <w:p>
            <w:pPr>
              <w:jc w:val="center"/>
              <w:rPr>
                <w:color w:val="FF0000"/>
              </w:rPr>
            </w:pPr>
            <w:r>
              <w:rPr>
                <w:rFonts w:hint="eastAsia" w:ascii="Times New Roman" w:hAnsi="Times New Roman"/>
                <w:bCs/>
                <w:color w:val="FF0000"/>
                <w:sz w:val="21"/>
                <w:szCs w:val="21"/>
              </w:rPr>
              <w:t>Q</w:t>
            </w:r>
            <w:r>
              <w:rPr>
                <w:rFonts w:ascii="Times New Roman" w:hAnsi="Times New Roman"/>
                <w:bCs/>
                <w:color w:val="FF0000"/>
                <w:sz w:val="21"/>
                <w:szCs w:val="21"/>
              </w:rPr>
              <w:t>+K</w:t>
            </w:r>
            <w:r>
              <w:rPr>
                <w:rFonts w:ascii="Times New Roman" w:hAnsi="Times New Roman"/>
                <w:bCs/>
                <w:color w:val="FF0000"/>
                <w:sz w:val="21"/>
                <w:szCs w:val="21"/>
                <w:vertAlign w:val="subscript"/>
              </w:rPr>
              <w:t>1</w:t>
            </w:r>
            <w:r>
              <w:rPr>
                <w:rFonts w:ascii="Times New Roman" w:hAnsi="Times New Roman"/>
                <w:bCs/>
                <w:color w:val="FF0000"/>
                <w:sz w:val="21"/>
                <w:szCs w:val="21"/>
              </w:rPr>
              <w:t>zh</w:t>
            </w:r>
          </w:p>
        </w:tc>
        <w:tc>
          <w:tcPr>
            <w:tcW w:w="547" w:type="pct"/>
            <w:vAlign w:val="center"/>
          </w:tcPr>
          <w:p>
            <w:pPr>
              <w:autoSpaceDE w:val="0"/>
              <w:autoSpaceDN w:val="0"/>
              <w:jc w:val="center"/>
              <w:rPr>
                <w:rFonts w:ascii="Times New Roman" w:hAnsi="Times New Roman"/>
                <w:bCs/>
                <w:color w:val="FF0000"/>
                <w:sz w:val="21"/>
                <w:szCs w:val="21"/>
              </w:rPr>
            </w:pPr>
            <w:r>
              <w:rPr>
                <w:rFonts w:hint="eastAsia" w:ascii="Times New Roman" w:hAnsi="Times New Roman"/>
                <w:bCs/>
                <w:color w:val="FF0000"/>
                <w:sz w:val="21"/>
                <w:szCs w:val="21"/>
              </w:rPr>
              <w:t>每季度1次</w:t>
            </w:r>
          </w:p>
        </w:tc>
        <w:tc>
          <w:tcPr>
            <w:tcW w:w="475" w:type="pct"/>
            <w:vMerge w:val="continue"/>
            <w:vAlign w:val="center"/>
          </w:tcPr>
          <w:p>
            <w:pPr>
              <w:autoSpaceDE w:val="0"/>
              <w:autoSpaceDN w:val="0"/>
              <w:jc w:val="center"/>
              <w:rPr>
                <w:rFonts w:ascii="Times New Roman" w:hAnsi="Times New Roman"/>
                <w:bCs/>
                <w:color w:val="FF0000"/>
                <w:sz w:val="21"/>
                <w:szCs w:val="21"/>
              </w:rPr>
            </w:pPr>
          </w:p>
        </w:tc>
      </w:tr>
    </w:tbl>
    <w:p>
      <w:pPr>
        <w:snapToGrid w:val="0"/>
        <w:spacing w:line="440" w:lineRule="exact"/>
        <w:ind w:firstLine="480" w:firstLineChars="200"/>
        <w:rPr>
          <w:rFonts w:ascii="Times New Roman" w:hAnsi="Times New Roman"/>
          <w:color w:val="FF0000"/>
          <w:szCs w:val="24"/>
        </w:rPr>
      </w:pPr>
      <w:r>
        <w:rPr>
          <w:rFonts w:hint="eastAsia" w:ascii="Times New Roman" w:hAnsi="Times New Roman"/>
          <w:color w:val="FF0000"/>
          <w:szCs w:val="24"/>
        </w:rPr>
        <w:t>②地下水水位跟踪监测</w:t>
      </w:r>
    </w:p>
    <w:p>
      <w:pPr>
        <w:adjustRightInd w:val="0"/>
        <w:spacing w:line="440" w:lineRule="exact"/>
        <w:ind w:firstLine="480" w:firstLineChars="200"/>
        <w:textAlignment w:val="baseline"/>
        <w:rPr>
          <w:rFonts w:ascii="Times New Roman" w:hAnsi="Times New Roman"/>
          <w:bCs/>
          <w:color w:val="FF0000"/>
          <w:kern w:val="0"/>
          <w:szCs w:val="32"/>
        </w:rPr>
      </w:pPr>
      <w:r>
        <w:rPr>
          <w:rFonts w:hint="eastAsia" w:ascii="Times New Roman" w:hAnsi="Times New Roman"/>
          <w:bCs/>
          <w:color w:val="FF0000"/>
          <w:kern w:val="0"/>
          <w:szCs w:val="32"/>
        </w:rPr>
        <w:t>评价根据</w:t>
      </w:r>
      <w:r>
        <w:rPr>
          <w:rFonts w:ascii="Times New Roman" w:hAnsi="Times New Roman"/>
          <w:bCs/>
          <w:color w:val="FF0000"/>
          <w:kern w:val="0"/>
          <w:szCs w:val="32"/>
        </w:rPr>
        <w:t>导裂带与保护目标含水层（第四系及白垩系含水层）之间距离关系，并</w:t>
      </w:r>
      <w:r>
        <w:rPr>
          <w:rFonts w:hint="eastAsia" w:ascii="Times New Roman" w:hAnsi="Times New Roman"/>
          <w:bCs/>
          <w:color w:val="FF0000"/>
          <w:kern w:val="0"/>
          <w:szCs w:val="32"/>
        </w:rPr>
        <w:t>结合现有</w:t>
      </w:r>
      <w:r>
        <w:rPr>
          <w:rFonts w:ascii="Times New Roman" w:hAnsi="Times New Roman"/>
          <w:bCs/>
          <w:color w:val="FF0000"/>
          <w:kern w:val="0"/>
          <w:szCs w:val="32"/>
        </w:rPr>
        <w:t>水井</w:t>
      </w:r>
      <w:r>
        <w:rPr>
          <w:rFonts w:hint="eastAsia" w:ascii="Times New Roman" w:hAnsi="Times New Roman"/>
          <w:bCs/>
          <w:color w:val="FF0000"/>
          <w:kern w:val="0"/>
          <w:szCs w:val="32"/>
        </w:rPr>
        <w:t>，</w:t>
      </w:r>
      <w:r>
        <w:rPr>
          <w:rFonts w:ascii="Times New Roman" w:hAnsi="Times New Roman"/>
          <w:bCs/>
          <w:color w:val="FF0000"/>
          <w:kern w:val="0"/>
          <w:szCs w:val="32"/>
        </w:rPr>
        <w:t>布设13个地下水水位长期跟踪监测点，为</w:t>
      </w:r>
      <w:r>
        <w:rPr>
          <w:rFonts w:hint="eastAsia" w:ascii="Times New Roman" w:hAnsi="Times New Roman"/>
          <w:bCs/>
          <w:color w:val="FF0000"/>
          <w:kern w:val="0"/>
          <w:szCs w:val="32"/>
        </w:rPr>
        <w:t>矿区</w:t>
      </w:r>
      <w:r>
        <w:rPr>
          <w:rFonts w:ascii="Times New Roman" w:hAnsi="Times New Roman"/>
          <w:bCs/>
          <w:color w:val="FF0000"/>
          <w:kern w:val="0"/>
          <w:szCs w:val="32"/>
        </w:rPr>
        <w:t>煤炭</w:t>
      </w:r>
      <w:r>
        <w:rPr>
          <w:rFonts w:hint="eastAsia" w:ascii="Times New Roman" w:hAnsi="Times New Roman"/>
          <w:bCs/>
          <w:color w:val="FF0000"/>
          <w:kern w:val="0"/>
          <w:szCs w:val="32"/>
        </w:rPr>
        <w:t>开发</w:t>
      </w:r>
      <w:r>
        <w:rPr>
          <w:rFonts w:ascii="Times New Roman" w:hAnsi="Times New Roman"/>
          <w:bCs/>
          <w:color w:val="FF0000"/>
          <w:kern w:val="0"/>
          <w:szCs w:val="32"/>
        </w:rPr>
        <w:t>对第四系及白垩系含水层水位影响提供数据支撑。监测信息见表8.3-2，监测点分布见图8.3-1。</w:t>
      </w:r>
    </w:p>
    <w:p>
      <w:pPr>
        <w:spacing w:line="440" w:lineRule="exact"/>
        <w:ind w:firstLine="480" w:firstLineChars="200"/>
        <w:rPr>
          <w:rFonts w:ascii="Times New Roman" w:hAnsi="Times New Roman"/>
          <w:bCs/>
          <w:color w:val="FF0000"/>
          <w:kern w:val="0"/>
          <w:szCs w:val="32"/>
        </w:rPr>
      </w:pPr>
      <w:r>
        <w:rPr>
          <w:rFonts w:ascii="Times New Roman" w:hAnsi="Times New Roman"/>
          <w:color w:val="FF0000"/>
          <w:szCs w:val="24"/>
        </w:rPr>
        <w:t>水位监测项目</w:t>
      </w:r>
      <w:r>
        <w:rPr>
          <w:rFonts w:hint="eastAsia" w:ascii="Times New Roman" w:hAnsi="Times New Roman"/>
          <w:color w:val="FF0000"/>
          <w:szCs w:val="24"/>
        </w:rPr>
        <w:t>：</w:t>
      </w:r>
      <w:r>
        <w:rPr>
          <w:rFonts w:ascii="Times New Roman" w:hAnsi="Times New Roman"/>
          <w:bCs/>
          <w:color w:val="FF0000"/>
          <w:kern w:val="0"/>
          <w:szCs w:val="32"/>
        </w:rPr>
        <w:t>水井井深、水位以及日用水量，同时还应测定气温并简要描述当时的天气情况。</w:t>
      </w:r>
    </w:p>
    <w:p>
      <w:pPr>
        <w:adjustRightInd w:val="0"/>
        <w:snapToGrid w:val="0"/>
        <w:spacing w:line="440" w:lineRule="exact"/>
        <w:ind w:firstLine="480" w:firstLineChars="200"/>
        <w:textAlignment w:val="baseline"/>
        <w:rPr>
          <w:rFonts w:ascii="Times New Roman" w:hAnsi="Times New Roman"/>
          <w:color w:val="FF0000"/>
          <w:kern w:val="0"/>
          <w:szCs w:val="24"/>
        </w:rPr>
      </w:pPr>
      <w:r>
        <w:rPr>
          <w:rFonts w:ascii="Times New Roman" w:hAnsi="Times New Roman"/>
          <w:color w:val="FF0000"/>
          <w:kern w:val="0"/>
          <w:szCs w:val="24"/>
        </w:rPr>
        <w:t>监测频率</w:t>
      </w:r>
      <w:r>
        <w:rPr>
          <w:rFonts w:hint="eastAsia" w:ascii="Times New Roman" w:hAnsi="Times New Roman"/>
          <w:color w:val="FF0000"/>
          <w:kern w:val="0"/>
          <w:szCs w:val="24"/>
        </w:rPr>
        <w:t>：</w:t>
      </w:r>
      <w:r>
        <w:rPr>
          <w:rFonts w:ascii="Times New Roman" w:hAnsi="Times New Roman"/>
          <w:color w:val="FF0000"/>
          <w:kern w:val="0"/>
          <w:szCs w:val="24"/>
        </w:rPr>
        <w:t>地下水水位自动监测仪器。</w:t>
      </w:r>
    </w:p>
    <w:p>
      <w:pPr>
        <w:tabs>
          <w:tab w:val="left" w:pos="6840"/>
        </w:tabs>
        <w:spacing w:line="440" w:lineRule="exact"/>
        <w:jc w:val="center"/>
        <w:rPr>
          <w:rFonts w:ascii="Times New Roman" w:hAnsi="Times New Roman"/>
          <w:b/>
          <w:bCs/>
          <w:color w:val="FF0000"/>
          <w:kern w:val="0"/>
          <w:szCs w:val="24"/>
          <w:lang w:val="en-GB"/>
        </w:rPr>
      </w:pPr>
      <w:r>
        <w:rPr>
          <w:rFonts w:ascii="Times New Roman" w:hAnsi="Times New Roman"/>
          <w:b/>
          <w:bCs/>
          <w:color w:val="FF0000"/>
          <w:kern w:val="0"/>
          <w:szCs w:val="24"/>
          <w:lang w:val="en-GB"/>
        </w:rPr>
        <w:t>地下水水位长期跟踪监测布点情况</w:t>
      </w:r>
    </w:p>
    <w:p>
      <w:pPr>
        <w:adjustRightInd w:val="0"/>
        <w:snapToGrid w:val="0"/>
        <w:spacing w:line="440" w:lineRule="exact"/>
        <w:ind w:firstLine="480" w:firstLineChars="200"/>
        <w:jc w:val="left"/>
        <w:outlineLvl w:val="4"/>
        <w:rPr>
          <w:rFonts w:ascii="Times New Roman" w:hAnsi="Times New Roman"/>
          <w:color w:val="FF0000"/>
          <w:kern w:val="0"/>
          <w:szCs w:val="24"/>
        </w:rPr>
      </w:pPr>
      <w:r>
        <w:rPr>
          <w:rFonts w:ascii="Times New Roman" w:hAnsi="Times New Roman"/>
          <w:color w:val="FF0000"/>
          <w:kern w:val="0"/>
          <w:szCs w:val="24"/>
        </w:rPr>
        <w:t>表8.3-2</w:t>
      </w:r>
    </w:p>
    <w:tbl>
      <w:tblPr>
        <w:tblStyle w:val="5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1183"/>
        <w:gridCol w:w="1687"/>
        <w:gridCol w:w="1687"/>
        <w:gridCol w:w="1183"/>
        <w:gridCol w:w="1183"/>
        <w:gridCol w:w="11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序号</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水井编号</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X</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Y</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监测层位</w:t>
            </w:r>
          </w:p>
        </w:tc>
        <w:tc>
          <w:tcPr>
            <w:tcW w:w="637" w:type="pct"/>
            <w:shd w:val="clear" w:color="auto" w:fill="auto"/>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监测项目</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SJ05</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36608130.00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4400531.59</w:t>
            </w:r>
          </w:p>
        </w:tc>
        <w:tc>
          <w:tcPr>
            <w:tcW w:w="637" w:type="pct"/>
            <w:vMerge w:val="restar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Q</w:t>
            </w:r>
            <w:r>
              <w:rPr>
                <w:rFonts w:ascii="Times New Roman" w:hAnsi="Times New Roman"/>
                <w:color w:val="FF0000"/>
                <w:kern w:val="0"/>
                <w:sz w:val="21"/>
                <w:szCs w:val="22"/>
              </w:rPr>
              <w:t>+K</w:t>
            </w:r>
            <w:r>
              <w:rPr>
                <w:rFonts w:ascii="Times New Roman" w:hAnsi="Times New Roman"/>
                <w:color w:val="FF0000"/>
                <w:kern w:val="0"/>
                <w:sz w:val="21"/>
                <w:szCs w:val="22"/>
                <w:vertAlign w:val="subscript"/>
              </w:rPr>
              <w:t>1</w:t>
            </w:r>
            <w:r>
              <w:rPr>
                <w:rFonts w:ascii="Times New Roman" w:hAnsi="Times New Roman"/>
                <w:color w:val="FF0000"/>
                <w:kern w:val="0"/>
                <w:sz w:val="21"/>
                <w:szCs w:val="22"/>
              </w:rPr>
              <w:t>zh</w:t>
            </w:r>
          </w:p>
        </w:tc>
        <w:tc>
          <w:tcPr>
            <w:tcW w:w="637" w:type="pct"/>
            <w:shd w:val="clear" w:color="auto" w:fill="auto"/>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2</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j013</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36609573.06</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4395751.00</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SJ19</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36603782.39</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4392567.69</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W031</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36615285.00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4387842.00</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5</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W038</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36616244.00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4384207.00</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6</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W057</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36612027.00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4381358.00</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7</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水11</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36614287.00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4373223.00</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8</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B003</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36616520.10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4370050.00</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9</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C071</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36614669.90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4362450.00</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10</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D030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36616583.20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4360781.70</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11</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C015</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36614595.60</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4360111.40</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已有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12</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SW1</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36615684.99</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4376598.54</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40"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13</w:t>
            </w:r>
            <w:r>
              <w:rPr>
                <w:rFonts w:ascii="Times New Roman" w:hAnsi="Times New Roman"/>
                <w:color w:val="FF0000"/>
                <w:kern w:val="0"/>
                <w:sz w:val="21"/>
                <w:szCs w:val="22"/>
              </w:rPr>
              <w:t>#</w:t>
            </w:r>
          </w:p>
        </w:tc>
        <w:tc>
          <w:tcPr>
            <w:tcW w:w="637"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SW2</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36616331.09</w:t>
            </w:r>
          </w:p>
        </w:tc>
        <w:tc>
          <w:tcPr>
            <w:tcW w:w="908"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4366352.46</w:t>
            </w:r>
          </w:p>
        </w:tc>
        <w:tc>
          <w:tcPr>
            <w:tcW w:w="637" w:type="pct"/>
            <w:vMerge w:val="continue"/>
            <w:shd w:val="clear" w:color="auto" w:fill="auto"/>
            <w:noWrap/>
            <w:vAlign w:val="center"/>
          </w:tcPr>
          <w:p>
            <w:pPr>
              <w:widowControl/>
              <w:jc w:val="center"/>
              <w:rPr>
                <w:rFonts w:ascii="Times New Roman" w:hAnsi="Times New Roman"/>
                <w:color w:val="FF0000"/>
                <w:kern w:val="0"/>
                <w:sz w:val="21"/>
                <w:szCs w:val="22"/>
              </w:rPr>
            </w:pPr>
          </w:p>
        </w:tc>
        <w:tc>
          <w:tcPr>
            <w:tcW w:w="637" w:type="pct"/>
            <w:shd w:val="clear" w:color="auto" w:fill="auto"/>
          </w:tcPr>
          <w:p>
            <w:pPr>
              <w:rPr>
                <w:color w:val="FF0000"/>
              </w:rPr>
            </w:pPr>
            <w:r>
              <w:rPr>
                <w:rFonts w:hint="eastAsia" w:ascii="Times New Roman" w:hAnsi="Times New Roman"/>
                <w:color w:val="FF0000"/>
                <w:kern w:val="0"/>
                <w:sz w:val="21"/>
                <w:szCs w:val="22"/>
              </w:rPr>
              <w:t>水位</w:t>
            </w:r>
          </w:p>
        </w:tc>
        <w:tc>
          <w:tcPr>
            <w:tcW w:w="633" w:type="pct"/>
            <w:shd w:val="clear" w:color="auto" w:fill="auto"/>
            <w:noWrap/>
            <w:vAlign w:val="center"/>
          </w:tcPr>
          <w:p>
            <w:pPr>
              <w:widowControl/>
              <w:jc w:val="center"/>
              <w:rPr>
                <w:rFonts w:ascii="Times New Roman" w:hAnsi="Times New Roman"/>
                <w:color w:val="FF0000"/>
                <w:kern w:val="0"/>
                <w:sz w:val="21"/>
                <w:szCs w:val="22"/>
              </w:rPr>
            </w:pPr>
            <w:r>
              <w:rPr>
                <w:rFonts w:hint="eastAsia" w:ascii="Times New Roman" w:hAnsi="Times New Roman"/>
                <w:color w:val="FF0000"/>
                <w:kern w:val="0"/>
                <w:sz w:val="21"/>
                <w:szCs w:val="22"/>
              </w:rPr>
              <w:t>新建</w:t>
            </w:r>
          </w:p>
        </w:tc>
      </w:tr>
    </w:tbl>
    <w:p>
      <w:pPr>
        <w:snapToGrid w:val="0"/>
        <w:spacing w:line="440" w:lineRule="exact"/>
        <w:ind w:firstLine="480" w:firstLineChars="200"/>
        <w:rPr>
          <w:rFonts w:ascii="Times New Roman" w:hAnsi="Times New Roman"/>
          <w:color w:val="FF0000"/>
          <w:szCs w:val="24"/>
        </w:rPr>
      </w:pPr>
      <w:r>
        <w:rPr>
          <w:rFonts w:hint="eastAsia" w:ascii="Times New Roman" w:hAnsi="Times New Roman"/>
          <w:color w:val="FF0000"/>
          <w:szCs w:val="24"/>
        </w:rPr>
        <w:t>③开展并加强“两带”（导水裂缝带及冒落带）观测</w:t>
      </w:r>
    </w:p>
    <w:p>
      <w:pPr>
        <w:snapToGrid w:val="0"/>
        <w:spacing w:line="440" w:lineRule="exact"/>
        <w:ind w:firstLine="480" w:firstLineChars="200"/>
        <w:rPr>
          <w:rFonts w:ascii="Times New Roman" w:hAnsi="Times New Roman"/>
          <w:color w:val="FF0000"/>
          <w:szCs w:val="24"/>
        </w:rPr>
      </w:pPr>
      <w:r>
        <w:rPr>
          <w:rFonts w:hint="eastAsia" w:ascii="Times New Roman" w:hAnsi="Times New Roman"/>
          <w:color w:val="FF0000"/>
          <w:szCs w:val="24"/>
        </w:rPr>
        <w:t>在后续开发中开展并加强对本矿区“两带”观测，总结本矿区煤层开采导水裂缝带发育规律，为矿区煤炭开发对地下水环境影响提供强有力的数据支撑。</w:t>
      </w:r>
    </w:p>
    <w:p>
      <w:pPr>
        <w:snapToGrid w:val="0"/>
        <w:spacing w:line="440" w:lineRule="exact"/>
        <w:ind w:firstLine="480" w:firstLineChars="200"/>
        <w:rPr>
          <w:color w:val="FF0000"/>
        </w:rPr>
      </w:pPr>
      <w:r>
        <w:rPr>
          <w:rFonts w:hint="eastAsia" w:ascii="Times New Roman" w:hAnsi="Times New Roman"/>
          <w:color w:val="FF0000"/>
          <w:szCs w:val="24"/>
        </w:rPr>
        <w:t>6）根据实际需要应对矿区各矿水文地质条件进行补充勘探，其工作程度至少达到勘探阶段要求，为各矿井煤炭开发对地下水环境影响，同时为矿井建设设计和矿井防治水工作提供依据。</w:t>
      </w:r>
    </w:p>
    <w:p>
      <w:pPr>
        <w:pStyle w:val="5"/>
        <w:adjustRightInd w:val="0"/>
        <w:snapToGrid w:val="0"/>
        <w:spacing w:before="0" w:after="0" w:line="440" w:lineRule="exact"/>
        <w:rPr>
          <w:sz w:val="24"/>
        </w:rPr>
      </w:pPr>
      <w:r>
        <w:rPr>
          <w:sz w:val="24"/>
        </w:rPr>
        <w:t>8.3.3 矿区水资源优化配置建议</w:t>
      </w:r>
    </w:p>
    <w:p>
      <w:pPr>
        <w:adjustRightInd w:val="0"/>
        <w:snapToGrid w:val="0"/>
        <w:spacing w:line="440" w:lineRule="exact"/>
        <w:ind w:firstLine="480" w:firstLineChars="200"/>
        <w:rPr>
          <w:rFonts w:ascii="Times New Roman" w:hAnsi="Times New Roman"/>
          <w:snapToGrid w:val="0"/>
          <w:kern w:val="0"/>
        </w:rPr>
      </w:pPr>
      <w:bookmarkStart w:id="371" w:name="_Toc18838471"/>
      <w:r>
        <w:rPr>
          <w:rFonts w:ascii="Times New Roman" w:hAnsi="Times New Roman"/>
          <w:snapToGrid w:val="0"/>
          <w:kern w:val="0"/>
        </w:rPr>
        <w:t>（1）水资源优化配置建议</w:t>
      </w:r>
    </w:p>
    <w:p>
      <w:pPr>
        <w:adjustRightInd w:val="0"/>
        <w:snapToGrid w:val="0"/>
        <w:spacing w:line="440" w:lineRule="exact"/>
        <w:ind w:firstLine="480" w:firstLineChars="200"/>
        <w:rPr>
          <w:rFonts w:ascii="Times New Roman" w:hAnsi="Times New Roman"/>
          <w:snapToGrid w:val="0"/>
          <w:kern w:val="0"/>
        </w:rPr>
      </w:pPr>
      <w:r>
        <w:rPr>
          <w:rFonts w:ascii="Times New Roman" w:hAnsi="Times New Roman"/>
          <w:snapToGrid w:val="0"/>
          <w:kern w:val="0"/>
        </w:rPr>
        <w:t>本矿区矿井水量较大，处理达标后应充分综合利用，多余水量达到</w:t>
      </w:r>
      <w:r>
        <w:rPr>
          <w:rFonts w:ascii="Times New Roman" w:hAnsi="Times New Roman"/>
          <w:bCs/>
        </w:rPr>
        <w:t>《城市污水再生利用 城市杂用水水质》城市绿化用水标准根据</w:t>
      </w:r>
      <w:r>
        <w:rPr>
          <w:rFonts w:ascii="Times New Roman" w:hAnsi="Times New Roman"/>
        </w:rPr>
        <w:t>临近的鄂尔多斯江苏工业园区用水需求，送到该工业园区作为生产、生活及园区绿化用水等综合利用；或就近排入井田内地势低洼的淖尔，增加淖尔水量，改善淖尔水质及周边生态。</w:t>
      </w:r>
    </w:p>
    <w:p>
      <w:pPr>
        <w:adjustRightInd w:val="0"/>
        <w:snapToGrid w:val="0"/>
        <w:spacing w:line="440" w:lineRule="exact"/>
        <w:ind w:firstLine="480" w:firstLineChars="200"/>
        <w:rPr>
          <w:rFonts w:ascii="Times New Roman" w:hAnsi="Times New Roman"/>
          <w:snapToGrid w:val="0"/>
          <w:szCs w:val="24"/>
        </w:rPr>
      </w:pPr>
      <w:r>
        <w:rPr>
          <w:rFonts w:ascii="Times New Roman" w:hAnsi="Times New Roman"/>
          <w:snapToGrid w:val="0"/>
          <w:szCs w:val="24"/>
        </w:rPr>
        <w:t>（2）选煤工艺和湿法脱硫的节水措施</w:t>
      </w:r>
    </w:p>
    <w:p>
      <w:pPr>
        <w:adjustRightInd w:val="0"/>
        <w:snapToGrid w:val="0"/>
        <w:spacing w:line="440" w:lineRule="exact"/>
        <w:ind w:firstLine="480" w:firstLineChars="200"/>
        <w:rPr>
          <w:rFonts w:ascii="Times New Roman" w:hAnsi="Times New Roman"/>
          <w:snapToGrid w:val="0"/>
          <w:szCs w:val="24"/>
        </w:rPr>
      </w:pPr>
      <w:r>
        <w:rPr>
          <w:rFonts w:ascii="Times New Roman" w:hAnsi="Times New Roman"/>
          <w:snapToGrid w:val="0"/>
          <w:szCs w:val="24"/>
        </w:rPr>
        <w:t>目前选煤厂选煤废水均采用闭路循环工艺，废水不外排，避免了废水外排污染，同时也节约了清水用水量，评价要求在项目设计过程中要贯彻节水理念，选煤废水达到一级闭路循环要求。</w:t>
      </w:r>
    </w:p>
    <w:p>
      <w:pPr>
        <w:adjustRightInd w:val="0"/>
        <w:snapToGrid w:val="0"/>
        <w:spacing w:line="440" w:lineRule="exact"/>
        <w:ind w:firstLine="480" w:firstLineChars="200"/>
        <w:rPr>
          <w:rFonts w:ascii="Times New Roman" w:hAnsi="Times New Roman"/>
          <w:bCs/>
        </w:rPr>
      </w:pPr>
      <w:r>
        <w:rPr>
          <w:rFonts w:ascii="Times New Roman" w:hAnsi="Times New Roman"/>
          <w:snapToGrid w:val="0"/>
          <w:szCs w:val="24"/>
        </w:rPr>
        <w:t>对湿法脱硫，也需要对脱硫废水进行循环利用，减少废水外排量和清水用量。</w:t>
      </w:r>
    </w:p>
    <w:p>
      <w:pPr>
        <w:pStyle w:val="4"/>
        <w:adjustRightInd w:val="0"/>
        <w:snapToGrid w:val="0"/>
        <w:spacing w:line="440" w:lineRule="exact"/>
        <w:jc w:val="left"/>
        <w:rPr>
          <w:rFonts w:ascii="Times New Roman" w:hAnsi="Times New Roman" w:eastAsia="宋体"/>
          <w:sz w:val="28"/>
        </w:rPr>
      </w:pPr>
      <w:bookmarkStart w:id="372" w:name="_Toc12169"/>
      <w:r>
        <w:rPr>
          <w:rFonts w:ascii="Times New Roman" w:hAnsi="Times New Roman" w:eastAsia="宋体"/>
          <w:sz w:val="28"/>
        </w:rPr>
        <w:t>8.4 矿区噪声污染控制措施</w:t>
      </w:r>
      <w:bookmarkEnd w:id="369"/>
      <w:bookmarkEnd w:id="371"/>
      <w:bookmarkEnd w:id="372"/>
    </w:p>
    <w:p>
      <w:pPr>
        <w:keepNext/>
        <w:keepLines/>
        <w:adjustRightInd w:val="0"/>
        <w:snapToGrid w:val="0"/>
        <w:spacing w:line="440" w:lineRule="exact"/>
        <w:outlineLvl w:val="2"/>
        <w:rPr>
          <w:rFonts w:ascii="Times New Roman" w:hAnsi="Times New Roman"/>
          <w:b/>
          <w:szCs w:val="24"/>
        </w:rPr>
      </w:pPr>
      <w:r>
        <w:rPr>
          <w:rFonts w:ascii="Times New Roman" w:hAnsi="Times New Roman"/>
          <w:b/>
          <w:szCs w:val="24"/>
        </w:rPr>
        <w:t>8.4.1 区域空间布局控制措施</w:t>
      </w:r>
    </w:p>
    <w:p>
      <w:pPr>
        <w:adjustRightInd w:val="0"/>
        <w:snapToGrid w:val="0"/>
        <w:spacing w:line="440" w:lineRule="exact"/>
        <w:ind w:firstLine="482" w:firstLineChars="200"/>
        <w:rPr>
          <w:rFonts w:ascii="Times New Roman" w:hAnsi="Times New Roman"/>
          <w:b/>
        </w:rPr>
      </w:pPr>
      <w:r>
        <w:rPr>
          <w:rFonts w:ascii="Times New Roman" w:hAnsi="Times New Roman"/>
          <w:b/>
        </w:rPr>
        <w:t>（1）合理的规划布局</w:t>
      </w:r>
    </w:p>
    <w:p>
      <w:pPr>
        <w:adjustRightInd w:val="0"/>
        <w:snapToGrid w:val="0"/>
        <w:spacing w:line="440" w:lineRule="exact"/>
        <w:ind w:firstLine="480" w:firstLineChars="200"/>
        <w:rPr>
          <w:rFonts w:ascii="Times New Roman" w:hAnsi="Times New Roman"/>
        </w:rPr>
      </w:pPr>
      <w:r>
        <w:rPr>
          <w:rFonts w:ascii="Times New Roman" w:hAnsi="Times New Roman"/>
        </w:rPr>
        <w:t>噪声污染是一种局部区域的污染，因此区域的总体布局十分重要，应遵循“闹静分开”的原则。首先在初期的规划中要将工业用地、公共设施用地等较嘈杂的用地与办公用地等需要安静的用地分隔开来，将仓储用地放于交通干道两侧。</w:t>
      </w:r>
    </w:p>
    <w:p>
      <w:pPr>
        <w:adjustRightInd w:val="0"/>
        <w:snapToGrid w:val="0"/>
        <w:spacing w:line="440" w:lineRule="exact"/>
        <w:ind w:firstLine="480" w:firstLineChars="200"/>
        <w:rPr>
          <w:rFonts w:ascii="Times New Roman" w:hAnsi="Times New Roman"/>
        </w:rPr>
      </w:pPr>
      <w:r>
        <w:rPr>
          <w:rFonts w:ascii="Times New Roman" w:hAnsi="Times New Roman"/>
        </w:rPr>
        <w:t>将那些运行噪声高的设备远离厂界和噪声敏感点，利用距离衰减来降低噪声。对于那些不可能远离厂界和噪声敏感点的设备，在设计时尽可能利用厂房建筑物来阻碍对厂界外环境的影响，如果不能利用距离和现成的建筑物来控制设备噪声的影响，就必须采取相应的噪声治理措施。工程设计时将产生高强噪声级的厂房车间相对集中布置或者设在无人区一侧。</w:t>
      </w:r>
    </w:p>
    <w:p>
      <w:pPr>
        <w:adjustRightInd w:val="0"/>
        <w:snapToGrid w:val="0"/>
        <w:spacing w:line="440" w:lineRule="exact"/>
        <w:ind w:firstLine="482" w:firstLineChars="200"/>
        <w:rPr>
          <w:rFonts w:ascii="Times New Roman" w:hAnsi="Times New Roman"/>
          <w:b/>
        </w:rPr>
      </w:pPr>
      <w:r>
        <w:rPr>
          <w:rFonts w:ascii="Times New Roman" w:hAnsi="Times New Roman"/>
          <w:b/>
        </w:rPr>
        <w:t>（2）植树绿化，防治噪声</w:t>
      </w:r>
    </w:p>
    <w:p>
      <w:pPr>
        <w:adjustRightInd w:val="0"/>
        <w:snapToGrid w:val="0"/>
        <w:spacing w:line="440" w:lineRule="exact"/>
        <w:ind w:firstLine="480" w:firstLineChars="200"/>
        <w:rPr>
          <w:rFonts w:ascii="Times New Roman" w:hAnsi="Times New Roman"/>
        </w:rPr>
      </w:pPr>
      <w:r>
        <w:rPr>
          <w:rFonts w:ascii="Times New Roman" w:hAnsi="Times New Roman"/>
        </w:rPr>
        <w:t>加强矿区绿化措施在锅炉房、通风机房、洗选车间等噪声源周围空地以草、灌、乔搭配的形式植树绿化，隔挡噪声的扩散传播。厂区围墙外面种植防护林。矿区各种道路按国标和有关规范进行布置，车辆安装低噪声喇叭，敏感区段道路在两侧布设防护隔声林带。</w:t>
      </w:r>
    </w:p>
    <w:p>
      <w:pPr>
        <w:keepNext/>
        <w:keepLines/>
        <w:adjustRightInd w:val="0"/>
        <w:snapToGrid w:val="0"/>
        <w:spacing w:line="440" w:lineRule="exact"/>
        <w:outlineLvl w:val="2"/>
        <w:rPr>
          <w:rFonts w:ascii="Times New Roman" w:hAnsi="Times New Roman"/>
          <w:b/>
          <w:szCs w:val="24"/>
        </w:rPr>
      </w:pPr>
      <w:r>
        <w:rPr>
          <w:rFonts w:ascii="Times New Roman" w:hAnsi="Times New Roman"/>
          <w:b/>
          <w:szCs w:val="24"/>
        </w:rPr>
        <w:t>8.4.2 矿井噪声防治</w:t>
      </w:r>
    </w:p>
    <w:p>
      <w:pPr>
        <w:adjustRightInd w:val="0"/>
        <w:snapToGrid w:val="0"/>
        <w:spacing w:line="440" w:lineRule="exact"/>
        <w:ind w:firstLine="480" w:firstLineChars="200"/>
        <w:rPr>
          <w:rFonts w:ascii="Times New Roman" w:hAnsi="Times New Roman"/>
        </w:rPr>
      </w:pPr>
      <w:r>
        <w:rPr>
          <w:rFonts w:ascii="Times New Roman" w:hAnsi="Times New Roman"/>
        </w:rPr>
        <w:t>本矿区矿井噪声主要来自矿井主、副井提升机、风井通风机、水泵等，以及拟建选煤厂筛分破碎机、跳汰机等。对于矿井噪声防治，在工程设计时，就应将产生高强噪声级的厂房车间相对集中布置或者设在无人区一侧，同时应充分利用地形地物对噪声传播其遮挡作用。</w:t>
      </w:r>
    </w:p>
    <w:p>
      <w:pPr>
        <w:adjustRightInd w:val="0"/>
        <w:snapToGrid w:val="0"/>
        <w:spacing w:line="440" w:lineRule="exact"/>
        <w:ind w:firstLine="480" w:firstLineChars="200"/>
        <w:rPr>
          <w:rFonts w:ascii="Times New Roman" w:hAnsi="Times New Roman"/>
        </w:rPr>
      </w:pPr>
      <w:r>
        <w:rPr>
          <w:rFonts w:ascii="Times New Roman" w:hAnsi="Times New Roman"/>
        </w:rPr>
        <w:t>首先要尽量选用低噪声设备。针对大型机械设备；破碎机、胶带运输机等声源控制主要对往复运动的机械设备提高检修安装精度。对鼓、引风机振动部分采用软连接，设备与基础连接处加减震器。旋转部分及时添加润滑剂。对空压机噪声的设备可根据设备的声频特性，找出谐振点安装宽频带吸声材料制作的消声罩密封或隔音室，并在换气处安装高频消声器。对通风机采用消声器消声等措施。对泵房等置于室内，利用墙体隔声。</w:t>
      </w:r>
    </w:p>
    <w:p>
      <w:pPr>
        <w:keepNext/>
        <w:keepLines/>
        <w:adjustRightInd w:val="0"/>
        <w:snapToGrid w:val="0"/>
        <w:spacing w:line="440" w:lineRule="exact"/>
        <w:outlineLvl w:val="2"/>
        <w:rPr>
          <w:rFonts w:ascii="Times New Roman" w:hAnsi="Times New Roman"/>
          <w:b/>
          <w:szCs w:val="24"/>
        </w:rPr>
      </w:pPr>
      <w:r>
        <w:rPr>
          <w:rFonts w:ascii="Times New Roman" w:hAnsi="Times New Roman"/>
          <w:b/>
          <w:szCs w:val="24"/>
        </w:rPr>
        <w:t>8.4.3 铁路噪声控制措施</w:t>
      </w:r>
    </w:p>
    <w:p>
      <w:pPr>
        <w:adjustRightInd w:val="0"/>
        <w:snapToGrid w:val="0"/>
        <w:spacing w:line="440" w:lineRule="exact"/>
        <w:ind w:firstLine="480" w:firstLineChars="200"/>
        <w:rPr>
          <w:rFonts w:ascii="Times New Roman" w:hAnsi="Times New Roman"/>
          <w:szCs w:val="32"/>
        </w:rPr>
      </w:pPr>
      <w:r>
        <w:rPr>
          <w:rFonts w:ascii="Times New Roman" w:hAnsi="Times New Roman"/>
          <w:szCs w:val="32"/>
        </w:rPr>
        <w:t>本项目规划建设一条铁路专用线，产品煤主要通过铁路运输，为减弱铁路专用线对周边声环境质量造成的影响，可采取以下措施：</w:t>
      </w:r>
    </w:p>
    <w:p>
      <w:pPr>
        <w:adjustRightInd w:val="0"/>
        <w:snapToGrid w:val="0"/>
        <w:spacing w:line="440" w:lineRule="exact"/>
        <w:ind w:firstLine="480" w:firstLineChars="200"/>
        <w:rPr>
          <w:rFonts w:ascii="Times New Roman" w:hAnsi="Times New Roman"/>
          <w:szCs w:val="32"/>
        </w:rPr>
      </w:pPr>
      <w:r>
        <w:rPr>
          <w:rFonts w:ascii="Times New Roman" w:hAnsi="Times New Roman"/>
          <w:szCs w:val="32"/>
        </w:rPr>
        <w:t>（1）进入铁路环线时列车车速控制在5km/h以下；</w:t>
      </w:r>
    </w:p>
    <w:p>
      <w:pPr>
        <w:adjustRightInd w:val="0"/>
        <w:snapToGrid w:val="0"/>
        <w:spacing w:line="440" w:lineRule="exact"/>
        <w:ind w:firstLine="480" w:firstLineChars="200"/>
        <w:rPr>
          <w:rFonts w:ascii="Times New Roman" w:hAnsi="Times New Roman"/>
        </w:rPr>
      </w:pPr>
      <w:r>
        <w:rPr>
          <w:rFonts w:ascii="Times New Roman" w:hAnsi="Times New Roman"/>
          <w:szCs w:val="32"/>
        </w:rPr>
        <w:t>（2）进入铁路专用线后列车减少鸣笛。</w:t>
      </w:r>
    </w:p>
    <w:p>
      <w:pPr>
        <w:keepNext/>
        <w:keepLines/>
        <w:adjustRightInd w:val="0"/>
        <w:snapToGrid w:val="0"/>
        <w:spacing w:before="260" w:after="260" w:line="440" w:lineRule="exact"/>
        <w:outlineLvl w:val="1"/>
        <w:rPr>
          <w:rFonts w:ascii="Times New Roman" w:hAnsi="Times New Roman"/>
          <w:b/>
          <w:sz w:val="28"/>
        </w:rPr>
      </w:pPr>
      <w:bookmarkStart w:id="373" w:name="_Toc18838472"/>
      <w:bookmarkStart w:id="374" w:name="_Toc1036"/>
      <w:r>
        <w:rPr>
          <w:rFonts w:ascii="Times New Roman" w:hAnsi="Times New Roman"/>
          <w:b/>
          <w:sz w:val="28"/>
        </w:rPr>
        <w:t>8.5 固体废物</w:t>
      </w:r>
      <w:bookmarkEnd w:id="373"/>
      <w:r>
        <w:rPr>
          <w:rFonts w:ascii="Times New Roman" w:hAnsi="Times New Roman"/>
          <w:b/>
          <w:sz w:val="28"/>
        </w:rPr>
        <w:t>污染控制措施</w:t>
      </w:r>
      <w:bookmarkEnd w:id="374"/>
    </w:p>
    <w:bookmarkEnd w:id="370"/>
    <w:p>
      <w:pPr>
        <w:adjustRightInd w:val="0"/>
        <w:snapToGrid w:val="0"/>
        <w:spacing w:line="440" w:lineRule="exact"/>
        <w:ind w:firstLine="480" w:firstLineChars="200"/>
        <w:rPr>
          <w:rFonts w:ascii="Times New Roman" w:hAnsi="Times New Roman"/>
        </w:rPr>
      </w:pPr>
      <w:bookmarkStart w:id="375" w:name="_Toc364949774"/>
      <w:bookmarkStart w:id="376" w:name="_Toc329696000"/>
      <w:r>
        <w:rPr>
          <w:rFonts w:ascii="Times New Roman" w:hAnsi="Times New Roman"/>
        </w:rPr>
        <w:t>矿区开发产出的固体废物，按性质分为：矸石、生活垃圾及水处理有机污泥；按来源可分为煤矿产出的掘进矸、洗选矸、生活垃圾及水处理有机污泥。按照国家关于资源综合利用要求，对于本矿区固体废物综合利用和处置的基本原则为：综合利用为先，处置为后。</w:t>
      </w:r>
    </w:p>
    <w:p>
      <w:pPr>
        <w:keepNext/>
        <w:keepLines/>
        <w:adjustRightInd w:val="0"/>
        <w:snapToGrid w:val="0"/>
        <w:spacing w:line="440" w:lineRule="exact"/>
        <w:outlineLvl w:val="2"/>
        <w:rPr>
          <w:rFonts w:ascii="Times New Roman" w:hAnsi="Times New Roman"/>
          <w:b/>
        </w:rPr>
      </w:pPr>
      <w:r>
        <w:rPr>
          <w:rFonts w:ascii="Times New Roman" w:hAnsi="Times New Roman"/>
          <w:b/>
        </w:rPr>
        <w:t>8.5.1 矸石综合利用和处置措施</w:t>
      </w:r>
    </w:p>
    <w:p>
      <w:pPr>
        <w:adjustRightInd w:val="0"/>
        <w:snapToGrid w:val="0"/>
        <w:spacing w:line="440" w:lineRule="exact"/>
        <w:ind w:firstLine="480" w:firstLineChars="200"/>
        <w:rPr>
          <w:rFonts w:ascii="Times New Roman" w:hAnsi="Times New Roman"/>
          <w:b/>
        </w:rPr>
      </w:pPr>
      <w:r>
        <w:rPr>
          <w:rFonts w:ascii="Times New Roman" w:hAnsi="Times New Roman"/>
        </w:rPr>
        <w:t>由前面矿区矸石性质分析可知，矿区矸石不属于危险固体废物，属于第Ⅰ类一般工业固体废物。</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（1）矸石综合利用途径</w:t>
      </w:r>
    </w:p>
    <w:p>
      <w:pPr>
        <w:adjustRightInd w:val="0"/>
        <w:snapToGrid w:val="0"/>
        <w:spacing w:line="440" w:lineRule="exact"/>
        <w:ind w:firstLine="480" w:firstLineChars="200"/>
        <w:rPr>
          <w:rFonts w:ascii="Times New Roman" w:hAnsi="Times New Roman"/>
        </w:rPr>
      </w:pPr>
      <w:r>
        <w:rPr>
          <w:rFonts w:ascii="Times New Roman" w:hAnsi="Times New Roman"/>
        </w:rPr>
        <w:t>目前我国煤矸石的综合利用主要包括</w:t>
      </w:r>
      <w:r>
        <w:rPr>
          <w:rFonts w:ascii="Times New Roman" w:hAnsi="Times New Roman"/>
          <w:szCs w:val="24"/>
        </w:rPr>
        <w:t>用于建筑材料、填沟造地、充填沉陷区、制砖、回填井下等</w:t>
      </w:r>
      <w:r>
        <w:rPr>
          <w:rFonts w:ascii="Times New Roman" w:hAnsi="Times New Roman"/>
        </w:rPr>
        <w:t>。</w:t>
      </w:r>
    </w:p>
    <w:p>
      <w:pPr>
        <w:autoSpaceDE w:val="0"/>
        <w:autoSpaceDN w:val="0"/>
        <w:adjustRightInd w:val="0"/>
        <w:snapToGrid w:val="0"/>
        <w:spacing w:line="440" w:lineRule="exact"/>
        <w:ind w:firstLine="480" w:firstLineChars="200"/>
        <w:rPr>
          <w:rFonts w:ascii="Times New Roman" w:hAnsi="Times New Roman"/>
          <w:kern w:val="0"/>
        </w:rPr>
      </w:pPr>
      <w:r>
        <w:rPr>
          <w:rFonts w:ascii="Times New Roman" w:hAnsi="Times New Roman"/>
          <w:kern w:val="0"/>
        </w:rPr>
        <w:t>矿区规划达产时，预计每年产生的矸石量约为306万t，其中掘进矸石产生量54万t，选煤厂洗选矸石产生量252万t。洗选矸石灰分含量高，热值低不能用于发电。</w:t>
      </w:r>
    </w:p>
    <w:p>
      <w:pPr>
        <w:autoSpaceDE w:val="0"/>
        <w:autoSpaceDN w:val="0"/>
        <w:adjustRightInd w:val="0"/>
        <w:snapToGrid w:val="0"/>
        <w:spacing w:line="440" w:lineRule="exact"/>
        <w:ind w:firstLine="480" w:firstLineChars="200"/>
        <w:rPr>
          <w:rFonts w:ascii="Times New Roman" w:hAnsi="Times New Roman"/>
          <w:kern w:val="0"/>
        </w:rPr>
      </w:pPr>
      <w:r>
        <w:rPr>
          <w:rFonts w:ascii="Times New Roman" w:hAnsi="Times New Roman"/>
          <w:kern w:val="0"/>
        </w:rPr>
        <w:t>规划矿井建井期间矸石运至矸石周转场地，生产期掘进矸石充填废弃巷道不升井，选煤厂洗选矸石</w:t>
      </w:r>
      <w:r>
        <w:rPr>
          <w:rFonts w:ascii="Times New Roman" w:hAnsi="Times New Roman"/>
          <w:szCs w:val="24"/>
        </w:rPr>
        <w:t>初期运往矸石周转场地临时堆存，后期</w:t>
      </w:r>
      <w:r>
        <w:rPr>
          <w:rFonts w:ascii="Times New Roman" w:hAnsi="Times New Roman"/>
          <w:kern w:val="0"/>
        </w:rPr>
        <w:t>运至井下用于井下充填</w:t>
      </w:r>
      <w:r>
        <w:rPr>
          <w:rStyle w:val="74"/>
          <w:rFonts w:ascii="Times New Roman" w:hAnsi="Times New Roman"/>
          <w:sz w:val="24"/>
          <w:szCs w:val="24"/>
        </w:rPr>
        <w:t>采空区</w:t>
      </w:r>
      <w:r>
        <w:rPr>
          <w:rFonts w:ascii="Times New Roman" w:hAnsi="Times New Roman"/>
          <w:kern w:val="0"/>
        </w:rPr>
        <w:t>。</w:t>
      </w:r>
    </w:p>
    <w:p>
      <w:pPr>
        <w:keepNext/>
        <w:keepLines/>
        <w:adjustRightInd w:val="0"/>
        <w:snapToGrid w:val="0"/>
        <w:spacing w:line="440" w:lineRule="exact"/>
        <w:outlineLvl w:val="2"/>
        <w:rPr>
          <w:rFonts w:ascii="Times New Roman" w:hAnsi="Times New Roman"/>
          <w:b/>
        </w:rPr>
      </w:pPr>
      <w:r>
        <w:rPr>
          <w:rFonts w:ascii="Times New Roman" w:hAnsi="Times New Roman"/>
          <w:b/>
        </w:rPr>
        <w:t>8.5.2 污泥处置措施</w:t>
      </w:r>
    </w:p>
    <w:p>
      <w:pPr>
        <w:autoSpaceDE w:val="0"/>
        <w:autoSpaceDN w:val="0"/>
        <w:adjustRightInd w:val="0"/>
        <w:snapToGrid w:val="0"/>
        <w:spacing w:line="440" w:lineRule="exact"/>
        <w:ind w:firstLine="480" w:firstLineChars="200"/>
        <w:rPr>
          <w:rFonts w:ascii="Times New Roman" w:hAnsi="Times New Roman"/>
          <w:kern w:val="0"/>
        </w:rPr>
      </w:pPr>
      <w:r>
        <w:rPr>
          <w:rFonts w:ascii="Times New Roman" w:hAnsi="Times New Roman"/>
          <w:kern w:val="0"/>
        </w:rPr>
        <w:t>生活垃圾成分复杂，处置难度较大，建议矿区送交鄂尔多斯市环卫部门统一处置，确保不对环境造成不利影响。</w:t>
      </w:r>
    </w:p>
    <w:p>
      <w:pPr>
        <w:autoSpaceDE w:val="0"/>
        <w:autoSpaceDN w:val="0"/>
        <w:adjustRightInd w:val="0"/>
        <w:snapToGrid w:val="0"/>
        <w:spacing w:line="440" w:lineRule="exact"/>
        <w:ind w:firstLine="480" w:firstLineChars="200"/>
        <w:rPr>
          <w:rFonts w:ascii="Times New Roman" w:hAnsi="Times New Roman"/>
          <w:kern w:val="0"/>
        </w:rPr>
      </w:pPr>
      <w:r>
        <w:rPr>
          <w:rFonts w:ascii="Times New Roman" w:hAnsi="Times New Roman"/>
          <w:kern w:val="0"/>
        </w:rPr>
        <w:t>对于生活污水处理站污泥，可一并送至鄂尔多斯市环卫部门统一处置，确保不对环境造成不利影响，严禁将生活垃圾直接运至排矸场填埋处置。</w:t>
      </w:r>
    </w:p>
    <w:p>
      <w:pPr>
        <w:pStyle w:val="16"/>
        <w:ind w:firstLine="480"/>
        <w:rPr>
          <w:rFonts w:ascii="Times New Roman" w:hAnsi="Times New Roman" w:cs="Times New Roman"/>
          <w:kern w:val="0"/>
          <w:sz w:val="24"/>
          <w:szCs w:val="20"/>
        </w:rPr>
      </w:pPr>
      <w:r>
        <w:rPr>
          <w:rFonts w:ascii="Times New Roman" w:hAnsi="Times New Roman" w:cs="Times New Roman"/>
          <w:kern w:val="0"/>
          <w:sz w:val="24"/>
          <w:szCs w:val="20"/>
        </w:rPr>
        <w:t>矿井水处理站污泥掺入末煤销售。</w:t>
      </w:r>
    </w:p>
    <w:p>
      <w:pPr>
        <w:keepNext/>
        <w:keepLines/>
        <w:adjustRightInd w:val="0"/>
        <w:snapToGrid w:val="0"/>
        <w:spacing w:line="440" w:lineRule="exact"/>
        <w:outlineLvl w:val="2"/>
        <w:rPr>
          <w:rFonts w:ascii="Times New Roman" w:hAnsi="Times New Roman"/>
          <w:b/>
        </w:rPr>
      </w:pPr>
      <w:r>
        <w:rPr>
          <w:rFonts w:ascii="Times New Roman" w:hAnsi="Times New Roman"/>
          <w:b/>
        </w:rPr>
        <w:t>8.5.3 锅炉灰渣处置措施</w:t>
      </w:r>
    </w:p>
    <w:p>
      <w:pPr>
        <w:spacing w:line="440" w:lineRule="exact"/>
        <w:ind w:firstLine="480" w:firstLineChars="200"/>
        <w:rPr>
          <w:rFonts w:ascii="Times New Roman" w:hAnsi="Times New Roman"/>
        </w:rPr>
      </w:pPr>
      <w:r>
        <w:rPr>
          <w:rFonts w:ascii="Times New Roman" w:hAnsi="Times New Roman"/>
        </w:rPr>
        <w:t>本次评价提出锅炉灰渣优先用于道路铺设及沉陷区生态恢复。</w:t>
      </w:r>
    </w:p>
    <w:p>
      <w:pPr>
        <w:keepNext/>
        <w:keepLines/>
        <w:adjustRightInd w:val="0"/>
        <w:snapToGrid w:val="0"/>
        <w:spacing w:line="440" w:lineRule="exact"/>
        <w:outlineLvl w:val="2"/>
        <w:rPr>
          <w:rFonts w:ascii="Times New Roman" w:hAnsi="Times New Roman"/>
          <w:b/>
        </w:rPr>
      </w:pPr>
      <w:r>
        <w:rPr>
          <w:rFonts w:ascii="Times New Roman" w:hAnsi="Times New Roman"/>
          <w:b/>
        </w:rPr>
        <w:t>8.5.4危险废物处置措施</w:t>
      </w:r>
    </w:p>
    <w:p>
      <w:pPr>
        <w:pStyle w:val="16"/>
        <w:ind w:firstLine="480"/>
        <w:rPr>
          <w:rFonts w:ascii="Times New Roman" w:hAnsi="Times New Roman" w:cs="Times New Roman"/>
          <w:sz w:val="24"/>
        </w:rPr>
      </w:pPr>
      <w:r>
        <w:rPr>
          <w:rFonts w:ascii="Times New Roman" w:hAnsi="Times New Roman" w:cs="Times New Roman"/>
          <w:sz w:val="24"/>
        </w:rPr>
        <w:t>各矿按要求设置危废暂存库，短期存储产生的废矿物油和废油桶等危险废物。定期将收集到的危险废物交由有资质的危废处置公司进行处置。</w:t>
      </w:r>
    </w:p>
    <w:p>
      <w:pPr>
        <w:keepNext/>
        <w:keepLines/>
        <w:adjustRightInd w:val="0"/>
        <w:snapToGrid w:val="0"/>
        <w:spacing w:before="260" w:after="260" w:line="440" w:lineRule="exact"/>
        <w:jc w:val="left"/>
        <w:outlineLvl w:val="1"/>
        <w:rPr>
          <w:rFonts w:ascii="Times New Roman" w:hAnsi="Times New Roman"/>
          <w:b/>
          <w:sz w:val="28"/>
        </w:rPr>
      </w:pPr>
      <w:bookmarkStart w:id="377" w:name="_Toc4591"/>
      <w:r>
        <w:rPr>
          <w:rFonts w:ascii="Times New Roman" w:hAnsi="Times New Roman"/>
          <w:b/>
          <w:sz w:val="28"/>
        </w:rPr>
        <w:t>8.6土壤环境影响减缓措施</w:t>
      </w:r>
      <w:bookmarkEnd w:id="377"/>
    </w:p>
    <w:p>
      <w:pPr>
        <w:keepNext/>
        <w:keepLines/>
        <w:adjustRightInd w:val="0"/>
        <w:snapToGrid w:val="0"/>
        <w:spacing w:before="120" w:after="120" w:line="440" w:lineRule="exact"/>
        <w:jc w:val="left"/>
        <w:textAlignment w:val="baseline"/>
        <w:outlineLvl w:val="2"/>
        <w:rPr>
          <w:rFonts w:ascii="Times New Roman" w:hAnsi="Times New Roman"/>
          <w:b/>
          <w:bCs/>
          <w:szCs w:val="32"/>
          <w:lang w:val="zh-CN"/>
        </w:rPr>
      </w:pPr>
      <w:r>
        <w:rPr>
          <w:rFonts w:ascii="Times New Roman" w:hAnsi="Times New Roman"/>
          <w:b/>
          <w:bCs/>
          <w:szCs w:val="32"/>
          <w:lang w:val="zh-CN"/>
        </w:rPr>
        <w:t>8.</w:t>
      </w:r>
      <w:r>
        <w:rPr>
          <w:rFonts w:ascii="Times New Roman" w:hAnsi="Times New Roman"/>
          <w:b/>
          <w:bCs/>
          <w:szCs w:val="32"/>
        </w:rPr>
        <w:t>6</w:t>
      </w:r>
      <w:r>
        <w:rPr>
          <w:rFonts w:ascii="Times New Roman" w:hAnsi="Times New Roman"/>
          <w:b/>
          <w:bCs/>
          <w:szCs w:val="32"/>
          <w:lang w:val="zh-CN"/>
        </w:rPr>
        <w:t>.1 生态影响型土壤环境保护措施</w:t>
      </w:r>
    </w:p>
    <w:p>
      <w:pPr>
        <w:spacing w:line="440" w:lineRule="exact"/>
        <w:ind w:firstLine="480" w:firstLineChars="200"/>
        <w:rPr>
          <w:rFonts w:ascii="Times New Roman" w:hAnsi="Times New Roman"/>
          <w:bCs/>
          <w:szCs w:val="21"/>
        </w:rPr>
      </w:pPr>
      <w:r>
        <w:rPr>
          <w:rFonts w:ascii="Times New Roman" w:hAnsi="Times New Roman"/>
          <w:bCs/>
          <w:szCs w:val="21"/>
        </w:rPr>
        <w:t>（1）建设期</w:t>
      </w:r>
    </w:p>
    <w:p>
      <w:pPr>
        <w:spacing w:line="440" w:lineRule="exact"/>
        <w:ind w:firstLine="480" w:firstLineChars="200"/>
        <w:rPr>
          <w:rFonts w:ascii="Times New Roman" w:hAnsi="Times New Roman"/>
          <w:bCs/>
          <w:szCs w:val="21"/>
        </w:rPr>
      </w:pPr>
      <w:r>
        <w:rPr>
          <w:rFonts w:ascii="Times New Roman" w:hAnsi="Times New Roman"/>
          <w:bCs/>
          <w:szCs w:val="21"/>
        </w:rPr>
        <w:t>建设过程中严格控制施工范围，车辆按照固定线路行走，防治随意碾压土壤。施工过程中对压占区以及占用区表土单独剥离、单独保存，尽快使用。</w:t>
      </w:r>
    </w:p>
    <w:p>
      <w:pPr>
        <w:spacing w:line="440" w:lineRule="exact"/>
        <w:ind w:firstLine="480" w:firstLineChars="200"/>
        <w:rPr>
          <w:rFonts w:ascii="Times New Roman" w:hAnsi="Times New Roman"/>
          <w:bCs/>
          <w:szCs w:val="21"/>
        </w:rPr>
      </w:pPr>
      <w:r>
        <w:rPr>
          <w:rFonts w:ascii="Times New Roman" w:hAnsi="Times New Roman"/>
          <w:bCs/>
          <w:szCs w:val="21"/>
        </w:rPr>
        <w:t>（2）生产期</w:t>
      </w:r>
    </w:p>
    <w:p>
      <w:pPr>
        <w:spacing w:line="440" w:lineRule="exact"/>
        <w:ind w:firstLine="480" w:firstLineChars="200"/>
        <w:rPr>
          <w:rFonts w:ascii="Times New Roman" w:hAnsi="Times New Roman"/>
          <w:bCs/>
          <w:szCs w:val="21"/>
        </w:rPr>
      </w:pPr>
      <w:r>
        <w:rPr>
          <w:rFonts w:ascii="Times New Roman" w:hAnsi="Times New Roman"/>
          <w:bCs/>
          <w:szCs w:val="21"/>
        </w:rPr>
        <w:t>通过地表沉陷预防控制减少植被破坏，进而减少土壤裸露造成的土壤流失与退化。对地表裂缝及时充填，防止土壤结构破坏与养分流失。通过矸石井下充填，减少地表沉陷，从而控制土壤盐化或碱化。</w:t>
      </w:r>
    </w:p>
    <w:p>
      <w:pPr>
        <w:keepNext/>
        <w:keepLines/>
        <w:adjustRightInd w:val="0"/>
        <w:snapToGrid w:val="0"/>
        <w:spacing w:before="120" w:after="120" w:line="440" w:lineRule="exact"/>
        <w:jc w:val="left"/>
        <w:textAlignment w:val="baseline"/>
        <w:outlineLvl w:val="2"/>
        <w:rPr>
          <w:rFonts w:ascii="Times New Roman" w:hAnsi="Times New Roman"/>
          <w:b/>
          <w:bCs/>
          <w:szCs w:val="32"/>
          <w:lang w:val="zh-CN"/>
        </w:rPr>
      </w:pPr>
      <w:r>
        <w:rPr>
          <w:rFonts w:ascii="Times New Roman" w:hAnsi="Times New Roman"/>
          <w:b/>
          <w:bCs/>
          <w:szCs w:val="32"/>
          <w:lang w:val="zh-CN"/>
        </w:rPr>
        <w:t>8.</w:t>
      </w:r>
      <w:r>
        <w:rPr>
          <w:rFonts w:ascii="Times New Roman" w:hAnsi="Times New Roman"/>
          <w:b/>
          <w:bCs/>
          <w:szCs w:val="32"/>
        </w:rPr>
        <w:t>6</w:t>
      </w:r>
      <w:r>
        <w:rPr>
          <w:rFonts w:ascii="Times New Roman" w:hAnsi="Times New Roman"/>
          <w:b/>
          <w:bCs/>
          <w:szCs w:val="32"/>
          <w:lang w:val="zh-CN"/>
        </w:rPr>
        <w:t>.2 污染影响型土壤环境保护措施</w:t>
      </w:r>
    </w:p>
    <w:p>
      <w:pPr>
        <w:adjustRightInd w:val="0"/>
        <w:snapToGrid w:val="0"/>
        <w:spacing w:line="440" w:lineRule="exact"/>
        <w:ind w:firstLine="480" w:firstLineChars="200"/>
        <w:rPr>
          <w:rFonts w:ascii="Times New Roman" w:hAnsi="Times New Roman"/>
          <w:kern w:val="24"/>
          <w:lang w:val="zh-CN"/>
        </w:rPr>
      </w:pPr>
      <w:r>
        <w:rPr>
          <w:rFonts w:ascii="Times New Roman" w:hAnsi="Times New Roman"/>
          <w:kern w:val="24"/>
          <w:lang w:val="zh-CN"/>
        </w:rPr>
        <w:t>建设期土壤污染防治主要控制施工机械以及车辆漏油以及随意穿行。建设期土壤污染防治应针对各场地不同污染源的污染途径予以控制，以下分别论述，见表8.</w:t>
      </w:r>
      <w:r>
        <w:rPr>
          <w:rFonts w:ascii="Times New Roman" w:hAnsi="Times New Roman"/>
          <w:kern w:val="24"/>
        </w:rPr>
        <w:t>6</w:t>
      </w:r>
      <w:r>
        <w:rPr>
          <w:rFonts w:ascii="Times New Roman" w:hAnsi="Times New Roman"/>
          <w:kern w:val="24"/>
          <w:lang w:val="zh-CN"/>
        </w:rPr>
        <w:t>-1。</w:t>
      </w:r>
    </w:p>
    <w:p>
      <w:pPr>
        <w:adjustRightInd w:val="0"/>
        <w:snapToGrid w:val="0"/>
        <w:spacing w:line="440" w:lineRule="exact"/>
        <w:jc w:val="center"/>
        <w:rPr>
          <w:rFonts w:ascii="Times New Roman" w:hAnsi="Times New Roman"/>
          <w:b/>
          <w:bCs/>
          <w:kern w:val="24"/>
          <w:lang w:val="zh-CN"/>
        </w:rPr>
      </w:pPr>
      <w:r>
        <w:rPr>
          <w:rFonts w:ascii="Times New Roman" w:hAnsi="Times New Roman"/>
          <w:b/>
          <w:bCs/>
          <w:kern w:val="24"/>
          <w:lang w:val="zh-CN"/>
        </w:rPr>
        <w:t>土壤污染防治措施体系表</w:t>
      </w:r>
    </w:p>
    <w:p>
      <w:pPr>
        <w:widowControl/>
        <w:jc w:val="left"/>
        <w:outlineLvl w:val="4"/>
        <w:rPr>
          <w:rFonts w:ascii="Times New Roman" w:hAnsi="Times New Roman"/>
          <w:kern w:val="0"/>
        </w:rPr>
      </w:pPr>
      <w:r>
        <w:rPr>
          <w:rFonts w:ascii="Times New Roman" w:hAnsi="Times New Roman"/>
          <w:kern w:val="0"/>
        </w:rPr>
        <w:t>表8.6-1</w:t>
      </w:r>
    </w:p>
    <w:tbl>
      <w:tblPr>
        <w:tblStyle w:val="5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7"/>
        <w:gridCol w:w="1952"/>
        <w:gridCol w:w="1365"/>
        <w:gridCol w:w="46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39" w:type="dxa"/>
            <w:gridSpan w:val="2"/>
            <w:shd w:val="clear" w:color="auto" w:fill="auto"/>
            <w:vAlign w:val="center"/>
          </w:tcPr>
          <w:p>
            <w:pPr>
              <w:adjustRightInd w:val="0"/>
              <w:snapToGrid w:val="0"/>
              <w:jc w:val="center"/>
              <w:rPr>
                <w:rFonts w:ascii="Times New Roman" w:hAnsi="Times New Roman"/>
                <w:kern w:val="24"/>
                <w:sz w:val="21"/>
                <w:lang w:val="zh-CN"/>
              </w:rPr>
            </w:pPr>
            <w:r>
              <w:rPr>
                <w:rFonts w:ascii="Times New Roman" w:hAnsi="Times New Roman"/>
                <w:kern w:val="24"/>
                <w:sz w:val="21"/>
                <w:szCs w:val="21"/>
                <w:lang w:val="zh-CN"/>
              </w:rPr>
              <w:t>场地构成</w:t>
            </w:r>
          </w:p>
        </w:tc>
        <w:tc>
          <w:tcPr>
            <w:tcW w:w="1365" w:type="dxa"/>
            <w:shd w:val="clear" w:color="auto" w:fill="auto"/>
            <w:vAlign w:val="center"/>
          </w:tcPr>
          <w:p>
            <w:pPr>
              <w:adjustRightInd w:val="0"/>
              <w:snapToGrid w:val="0"/>
              <w:jc w:val="center"/>
              <w:rPr>
                <w:rFonts w:ascii="Times New Roman" w:hAnsi="Times New Roman"/>
                <w:kern w:val="24"/>
                <w:sz w:val="21"/>
                <w:lang w:val="zh-CN"/>
              </w:rPr>
            </w:pPr>
            <w:r>
              <w:rPr>
                <w:rFonts w:ascii="Times New Roman" w:hAnsi="Times New Roman"/>
                <w:kern w:val="24"/>
                <w:sz w:val="21"/>
                <w:szCs w:val="21"/>
                <w:lang w:val="zh-CN"/>
              </w:rPr>
              <w:t>污染途径</w:t>
            </w:r>
          </w:p>
        </w:tc>
        <w:tc>
          <w:tcPr>
            <w:tcW w:w="4684" w:type="dxa"/>
            <w:shd w:val="clear" w:color="auto" w:fill="auto"/>
            <w:vAlign w:val="center"/>
          </w:tcPr>
          <w:p>
            <w:pPr>
              <w:adjustRightInd w:val="0"/>
              <w:snapToGrid w:val="0"/>
              <w:jc w:val="center"/>
              <w:rPr>
                <w:rFonts w:ascii="Times New Roman" w:hAnsi="Times New Roman"/>
                <w:kern w:val="24"/>
                <w:sz w:val="21"/>
                <w:lang w:val="zh-CN"/>
              </w:rPr>
            </w:pPr>
            <w:r>
              <w:rPr>
                <w:rFonts w:ascii="Times New Roman" w:hAnsi="Times New Roman"/>
                <w:kern w:val="24"/>
                <w:sz w:val="21"/>
                <w:szCs w:val="21"/>
                <w:lang w:val="zh-CN"/>
              </w:rPr>
              <w:t>控制措施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restart"/>
            <w:shd w:val="clear" w:color="auto" w:fill="auto"/>
            <w:vAlign w:val="center"/>
          </w:tcPr>
          <w:p>
            <w:pPr>
              <w:jc w:val="center"/>
              <w:rPr>
                <w:rFonts w:ascii="Times New Roman" w:hAnsi="Times New Roman"/>
                <w:kern w:val="0"/>
                <w:sz w:val="21"/>
              </w:rPr>
            </w:pPr>
            <w:r>
              <w:rPr>
                <w:rFonts w:ascii="Times New Roman" w:hAnsi="Times New Roman"/>
                <w:kern w:val="0"/>
                <w:sz w:val="21"/>
                <w:szCs w:val="21"/>
              </w:rPr>
              <w:t>工业场地</w:t>
            </w:r>
          </w:p>
        </w:tc>
        <w:tc>
          <w:tcPr>
            <w:tcW w:w="1952"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锅炉</w:t>
            </w:r>
          </w:p>
        </w:tc>
        <w:tc>
          <w:tcPr>
            <w:tcW w:w="1365"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大气沉降</w:t>
            </w:r>
          </w:p>
        </w:tc>
        <w:tc>
          <w:tcPr>
            <w:tcW w:w="4684" w:type="dxa"/>
            <w:shd w:val="clear" w:color="auto" w:fill="auto"/>
            <w:vAlign w:val="center"/>
          </w:tcPr>
          <w:p>
            <w:pPr>
              <w:adjustRightInd w:val="0"/>
              <w:snapToGrid w:val="0"/>
              <w:rPr>
                <w:rFonts w:ascii="Times New Roman" w:hAnsi="Times New Roman"/>
                <w:kern w:val="24"/>
                <w:sz w:val="21"/>
                <w:lang w:val="zh-CN"/>
              </w:rPr>
            </w:pPr>
            <w:r>
              <w:rPr>
                <w:rFonts w:ascii="Times New Roman" w:hAnsi="Times New Roman"/>
                <w:kern w:val="24"/>
                <w:sz w:val="21"/>
                <w:szCs w:val="21"/>
                <w:lang w:val="zh-CN"/>
              </w:rPr>
              <w:fldChar w:fldCharType="begin"/>
            </w:r>
            <w:r>
              <w:rPr>
                <w:rFonts w:ascii="Times New Roman" w:hAnsi="Times New Roman"/>
                <w:kern w:val="24"/>
                <w:sz w:val="21"/>
                <w:szCs w:val="21"/>
                <w:lang w:val="zh-CN"/>
              </w:rPr>
              <w:instrText xml:space="preserve"> = 1 \* GB3 </w:instrText>
            </w:r>
            <w:r>
              <w:rPr>
                <w:rFonts w:ascii="Times New Roman" w:hAnsi="Times New Roman"/>
                <w:kern w:val="24"/>
                <w:sz w:val="21"/>
                <w:szCs w:val="21"/>
                <w:lang w:val="zh-CN"/>
              </w:rPr>
              <w:fldChar w:fldCharType="separate"/>
            </w:r>
            <w:r>
              <w:rPr>
                <w:rFonts w:hint="eastAsia" w:cs="宋体"/>
                <w:kern w:val="24"/>
                <w:sz w:val="21"/>
                <w:szCs w:val="21"/>
                <w:lang w:val="zh-CN"/>
              </w:rPr>
              <w:t>①</w:t>
            </w:r>
            <w:r>
              <w:rPr>
                <w:rFonts w:ascii="Times New Roman" w:hAnsi="Times New Roman"/>
                <w:kern w:val="24"/>
                <w:sz w:val="21"/>
                <w:szCs w:val="21"/>
                <w:lang w:val="zh-CN"/>
              </w:rPr>
              <w:fldChar w:fldCharType="end"/>
            </w:r>
            <w:r>
              <w:rPr>
                <w:rFonts w:ascii="Times New Roman" w:hAnsi="Times New Roman"/>
                <w:kern w:val="24"/>
                <w:sz w:val="21"/>
                <w:szCs w:val="21"/>
                <w:lang w:val="zh-CN"/>
              </w:rPr>
              <w:t>烟气治理，源头减少污染物排放。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shd w:val="clear" w:color="auto" w:fill="auto"/>
            <w:vAlign w:val="center"/>
          </w:tcPr>
          <w:p>
            <w:pPr>
              <w:widowControl/>
              <w:jc w:val="center"/>
              <w:rPr>
                <w:rFonts w:ascii="Times New Roman" w:hAnsi="Times New Roman"/>
                <w:kern w:val="0"/>
                <w:sz w:val="21"/>
              </w:rPr>
            </w:pPr>
          </w:p>
        </w:tc>
        <w:tc>
          <w:tcPr>
            <w:tcW w:w="1952"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矿井水处理站</w:t>
            </w:r>
          </w:p>
        </w:tc>
        <w:tc>
          <w:tcPr>
            <w:tcW w:w="1365"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垂直入渗</w:t>
            </w:r>
          </w:p>
        </w:tc>
        <w:tc>
          <w:tcPr>
            <w:tcW w:w="4684" w:type="dxa"/>
            <w:shd w:val="clear" w:color="auto" w:fill="auto"/>
          </w:tcPr>
          <w:p>
            <w:pPr>
              <w:adjustRightInd w:val="0"/>
              <w:snapToGrid w:val="0"/>
              <w:rPr>
                <w:rFonts w:ascii="Times New Roman" w:hAnsi="Times New Roman"/>
                <w:kern w:val="24"/>
                <w:sz w:val="21"/>
                <w:lang w:val="zh-CN"/>
              </w:rPr>
            </w:pPr>
            <w:r>
              <w:rPr>
                <w:rFonts w:ascii="Times New Roman" w:hAnsi="Times New Roman"/>
                <w:kern w:val="24"/>
                <w:sz w:val="21"/>
                <w:szCs w:val="21"/>
                <w:lang w:val="zh-CN"/>
              </w:rPr>
              <w:fldChar w:fldCharType="begin"/>
            </w:r>
            <w:r>
              <w:rPr>
                <w:rFonts w:ascii="Times New Roman" w:hAnsi="Times New Roman"/>
                <w:kern w:val="24"/>
                <w:sz w:val="21"/>
                <w:szCs w:val="21"/>
                <w:lang w:val="zh-CN"/>
              </w:rPr>
              <w:instrText xml:space="preserve"> = 1 \* GB3 </w:instrText>
            </w:r>
            <w:r>
              <w:rPr>
                <w:rFonts w:ascii="Times New Roman" w:hAnsi="Times New Roman"/>
                <w:kern w:val="24"/>
                <w:sz w:val="21"/>
                <w:szCs w:val="21"/>
                <w:lang w:val="zh-CN"/>
              </w:rPr>
              <w:fldChar w:fldCharType="separate"/>
            </w:r>
            <w:r>
              <w:rPr>
                <w:rFonts w:hint="eastAsia" w:cs="宋体"/>
                <w:kern w:val="24"/>
                <w:sz w:val="21"/>
                <w:szCs w:val="21"/>
                <w:lang w:val="zh-CN"/>
              </w:rPr>
              <w:t>①</w:t>
            </w:r>
            <w:r>
              <w:rPr>
                <w:rFonts w:ascii="Times New Roman" w:hAnsi="Times New Roman"/>
                <w:kern w:val="24"/>
                <w:sz w:val="21"/>
                <w:szCs w:val="21"/>
                <w:lang w:val="zh-CN"/>
              </w:rPr>
              <w:fldChar w:fldCharType="end"/>
            </w:r>
            <w:r>
              <w:rPr>
                <w:rFonts w:ascii="Times New Roman" w:hAnsi="Times New Roman"/>
                <w:kern w:val="24"/>
                <w:sz w:val="21"/>
                <w:szCs w:val="21"/>
                <w:lang w:val="zh-CN"/>
              </w:rPr>
              <w:t>矿井水综合处理；</w:t>
            </w:r>
          </w:p>
          <w:p>
            <w:pPr>
              <w:adjustRightInd w:val="0"/>
              <w:snapToGrid w:val="0"/>
              <w:rPr>
                <w:rFonts w:ascii="Times New Roman" w:hAnsi="Times New Roman"/>
                <w:kern w:val="24"/>
                <w:sz w:val="21"/>
                <w:lang w:val="zh-CN"/>
              </w:rPr>
            </w:pPr>
            <w:r>
              <w:rPr>
                <w:rFonts w:ascii="Times New Roman" w:hAnsi="Times New Roman"/>
                <w:kern w:val="24"/>
                <w:sz w:val="21"/>
                <w:szCs w:val="21"/>
                <w:lang w:val="zh-CN"/>
              </w:rPr>
              <w:fldChar w:fldCharType="begin"/>
            </w:r>
            <w:r>
              <w:rPr>
                <w:rFonts w:ascii="Times New Roman" w:hAnsi="Times New Roman"/>
                <w:kern w:val="24"/>
                <w:sz w:val="21"/>
                <w:szCs w:val="21"/>
                <w:lang w:val="zh-CN"/>
              </w:rPr>
              <w:instrText xml:space="preserve"> = 2 \* GB3 </w:instrText>
            </w:r>
            <w:r>
              <w:rPr>
                <w:rFonts w:ascii="Times New Roman" w:hAnsi="Times New Roman"/>
                <w:kern w:val="24"/>
                <w:sz w:val="21"/>
                <w:szCs w:val="21"/>
                <w:lang w:val="zh-CN"/>
              </w:rPr>
              <w:fldChar w:fldCharType="separate"/>
            </w:r>
            <w:r>
              <w:rPr>
                <w:rFonts w:hint="eastAsia" w:cs="宋体"/>
                <w:kern w:val="24"/>
                <w:sz w:val="21"/>
                <w:szCs w:val="21"/>
                <w:lang w:val="zh-CN"/>
              </w:rPr>
              <w:t>②</w:t>
            </w:r>
            <w:r>
              <w:rPr>
                <w:rFonts w:ascii="Times New Roman" w:hAnsi="Times New Roman"/>
                <w:kern w:val="24"/>
                <w:sz w:val="21"/>
                <w:szCs w:val="21"/>
                <w:lang w:val="zh-CN"/>
              </w:rPr>
              <w:fldChar w:fldCharType="end"/>
            </w:r>
            <w:r>
              <w:rPr>
                <w:rFonts w:ascii="Times New Roman" w:hAnsi="Times New Roman"/>
                <w:kern w:val="24"/>
                <w:sz w:val="21"/>
                <w:szCs w:val="21"/>
                <w:lang w:val="zh-CN"/>
              </w:rPr>
              <w:t>矿井水综合利用；</w:t>
            </w:r>
          </w:p>
          <w:p>
            <w:pPr>
              <w:adjustRightInd w:val="0"/>
              <w:snapToGrid w:val="0"/>
              <w:rPr>
                <w:rFonts w:ascii="Times New Roman" w:hAnsi="Times New Roman"/>
                <w:kern w:val="24"/>
                <w:sz w:val="21"/>
                <w:lang w:val="zh-CN"/>
              </w:rPr>
            </w:pPr>
            <w:r>
              <w:rPr>
                <w:rFonts w:ascii="Times New Roman" w:hAnsi="Times New Roman"/>
                <w:kern w:val="24"/>
                <w:sz w:val="21"/>
                <w:szCs w:val="21"/>
                <w:lang w:val="zh-CN"/>
              </w:rPr>
              <w:fldChar w:fldCharType="begin"/>
            </w:r>
            <w:r>
              <w:rPr>
                <w:rFonts w:ascii="Times New Roman" w:hAnsi="Times New Roman"/>
                <w:kern w:val="24"/>
                <w:sz w:val="21"/>
                <w:szCs w:val="21"/>
                <w:lang w:val="zh-CN"/>
              </w:rPr>
              <w:instrText xml:space="preserve"> = 3 \* GB3 </w:instrText>
            </w:r>
            <w:r>
              <w:rPr>
                <w:rFonts w:ascii="Times New Roman" w:hAnsi="Times New Roman"/>
                <w:kern w:val="24"/>
                <w:sz w:val="21"/>
                <w:szCs w:val="21"/>
                <w:lang w:val="zh-CN"/>
              </w:rPr>
              <w:fldChar w:fldCharType="separate"/>
            </w:r>
            <w:r>
              <w:rPr>
                <w:rFonts w:hint="eastAsia" w:cs="宋体"/>
                <w:kern w:val="24"/>
                <w:sz w:val="21"/>
                <w:szCs w:val="21"/>
                <w:lang w:val="zh-CN"/>
              </w:rPr>
              <w:t>③</w:t>
            </w:r>
            <w:r>
              <w:rPr>
                <w:rFonts w:ascii="Times New Roman" w:hAnsi="Times New Roman"/>
                <w:kern w:val="24"/>
                <w:sz w:val="21"/>
                <w:szCs w:val="21"/>
                <w:lang w:val="zh-CN"/>
              </w:rPr>
              <w:fldChar w:fldCharType="end"/>
            </w:r>
            <w:r>
              <w:rPr>
                <w:rFonts w:ascii="Times New Roman" w:hAnsi="Times New Roman"/>
                <w:kern w:val="24"/>
                <w:sz w:val="21"/>
                <w:szCs w:val="21"/>
                <w:lang w:val="zh-CN"/>
              </w:rPr>
              <w:t>矿井水处理站防渗。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shd w:val="clear" w:color="auto" w:fill="auto"/>
            <w:vAlign w:val="center"/>
          </w:tcPr>
          <w:p>
            <w:pPr>
              <w:widowControl/>
              <w:jc w:val="center"/>
              <w:rPr>
                <w:rFonts w:ascii="Times New Roman" w:hAnsi="Times New Roman"/>
                <w:kern w:val="0"/>
                <w:sz w:val="21"/>
              </w:rPr>
            </w:pPr>
          </w:p>
        </w:tc>
        <w:tc>
          <w:tcPr>
            <w:tcW w:w="1952"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生活污水处理站</w:t>
            </w:r>
          </w:p>
        </w:tc>
        <w:tc>
          <w:tcPr>
            <w:tcW w:w="1365"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垂直入渗</w:t>
            </w:r>
          </w:p>
        </w:tc>
        <w:tc>
          <w:tcPr>
            <w:tcW w:w="4684" w:type="dxa"/>
            <w:shd w:val="clear" w:color="auto" w:fill="auto"/>
          </w:tcPr>
          <w:p>
            <w:pPr>
              <w:adjustRightInd w:val="0"/>
              <w:snapToGrid w:val="0"/>
              <w:rPr>
                <w:rFonts w:ascii="Times New Roman" w:hAnsi="Times New Roman"/>
                <w:kern w:val="24"/>
                <w:sz w:val="21"/>
                <w:lang w:val="zh-CN"/>
              </w:rPr>
            </w:pPr>
            <w:r>
              <w:rPr>
                <w:rFonts w:ascii="Times New Roman" w:hAnsi="Times New Roman"/>
                <w:kern w:val="24"/>
                <w:sz w:val="21"/>
                <w:szCs w:val="21"/>
                <w:lang w:val="zh-CN"/>
              </w:rPr>
              <w:fldChar w:fldCharType="begin"/>
            </w:r>
            <w:r>
              <w:rPr>
                <w:rFonts w:ascii="Times New Roman" w:hAnsi="Times New Roman"/>
                <w:kern w:val="24"/>
                <w:sz w:val="21"/>
                <w:szCs w:val="21"/>
                <w:lang w:val="zh-CN"/>
              </w:rPr>
              <w:instrText xml:space="preserve"> = 1 \* GB3 </w:instrText>
            </w:r>
            <w:r>
              <w:rPr>
                <w:rFonts w:ascii="Times New Roman" w:hAnsi="Times New Roman"/>
                <w:kern w:val="24"/>
                <w:sz w:val="21"/>
                <w:szCs w:val="21"/>
                <w:lang w:val="zh-CN"/>
              </w:rPr>
              <w:fldChar w:fldCharType="separate"/>
            </w:r>
            <w:r>
              <w:rPr>
                <w:rFonts w:hint="eastAsia" w:cs="宋体"/>
                <w:kern w:val="24"/>
                <w:sz w:val="21"/>
                <w:szCs w:val="21"/>
                <w:lang w:val="zh-CN"/>
              </w:rPr>
              <w:t>①</w:t>
            </w:r>
            <w:r>
              <w:rPr>
                <w:rFonts w:ascii="Times New Roman" w:hAnsi="Times New Roman"/>
                <w:kern w:val="24"/>
                <w:sz w:val="21"/>
                <w:szCs w:val="21"/>
                <w:lang w:val="zh-CN"/>
              </w:rPr>
              <w:fldChar w:fldCharType="end"/>
            </w:r>
            <w:r>
              <w:rPr>
                <w:rFonts w:ascii="Times New Roman" w:hAnsi="Times New Roman"/>
                <w:kern w:val="24"/>
                <w:sz w:val="21"/>
                <w:szCs w:val="21"/>
                <w:lang w:val="zh-CN"/>
              </w:rPr>
              <w:t>生活污水处理；</w:t>
            </w:r>
          </w:p>
          <w:p>
            <w:pPr>
              <w:adjustRightInd w:val="0"/>
              <w:snapToGrid w:val="0"/>
              <w:rPr>
                <w:rFonts w:ascii="Times New Roman" w:hAnsi="Times New Roman"/>
                <w:kern w:val="24"/>
                <w:sz w:val="21"/>
                <w:lang w:val="zh-CN"/>
              </w:rPr>
            </w:pPr>
            <w:r>
              <w:rPr>
                <w:rFonts w:ascii="Times New Roman" w:hAnsi="Times New Roman"/>
                <w:kern w:val="24"/>
                <w:sz w:val="21"/>
                <w:szCs w:val="21"/>
                <w:lang w:val="zh-CN"/>
              </w:rPr>
              <w:fldChar w:fldCharType="begin"/>
            </w:r>
            <w:r>
              <w:rPr>
                <w:rFonts w:ascii="Times New Roman" w:hAnsi="Times New Roman"/>
                <w:kern w:val="24"/>
                <w:sz w:val="21"/>
                <w:szCs w:val="21"/>
                <w:lang w:val="zh-CN"/>
              </w:rPr>
              <w:instrText xml:space="preserve"> = 2 \* GB3 </w:instrText>
            </w:r>
            <w:r>
              <w:rPr>
                <w:rFonts w:ascii="Times New Roman" w:hAnsi="Times New Roman"/>
                <w:kern w:val="24"/>
                <w:sz w:val="21"/>
                <w:szCs w:val="21"/>
                <w:lang w:val="zh-CN"/>
              </w:rPr>
              <w:fldChar w:fldCharType="separate"/>
            </w:r>
            <w:r>
              <w:rPr>
                <w:rFonts w:hint="eastAsia" w:cs="宋体"/>
                <w:kern w:val="24"/>
                <w:sz w:val="21"/>
                <w:szCs w:val="21"/>
                <w:lang w:val="zh-CN"/>
              </w:rPr>
              <w:t>②</w:t>
            </w:r>
            <w:r>
              <w:rPr>
                <w:rFonts w:ascii="Times New Roman" w:hAnsi="Times New Roman"/>
                <w:kern w:val="24"/>
                <w:sz w:val="21"/>
                <w:szCs w:val="21"/>
                <w:lang w:val="zh-CN"/>
              </w:rPr>
              <w:fldChar w:fldCharType="end"/>
            </w:r>
            <w:r>
              <w:rPr>
                <w:rFonts w:ascii="Times New Roman" w:hAnsi="Times New Roman"/>
                <w:kern w:val="24"/>
                <w:sz w:val="21"/>
                <w:szCs w:val="21"/>
                <w:lang w:val="zh-CN"/>
              </w:rPr>
              <w:t>处理后综合利用；</w:t>
            </w:r>
          </w:p>
          <w:p>
            <w:pPr>
              <w:adjustRightInd w:val="0"/>
              <w:snapToGrid w:val="0"/>
              <w:rPr>
                <w:rFonts w:ascii="Times New Roman" w:hAnsi="Times New Roman"/>
                <w:kern w:val="24"/>
                <w:sz w:val="21"/>
                <w:lang w:val="zh-CN"/>
              </w:rPr>
            </w:pPr>
            <w:r>
              <w:rPr>
                <w:rFonts w:ascii="Times New Roman" w:hAnsi="Times New Roman"/>
                <w:kern w:val="24"/>
                <w:sz w:val="21"/>
                <w:szCs w:val="21"/>
                <w:lang w:val="zh-CN"/>
              </w:rPr>
              <w:fldChar w:fldCharType="begin"/>
            </w:r>
            <w:r>
              <w:rPr>
                <w:rFonts w:ascii="Times New Roman" w:hAnsi="Times New Roman"/>
                <w:kern w:val="24"/>
                <w:sz w:val="21"/>
                <w:szCs w:val="21"/>
                <w:lang w:val="zh-CN"/>
              </w:rPr>
              <w:instrText xml:space="preserve"> = 3 \* GB3 </w:instrText>
            </w:r>
            <w:r>
              <w:rPr>
                <w:rFonts w:ascii="Times New Roman" w:hAnsi="Times New Roman"/>
                <w:kern w:val="24"/>
                <w:sz w:val="21"/>
                <w:szCs w:val="21"/>
                <w:lang w:val="zh-CN"/>
              </w:rPr>
              <w:fldChar w:fldCharType="separate"/>
            </w:r>
            <w:r>
              <w:rPr>
                <w:rFonts w:hint="eastAsia" w:cs="宋体"/>
                <w:kern w:val="24"/>
                <w:sz w:val="21"/>
                <w:szCs w:val="21"/>
                <w:lang w:val="zh-CN"/>
              </w:rPr>
              <w:t>③</w:t>
            </w:r>
            <w:r>
              <w:rPr>
                <w:rFonts w:ascii="Times New Roman" w:hAnsi="Times New Roman"/>
                <w:kern w:val="24"/>
                <w:sz w:val="21"/>
                <w:szCs w:val="21"/>
                <w:lang w:val="zh-CN"/>
              </w:rPr>
              <w:fldChar w:fldCharType="end"/>
            </w:r>
            <w:r>
              <w:rPr>
                <w:rFonts w:ascii="Times New Roman" w:hAnsi="Times New Roman"/>
                <w:kern w:val="24"/>
                <w:sz w:val="21"/>
                <w:szCs w:val="21"/>
                <w:lang w:val="zh-CN"/>
              </w:rPr>
              <w:t>生活污水处理站防渗。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restart"/>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辅助企业区</w:t>
            </w:r>
          </w:p>
        </w:tc>
        <w:tc>
          <w:tcPr>
            <w:tcW w:w="1952"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综合机修车间</w:t>
            </w:r>
          </w:p>
        </w:tc>
        <w:tc>
          <w:tcPr>
            <w:tcW w:w="1365"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垂直入渗</w:t>
            </w:r>
          </w:p>
        </w:tc>
        <w:tc>
          <w:tcPr>
            <w:tcW w:w="4684" w:type="dxa"/>
            <w:shd w:val="clear" w:color="auto" w:fill="auto"/>
            <w:vAlign w:val="center"/>
          </w:tcPr>
          <w:p>
            <w:pPr>
              <w:adjustRightInd w:val="0"/>
              <w:snapToGrid w:val="0"/>
              <w:rPr>
                <w:rFonts w:ascii="Times New Roman" w:hAnsi="Times New Roman"/>
                <w:kern w:val="24"/>
                <w:sz w:val="21"/>
                <w:lang w:val="zh-CN"/>
              </w:rPr>
            </w:pPr>
            <w:r>
              <w:rPr>
                <w:rFonts w:ascii="Times New Roman" w:hAnsi="Times New Roman"/>
                <w:kern w:val="24"/>
                <w:sz w:val="21"/>
                <w:szCs w:val="21"/>
                <w:lang w:val="zh-CN"/>
              </w:rPr>
              <w:t>防渗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87" w:type="dxa"/>
            <w:vMerge w:val="continue"/>
            <w:shd w:val="clear" w:color="auto" w:fill="auto"/>
            <w:vAlign w:val="center"/>
          </w:tcPr>
          <w:p>
            <w:pPr>
              <w:widowControl/>
              <w:jc w:val="center"/>
              <w:rPr>
                <w:rFonts w:ascii="Times New Roman" w:hAnsi="Times New Roman"/>
                <w:kern w:val="0"/>
                <w:sz w:val="21"/>
              </w:rPr>
            </w:pPr>
          </w:p>
        </w:tc>
        <w:tc>
          <w:tcPr>
            <w:tcW w:w="1952"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危险废物暂存库</w:t>
            </w:r>
          </w:p>
        </w:tc>
        <w:tc>
          <w:tcPr>
            <w:tcW w:w="1365"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垂直入渗</w:t>
            </w:r>
          </w:p>
        </w:tc>
        <w:tc>
          <w:tcPr>
            <w:tcW w:w="4684" w:type="dxa"/>
            <w:shd w:val="clear" w:color="auto" w:fill="auto"/>
            <w:vAlign w:val="center"/>
          </w:tcPr>
          <w:p>
            <w:pPr>
              <w:adjustRightInd w:val="0"/>
              <w:snapToGrid w:val="0"/>
              <w:rPr>
                <w:rFonts w:ascii="Times New Roman" w:hAnsi="Times New Roman"/>
                <w:kern w:val="24"/>
                <w:sz w:val="21"/>
                <w:lang w:val="zh-CN"/>
              </w:rPr>
            </w:pPr>
            <w:r>
              <w:rPr>
                <w:rFonts w:hint="eastAsia" w:cs="宋体"/>
                <w:kern w:val="24"/>
                <w:sz w:val="21"/>
                <w:szCs w:val="21"/>
                <w:lang w:val="zh-CN"/>
              </w:rPr>
              <w:t>①</w:t>
            </w:r>
            <w:r>
              <w:rPr>
                <w:rFonts w:ascii="Times New Roman" w:hAnsi="Times New Roman"/>
                <w:kern w:val="24"/>
                <w:sz w:val="21"/>
                <w:szCs w:val="21"/>
                <w:lang w:val="zh-CN"/>
              </w:rPr>
              <w:t>防渗</w:t>
            </w:r>
            <w:r>
              <w:rPr>
                <w:rFonts w:hint="eastAsia" w:cs="宋体"/>
                <w:kern w:val="24"/>
                <w:sz w:val="21"/>
                <w:szCs w:val="21"/>
                <w:lang w:val="zh-CN"/>
              </w:rPr>
              <w:t>②</w:t>
            </w:r>
            <w:r>
              <w:rPr>
                <w:rFonts w:ascii="Times New Roman" w:hAnsi="Times New Roman"/>
                <w:kern w:val="24"/>
                <w:sz w:val="21"/>
                <w:szCs w:val="21"/>
                <w:lang w:val="zh-CN"/>
              </w:rPr>
              <w:t>风险防范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39" w:type="dxa"/>
            <w:gridSpan w:val="2"/>
            <w:vMerge w:val="restart"/>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矸石周转场</w:t>
            </w:r>
          </w:p>
        </w:tc>
        <w:tc>
          <w:tcPr>
            <w:tcW w:w="1365"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大气沉降</w:t>
            </w:r>
          </w:p>
        </w:tc>
        <w:tc>
          <w:tcPr>
            <w:tcW w:w="4684" w:type="dxa"/>
            <w:shd w:val="clear" w:color="auto" w:fill="auto"/>
            <w:vAlign w:val="center"/>
          </w:tcPr>
          <w:p>
            <w:pPr>
              <w:adjustRightInd w:val="0"/>
              <w:snapToGrid w:val="0"/>
              <w:rPr>
                <w:rFonts w:ascii="Times New Roman" w:hAnsi="Times New Roman"/>
                <w:kern w:val="24"/>
                <w:sz w:val="21"/>
                <w:lang w:val="zh-CN"/>
              </w:rPr>
            </w:pPr>
            <w:r>
              <w:rPr>
                <w:rFonts w:ascii="Times New Roman" w:hAnsi="Times New Roman"/>
                <w:kern w:val="24"/>
                <w:sz w:val="21"/>
                <w:szCs w:val="21"/>
                <w:lang w:val="zh-CN"/>
              </w:rPr>
              <w:t>植被恢复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39" w:type="dxa"/>
            <w:gridSpan w:val="2"/>
            <w:vMerge w:val="continue"/>
            <w:shd w:val="clear" w:color="auto" w:fill="auto"/>
          </w:tcPr>
          <w:p>
            <w:pPr>
              <w:widowControl/>
              <w:jc w:val="center"/>
              <w:rPr>
                <w:rFonts w:ascii="Times New Roman" w:hAnsi="Times New Roman"/>
                <w:kern w:val="0"/>
                <w:sz w:val="21"/>
              </w:rPr>
            </w:pPr>
          </w:p>
        </w:tc>
        <w:tc>
          <w:tcPr>
            <w:tcW w:w="1365"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地面漫流</w:t>
            </w:r>
          </w:p>
        </w:tc>
        <w:tc>
          <w:tcPr>
            <w:tcW w:w="4684" w:type="dxa"/>
            <w:shd w:val="clear" w:color="auto" w:fill="auto"/>
            <w:vAlign w:val="center"/>
          </w:tcPr>
          <w:p>
            <w:pPr>
              <w:adjustRightInd w:val="0"/>
              <w:snapToGrid w:val="0"/>
              <w:rPr>
                <w:rFonts w:ascii="Times New Roman" w:hAnsi="Times New Roman"/>
                <w:kern w:val="24"/>
                <w:sz w:val="21"/>
                <w:lang w:val="zh-CN"/>
              </w:rPr>
            </w:pPr>
            <w:r>
              <w:rPr>
                <w:rFonts w:hint="eastAsia" w:cs="宋体"/>
                <w:kern w:val="24"/>
                <w:sz w:val="21"/>
                <w:szCs w:val="21"/>
                <w:lang w:val="zh-CN"/>
              </w:rPr>
              <w:t>①</w:t>
            </w:r>
            <w:r>
              <w:rPr>
                <w:rFonts w:ascii="Times New Roman" w:hAnsi="Times New Roman"/>
                <w:kern w:val="24"/>
                <w:sz w:val="21"/>
                <w:szCs w:val="21"/>
                <w:lang w:val="zh-CN"/>
              </w:rPr>
              <w:t>截排水沟；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239" w:type="dxa"/>
            <w:gridSpan w:val="2"/>
            <w:vMerge w:val="continue"/>
            <w:shd w:val="clear" w:color="auto" w:fill="auto"/>
          </w:tcPr>
          <w:p>
            <w:pPr>
              <w:widowControl/>
              <w:jc w:val="center"/>
              <w:rPr>
                <w:rFonts w:ascii="Times New Roman" w:hAnsi="Times New Roman"/>
                <w:kern w:val="0"/>
                <w:sz w:val="21"/>
              </w:rPr>
            </w:pPr>
          </w:p>
        </w:tc>
        <w:tc>
          <w:tcPr>
            <w:tcW w:w="1365" w:type="dxa"/>
            <w:shd w:val="clear" w:color="auto" w:fill="auto"/>
            <w:vAlign w:val="center"/>
          </w:tcPr>
          <w:p>
            <w:pPr>
              <w:widowControl/>
              <w:jc w:val="center"/>
              <w:rPr>
                <w:rFonts w:ascii="Times New Roman" w:hAnsi="Times New Roman"/>
                <w:kern w:val="0"/>
                <w:sz w:val="21"/>
              </w:rPr>
            </w:pPr>
            <w:r>
              <w:rPr>
                <w:rFonts w:ascii="Times New Roman" w:hAnsi="Times New Roman"/>
                <w:kern w:val="0"/>
                <w:sz w:val="21"/>
                <w:szCs w:val="21"/>
              </w:rPr>
              <w:t>垂直入渗</w:t>
            </w:r>
          </w:p>
        </w:tc>
        <w:tc>
          <w:tcPr>
            <w:tcW w:w="4684" w:type="dxa"/>
            <w:shd w:val="clear" w:color="auto" w:fill="auto"/>
          </w:tcPr>
          <w:p>
            <w:pPr>
              <w:adjustRightInd w:val="0"/>
              <w:snapToGrid w:val="0"/>
              <w:rPr>
                <w:rFonts w:ascii="Times New Roman" w:hAnsi="Times New Roman"/>
                <w:kern w:val="24"/>
                <w:sz w:val="21"/>
                <w:lang w:val="zh-CN"/>
              </w:rPr>
            </w:pPr>
            <w:r>
              <w:rPr>
                <w:rFonts w:hint="eastAsia" w:cs="宋体"/>
                <w:kern w:val="24"/>
                <w:sz w:val="21"/>
                <w:szCs w:val="21"/>
                <w:lang w:val="zh-CN"/>
              </w:rPr>
              <w:t>①</w:t>
            </w:r>
            <w:r>
              <w:rPr>
                <w:rFonts w:ascii="Times New Roman" w:hAnsi="Times New Roman"/>
                <w:kern w:val="24"/>
                <w:sz w:val="21"/>
                <w:szCs w:val="21"/>
                <w:lang w:val="zh-CN"/>
              </w:rPr>
              <w:t>排矸场底部压实。</w:t>
            </w:r>
          </w:p>
          <w:p>
            <w:pPr>
              <w:adjustRightInd w:val="0"/>
              <w:snapToGrid w:val="0"/>
              <w:rPr>
                <w:rFonts w:ascii="Times New Roman" w:hAnsi="Times New Roman"/>
                <w:kern w:val="24"/>
                <w:sz w:val="21"/>
                <w:lang w:val="zh-CN"/>
              </w:rPr>
            </w:pPr>
            <w:r>
              <w:rPr>
                <w:rFonts w:hint="eastAsia" w:cs="宋体"/>
                <w:kern w:val="24"/>
                <w:sz w:val="21"/>
                <w:szCs w:val="21"/>
                <w:lang w:val="zh-CN"/>
              </w:rPr>
              <w:t>②</w:t>
            </w:r>
            <w:r>
              <w:rPr>
                <w:rFonts w:ascii="Times New Roman" w:hAnsi="Times New Roman"/>
                <w:kern w:val="24"/>
                <w:sz w:val="21"/>
                <w:szCs w:val="21"/>
                <w:lang w:val="zh-CN"/>
              </w:rPr>
              <w:t xml:space="preserve">排矸场及时覆土。 </w:t>
            </w:r>
          </w:p>
        </w:tc>
      </w:tr>
    </w:tbl>
    <w:p>
      <w:pPr>
        <w:keepNext/>
        <w:keepLines/>
        <w:adjustRightInd w:val="0"/>
        <w:snapToGrid w:val="0"/>
        <w:spacing w:before="260" w:after="260" w:line="440" w:lineRule="exact"/>
        <w:outlineLvl w:val="1"/>
        <w:rPr>
          <w:rFonts w:ascii="Times New Roman" w:hAnsi="Times New Roman"/>
          <w:b/>
          <w:sz w:val="28"/>
        </w:rPr>
      </w:pPr>
      <w:bookmarkStart w:id="378" w:name="_Toc21548"/>
      <w:bookmarkStart w:id="379" w:name="_Toc18838473"/>
      <w:r>
        <w:rPr>
          <w:rFonts w:ascii="Times New Roman" w:hAnsi="Times New Roman"/>
          <w:b/>
          <w:sz w:val="28"/>
        </w:rPr>
        <w:t>8.7 线性工程环境影响减缓措施</w:t>
      </w:r>
      <w:bookmarkEnd w:id="375"/>
      <w:bookmarkEnd w:id="376"/>
      <w:bookmarkEnd w:id="378"/>
      <w:bookmarkEnd w:id="379"/>
    </w:p>
    <w:p>
      <w:pPr>
        <w:pStyle w:val="5"/>
        <w:adjustRightInd w:val="0"/>
        <w:snapToGrid w:val="0"/>
        <w:spacing w:before="0" w:after="0" w:line="440" w:lineRule="exact"/>
        <w:rPr>
          <w:sz w:val="24"/>
        </w:rPr>
      </w:pPr>
      <w:r>
        <w:rPr>
          <w:sz w:val="24"/>
        </w:rPr>
        <w:t>8.7.1 施工期</w:t>
      </w:r>
    </w:p>
    <w:p>
      <w:pPr>
        <w:autoSpaceDE w:val="0"/>
        <w:autoSpaceDN w:val="0"/>
        <w:spacing w:line="440" w:lineRule="exact"/>
        <w:ind w:firstLine="480" w:firstLineChars="200"/>
        <w:rPr>
          <w:rFonts w:ascii="Times New Roman" w:hAnsi="Times New Roman"/>
          <w:kern w:val="0"/>
          <w:szCs w:val="24"/>
        </w:rPr>
      </w:pPr>
      <w:r>
        <w:rPr>
          <w:rFonts w:ascii="Times New Roman" w:hAnsi="Times New Roman"/>
          <w:kern w:val="0"/>
          <w:szCs w:val="24"/>
        </w:rPr>
        <w:t>（1）针对水土流失采取的措施主要有；</w:t>
      </w:r>
      <w:r>
        <w:rPr>
          <w:rFonts w:hint="eastAsia" w:cs="宋体"/>
          <w:kern w:val="0"/>
          <w:szCs w:val="24"/>
        </w:rPr>
        <w:t>①</w:t>
      </w:r>
      <w:r>
        <w:rPr>
          <w:rFonts w:ascii="Times New Roman" w:hAnsi="Times New Roman"/>
          <w:kern w:val="0"/>
          <w:szCs w:val="24"/>
        </w:rPr>
        <w:t>排水措施：在路基、路面设置合适的排水沟、边沟、急流槽、截水沟、拦水带等排水措施；设置合适的路基边坡和路堤边坡；在排水设施中加入耗水流能量的天然材料或修建消能的构筑物。</w:t>
      </w:r>
      <w:r>
        <w:rPr>
          <w:rFonts w:hint="eastAsia" w:cs="宋体"/>
          <w:kern w:val="0"/>
          <w:szCs w:val="24"/>
        </w:rPr>
        <w:t>②</w:t>
      </w:r>
      <w:r>
        <w:rPr>
          <w:rFonts w:ascii="Times New Roman" w:hAnsi="Times New Roman"/>
          <w:kern w:val="0"/>
          <w:szCs w:val="24"/>
        </w:rPr>
        <w:t>边坡防护：在边坡上设置防护网，来紧固土壤，保持边坡的稳定性；对于岩层不好的边坡，可采用抹面，来防止软质岩层的继续风化；对于较陡的边坡也可采用护墙来防护。</w:t>
      </w:r>
    </w:p>
    <w:p>
      <w:pPr>
        <w:autoSpaceDE w:val="0"/>
        <w:autoSpaceDN w:val="0"/>
        <w:spacing w:line="440" w:lineRule="exact"/>
        <w:ind w:firstLine="480" w:firstLineChars="200"/>
        <w:rPr>
          <w:rFonts w:ascii="Times New Roman" w:hAnsi="Times New Roman"/>
          <w:kern w:val="0"/>
          <w:szCs w:val="24"/>
        </w:rPr>
      </w:pPr>
      <w:r>
        <w:rPr>
          <w:rFonts w:ascii="Times New Roman" w:hAnsi="Times New Roman"/>
          <w:kern w:val="0"/>
          <w:szCs w:val="24"/>
        </w:rPr>
        <w:t>（2）施工期间大气污染的防治措施主要有：</w:t>
      </w:r>
      <w:r>
        <w:rPr>
          <w:rFonts w:hint="eastAsia" w:cs="宋体"/>
          <w:kern w:val="0"/>
          <w:szCs w:val="24"/>
        </w:rPr>
        <w:t>①</w:t>
      </w:r>
      <w:r>
        <w:rPr>
          <w:rFonts w:ascii="Times New Roman" w:hAnsi="Times New Roman"/>
          <w:kern w:val="0"/>
          <w:szCs w:val="24"/>
        </w:rPr>
        <w:t>洒水防尘、通风除尘。</w:t>
      </w:r>
      <w:r>
        <w:rPr>
          <w:rFonts w:hint="eastAsia" w:cs="宋体"/>
          <w:kern w:val="0"/>
          <w:szCs w:val="24"/>
        </w:rPr>
        <w:t>②</w:t>
      </w:r>
      <w:r>
        <w:rPr>
          <w:rFonts w:ascii="Times New Roman" w:hAnsi="Times New Roman"/>
          <w:kern w:val="0"/>
          <w:szCs w:val="24"/>
        </w:rPr>
        <w:t>装有粉状材料的运输车上用篷布遮盖以免扬尘，运输材料的行车速度尽量减慢，避免过大的扬尘。</w:t>
      </w:r>
      <w:r>
        <w:rPr>
          <w:rFonts w:hint="eastAsia" w:cs="宋体"/>
          <w:kern w:val="0"/>
          <w:szCs w:val="24"/>
        </w:rPr>
        <w:t>③</w:t>
      </w:r>
      <w:r>
        <w:rPr>
          <w:rFonts w:ascii="Times New Roman" w:hAnsi="Times New Roman"/>
          <w:kern w:val="0"/>
          <w:szCs w:val="24"/>
        </w:rPr>
        <w:t>对易起尘的施工材料进行篷盖防护。</w:t>
      </w:r>
      <w:r>
        <w:rPr>
          <w:rFonts w:hint="eastAsia" w:cs="宋体"/>
          <w:kern w:val="0"/>
          <w:szCs w:val="24"/>
        </w:rPr>
        <w:t>④</w:t>
      </w:r>
      <w:r>
        <w:rPr>
          <w:rFonts w:ascii="Times New Roman" w:hAnsi="Times New Roman"/>
          <w:kern w:val="0"/>
          <w:szCs w:val="24"/>
        </w:rPr>
        <w:t>沥青的融化、搅拌均在密闭的容器中进行。</w:t>
      </w:r>
      <w:r>
        <w:rPr>
          <w:rFonts w:hint="eastAsia" w:cs="宋体"/>
          <w:kern w:val="0"/>
          <w:szCs w:val="24"/>
        </w:rPr>
        <w:t>⑤</w:t>
      </w:r>
      <w:r>
        <w:rPr>
          <w:rFonts w:ascii="Times New Roman" w:hAnsi="Times New Roman"/>
          <w:kern w:val="0"/>
          <w:szCs w:val="24"/>
        </w:rPr>
        <w:t>施工人员配备口罩等防护物品。</w:t>
      </w:r>
    </w:p>
    <w:p>
      <w:pPr>
        <w:autoSpaceDE w:val="0"/>
        <w:autoSpaceDN w:val="0"/>
        <w:spacing w:line="440" w:lineRule="exact"/>
        <w:ind w:firstLine="480" w:firstLineChars="200"/>
        <w:rPr>
          <w:rFonts w:ascii="Times New Roman" w:hAnsi="Times New Roman"/>
          <w:kern w:val="0"/>
          <w:szCs w:val="24"/>
        </w:rPr>
      </w:pPr>
      <w:r>
        <w:rPr>
          <w:rFonts w:ascii="Times New Roman" w:hAnsi="Times New Roman"/>
          <w:kern w:val="0"/>
          <w:szCs w:val="24"/>
        </w:rPr>
        <w:t>（3）水污染可通过下列方法来减小：</w:t>
      </w:r>
      <w:r>
        <w:rPr>
          <w:rFonts w:hint="eastAsia" w:cs="宋体"/>
          <w:kern w:val="0"/>
          <w:szCs w:val="24"/>
        </w:rPr>
        <w:t>①</w:t>
      </w:r>
      <w:r>
        <w:rPr>
          <w:rFonts w:ascii="Times New Roman" w:hAnsi="Times New Roman"/>
          <w:kern w:val="0"/>
          <w:szCs w:val="24"/>
        </w:rPr>
        <w:t>桥梁施工过程中，避免生产废水及适当的处置基坑开挖的泥沙；</w:t>
      </w:r>
      <w:r>
        <w:rPr>
          <w:rFonts w:hint="eastAsia" w:cs="宋体"/>
          <w:kern w:val="0"/>
          <w:szCs w:val="24"/>
        </w:rPr>
        <w:t>②</w:t>
      </w:r>
      <w:r>
        <w:rPr>
          <w:rFonts w:ascii="Times New Roman" w:hAnsi="Times New Roman"/>
          <w:kern w:val="0"/>
          <w:szCs w:val="24"/>
        </w:rPr>
        <w:t>不能随意排放污水，污水应经过净化处理；</w:t>
      </w:r>
      <w:r>
        <w:rPr>
          <w:rFonts w:hint="eastAsia" w:cs="宋体"/>
          <w:kern w:val="0"/>
          <w:szCs w:val="24"/>
        </w:rPr>
        <w:t>③</w:t>
      </w:r>
      <w:r>
        <w:rPr>
          <w:rFonts w:ascii="Times New Roman" w:hAnsi="Times New Roman"/>
          <w:kern w:val="0"/>
          <w:szCs w:val="24"/>
        </w:rPr>
        <w:t>对于施工材料中的有害物质应加强管理，尤其是避免雨水的冲刷。</w:t>
      </w:r>
    </w:p>
    <w:p>
      <w:pPr>
        <w:autoSpaceDE w:val="0"/>
        <w:autoSpaceDN w:val="0"/>
        <w:spacing w:line="440" w:lineRule="exact"/>
        <w:ind w:firstLine="480" w:firstLineChars="200"/>
        <w:rPr>
          <w:rFonts w:ascii="Times New Roman" w:hAnsi="Times New Roman"/>
          <w:kern w:val="0"/>
          <w:szCs w:val="24"/>
        </w:rPr>
      </w:pPr>
      <w:r>
        <w:rPr>
          <w:rFonts w:ascii="Times New Roman" w:hAnsi="Times New Roman"/>
          <w:kern w:val="0"/>
          <w:szCs w:val="24"/>
        </w:rPr>
        <w:t>（4）减少固体废物污染采取的措施有：</w:t>
      </w:r>
      <w:r>
        <w:rPr>
          <w:rFonts w:hint="eastAsia" w:cs="宋体"/>
          <w:kern w:val="0"/>
          <w:szCs w:val="24"/>
        </w:rPr>
        <w:t>①</w:t>
      </w:r>
      <w:r>
        <w:rPr>
          <w:rFonts w:ascii="Times New Roman" w:hAnsi="Times New Roman"/>
          <w:kern w:val="0"/>
          <w:szCs w:val="24"/>
        </w:rPr>
        <w:t>工程中严格控制废料产生量；</w:t>
      </w:r>
      <w:r>
        <w:rPr>
          <w:rFonts w:hint="eastAsia" w:cs="宋体"/>
          <w:kern w:val="0"/>
          <w:szCs w:val="24"/>
        </w:rPr>
        <w:t>②</w:t>
      </w:r>
      <w:r>
        <w:rPr>
          <w:rFonts w:ascii="Times New Roman" w:hAnsi="Times New Roman"/>
          <w:kern w:val="0"/>
          <w:szCs w:val="24"/>
        </w:rPr>
        <w:t>施工中产生的工程垃圾及生活垃圾应堆放在固定地点，并做好排挡及排水工作。</w:t>
      </w:r>
    </w:p>
    <w:p>
      <w:pPr>
        <w:autoSpaceDE w:val="0"/>
        <w:autoSpaceDN w:val="0"/>
        <w:spacing w:line="440" w:lineRule="exact"/>
        <w:ind w:firstLine="480" w:firstLineChars="200"/>
        <w:rPr>
          <w:rFonts w:ascii="Times New Roman" w:hAnsi="Times New Roman"/>
          <w:szCs w:val="24"/>
        </w:rPr>
      </w:pPr>
      <w:r>
        <w:rPr>
          <w:rFonts w:ascii="Times New Roman" w:hAnsi="Times New Roman"/>
          <w:kern w:val="0"/>
          <w:szCs w:val="24"/>
        </w:rPr>
        <w:t>（5）在施工中应注意下面几点：</w:t>
      </w:r>
      <w:r>
        <w:rPr>
          <w:rFonts w:hint="eastAsia" w:cs="宋体"/>
          <w:kern w:val="0"/>
          <w:szCs w:val="24"/>
        </w:rPr>
        <w:t>①</w:t>
      </w:r>
      <w:r>
        <w:rPr>
          <w:rFonts w:ascii="Times New Roman" w:hAnsi="Times New Roman"/>
          <w:kern w:val="0"/>
          <w:szCs w:val="24"/>
        </w:rPr>
        <w:t>严禁任意倾倒废弃石渣和堆放废弃土石，应选择固定地点，并在其四周布设拦渣、护渣及倒流措施。</w:t>
      </w:r>
      <w:r>
        <w:rPr>
          <w:rFonts w:hint="eastAsia" w:cs="宋体"/>
          <w:kern w:val="0"/>
          <w:szCs w:val="24"/>
        </w:rPr>
        <w:t>②</w:t>
      </w:r>
      <w:r>
        <w:rPr>
          <w:rFonts w:ascii="Times New Roman" w:hAnsi="Times New Roman"/>
          <w:kern w:val="0"/>
          <w:szCs w:val="24"/>
        </w:rPr>
        <w:t>当临时场地使用完成时，应及时碾压。</w:t>
      </w:r>
      <w:r>
        <w:rPr>
          <w:rFonts w:hint="eastAsia" w:cs="宋体"/>
          <w:kern w:val="0"/>
          <w:szCs w:val="24"/>
        </w:rPr>
        <w:t>③</w:t>
      </w:r>
      <w:r>
        <w:rPr>
          <w:rFonts w:ascii="Times New Roman" w:hAnsi="Times New Roman"/>
          <w:kern w:val="0"/>
          <w:szCs w:val="24"/>
        </w:rPr>
        <w:t>对路基及线路两侧采用工程防治措施进行防护。</w:t>
      </w:r>
      <w:r>
        <w:rPr>
          <w:rFonts w:hint="eastAsia" w:cs="宋体"/>
          <w:kern w:val="0"/>
          <w:szCs w:val="24"/>
        </w:rPr>
        <w:t>④</w:t>
      </w:r>
      <w:r>
        <w:rPr>
          <w:rFonts w:ascii="Times New Roman" w:hAnsi="Times New Roman"/>
          <w:kern w:val="0"/>
          <w:szCs w:val="24"/>
        </w:rPr>
        <w:t>减少占用面积。</w:t>
      </w:r>
      <w:r>
        <w:rPr>
          <w:rFonts w:hint="eastAsia" w:cs="宋体"/>
          <w:kern w:val="0"/>
          <w:szCs w:val="24"/>
        </w:rPr>
        <w:t>⑤</w:t>
      </w:r>
      <w:r>
        <w:rPr>
          <w:rFonts w:ascii="Times New Roman" w:hAnsi="Times New Roman"/>
          <w:kern w:val="0"/>
          <w:szCs w:val="24"/>
        </w:rPr>
        <w:t>划定施工</w:t>
      </w:r>
      <w:r>
        <w:rPr>
          <w:rFonts w:ascii="Times New Roman" w:hAnsi="Times New Roman"/>
          <w:szCs w:val="24"/>
        </w:rPr>
        <w:t>道路宽度</w:t>
      </w:r>
      <w:r>
        <w:rPr>
          <w:rFonts w:ascii="Times New Roman" w:hAnsi="Times New Roman"/>
          <w:kern w:val="0"/>
          <w:szCs w:val="24"/>
        </w:rPr>
        <w:t>红线，尽量缩小施工的范围，不得</w:t>
      </w:r>
      <w:r>
        <w:rPr>
          <w:rFonts w:ascii="Times New Roman" w:hAnsi="Times New Roman"/>
          <w:szCs w:val="24"/>
        </w:rPr>
        <w:t>随意开辟施工道路。</w:t>
      </w:r>
    </w:p>
    <w:p>
      <w:pPr>
        <w:pStyle w:val="5"/>
        <w:adjustRightInd w:val="0"/>
        <w:snapToGrid w:val="0"/>
        <w:spacing w:before="0" w:after="0" w:line="440" w:lineRule="exact"/>
        <w:rPr>
          <w:sz w:val="24"/>
        </w:rPr>
      </w:pPr>
      <w:r>
        <w:rPr>
          <w:sz w:val="24"/>
        </w:rPr>
        <w:t>8.7.2 运营期</w:t>
      </w:r>
    </w:p>
    <w:p>
      <w:pPr>
        <w:autoSpaceDE w:val="0"/>
        <w:autoSpaceDN w:val="0"/>
        <w:spacing w:line="440" w:lineRule="exact"/>
        <w:ind w:firstLine="480" w:firstLineChars="200"/>
        <w:jc w:val="left"/>
        <w:rPr>
          <w:rFonts w:ascii="Times New Roman" w:hAnsi="Times New Roman"/>
          <w:kern w:val="0"/>
          <w:szCs w:val="24"/>
        </w:rPr>
      </w:pPr>
      <w:r>
        <w:rPr>
          <w:rFonts w:ascii="Times New Roman" w:hAnsi="Times New Roman"/>
          <w:kern w:val="0"/>
          <w:szCs w:val="24"/>
        </w:rPr>
        <w:t>（1）减小运营期大气污染的措施主要有：在线性工程两侧种植灌木和草本植物，净化环境、美化景观。</w:t>
      </w:r>
    </w:p>
    <w:p>
      <w:pPr>
        <w:autoSpaceDE w:val="0"/>
        <w:autoSpaceDN w:val="0"/>
        <w:spacing w:line="440" w:lineRule="exact"/>
        <w:ind w:firstLine="480" w:firstLineChars="200"/>
        <w:jc w:val="left"/>
        <w:rPr>
          <w:rFonts w:ascii="Times New Roman" w:hAnsi="Times New Roman"/>
          <w:kern w:val="0"/>
          <w:szCs w:val="24"/>
        </w:rPr>
      </w:pPr>
      <w:r>
        <w:rPr>
          <w:rFonts w:ascii="Times New Roman" w:hAnsi="Times New Roman"/>
          <w:kern w:val="0"/>
          <w:szCs w:val="24"/>
        </w:rPr>
        <w:t>（2）为了保护沿线水环境，沿线各个服务设施应采取污水处理措施，多余排水排入储水池储存。</w:t>
      </w:r>
    </w:p>
    <w:p>
      <w:pPr>
        <w:spacing w:line="440" w:lineRule="exact"/>
        <w:ind w:firstLine="480" w:firstLineChars="200"/>
        <w:rPr>
          <w:rFonts w:ascii="Times New Roman" w:hAnsi="Times New Roman"/>
          <w:bCs/>
          <w:szCs w:val="21"/>
        </w:rPr>
      </w:pPr>
    </w:p>
    <w:p>
      <w:pPr>
        <w:spacing w:line="440" w:lineRule="exact"/>
        <w:rPr>
          <w:rFonts w:ascii="Times New Roman" w:hAnsi="Times New Roman"/>
        </w:rPr>
        <w:sectPr>
          <w:headerReference r:id="rId33" w:type="default"/>
          <w:pgSz w:w="11906" w:h="16838"/>
          <w:pgMar w:top="1701" w:right="1417" w:bottom="1134" w:left="1417" w:header="1134" w:footer="851" w:gutter="0"/>
          <w:cols w:space="720" w:num="1"/>
          <w:docGrid w:linePitch="312" w:charSpace="0"/>
        </w:sectPr>
      </w:pPr>
    </w:p>
    <w:p>
      <w:pPr>
        <w:pStyle w:val="3"/>
        <w:adjustRightInd w:val="0"/>
        <w:snapToGrid w:val="0"/>
        <w:spacing w:before="360" w:after="360" w:line="440" w:lineRule="exact"/>
        <w:jc w:val="center"/>
        <w:rPr>
          <w:sz w:val="36"/>
        </w:rPr>
      </w:pPr>
      <w:bookmarkStart w:id="380" w:name="_Toc163441037"/>
      <w:bookmarkStart w:id="381" w:name="_Toc18838475"/>
      <w:bookmarkStart w:id="382" w:name="_Toc24370"/>
      <w:r>
        <w:rPr>
          <w:sz w:val="36"/>
        </w:rPr>
        <w:t>9 矿区清洁生产与循环经济分析</w:t>
      </w:r>
      <w:bookmarkEnd w:id="380"/>
      <w:bookmarkEnd w:id="381"/>
      <w:bookmarkEnd w:id="382"/>
    </w:p>
    <w:p>
      <w:pPr>
        <w:pStyle w:val="4"/>
        <w:adjustRightInd w:val="0"/>
        <w:snapToGrid w:val="0"/>
        <w:spacing w:before="320" w:after="320" w:line="440" w:lineRule="exact"/>
        <w:jc w:val="left"/>
        <w:rPr>
          <w:rFonts w:ascii="Times New Roman" w:hAnsi="Times New Roman" w:eastAsia="宋体"/>
          <w:sz w:val="28"/>
        </w:rPr>
      </w:pPr>
      <w:bookmarkStart w:id="383" w:name="_Toc18590"/>
      <w:bookmarkStart w:id="384" w:name="_Toc18838476"/>
      <w:bookmarkStart w:id="385" w:name="_Toc163441038"/>
      <w:r>
        <w:rPr>
          <w:rFonts w:ascii="Times New Roman" w:hAnsi="Times New Roman" w:eastAsia="宋体"/>
          <w:sz w:val="28"/>
        </w:rPr>
        <w:t>9.1 清洁生产分析</w:t>
      </w:r>
      <w:bookmarkEnd w:id="383"/>
      <w:bookmarkEnd w:id="384"/>
      <w:bookmarkEnd w:id="385"/>
    </w:p>
    <w:p>
      <w:pPr>
        <w:adjustRightInd w:val="0"/>
        <w:snapToGrid w:val="0"/>
        <w:spacing w:line="440" w:lineRule="exact"/>
        <w:ind w:firstLine="480" w:firstLineChars="200"/>
        <w:rPr>
          <w:rFonts w:ascii="Times New Roman" w:hAnsi="Times New Roman"/>
        </w:rPr>
      </w:pPr>
      <w:r>
        <w:rPr>
          <w:rFonts w:ascii="Times New Roman" w:hAnsi="Times New Roman"/>
        </w:rPr>
        <w:t>清洁生产是环境保护由末端治理转向生产全过程控制的全新污染预防策略，其实质是一种物料和能源消耗最少化的人类生产活动的规划和管理，将废物减量化、资源化和无害化，或消灭于生产过程中。以科学管理、技术进步为手段，通过节能、降耗、减污，提高污染防治效果，降低污染防治费用，消除和减少工业生产对人体健康和环境的影响。</w:t>
      </w:r>
    </w:p>
    <w:p>
      <w:pPr>
        <w:pStyle w:val="5"/>
        <w:adjustRightInd w:val="0"/>
        <w:snapToGrid w:val="0"/>
        <w:spacing w:before="0" w:after="0" w:line="440" w:lineRule="exact"/>
        <w:rPr>
          <w:sz w:val="24"/>
        </w:rPr>
      </w:pPr>
      <w:r>
        <w:rPr>
          <w:sz w:val="24"/>
        </w:rPr>
        <w:t>9.1.1 矿区清洁生产水平评价指标</w:t>
      </w:r>
    </w:p>
    <w:p>
      <w:pPr>
        <w:adjustRightInd w:val="0"/>
        <w:snapToGrid w:val="0"/>
        <w:spacing w:line="440" w:lineRule="exact"/>
        <w:ind w:firstLine="480" w:firstLineChars="200"/>
        <w:rPr>
          <w:rFonts w:ascii="Times New Roman" w:hAnsi="Times New Roman"/>
        </w:rPr>
      </w:pPr>
      <w:r>
        <w:rPr>
          <w:rFonts w:ascii="Times New Roman" w:hAnsi="Times New Roman"/>
        </w:rPr>
        <w:t>矿区为新建矿区，对于本矿区规划环评清洁生产水平分析，更关注的是从宏观控制的角度，根据国家颁布相关清洁生产标准、清洁生产指标体系及国内外研究成果，提出清洁生产控制指标。</w:t>
      </w:r>
    </w:p>
    <w:p>
      <w:pPr>
        <w:adjustRightInd w:val="0"/>
        <w:snapToGrid w:val="0"/>
        <w:spacing w:line="440" w:lineRule="exact"/>
        <w:ind w:firstLine="480" w:firstLineChars="200"/>
        <w:rPr>
          <w:rFonts w:ascii="Times New Roman" w:hAnsi="Times New Roman"/>
        </w:rPr>
      </w:pPr>
      <w:r>
        <w:rPr>
          <w:rFonts w:ascii="Times New Roman" w:hAnsi="Times New Roman"/>
        </w:rPr>
        <w:t>根据国家环保部发布的《煤炭采选业清洁生产评价指标体系》中的清洁生产评价指标体系，着重从资源能源利用指标、产品指标、污染物产生指标、废物回收利用指标、矿山生态保护指标五大一级评价指标入手，提出该矿区各煤矿及选煤厂的清洁生产水平定量和定性控制指标。具体指标见表9.1-1。</w:t>
      </w:r>
    </w:p>
    <w:p>
      <w:pPr>
        <w:adjustRightInd w:val="0"/>
        <w:snapToGrid w:val="0"/>
        <w:spacing w:line="440" w:lineRule="exact"/>
        <w:ind w:firstLine="482" w:firstLineChars="200"/>
        <w:jc w:val="center"/>
        <w:rPr>
          <w:rFonts w:ascii="Times New Roman" w:hAnsi="Times New Roman"/>
          <w:b/>
          <w:bCs/>
        </w:rPr>
      </w:pPr>
      <w:r>
        <w:rPr>
          <w:rFonts w:ascii="Times New Roman" w:hAnsi="Times New Roman"/>
          <w:b/>
          <w:bCs/>
        </w:rPr>
        <w:t>纳林希里矿区煤矿及选煤厂清洁生产指标建议值</w:t>
      </w:r>
    </w:p>
    <w:p>
      <w:pPr>
        <w:pStyle w:val="331"/>
        <w:spacing w:line="440" w:lineRule="exact"/>
        <w:ind w:firstLine="240" w:firstLineChars="100"/>
        <w:rPr>
          <w:rFonts w:ascii="Times New Roman" w:hAnsi="Times New Roman" w:cs="Times New Roman"/>
          <w:szCs w:val="24"/>
        </w:rPr>
      </w:pPr>
      <w:r>
        <w:rPr>
          <w:rFonts w:ascii="Times New Roman" w:hAnsi="Times New Roman" w:cs="Times New Roman"/>
          <w:szCs w:val="24"/>
        </w:rPr>
        <w:t>表9.1-1</w:t>
      </w:r>
    </w:p>
    <w:tbl>
      <w:tblPr>
        <w:tblStyle w:val="59"/>
        <w:tblW w:w="91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16"/>
        <w:gridCol w:w="1168"/>
        <w:gridCol w:w="1169"/>
        <w:gridCol w:w="2478"/>
        <w:gridCol w:w="1752"/>
        <w:gridCol w:w="1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4" w:hRule="atLeast"/>
          <w:tblHeader/>
          <w:jc w:val="center"/>
        </w:trPr>
        <w:tc>
          <w:tcPr>
            <w:tcW w:w="1016"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环境目标</w:t>
            </w:r>
          </w:p>
        </w:tc>
        <w:tc>
          <w:tcPr>
            <w:tcW w:w="4815" w:type="dxa"/>
            <w:gridSpan w:val="3"/>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评价指标</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评价标准值</w:t>
            </w:r>
          </w:p>
        </w:tc>
        <w:tc>
          <w:tcPr>
            <w:tcW w:w="1606"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016" w:type="dxa"/>
            <w:vMerge w:val="restart"/>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资源开发利用</w:t>
            </w:r>
          </w:p>
        </w:tc>
        <w:tc>
          <w:tcPr>
            <w:tcW w:w="1168" w:type="dxa"/>
            <w:vMerge w:val="restart"/>
            <w:vAlign w:val="center"/>
          </w:tcPr>
          <w:p>
            <w:pPr>
              <w:adjustRightInd w:val="0"/>
              <w:snapToGrid w:val="0"/>
              <w:spacing w:line="240" w:lineRule="atLeast"/>
              <w:rPr>
                <w:rFonts w:ascii="Times New Roman" w:hAnsi="Times New Roman"/>
                <w:sz w:val="21"/>
              </w:rPr>
            </w:pPr>
            <w:r>
              <w:rPr>
                <w:rFonts w:ascii="Times New Roman" w:hAnsi="Times New Roman"/>
                <w:sz w:val="21"/>
                <w:szCs w:val="21"/>
              </w:rPr>
              <w:t>生产工艺及装备指标</w:t>
            </w: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sz w:val="21"/>
                <w:szCs w:val="21"/>
              </w:rPr>
              <w:t>煤矿机械化采煤比例（％）</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≥95</w:t>
            </w:r>
          </w:p>
        </w:tc>
        <w:tc>
          <w:tcPr>
            <w:tcW w:w="1606" w:type="dxa"/>
            <w:vMerge w:val="restart"/>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《煤炭采选业清洁生产评价指标体系》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continue"/>
            <w:vAlign w:val="center"/>
          </w:tcPr>
          <w:p>
            <w:pPr>
              <w:adjustRightInd w:val="0"/>
              <w:snapToGrid w:val="0"/>
              <w:spacing w:line="240" w:lineRule="atLeast"/>
              <w:rPr>
                <w:rFonts w:ascii="Times New Roman" w:hAnsi="Times New Roman"/>
                <w:sz w:val="21"/>
              </w:rPr>
            </w:pP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sz w:val="21"/>
                <w:szCs w:val="21"/>
              </w:rPr>
              <w:t>原煤入选率（％）</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2"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restart"/>
            <w:vAlign w:val="center"/>
          </w:tcPr>
          <w:p>
            <w:pPr>
              <w:adjustRightInd w:val="0"/>
              <w:snapToGrid w:val="0"/>
              <w:spacing w:line="240" w:lineRule="atLeast"/>
              <w:rPr>
                <w:rFonts w:ascii="Times New Roman" w:hAnsi="Times New Roman"/>
                <w:sz w:val="21"/>
              </w:rPr>
            </w:pPr>
            <w:r>
              <w:rPr>
                <w:rFonts w:ascii="Times New Roman" w:hAnsi="Times New Roman"/>
                <w:sz w:val="21"/>
                <w:szCs w:val="21"/>
              </w:rPr>
              <w:t>资源能源消耗指标</w:t>
            </w:r>
          </w:p>
        </w:tc>
        <w:tc>
          <w:tcPr>
            <w:tcW w:w="1169" w:type="dxa"/>
            <w:vMerge w:val="restart"/>
            <w:vAlign w:val="center"/>
          </w:tcPr>
          <w:p>
            <w:pPr>
              <w:adjustRightInd w:val="0"/>
              <w:snapToGrid w:val="0"/>
              <w:spacing w:line="240" w:lineRule="atLeast"/>
              <w:rPr>
                <w:rFonts w:ascii="Times New Roman" w:hAnsi="Times New Roman"/>
                <w:sz w:val="21"/>
              </w:rPr>
            </w:pPr>
            <w:r>
              <w:rPr>
                <w:rFonts w:ascii="Times New Roman" w:hAnsi="Times New Roman"/>
                <w:sz w:val="21"/>
                <w:szCs w:val="21"/>
              </w:rPr>
              <w:t>采区回采率（％）</w:t>
            </w:r>
          </w:p>
        </w:tc>
        <w:tc>
          <w:tcPr>
            <w:tcW w:w="2478" w:type="dxa"/>
            <w:vAlign w:val="center"/>
          </w:tcPr>
          <w:p>
            <w:pPr>
              <w:adjustRightInd w:val="0"/>
              <w:snapToGrid w:val="0"/>
              <w:spacing w:line="240" w:lineRule="atLeast"/>
              <w:rPr>
                <w:rFonts w:ascii="Times New Roman" w:hAnsi="Times New Roman"/>
                <w:sz w:val="21"/>
              </w:rPr>
            </w:pPr>
            <w:r>
              <w:rPr>
                <w:rFonts w:ascii="Times New Roman" w:hAnsi="Times New Roman"/>
                <w:sz w:val="21"/>
                <w:szCs w:val="21"/>
              </w:rPr>
              <w:t>薄煤层资源回采率</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≥85</w:t>
            </w:r>
          </w:p>
        </w:tc>
        <w:tc>
          <w:tcPr>
            <w:tcW w:w="1606" w:type="dxa"/>
            <w:vMerge w:val="continue"/>
            <w:vAlign w:val="center"/>
          </w:tcPr>
          <w:p>
            <w:pPr>
              <w:adjustRightInd w:val="0"/>
              <w:snapToGrid w:val="0"/>
              <w:spacing w:line="240" w:lineRule="atLeast"/>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continue"/>
            <w:vAlign w:val="center"/>
          </w:tcPr>
          <w:p>
            <w:pPr>
              <w:adjustRightInd w:val="0"/>
              <w:snapToGrid w:val="0"/>
              <w:spacing w:line="240" w:lineRule="atLeast"/>
              <w:rPr>
                <w:rFonts w:ascii="Times New Roman" w:hAnsi="Times New Roman"/>
                <w:sz w:val="21"/>
              </w:rPr>
            </w:pPr>
          </w:p>
        </w:tc>
        <w:tc>
          <w:tcPr>
            <w:tcW w:w="1169" w:type="dxa"/>
            <w:vMerge w:val="continue"/>
            <w:vAlign w:val="center"/>
          </w:tcPr>
          <w:p>
            <w:pPr>
              <w:adjustRightInd w:val="0"/>
              <w:snapToGrid w:val="0"/>
              <w:spacing w:line="240" w:lineRule="atLeast"/>
              <w:rPr>
                <w:rFonts w:ascii="Times New Roman" w:hAnsi="Times New Roman"/>
                <w:sz w:val="21"/>
              </w:rPr>
            </w:pPr>
          </w:p>
        </w:tc>
        <w:tc>
          <w:tcPr>
            <w:tcW w:w="2478" w:type="dxa"/>
            <w:vAlign w:val="center"/>
          </w:tcPr>
          <w:p>
            <w:pPr>
              <w:adjustRightInd w:val="0"/>
              <w:snapToGrid w:val="0"/>
              <w:spacing w:line="240" w:lineRule="atLeast"/>
              <w:rPr>
                <w:rFonts w:ascii="Times New Roman" w:hAnsi="Times New Roman"/>
                <w:sz w:val="21"/>
              </w:rPr>
            </w:pPr>
            <w:r>
              <w:rPr>
                <w:rFonts w:ascii="Times New Roman" w:hAnsi="Times New Roman"/>
                <w:sz w:val="21"/>
                <w:szCs w:val="21"/>
              </w:rPr>
              <w:t>中厚煤层资源回采率</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≥80</w:t>
            </w:r>
          </w:p>
        </w:tc>
        <w:tc>
          <w:tcPr>
            <w:tcW w:w="1606" w:type="dxa"/>
            <w:vMerge w:val="continue"/>
            <w:vAlign w:val="center"/>
          </w:tcPr>
          <w:p>
            <w:pPr>
              <w:adjustRightInd w:val="0"/>
              <w:snapToGrid w:val="0"/>
              <w:spacing w:line="240" w:lineRule="atLeast"/>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continue"/>
            <w:vAlign w:val="center"/>
          </w:tcPr>
          <w:p>
            <w:pPr>
              <w:adjustRightInd w:val="0"/>
              <w:snapToGrid w:val="0"/>
              <w:spacing w:line="240" w:lineRule="atLeast"/>
              <w:rPr>
                <w:rFonts w:ascii="Times New Roman" w:hAnsi="Times New Roman"/>
                <w:sz w:val="21"/>
              </w:rPr>
            </w:pPr>
          </w:p>
        </w:tc>
        <w:tc>
          <w:tcPr>
            <w:tcW w:w="1169" w:type="dxa"/>
            <w:vMerge w:val="continue"/>
            <w:vAlign w:val="center"/>
          </w:tcPr>
          <w:p>
            <w:pPr>
              <w:adjustRightInd w:val="0"/>
              <w:snapToGrid w:val="0"/>
              <w:spacing w:line="240" w:lineRule="atLeast"/>
              <w:rPr>
                <w:rFonts w:ascii="Times New Roman" w:hAnsi="Times New Roman"/>
                <w:sz w:val="21"/>
              </w:rPr>
            </w:pPr>
          </w:p>
        </w:tc>
        <w:tc>
          <w:tcPr>
            <w:tcW w:w="2478" w:type="dxa"/>
            <w:vAlign w:val="center"/>
          </w:tcPr>
          <w:p>
            <w:pPr>
              <w:adjustRightInd w:val="0"/>
              <w:snapToGrid w:val="0"/>
              <w:spacing w:line="240" w:lineRule="atLeast"/>
              <w:rPr>
                <w:rFonts w:ascii="Times New Roman" w:hAnsi="Times New Roman"/>
                <w:sz w:val="21"/>
              </w:rPr>
            </w:pPr>
            <w:r>
              <w:rPr>
                <w:rFonts w:ascii="Times New Roman" w:hAnsi="Times New Roman"/>
                <w:sz w:val="21"/>
                <w:szCs w:val="21"/>
              </w:rPr>
              <w:t>厚煤层资源回采率</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≥75</w:t>
            </w:r>
          </w:p>
        </w:tc>
        <w:tc>
          <w:tcPr>
            <w:tcW w:w="1606" w:type="dxa"/>
            <w:vMerge w:val="continue"/>
            <w:vAlign w:val="center"/>
          </w:tcPr>
          <w:p>
            <w:pPr>
              <w:adjustRightInd w:val="0"/>
              <w:snapToGrid w:val="0"/>
              <w:spacing w:line="240" w:lineRule="atLeast"/>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continue"/>
            <w:vAlign w:val="center"/>
          </w:tcPr>
          <w:p>
            <w:pPr>
              <w:adjustRightInd w:val="0"/>
              <w:snapToGrid w:val="0"/>
              <w:spacing w:line="240" w:lineRule="atLeast"/>
              <w:rPr>
                <w:rFonts w:ascii="Times New Roman" w:hAnsi="Times New Roman"/>
                <w:sz w:val="21"/>
              </w:rPr>
            </w:pPr>
          </w:p>
        </w:tc>
        <w:tc>
          <w:tcPr>
            <w:tcW w:w="1169" w:type="dxa"/>
            <w:vMerge w:val="continue"/>
            <w:vAlign w:val="center"/>
          </w:tcPr>
          <w:p>
            <w:pPr>
              <w:adjustRightInd w:val="0"/>
              <w:snapToGrid w:val="0"/>
              <w:spacing w:line="240" w:lineRule="atLeast"/>
              <w:rPr>
                <w:rFonts w:ascii="Times New Roman" w:hAnsi="Times New Roman"/>
                <w:sz w:val="21"/>
              </w:rPr>
            </w:pPr>
          </w:p>
        </w:tc>
        <w:tc>
          <w:tcPr>
            <w:tcW w:w="2478" w:type="dxa"/>
            <w:vAlign w:val="center"/>
          </w:tcPr>
          <w:p>
            <w:pPr>
              <w:adjustRightInd w:val="0"/>
              <w:snapToGrid w:val="0"/>
              <w:spacing w:line="240" w:lineRule="atLeast"/>
              <w:rPr>
                <w:rFonts w:ascii="Times New Roman" w:hAnsi="Times New Roman"/>
                <w:sz w:val="21"/>
              </w:rPr>
            </w:pPr>
            <w:r>
              <w:rPr>
                <w:rFonts w:ascii="Times New Roman" w:hAnsi="Times New Roman"/>
                <w:sz w:val="21"/>
                <w:szCs w:val="21"/>
              </w:rPr>
              <w:t>矿区资源回采率</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≥75</w:t>
            </w:r>
          </w:p>
        </w:tc>
        <w:tc>
          <w:tcPr>
            <w:tcW w:w="1606" w:type="dxa"/>
            <w:vMerge w:val="continue"/>
            <w:vAlign w:val="center"/>
          </w:tcPr>
          <w:p>
            <w:pPr>
              <w:adjustRightInd w:val="0"/>
              <w:snapToGrid w:val="0"/>
              <w:spacing w:line="240" w:lineRule="atLeast"/>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continue"/>
            <w:vAlign w:val="center"/>
          </w:tcPr>
          <w:p>
            <w:pPr>
              <w:adjustRightInd w:val="0"/>
              <w:snapToGrid w:val="0"/>
              <w:spacing w:line="240" w:lineRule="atLeast"/>
              <w:rPr>
                <w:rFonts w:ascii="Times New Roman" w:hAnsi="Times New Roman"/>
                <w:sz w:val="21"/>
              </w:rPr>
            </w:pP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sz w:val="21"/>
                <w:szCs w:val="21"/>
              </w:rPr>
              <w:t>原煤生产电耗（kWh/ t煤）</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≤18</w:t>
            </w:r>
          </w:p>
        </w:tc>
        <w:tc>
          <w:tcPr>
            <w:tcW w:w="1606" w:type="dxa"/>
            <w:vMerge w:val="continue"/>
            <w:vAlign w:val="center"/>
          </w:tcPr>
          <w:p>
            <w:pPr>
              <w:adjustRightInd w:val="0"/>
              <w:snapToGrid w:val="0"/>
              <w:spacing w:line="240" w:lineRule="atLeast"/>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pStyle w:val="331"/>
              <w:jc w:val="center"/>
              <w:outlineLvl w:val="9"/>
              <w:rPr>
                <w:rFonts w:ascii="Times New Roman" w:hAnsi="Times New Roman" w:cs="Times New Roman"/>
                <w:sz w:val="21"/>
                <w:szCs w:val="21"/>
              </w:rPr>
            </w:pPr>
          </w:p>
        </w:tc>
        <w:tc>
          <w:tcPr>
            <w:tcW w:w="1168" w:type="dxa"/>
            <w:vMerge w:val="continue"/>
            <w:vAlign w:val="center"/>
          </w:tcPr>
          <w:p>
            <w:pPr>
              <w:pStyle w:val="331"/>
              <w:outlineLvl w:val="9"/>
              <w:rPr>
                <w:rFonts w:ascii="Times New Roman" w:hAnsi="Times New Roman" w:cs="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bCs/>
                <w:sz w:val="21"/>
                <w:szCs w:val="21"/>
              </w:rPr>
              <w:t>原煤生产水耗（不含选煤厂）</w:t>
            </w:r>
          </w:p>
        </w:tc>
        <w:tc>
          <w:tcPr>
            <w:tcW w:w="1752" w:type="dxa"/>
            <w:vAlign w:val="center"/>
          </w:tcPr>
          <w:p>
            <w:pPr>
              <w:pStyle w:val="331"/>
              <w:jc w:val="center"/>
              <w:outlineLvl w:val="9"/>
              <w:rPr>
                <w:rFonts w:ascii="Times New Roman" w:hAnsi="Times New Roman" w:cs="Times New Roman"/>
                <w:sz w:val="21"/>
                <w:szCs w:val="21"/>
              </w:rPr>
            </w:pPr>
            <w:r>
              <w:rPr>
                <w:rFonts w:ascii="Times New Roman" w:hAnsi="Times New Roman" w:cs="Times New Roman"/>
                <w:sz w:val="21"/>
                <w:szCs w:val="21"/>
              </w:rPr>
              <w:t>≤0.1</w:t>
            </w:r>
          </w:p>
        </w:tc>
        <w:tc>
          <w:tcPr>
            <w:tcW w:w="1606" w:type="dxa"/>
            <w:vMerge w:val="continue"/>
            <w:vAlign w:val="center"/>
          </w:tcPr>
          <w:p>
            <w:pPr>
              <w:pStyle w:val="331"/>
              <w:jc w:val="center"/>
              <w:outlineLvl w:val="9"/>
              <w:rPr>
                <w:rFonts w:ascii="Times New Roman" w:hAnsi="Times New Roman"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continue"/>
            <w:vAlign w:val="center"/>
          </w:tcPr>
          <w:p>
            <w:pPr>
              <w:adjustRightInd w:val="0"/>
              <w:snapToGrid w:val="0"/>
              <w:spacing w:line="240" w:lineRule="atLeast"/>
              <w:rPr>
                <w:rFonts w:ascii="Times New Roman" w:hAnsi="Times New Roman"/>
                <w:sz w:val="21"/>
              </w:rPr>
            </w:pP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sz w:val="21"/>
                <w:szCs w:val="21"/>
              </w:rPr>
              <w:t>单位入选原煤取水量（m</w:t>
            </w:r>
            <w:r>
              <w:rPr>
                <w:rFonts w:ascii="Times New Roman" w:hAnsi="Times New Roman"/>
                <w:sz w:val="21"/>
                <w:szCs w:val="21"/>
                <w:vertAlign w:val="superscript"/>
              </w:rPr>
              <w:t>3</w:t>
            </w:r>
            <w:r>
              <w:rPr>
                <w:rFonts w:ascii="Times New Roman" w:hAnsi="Times New Roman"/>
                <w:sz w:val="21"/>
                <w:szCs w:val="21"/>
              </w:rPr>
              <w:t>/t煤）</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≤0.125</w:t>
            </w:r>
          </w:p>
        </w:tc>
        <w:tc>
          <w:tcPr>
            <w:tcW w:w="1606" w:type="dxa"/>
            <w:vMerge w:val="continue"/>
            <w:vAlign w:val="center"/>
          </w:tcPr>
          <w:p>
            <w:pPr>
              <w:adjustRightInd w:val="0"/>
              <w:snapToGrid w:val="0"/>
              <w:spacing w:line="240" w:lineRule="atLeast"/>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restart"/>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资源综合利用指标</w:t>
            </w: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sz w:val="21"/>
                <w:szCs w:val="21"/>
              </w:rPr>
              <w:t>当年产生煤矸石综合利用率（％）</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≥85</w:t>
            </w:r>
          </w:p>
        </w:tc>
        <w:tc>
          <w:tcPr>
            <w:tcW w:w="1606" w:type="dxa"/>
            <w:vMerge w:val="restart"/>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《煤炭采选业清洁生产评价指标体系》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continue"/>
            <w:vAlign w:val="center"/>
          </w:tcPr>
          <w:p>
            <w:pPr>
              <w:adjustRightInd w:val="0"/>
              <w:snapToGrid w:val="0"/>
              <w:spacing w:line="240" w:lineRule="atLeast"/>
              <w:jc w:val="center"/>
              <w:rPr>
                <w:rFonts w:ascii="Times New Roman" w:hAnsi="Times New Roman"/>
                <w:sz w:val="21"/>
              </w:rPr>
            </w:pP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sz w:val="21"/>
                <w:szCs w:val="21"/>
              </w:rPr>
              <w:t>矿井水利用率（％）（水资源丰富矿区）</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≥70</w:t>
            </w:r>
          </w:p>
        </w:tc>
        <w:tc>
          <w:tcPr>
            <w:tcW w:w="1606" w:type="dxa"/>
            <w:vMerge w:val="continue"/>
            <w:vAlign w:val="center"/>
          </w:tcPr>
          <w:p>
            <w:pPr>
              <w:adjustRightInd w:val="0"/>
              <w:snapToGrid w:val="0"/>
              <w:spacing w:line="240" w:lineRule="atLeast"/>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continue"/>
            <w:vAlign w:val="center"/>
          </w:tcPr>
          <w:p>
            <w:pPr>
              <w:adjustRightInd w:val="0"/>
              <w:snapToGrid w:val="0"/>
              <w:spacing w:line="240" w:lineRule="atLeast"/>
              <w:jc w:val="center"/>
              <w:rPr>
                <w:rFonts w:ascii="Times New Roman" w:hAnsi="Times New Roman"/>
                <w:sz w:val="21"/>
              </w:rPr>
            </w:pP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sz w:val="21"/>
                <w:szCs w:val="21"/>
              </w:rPr>
              <w:t>矿区生活污水综合利用率（％）</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48"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rPr>
            </w:pPr>
          </w:p>
        </w:tc>
        <w:tc>
          <w:tcPr>
            <w:tcW w:w="1168" w:type="dxa"/>
            <w:vMerge w:val="restart"/>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资源承载力指标</w:t>
            </w: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sz w:val="21"/>
                <w:szCs w:val="21"/>
              </w:rPr>
              <w:t>区域水资源承载力</w:t>
            </w:r>
          </w:p>
        </w:tc>
        <w:tc>
          <w:tcPr>
            <w:tcW w:w="1752" w:type="dxa"/>
            <w:vAlign w:val="center"/>
          </w:tcPr>
          <w:p>
            <w:pPr>
              <w:adjustRightInd w:val="0"/>
              <w:snapToGrid w:val="0"/>
              <w:spacing w:line="240" w:lineRule="atLeast"/>
              <w:rPr>
                <w:rFonts w:ascii="Times New Roman" w:hAnsi="Times New Roman"/>
                <w:sz w:val="21"/>
              </w:rPr>
            </w:pPr>
            <w:r>
              <w:rPr>
                <w:rFonts w:ascii="Times New Roman" w:hAnsi="Times New Roman"/>
                <w:sz w:val="21"/>
                <w:szCs w:val="21"/>
              </w:rPr>
              <w:t>可承载，不对区域“三生用水”产生大的影响</w:t>
            </w:r>
          </w:p>
        </w:tc>
        <w:tc>
          <w:tcPr>
            <w:tcW w:w="1606" w:type="dxa"/>
            <w:vMerge w:val="restart"/>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本次评价根据《煤炭采选业清洁生产评价指标体系》等相关要求提出的评价标准值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0"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区域生态承载力</w:t>
            </w:r>
          </w:p>
        </w:tc>
        <w:tc>
          <w:tcPr>
            <w:tcW w:w="175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使区域生态环境不受大的影响、维持区域生态系统功能</w:t>
            </w:r>
          </w:p>
        </w:tc>
        <w:tc>
          <w:tcPr>
            <w:tcW w:w="1606" w:type="dxa"/>
            <w:vMerge w:val="continue"/>
            <w:vAlign w:val="center"/>
          </w:tcPr>
          <w:p>
            <w:pPr>
              <w:adjustRightInd w:val="0"/>
              <w:snapToGrid w:val="0"/>
              <w:spacing w:line="240" w:lineRule="atLeas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4"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区域土地资源承载力</w:t>
            </w:r>
          </w:p>
        </w:tc>
        <w:tc>
          <w:tcPr>
            <w:tcW w:w="175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可承载，不对区域土地利用结构产生大的影响</w:t>
            </w:r>
          </w:p>
        </w:tc>
        <w:tc>
          <w:tcPr>
            <w:tcW w:w="1606" w:type="dxa"/>
            <w:vMerge w:val="continue"/>
            <w:vAlign w:val="center"/>
          </w:tcPr>
          <w:p>
            <w:pPr>
              <w:adjustRightInd w:val="0"/>
              <w:snapToGrid w:val="0"/>
              <w:spacing w:line="240" w:lineRule="atLeas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污染防治</w:t>
            </w:r>
          </w:p>
        </w:tc>
        <w:tc>
          <w:tcPr>
            <w:tcW w:w="1168"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大气污染控制指标</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工业废气处理率（％）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大气污染物达标排放率（％）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水污染控制指标</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工业废水及生活污水处理率（％）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水污染物达标排放率（％）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固体废物处置指标</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煤矸石及煤泥处置率（％）</w:t>
            </w:r>
          </w:p>
        </w:tc>
        <w:tc>
          <w:tcPr>
            <w:tcW w:w="1752" w:type="dxa"/>
            <w:vAlign w:val="center"/>
          </w:tcPr>
          <w:p>
            <w:pPr>
              <w:pStyle w:val="331"/>
              <w:jc w:val="center"/>
              <w:outlineLvl w:val="9"/>
              <w:rPr>
                <w:rFonts w:ascii="Times New Roman" w:hAnsi="Times New Roman" w:cs="Times New Roman"/>
                <w:sz w:val="21"/>
                <w:szCs w:val="21"/>
              </w:rPr>
            </w:pPr>
            <w:r>
              <w:rPr>
                <w:rFonts w:ascii="Times New Roman" w:hAnsi="Times New Roman" w:cs="Times New Roman"/>
                <w:sz w:val="21"/>
                <w:szCs w:val="21"/>
              </w:rPr>
              <w:t>100</w:t>
            </w:r>
          </w:p>
        </w:tc>
        <w:tc>
          <w:tcPr>
            <w:tcW w:w="1606" w:type="dxa"/>
            <w:vMerge w:val="continue"/>
            <w:vAlign w:val="center"/>
          </w:tcPr>
          <w:p>
            <w:pPr>
              <w:pStyle w:val="331"/>
              <w:jc w:val="center"/>
              <w:outlineLvl w:val="9"/>
              <w:rPr>
                <w:rFonts w:ascii="Times New Roman" w:hAnsi="Times New Roman"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pStyle w:val="331"/>
              <w:jc w:val="center"/>
              <w:outlineLvl w:val="9"/>
              <w:rPr>
                <w:rFonts w:ascii="Times New Roman" w:hAnsi="Times New Roman" w:cs="Times New Roman"/>
                <w:sz w:val="21"/>
                <w:szCs w:val="21"/>
              </w:rPr>
            </w:pPr>
          </w:p>
        </w:tc>
        <w:tc>
          <w:tcPr>
            <w:tcW w:w="1168" w:type="dxa"/>
            <w:vMerge w:val="continue"/>
            <w:vAlign w:val="center"/>
          </w:tcPr>
          <w:p>
            <w:pPr>
              <w:pStyle w:val="331"/>
              <w:jc w:val="center"/>
              <w:outlineLvl w:val="9"/>
              <w:rPr>
                <w:rFonts w:ascii="Times New Roman" w:hAnsi="Times New Roman" w:cs="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生活垃圾无害化处理率（％）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3"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污泥处置率（％）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噪声环境影响指标</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声环境功能区达标率（％）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环境质量改善</w:t>
            </w:r>
          </w:p>
        </w:tc>
        <w:tc>
          <w:tcPr>
            <w:tcW w:w="116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环境空气</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环境空气质量2类区达标率（％）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地表水</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地表水III类水体达标率（％）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地下水</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地表水III类水达标率（％）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声环境</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声环境2类区达标率（％）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土壤环境</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农用地土壤污染风险管制值达标率（％）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生态功能保护</w:t>
            </w:r>
          </w:p>
        </w:tc>
        <w:tc>
          <w:tcPr>
            <w:tcW w:w="1168" w:type="dxa"/>
            <w:vMerge w:val="restart"/>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生态保护与恢复指标</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扰动土地治理率（％）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90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水土流失总治理度（％）</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85</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土壤流失控制比（％）</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70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危害性裂缝等沉陷灾害的治理率（％）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100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工业场地林草覆盖率（％）</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≥30</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生态系统整体性和生态功能变化趋势</w:t>
            </w:r>
          </w:p>
        </w:tc>
        <w:tc>
          <w:tcPr>
            <w:tcW w:w="175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保持生态系统完整，保证评价区生物多样性不退化、植物净生产力不退化、生态系统不退化，生态系统功能不退化</w:t>
            </w:r>
          </w:p>
        </w:tc>
        <w:tc>
          <w:tcPr>
            <w:tcW w:w="1606" w:type="dxa"/>
            <w:vMerge w:val="continue"/>
            <w:vAlign w:val="center"/>
          </w:tcPr>
          <w:p>
            <w:pPr>
              <w:adjustRightInd w:val="0"/>
              <w:snapToGrid w:val="0"/>
              <w:spacing w:line="240" w:lineRule="atLeast"/>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restart"/>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促进区域社会、经济可持续发展</w:t>
            </w:r>
          </w:p>
        </w:tc>
        <w:tc>
          <w:tcPr>
            <w:tcW w:w="1168" w:type="dxa"/>
            <w:vMerge w:val="restart"/>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社会发展指标</w:t>
            </w: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万元工业增加值水耗（t/万元）</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降低</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continue"/>
            <w:vAlign w:val="center"/>
          </w:tcPr>
          <w:p>
            <w:pPr>
              <w:adjustRightInd w:val="0"/>
              <w:snapToGrid w:val="0"/>
              <w:spacing w:line="240" w:lineRule="atLeast"/>
              <w:rPr>
                <w:rFonts w:ascii="Times New Roman" w:hAnsi="Times New Roman"/>
                <w:sz w:val="21"/>
              </w:rPr>
            </w:pPr>
          </w:p>
        </w:tc>
        <w:tc>
          <w:tcPr>
            <w:tcW w:w="1168" w:type="dxa"/>
            <w:vMerge w:val="continue"/>
            <w:vAlign w:val="center"/>
          </w:tcPr>
          <w:p>
            <w:pPr>
              <w:adjustRightInd w:val="0"/>
              <w:snapToGrid w:val="0"/>
              <w:spacing w:line="240" w:lineRule="atLeast"/>
              <w:jc w:val="center"/>
              <w:rPr>
                <w:rFonts w:ascii="Times New Roman" w:hAnsi="Times New Roman"/>
                <w:sz w:val="21"/>
              </w:rPr>
            </w:pPr>
          </w:p>
        </w:tc>
        <w:tc>
          <w:tcPr>
            <w:tcW w:w="3647" w:type="dxa"/>
            <w:gridSpan w:val="2"/>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万元工业增加值能耗（t/万元）</w:t>
            </w:r>
          </w:p>
        </w:tc>
        <w:tc>
          <w:tcPr>
            <w:tcW w:w="175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降低</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continue"/>
            <w:vAlign w:val="center"/>
          </w:tcPr>
          <w:p>
            <w:pPr>
              <w:adjustRightInd w:val="0"/>
              <w:snapToGrid w:val="0"/>
              <w:spacing w:line="240" w:lineRule="atLeast"/>
              <w:rPr>
                <w:rFonts w:ascii="Times New Roman" w:hAnsi="Times New Roman"/>
                <w:sz w:val="21"/>
              </w:rPr>
            </w:pPr>
          </w:p>
        </w:tc>
        <w:tc>
          <w:tcPr>
            <w:tcW w:w="1168" w:type="dxa"/>
            <w:vMerge w:val="restart"/>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经济发展指标</w:t>
            </w:r>
          </w:p>
        </w:tc>
        <w:tc>
          <w:tcPr>
            <w:tcW w:w="3647" w:type="dxa"/>
            <w:gridSpan w:val="2"/>
            <w:vAlign w:val="center"/>
          </w:tcPr>
          <w:p>
            <w:pPr>
              <w:adjustRightInd w:val="0"/>
              <w:snapToGrid w:val="0"/>
              <w:spacing w:line="240" w:lineRule="atLeast"/>
              <w:rPr>
                <w:rFonts w:ascii="Times New Roman" w:hAnsi="Times New Roman"/>
                <w:sz w:val="21"/>
              </w:rPr>
            </w:pPr>
            <w:r>
              <w:rPr>
                <w:rFonts w:ascii="Times New Roman" w:hAnsi="Times New Roman"/>
                <w:sz w:val="21"/>
                <w:szCs w:val="21"/>
              </w:rPr>
              <w:t>工业总产值增加值（万元）</w:t>
            </w:r>
          </w:p>
        </w:tc>
        <w:tc>
          <w:tcPr>
            <w:tcW w:w="1752" w:type="dxa"/>
            <w:vAlign w:val="center"/>
          </w:tcPr>
          <w:p>
            <w:pPr>
              <w:adjustRightInd w:val="0"/>
              <w:snapToGrid w:val="0"/>
              <w:spacing w:line="240" w:lineRule="atLeast"/>
              <w:jc w:val="center"/>
              <w:rPr>
                <w:rFonts w:ascii="Times New Roman" w:hAnsi="Times New Roman"/>
                <w:sz w:val="21"/>
              </w:rPr>
            </w:pPr>
            <w:r>
              <w:rPr>
                <w:rFonts w:ascii="Times New Roman" w:hAnsi="Times New Roman"/>
                <w:sz w:val="21"/>
                <w:szCs w:val="21"/>
              </w:rPr>
              <w:t>提高</w:t>
            </w:r>
          </w:p>
        </w:tc>
        <w:tc>
          <w:tcPr>
            <w:tcW w:w="1606" w:type="dxa"/>
            <w:vMerge w:val="continue"/>
            <w:vAlign w:val="center"/>
          </w:tcPr>
          <w:p>
            <w:pPr>
              <w:adjustRightInd w:val="0"/>
              <w:snapToGrid w:val="0"/>
              <w:spacing w:line="240" w:lineRule="atLeast"/>
              <w:jc w:val="center"/>
              <w:rPr>
                <w:rFonts w:ascii="Times New Roman" w:hAns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7" w:hRule="atLeast"/>
          <w:jc w:val="center"/>
        </w:trPr>
        <w:tc>
          <w:tcPr>
            <w:tcW w:w="1016" w:type="dxa"/>
            <w:vMerge w:val="continue"/>
            <w:vAlign w:val="center"/>
          </w:tcPr>
          <w:p>
            <w:pPr>
              <w:adjustRightInd w:val="0"/>
              <w:snapToGrid w:val="0"/>
              <w:spacing w:line="240" w:lineRule="atLeast"/>
              <w:jc w:val="center"/>
              <w:rPr>
                <w:rFonts w:ascii="Times New Roman" w:hAnsi="Times New Roman"/>
                <w:sz w:val="21"/>
                <w:szCs w:val="21"/>
              </w:rPr>
            </w:pPr>
          </w:p>
        </w:tc>
        <w:tc>
          <w:tcPr>
            <w:tcW w:w="1168" w:type="dxa"/>
            <w:vMerge w:val="continue"/>
            <w:vAlign w:val="center"/>
          </w:tcPr>
          <w:p>
            <w:pPr>
              <w:adjustRightInd w:val="0"/>
              <w:snapToGrid w:val="0"/>
              <w:spacing w:line="240" w:lineRule="atLeast"/>
              <w:jc w:val="center"/>
              <w:rPr>
                <w:rFonts w:ascii="Times New Roman" w:hAnsi="Times New Roman"/>
                <w:sz w:val="21"/>
                <w:szCs w:val="21"/>
              </w:rPr>
            </w:pPr>
          </w:p>
        </w:tc>
        <w:tc>
          <w:tcPr>
            <w:tcW w:w="3647" w:type="dxa"/>
            <w:gridSpan w:val="2"/>
            <w:vAlign w:val="center"/>
          </w:tcPr>
          <w:p>
            <w:pPr>
              <w:pStyle w:val="331"/>
              <w:outlineLvl w:val="9"/>
              <w:rPr>
                <w:rFonts w:ascii="Times New Roman" w:hAnsi="Times New Roman" w:cs="Times New Roman"/>
                <w:sz w:val="21"/>
                <w:szCs w:val="21"/>
              </w:rPr>
            </w:pPr>
            <w:r>
              <w:rPr>
                <w:rFonts w:ascii="Times New Roman" w:hAnsi="Times New Roman" w:cs="Times New Roman"/>
                <w:sz w:val="21"/>
                <w:szCs w:val="21"/>
              </w:rPr>
              <w:t>税收（万元）</w:t>
            </w:r>
          </w:p>
        </w:tc>
        <w:tc>
          <w:tcPr>
            <w:tcW w:w="1752" w:type="dxa"/>
            <w:vAlign w:val="center"/>
          </w:tcPr>
          <w:p>
            <w:pPr>
              <w:pStyle w:val="331"/>
              <w:jc w:val="center"/>
              <w:outlineLvl w:val="9"/>
              <w:rPr>
                <w:rFonts w:ascii="Times New Roman" w:hAnsi="Times New Roman" w:cs="Times New Roman"/>
                <w:sz w:val="21"/>
                <w:szCs w:val="21"/>
              </w:rPr>
            </w:pPr>
            <w:r>
              <w:rPr>
                <w:rFonts w:ascii="Times New Roman" w:hAnsi="Times New Roman" w:cs="Times New Roman"/>
                <w:sz w:val="21"/>
                <w:szCs w:val="21"/>
              </w:rPr>
              <w:t>增加</w:t>
            </w:r>
          </w:p>
        </w:tc>
        <w:tc>
          <w:tcPr>
            <w:tcW w:w="1606" w:type="dxa"/>
            <w:vMerge w:val="continue"/>
            <w:vAlign w:val="center"/>
          </w:tcPr>
          <w:p>
            <w:pPr>
              <w:pStyle w:val="331"/>
              <w:jc w:val="center"/>
              <w:outlineLvl w:val="9"/>
              <w:rPr>
                <w:rFonts w:ascii="Times New Roman" w:hAnsi="Times New Roman" w:cs="Times New Roman"/>
                <w:sz w:val="21"/>
                <w:szCs w:val="21"/>
              </w:rPr>
            </w:pPr>
          </w:p>
        </w:tc>
      </w:tr>
    </w:tbl>
    <w:p>
      <w:pPr>
        <w:adjustRightInd w:val="0"/>
        <w:snapToGrid w:val="0"/>
        <w:spacing w:line="440" w:lineRule="exact"/>
        <w:ind w:firstLine="480" w:firstLineChars="200"/>
        <w:rPr>
          <w:rFonts w:ascii="Times New Roman" w:hAnsi="Times New Roman"/>
        </w:rPr>
      </w:pPr>
      <w:r>
        <w:rPr>
          <w:rFonts w:ascii="Times New Roman" w:hAnsi="Times New Roman"/>
        </w:rPr>
        <w:t>此外，煤炭采掘和洗选在生产工艺和设备选型上应符合国家产业政策，煤炭采掘采用国内外较为先进的煤炭采掘、煤矿安全、煤炭贮运生产工艺和技术设备。并采用降低开采沉陷及矿山生态恢复措施和提高煤炭回采率的措施。确保煤矿机械化掘进比例≥95%、煤矿综合机械化采煤比例≥95%、原煤入选率100%。煤炭洗选采用国内外先进的煤炭洗选、选煤水闭路循环、煤炭贮运生产工艺和技术设备。生产工艺和装备水平各指标达到《煤炭采选业清洁生产评价指标体系》清洁生产水平Ⅰ级水平。</w:t>
      </w:r>
    </w:p>
    <w:p>
      <w:pPr>
        <w:pStyle w:val="4"/>
        <w:adjustRightInd w:val="0"/>
        <w:snapToGrid w:val="0"/>
        <w:spacing w:before="320" w:after="320" w:line="440" w:lineRule="exact"/>
        <w:jc w:val="left"/>
        <w:rPr>
          <w:rFonts w:ascii="Times New Roman" w:hAnsi="Times New Roman" w:eastAsia="宋体"/>
          <w:sz w:val="28"/>
        </w:rPr>
      </w:pPr>
      <w:bookmarkStart w:id="386" w:name="_Toc18838477"/>
      <w:bookmarkStart w:id="387" w:name="_Toc11735"/>
      <w:bookmarkStart w:id="388" w:name="_Toc163441039"/>
      <w:r>
        <w:rPr>
          <w:rFonts w:ascii="Times New Roman" w:hAnsi="Times New Roman" w:eastAsia="宋体"/>
          <w:sz w:val="28"/>
        </w:rPr>
        <w:t>9.2 矿区循环经济分析</w:t>
      </w:r>
      <w:bookmarkEnd w:id="386"/>
      <w:bookmarkEnd w:id="387"/>
      <w:bookmarkEnd w:id="388"/>
    </w:p>
    <w:p>
      <w:pPr>
        <w:adjustRightInd w:val="0"/>
        <w:snapToGrid w:val="0"/>
        <w:spacing w:line="440" w:lineRule="exact"/>
        <w:ind w:firstLine="480" w:firstLineChars="200"/>
        <w:rPr>
          <w:rFonts w:ascii="Times New Roman" w:hAnsi="Times New Roman"/>
        </w:rPr>
      </w:pPr>
      <w:r>
        <w:rPr>
          <w:rFonts w:ascii="Times New Roman" w:hAnsi="Times New Roman"/>
        </w:rPr>
        <w:t>循环经济是以资源的高效利用和循环利用为核心，以“减量化（Reduce）、再利用（Reuse）、资源化（Resources）”为原则（3R原则），以低消耗、低排放、高效率为基本特征的可持续的经济增长模式，是对“大量生产、大量消费、大量废弃”的传统增长模式的根本变革。</w:t>
      </w:r>
    </w:p>
    <w:p>
      <w:pPr>
        <w:pStyle w:val="5"/>
        <w:adjustRightInd w:val="0"/>
        <w:snapToGrid w:val="0"/>
        <w:spacing w:before="0" w:after="0" w:line="440" w:lineRule="exact"/>
        <w:rPr>
          <w:sz w:val="24"/>
        </w:rPr>
      </w:pPr>
      <w:r>
        <w:rPr>
          <w:sz w:val="24"/>
        </w:rPr>
        <w:t>9.2.1 矿区循环经济发展潜力</w:t>
      </w:r>
    </w:p>
    <w:p>
      <w:pPr>
        <w:adjustRightInd w:val="0"/>
        <w:snapToGrid w:val="0"/>
        <w:spacing w:line="440" w:lineRule="exact"/>
        <w:ind w:firstLine="480" w:firstLineChars="200"/>
        <w:rPr>
          <w:rFonts w:ascii="Times New Roman" w:hAnsi="Times New Roman"/>
        </w:rPr>
      </w:pPr>
      <w:r>
        <w:rPr>
          <w:rFonts w:ascii="Times New Roman" w:hAnsi="Times New Roman"/>
        </w:rPr>
        <w:t>矿区具有丰富的煤炭资源及煤炭生产过程中的副产品，为矿区发展循环经济、延伸产业链条提供了充足的空间，具有循环经济发展的潜力。具体来说，矿区循环经济发展潜力主要表现在以下几个方面：</w:t>
      </w:r>
    </w:p>
    <w:p>
      <w:pPr>
        <w:adjustRightInd w:val="0"/>
        <w:snapToGrid w:val="0"/>
        <w:spacing w:line="440" w:lineRule="exact"/>
        <w:ind w:firstLine="482" w:firstLineChars="200"/>
        <w:rPr>
          <w:rFonts w:ascii="Times New Roman" w:hAnsi="Times New Roman"/>
          <w:b/>
        </w:rPr>
      </w:pPr>
      <w:r>
        <w:rPr>
          <w:rFonts w:ascii="Times New Roman" w:hAnsi="Times New Roman"/>
          <w:b/>
        </w:rPr>
        <w:t>（1）煤炭资源</w:t>
      </w:r>
    </w:p>
    <w:p>
      <w:pPr>
        <w:pStyle w:val="670"/>
        <w:spacing w:line="440" w:lineRule="exact"/>
        <w:ind w:firstLine="480"/>
        <w:jc w:val="both"/>
        <w:rPr>
          <w:rFonts w:ascii="Times New Roman" w:hAnsi="Times New Roman" w:eastAsia="宋体" w:cs="Times New Roman"/>
        </w:rPr>
      </w:pPr>
      <w:r>
        <w:rPr>
          <w:rFonts w:ascii="Times New Roman" w:hAnsi="Times New Roman" w:eastAsia="宋体" w:cs="Times New Roman"/>
        </w:rPr>
        <w:t>根据矿区总体规划，</w:t>
      </w:r>
      <w:r>
        <w:rPr>
          <w:rFonts w:ascii="Times New Roman" w:hAnsi="Times New Roman" w:eastAsia="宋体" w:cs="Times New Roman"/>
          <w:lang w:val="en-US"/>
        </w:rPr>
        <w:t>纳林希里</w:t>
      </w:r>
      <w:r>
        <w:rPr>
          <w:rFonts w:ascii="Times New Roman" w:hAnsi="Times New Roman" w:eastAsia="宋体" w:cs="Times New Roman"/>
        </w:rPr>
        <w:t>矿区共有储量</w:t>
      </w:r>
      <w:r>
        <w:rPr>
          <w:rFonts w:ascii="Times New Roman" w:hAnsi="Times New Roman" w:cs="Times New Roman"/>
          <w:lang w:val="en-US"/>
        </w:rPr>
        <w:t>13658.769</w:t>
      </w:r>
      <w:r>
        <w:rPr>
          <w:rFonts w:ascii="Times New Roman" w:hAnsi="Times New Roman" w:cs="Times New Roman"/>
        </w:rPr>
        <w:t>Mt</w:t>
      </w:r>
      <w:r>
        <w:rPr>
          <w:rFonts w:ascii="Times New Roman" w:hAnsi="Times New Roman" w:eastAsia="宋体" w:cs="Times New Roman"/>
        </w:rPr>
        <w:t>。矿区主要煤类为不粘煤，主采煤层煤质为特低灰～低灰分，特低硫～低硫分，特低～低磷，高发热量不粘煤。有害元素含量甚少，对环境影响较小，可选性好，热稳定性高，是优质环保煤，可作为优质动力用煤、工业气化。</w:t>
      </w:r>
    </w:p>
    <w:p>
      <w:pPr>
        <w:adjustRightInd w:val="0"/>
        <w:snapToGrid w:val="0"/>
        <w:spacing w:line="440" w:lineRule="exact"/>
        <w:ind w:firstLine="482" w:firstLineChars="200"/>
        <w:rPr>
          <w:rFonts w:ascii="Times New Roman" w:hAnsi="Times New Roman"/>
          <w:b/>
        </w:rPr>
      </w:pPr>
      <w:r>
        <w:rPr>
          <w:rFonts w:ascii="Times New Roman" w:hAnsi="Times New Roman"/>
          <w:b/>
        </w:rPr>
        <w:t>（2）煤炭副产品</w:t>
      </w:r>
    </w:p>
    <w:p>
      <w:pPr>
        <w:adjustRightInd w:val="0"/>
        <w:snapToGrid w:val="0"/>
        <w:spacing w:line="440" w:lineRule="exact"/>
        <w:ind w:firstLine="480" w:firstLineChars="200"/>
        <w:rPr>
          <w:rFonts w:ascii="Times New Roman" w:hAnsi="Times New Roman"/>
        </w:rPr>
      </w:pPr>
      <w:r>
        <w:rPr>
          <w:rFonts w:ascii="Times New Roman" w:hAnsi="Times New Roman"/>
        </w:rPr>
        <w:t>1）矿井水</w:t>
      </w:r>
    </w:p>
    <w:p>
      <w:pPr>
        <w:adjustRightInd w:val="0"/>
        <w:snapToGrid w:val="0"/>
        <w:spacing w:line="440" w:lineRule="exact"/>
        <w:ind w:firstLine="480" w:firstLineChars="200"/>
        <w:rPr>
          <w:rFonts w:ascii="Times New Roman" w:hAnsi="Times New Roman"/>
        </w:rPr>
      </w:pPr>
      <w:r>
        <w:rPr>
          <w:rFonts w:ascii="Times New Roman" w:hAnsi="Times New Roman"/>
        </w:rPr>
        <w:t>矿区煤矿均为井工矿，矿区采煤将产生一定量的矿井水，矿井水的综合利用对于解决矿区发展用水十分重要。</w:t>
      </w:r>
    </w:p>
    <w:p>
      <w:pPr>
        <w:adjustRightInd w:val="0"/>
        <w:snapToGrid w:val="0"/>
        <w:spacing w:line="440" w:lineRule="exact"/>
        <w:ind w:firstLine="480" w:firstLineChars="200"/>
        <w:rPr>
          <w:rFonts w:ascii="Times New Roman" w:hAnsi="Times New Roman"/>
        </w:rPr>
      </w:pPr>
      <w:r>
        <w:rPr>
          <w:rFonts w:ascii="Times New Roman" w:hAnsi="Times New Roman"/>
        </w:rPr>
        <w:t>2）灰渣</w:t>
      </w:r>
    </w:p>
    <w:p>
      <w:pPr>
        <w:adjustRightInd w:val="0"/>
        <w:snapToGrid w:val="0"/>
        <w:spacing w:line="440" w:lineRule="exact"/>
        <w:ind w:firstLine="480" w:firstLineChars="200"/>
        <w:rPr>
          <w:rFonts w:ascii="Times New Roman" w:hAnsi="Times New Roman"/>
        </w:rPr>
      </w:pPr>
      <w:r>
        <w:rPr>
          <w:rFonts w:ascii="Times New Roman" w:hAnsi="Times New Roman"/>
        </w:rPr>
        <w:t>矿区达产时</w:t>
      </w:r>
      <w:r>
        <w:rPr>
          <w:rFonts w:ascii="Times New Roman" w:hAnsi="Times New Roman"/>
          <w:spacing w:val="3"/>
          <w:kern w:val="0"/>
        </w:rPr>
        <w:t>锅炉灰渣主要为各矿井工业场地供热锅炉产生的灰渣，锅炉灰渣可用于</w:t>
      </w:r>
      <w:r>
        <w:rPr>
          <w:rFonts w:ascii="Times New Roman" w:hAnsi="Times New Roman"/>
          <w:szCs w:val="24"/>
        </w:rPr>
        <w:t>井下防火灌浆、及</w:t>
      </w:r>
      <w:r>
        <w:rPr>
          <w:rFonts w:ascii="Times New Roman" w:hAnsi="Times New Roman"/>
          <w:spacing w:val="3"/>
          <w:kern w:val="0"/>
        </w:rPr>
        <w:t>矿区道路、</w:t>
      </w:r>
      <w:r>
        <w:rPr>
          <w:rFonts w:ascii="Times New Roman" w:hAnsi="Times New Roman"/>
          <w:szCs w:val="24"/>
        </w:rPr>
        <w:t>鄂尔多斯江苏工业园等道路市政建设综合利用</w:t>
      </w:r>
      <w:r>
        <w:rPr>
          <w:rFonts w:ascii="Times New Roman" w:hAnsi="Times New Roman"/>
          <w:spacing w:val="3"/>
          <w:kern w:val="0"/>
        </w:rPr>
        <w:t>。</w:t>
      </w:r>
    </w:p>
    <w:p>
      <w:pPr>
        <w:adjustRightInd w:val="0"/>
        <w:snapToGrid w:val="0"/>
        <w:spacing w:line="440" w:lineRule="exact"/>
        <w:ind w:firstLine="480" w:firstLineChars="200"/>
        <w:rPr>
          <w:rFonts w:ascii="Times New Roman" w:hAnsi="Times New Roman"/>
        </w:rPr>
      </w:pPr>
      <w:r>
        <w:rPr>
          <w:rFonts w:ascii="Times New Roman" w:hAnsi="Times New Roman"/>
        </w:rPr>
        <w:t>3）矸石</w:t>
      </w:r>
    </w:p>
    <w:p>
      <w:pPr>
        <w:pStyle w:val="573"/>
        <w:spacing w:line="440" w:lineRule="exact"/>
        <w:ind w:firstLine="480"/>
        <w:rPr>
          <w:rFonts w:ascii="Times New Roman" w:hAnsi="Times New Roman" w:eastAsia="宋体" w:cs="Times New Roman"/>
          <w:bCs w:val="0"/>
          <w:szCs w:val="20"/>
        </w:rPr>
      </w:pPr>
      <w:r>
        <w:rPr>
          <w:rFonts w:ascii="Times New Roman" w:hAnsi="Times New Roman" w:eastAsia="宋体" w:cs="Times New Roman"/>
          <w:bCs w:val="0"/>
          <w:szCs w:val="20"/>
        </w:rPr>
        <w:t>矿区达产时煤矸石产生量达到3.06Mt/a，矿井掘进矸石全部用于井下充填废弃巷道不出井，洗选矸石初期运往矸石周转场地临时堆存，后期主要用于井下充填采空区，综合利用率100%。</w:t>
      </w:r>
    </w:p>
    <w:p>
      <w:pPr>
        <w:adjustRightInd w:val="0"/>
        <w:snapToGrid w:val="0"/>
        <w:spacing w:line="440" w:lineRule="exact"/>
        <w:ind w:firstLine="480" w:firstLineChars="200"/>
        <w:rPr>
          <w:rFonts w:ascii="Times New Roman" w:hAnsi="Times New Roman"/>
        </w:rPr>
      </w:pPr>
      <w:r>
        <w:rPr>
          <w:rFonts w:ascii="Times New Roman" w:hAnsi="Times New Roman"/>
        </w:rPr>
        <w:t>4）煤泥水和煤泥</w:t>
      </w:r>
    </w:p>
    <w:p>
      <w:pPr>
        <w:adjustRightInd w:val="0"/>
        <w:snapToGrid w:val="0"/>
        <w:spacing w:line="440" w:lineRule="exact"/>
        <w:ind w:firstLine="480" w:firstLineChars="200"/>
        <w:rPr>
          <w:rFonts w:ascii="Times New Roman" w:hAnsi="Times New Roman"/>
        </w:rPr>
      </w:pPr>
      <w:r>
        <w:rPr>
          <w:rFonts w:ascii="Times New Roman" w:hAnsi="Times New Roman"/>
        </w:rPr>
        <w:t>煤炭洗选过程中将产生大量的煤泥水和煤泥，按照国家煤炭行业清洁生产要求，选煤厂煤泥水应实现闭路循环煤泥可掺入末煤销售。</w:t>
      </w:r>
    </w:p>
    <w:p>
      <w:pPr>
        <w:adjustRightInd w:val="0"/>
        <w:snapToGrid w:val="0"/>
        <w:spacing w:line="440" w:lineRule="exact"/>
        <w:ind w:firstLine="676" w:firstLineChars="282"/>
        <w:rPr>
          <w:rFonts w:ascii="Times New Roman" w:hAnsi="Times New Roman"/>
        </w:rPr>
      </w:pPr>
      <w:r>
        <w:rPr>
          <w:rFonts w:ascii="Times New Roman" w:hAnsi="Times New Roman"/>
        </w:rPr>
        <w:t>5）生产废水、生活污水和清净下水</w:t>
      </w:r>
    </w:p>
    <w:p>
      <w:pPr>
        <w:adjustRightInd w:val="0"/>
        <w:snapToGrid w:val="0"/>
        <w:spacing w:line="440" w:lineRule="exact"/>
        <w:ind w:firstLine="480" w:firstLineChars="200"/>
        <w:rPr>
          <w:rFonts w:ascii="Times New Roman" w:hAnsi="Times New Roman"/>
        </w:rPr>
      </w:pPr>
      <w:r>
        <w:rPr>
          <w:rFonts w:ascii="Times New Roman" w:hAnsi="Times New Roman"/>
        </w:rPr>
        <w:t>生产废水、生活污水及生产过程中产生的清净下水，经处理后可用于矿区煤矿、选煤厂生产生活用水。根据矿区规划，生产废水、生活污水及生产过程中产生的清净下水，也将成为矿区发展用水的水源之一。</w:t>
      </w:r>
    </w:p>
    <w:p>
      <w:pPr>
        <w:pStyle w:val="5"/>
        <w:adjustRightInd w:val="0"/>
        <w:snapToGrid w:val="0"/>
        <w:spacing w:before="0" w:after="0" w:line="440" w:lineRule="exact"/>
        <w:rPr>
          <w:sz w:val="24"/>
        </w:rPr>
      </w:pPr>
      <w:r>
        <w:rPr>
          <w:sz w:val="24"/>
        </w:rPr>
        <w:t>9.2.2 矿区循环经济发展分析</w:t>
      </w:r>
    </w:p>
    <w:p>
      <w:pPr>
        <w:adjustRightInd w:val="0"/>
        <w:snapToGrid w:val="0"/>
        <w:spacing w:line="440" w:lineRule="exact"/>
        <w:ind w:firstLine="480" w:firstLineChars="200"/>
        <w:rPr>
          <w:rFonts w:ascii="Times New Roman" w:hAnsi="Times New Roman"/>
        </w:rPr>
      </w:pPr>
      <w:r>
        <w:rPr>
          <w:rFonts w:ascii="Times New Roman" w:hAnsi="Times New Roman"/>
        </w:rPr>
        <w:t>产业链的本质是用于描述一个具有某种内在联系的产业群。具体到煤炭产业，凡属于下列三种情况之一的产业群就可以称作产业链：围绕满足煤炭企业生产过程，即勘探、测量、开采、运输、提升、通风、排水、产品加工类、电力供应等一系列活动)的最终需求所涉及到的一系列具有上下游关系的企业集合；满足煤炭生产过程的某一产品或服务从元器件到整机这一生产过程中所涉及到的企业集合；围绕着某一产品或服务的研发设计、生产、销售及售后服务所涉及到的企业集合。</w:t>
      </w:r>
    </w:p>
    <w:p>
      <w:pPr>
        <w:adjustRightInd w:val="0"/>
        <w:snapToGrid w:val="0"/>
        <w:spacing w:line="440" w:lineRule="exact"/>
        <w:ind w:firstLine="480" w:firstLineChars="200"/>
        <w:rPr>
          <w:rFonts w:ascii="Times New Roman" w:hAnsi="Times New Roman"/>
        </w:rPr>
      </w:pPr>
      <w:r>
        <w:rPr>
          <w:rFonts w:ascii="Times New Roman" w:hAnsi="Times New Roman"/>
        </w:rPr>
        <w:t>产业链的基本特征是存在大量的上下游关系。在一条产业链上，上游环节和下游环节之间存在交换关系，上游环节向下游环节输送产品（可以是有形的物质产品，也可以是技术和服务等特殊商品），下游环节向上游环节反馈价值。</w:t>
      </w:r>
    </w:p>
    <w:p>
      <w:pPr>
        <w:adjustRightInd w:val="0"/>
        <w:snapToGrid w:val="0"/>
        <w:spacing w:line="440" w:lineRule="exact"/>
        <w:ind w:firstLine="480" w:firstLineChars="200"/>
        <w:rPr>
          <w:rFonts w:ascii="Times New Roman" w:hAnsi="Times New Roman"/>
        </w:rPr>
      </w:pPr>
      <w:r>
        <w:rPr>
          <w:rFonts w:ascii="Times New Roman" w:hAnsi="Times New Roman"/>
        </w:rPr>
        <w:t>目前以煤炭资源为基础的价值纵向延伸方式有以下几种：煤炭-电力-市场、煤炭-电力-电解铝-市场、煤炭-气化-市场、煤炭-气化-化工-市场、煤炭-焦化-市场、煤炭-建材-市场、煤炭-液化-煤变油-化工-市场等。</w:t>
      </w:r>
    </w:p>
    <w:p>
      <w:pPr>
        <w:pStyle w:val="514"/>
        <w:spacing w:line="440" w:lineRule="exact"/>
        <w:ind w:firstLine="480"/>
      </w:pPr>
      <w:r>
        <w:t>根据前述分析，结合本区资源环境条件、矿区煤炭资源的特点及副产品的产生量，评价建议矿区产业链设计可走“煤炭-电力（建材/化工）-市场”的发展模式。</w:t>
      </w:r>
    </w:p>
    <w:p>
      <w:pPr>
        <w:spacing w:before="240" w:beforeLines="100" w:line="360" w:lineRule="auto"/>
        <w:rPr>
          <w:rFonts w:ascii="Times New Roman" w:hAnsi="Times New Roman"/>
        </w:rPr>
      </w:pPr>
    </w:p>
    <w:p>
      <w:pPr>
        <w:spacing w:line="520" w:lineRule="exact"/>
        <w:ind w:firstLine="480"/>
        <w:rPr>
          <w:rFonts w:ascii="Times New Roman" w:hAnsi="Times New Roman"/>
        </w:rPr>
        <w:sectPr>
          <w:headerReference r:id="rId34" w:type="default"/>
          <w:pgSz w:w="11907" w:h="16840"/>
          <w:pgMar w:top="1701" w:right="1418" w:bottom="1418" w:left="1418" w:header="1134" w:footer="851" w:gutter="0"/>
          <w:cols w:space="720" w:num="1"/>
          <w:docGrid w:linePitch="326" w:charSpace="0"/>
        </w:sectPr>
      </w:pPr>
    </w:p>
    <w:p>
      <w:pPr>
        <w:pStyle w:val="54"/>
        <w:keepNext/>
        <w:keepLines/>
        <w:widowControl w:val="0"/>
        <w:adjustRightInd w:val="0"/>
        <w:spacing w:before="360" w:beforeAutospacing="0" w:after="360" w:afterAutospacing="0" w:line="440" w:lineRule="exact"/>
        <w:jc w:val="center"/>
        <w:textAlignment w:val="baseline"/>
        <w:outlineLvl w:val="0"/>
        <w:rPr>
          <w:rFonts w:ascii="Times New Roman" w:hAnsi="Times New Roman" w:eastAsia="黑体"/>
          <w:color w:val="auto"/>
          <w:sz w:val="21"/>
          <w:szCs w:val="21"/>
        </w:rPr>
      </w:pPr>
      <w:bookmarkStart w:id="389" w:name="_Toc5860"/>
      <w:bookmarkStart w:id="390" w:name="_Toc18838482"/>
      <w:bookmarkStart w:id="391" w:name="_Toc163441049"/>
      <w:bookmarkStart w:id="392" w:name="_Toc125193024"/>
      <w:r>
        <w:rPr>
          <w:rFonts w:ascii="Times New Roman" w:hAnsi="Times New Roman"/>
          <w:b/>
          <w:bCs/>
          <w:color w:val="auto"/>
          <w:kern w:val="44"/>
          <w:sz w:val="32"/>
          <w:szCs w:val="32"/>
          <w:lang w:bidi="ar"/>
        </w:rPr>
        <w:t>10 公众参与</w:t>
      </w:r>
      <w:bookmarkEnd w:id="389"/>
    </w:p>
    <w:p>
      <w:pPr>
        <w:pStyle w:val="54"/>
        <w:keepNext/>
        <w:keepLines/>
        <w:widowControl w:val="0"/>
        <w:spacing w:before="260" w:beforeAutospacing="0" w:after="260" w:afterAutospacing="0" w:line="440" w:lineRule="exact"/>
        <w:jc w:val="left"/>
        <w:outlineLvl w:val="1"/>
        <w:rPr>
          <w:rFonts w:ascii="Times New Roman" w:hAnsi="Times New Roman"/>
          <w:b/>
          <w:color w:val="auto"/>
          <w:sz w:val="28"/>
          <w:szCs w:val="28"/>
        </w:rPr>
      </w:pPr>
      <w:bookmarkStart w:id="393" w:name="_Toc23046"/>
      <w:r>
        <w:rPr>
          <w:rFonts w:ascii="Times New Roman" w:hAnsi="Times New Roman"/>
          <w:b/>
          <w:color w:val="auto"/>
          <w:kern w:val="2"/>
          <w:sz w:val="28"/>
          <w:szCs w:val="28"/>
          <w:lang w:bidi="ar"/>
        </w:rPr>
        <w:t>10.1 公众参与目的</w:t>
      </w:r>
      <w:bookmarkEnd w:id="393"/>
    </w:p>
    <w:p>
      <w:pPr>
        <w:spacing w:line="440" w:lineRule="exact"/>
        <w:ind w:firstLine="480" w:firstLineChars="200"/>
        <w:rPr>
          <w:rFonts w:ascii="Times New Roman" w:hAnsi="Times New Roman" w:eastAsia="黑体"/>
          <w:szCs w:val="24"/>
        </w:rPr>
      </w:pPr>
      <w:r>
        <w:rPr>
          <w:rFonts w:ascii="Times New Roman" w:hAnsi="Times New Roman"/>
          <w:szCs w:val="24"/>
          <w:lang w:bidi="ar"/>
        </w:rPr>
        <w:t>公众参与的目的是让本规划环境影响评价工作更加民主化、科学化，让公众特别是受本规划直接影响的人群充分了解该规划的建设意义，对区域发展的作用和可能给当地社会经济特别是环境方面带来的正、负面影响，让公众充分发表自己的意见并表明对矿区开发的态度，使评价工作更为完善，更好地反映公众的具体要求并反馈到规划设计和环境管理中，为矿区开发和环境保护主管部门决策提供参考意见。</w:t>
      </w:r>
    </w:p>
    <w:p>
      <w:pPr>
        <w:pStyle w:val="54"/>
        <w:keepNext/>
        <w:keepLines/>
        <w:widowControl w:val="0"/>
        <w:spacing w:before="260" w:beforeAutospacing="0" w:after="260" w:afterAutospacing="0" w:line="440" w:lineRule="exact"/>
        <w:jc w:val="left"/>
        <w:outlineLvl w:val="1"/>
        <w:rPr>
          <w:rFonts w:ascii="Times New Roman" w:hAnsi="Times New Roman"/>
          <w:b/>
          <w:color w:val="auto"/>
          <w:sz w:val="28"/>
          <w:szCs w:val="28"/>
        </w:rPr>
      </w:pPr>
      <w:bookmarkStart w:id="394" w:name="_Toc31858"/>
      <w:r>
        <w:rPr>
          <w:rFonts w:ascii="Times New Roman" w:hAnsi="Times New Roman"/>
          <w:b/>
          <w:color w:val="auto"/>
          <w:kern w:val="2"/>
          <w:sz w:val="28"/>
          <w:szCs w:val="28"/>
          <w:lang w:bidi="ar"/>
        </w:rPr>
        <w:t>10.2 公众参与方式及结果</w:t>
      </w:r>
      <w:bookmarkEnd w:id="394"/>
    </w:p>
    <w:p>
      <w:pPr>
        <w:pStyle w:val="5"/>
        <w:widowControl/>
        <w:spacing w:before="120" w:line="440" w:lineRule="exact"/>
        <w:rPr>
          <w:rFonts w:eastAsia="黑体"/>
          <w:bCs/>
          <w:sz w:val="24"/>
          <w:szCs w:val="24"/>
        </w:rPr>
      </w:pPr>
      <w:r>
        <w:rPr>
          <w:rFonts w:eastAsia="黑体"/>
          <w:bCs/>
          <w:sz w:val="24"/>
          <w:szCs w:val="24"/>
        </w:rPr>
        <w:t xml:space="preserve">10.2.1 </w:t>
      </w:r>
      <w:r>
        <w:rPr>
          <w:bCs/>
          <w:sz w:val="24"/>
          <w:szCs w:val="24"/>
        </w:rPr>
        <w:t>网站公示</w:t>
      </w:r>
    </w:p>
    <w:p>
      <w:pPr>
        <w:spacing w:line="440" w:lineRule="exact"/>
        <w:ind w:firstLine="480" w:firstLineChars="200"/>
        <w:rPr>
          <w:rFonts w:ascii="Times New Roman" w:hAnsi="Times New Roman"/>
          <w:szCs w:val="24"/>
          <w:lang w:bidi="ar"/>
        </w:rPr>
      </w:pPr>
      <w:r>
        <w:rPr>
          <w:rFonts w:ascii="Times New Roman" w:hAnsi="Times New Roman"/>
          <w:szCs w:val="24"/>
          <w:lang w:bidi="ar"/>
        </w:rPr>
        <w:t>本次评价接受委托后于2021年11月22日进行了公众参与工作。采用网络公示的形式，在鄂尔多斯市能源局官网及微信公众号予以公示，网址：http://nyj.ordos.gov.cn/xxgg/hygg/202201/t20220112_3143037.html。公众号名称：鄂尔多斯市能源局。公示截图见下图10.2-1。</w:t>
      </w:r>
    </w:p>
    <w:p>
      <w:pPr>
        <w:ind w:firstLine="480" w:firstLineChars="200"/>
        <w:jc w:val="left"/>
        <w:rPr>
          <w:rFonts w:ascii="Times New Roman" w:hAnsi="Times New Roman"/>
          <w:szCs w:val="24"/>
          <w:lang w:bidi="ar"/>
        </w:rPr>
      </w:pPr>
      <w:r>
        <w:rPr>
          <w:rFonts w:ascii="Times New Roman" w:hAnsi="Times New Roman"/>
        </w:rPr>
        <w:drawing>
          <wp:inline distT="0" distB="0" distL="114300" distR="114300">
            <wp:extent cx="5085715" cy="3733165"/>
            <wp:effectExtent l="0" t="0" r="635" b="635"/>
            <wp:docPr id="4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6"/>
                    <pic:cNvPicPr>
                      <a:picLocks noChangeAspect="1"/>
                    </pic:cNvPicPr>
                  </pic:nvPicPr>
                  <pic:blipFill>
                    <a:blip r:embed="rId170"/>
                    <a:stretch>
                      <a:fillRect/>
                    </a:stretch>
                  </pic:blipFill>
                  <pic:spPr>
                    <a:xfrm>
                      <a:off x="0" y="0"/>
                      <a:ext cx="5085715" cy="3733165"/>
                    </a:xfrm>
                    <a:prstGeom prst="rect">
                      <a:avLst/>
                    </a:prstGeom>
                    <a:noFill/>
                    <a:ln>
                      <a:noFill/>
                    </a:ln>
                  </pic:spPr>
                </pic:pic>
              </a:graphicData>
            </a:graphic>
          </wp:inline>
        </w:drawing>
      </w:r>
    </w:p>
    <w:p>
      <w:pPr>
        <w:jc w:val="center"/>
        <w:rPr>
          <w:rFonts w:ascii="Times New Roman" w:hAnsi="Times New Roman" w:eastAsia="黑体"/>
          <w:sz w:val="21"/>
          <w:szCs w:val="21"/>
          <w:lang w:bidi="ar"/>
        </w:rPr>
      </w:pPr>
      <w:r>
        <w:rPr>
          <w:rFonts w:ascii="Times New Roman" w:hAnsi="Times New Roman" w:eastAsia="黑体"/>
          <w:sz w:val="21"/>
          <w:szCs w:val="21"/>
        </w:rPr>
        <w:drawing>
          <wp:inline distT="0" distB="0" distL="114300" distR="114300">
            <wp:extent cx="3068320" cy="4106545"/>
            <wp:effectExtent l="0" t="0" r="17780" b="8255"/>
            <wp:docPr id="71" name="图片 71" descr="第一次公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第一次公参"/>
                    <pic:cNvPicPr>
                      <a:picLocks noChangeAspect="1"/>
                    </pic:cNvPicPr>
                  </pic:nvPicPr>
                  <pic:blipFill>
                    <a:blip r:embed="rId171"/>
                    <a:stretch>
                      <a:fillRect/>
                    </a:stretch>
                  </pic:blipFill>
                  <pic:spPr>
                    <a:xfrm>
                      <a:off x="0" y="0"/>
                      <a:ext cx="3068320" cy="4106545"/>
                    </a:xfrm>
                    <a:prstGeom prst="rect">
                      <a:avLst/>
                    </a:prstGeom>
                  </pic:spPr>
                </pic:pic>
              </a:graphicData>
            </a:graphic>
          </wp:inline>
        </w:drawing>
      </w:r>
    </w:p>
    <w:p>
      <w:pPr>
        <w:jc w:val="center"/>
        <w:rPr>
          <w:rFonts w:ascii="Times New Roman" w:hAnsi="Times New Roman" w:eastAsia="黑体"/>
          <w:sz w:val="21"/>
          <w:szCs w:val="21"/>
          <w:lang w:bidi="ar"/>
        </w:rPr>
      </w:pPr>
    </w:p>
    <w:p>
      <w:pPr>
        <w:jc w:val="center"/>
        <w:rPr>
          <w:rFonts w:ascii="Times New Roman" w:hAnsi="Times New Roman" w:eastAsia="黑体"/>
          <w:sz w:val="21"/>
          <w:szCs w:val="21"/>
          <w:lang w:bidi="ar"/>
        </w:rPr>
      </w:pPr>
      <w:r>
        <w:rPr>
          <w:rFonts w:ascii="Times New Roman" w:hAnsi="Times New Roman" w:eastAsia="黑体"/>
          <w:sz w:val="21"/>
          <w:szCs w:val="21"/>
        </w:rPr>
        <w:drawing>
          <wp:inline distT="0" distB="0" distL="114300" distR="114300">
            <wp:extent cx="2877820" cy="3681730"/>
            <wp:effectExtent l="0" t="0" r="17780" b="13970"/>
            <wp:docPr id="77" name="图片 77" descr="第一次公参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第一次公参2"/>
                    <pic:cNvPicPr>
                      <a:picLocks noChangeAspect="1"/>
                    </pic:cNvPicPr>
                  </pic:nvPicPr>
                  <pic:blipFill>
                    <a:blip r:embed="rId172"/>
                    <a:stretch>
                      <a:fillRect/>
                    </a:stretch>
                  </pic:blipFill>
                  <pic:spPr>
                    <a:xfrm>
                      <a:off x="0" y="0"/>
                      <a:ext cx="2877820" cy="3681730"/>
                    </a:xfrm>
                    <a:prstGeom prst="rect">
                      <a:avLst/>
                    </a:prstGeom>
                  </pic:spPr>
                </pic:pic>
              </a:graphicData>
            </a:graphic>
          </wp:inline>
        </w:drawing>
      </w:r>
    </w:p>
    <w:p>
      <w:pPr>
        <w:spacing w:line="440" w:lineRule="exact"/>
        <w:jc w:val="center"/>
        <w:rPr>
          <w:rFonts w:ascii="Times New Roman" w:hAnsi="Times New Roman"/>
          <w:b/>
          <w:szCs w:val="24"/>
          <w:lang w:bidi="ar"/>
        </w:rPr>
      </w:pPr>
      <w:r>
        <w:rPr>
          <w:rFonts w:ascii="Times New Roman" w:hAnsi="Times New Roman"/>
          <w:b/>
          <w:szCs w:val="24"/>
          <w:lang w:bidi="ar"/>
        </w:rPr>
        <w:t>图</w:t>
      </w:r>
      <w:r>
        <w:rPr>
          <w:rFonts w:ascii="Times New Roman" w:hAnsi="Times New Roman" w:eastAsia="黑体"/>
          <w:b/>
          <w:szCs w:val="24"/>
          <w:lang w:bidi="ar"/>
        </w:rPr>
        <w:t xml:space="preserve">10.2-1 </w:t>
      </w:r>
      <w:r>
        <w:rPr>
          <w:rFonts w:ascii="Times New Roman" w:hAnsi="Times New Roman"/>
          <w:b/>
          <w:szCs w:val="24"/>
          <w:lang w:bidi="ar"/>
        </w:rPr>
        <w:t>接受委托后网络公参公示</w:t>
      </w:r>
    </w:p>
    <w:p>
      <w:pPr>
        <w:spacing w:line="440" w:lineRule="exact"/>
        <w:jc w:val="center"/>
        <w:rPr>
          <w:rFonts w:ascii="Times New Roman" w:hAnsi="Times New Roman"/>
          <w:b/>
          <w:szCs w:val="24"/>
          <w:lang w:bidi="ar"/>
        </w:rPr>
      </w:pPr>
    </w:p>
    <w:p>
      <w:pPr>
        <w:spacing w:line="440" w:lineRule="exact"/>
        <w:rPr>
          <w:rFonts w:ascii="Times New Roman" w:hAnsi="Times New Roman"/>
          <w:b/>
          <w:szCs w:val="24"/>
          <w:lang w:bidi="ar"/>
        </w:rPr>
        <w:sectPr>
          <w:headerReference r:id="rId35" w:type="default"/>
          <w:footerReference r:id="rId36" w:type="default"/>
          <w:pgSz w:w="11907" w:h="16840"/>
          <w:pgMar w:top="1701" w:right="1418" w:bottom="1418" w:left="1418" w:header="1134" w:footer="851" w:gutter="0"/>
          <w:cols w:space="720" w:num="1"/>
          <w:docGrid w:linePitch="312" w:charSpace="0"/>
        </w:sectPr>
      </w:pPr>
    </w:p>
    <w:p>
      <w:pPr>
        <w:pStyle w:val="5"/>
        <w:widowControl/>
        <w:spacing w:before="120" w:line="440" w:lineRule="exact"/>
        <w:rPr>
          <w:bCs/>
          <w:sz w:val="24"/>
          <w:szCs w:val="24"/>
        </w:rPr>
      </w:pPr>
      <w:r>
        <w:rPr>
          <w:bCs/>
          <w:sz w:val="24"/>
          <w:szCs w:val="24"/>
        </w:rPr>
        <w:t>10.2.2 第二次公众参与公示</w:t>
      </w:r>
    </w:p>
    <w:p>
      <w:pPr>
        <w:spacing w:line="440" w:lineRule="exact"/>
        <w:ind w:firstLine="482" w:firstLineChars="200"/>
        <w:rPr>
          <w:rFonts w:ascii="Times New Roman" w:hAnsi="Times New Roman"/>
          <w:b/>
          <w:bCs/>
          <w:kern w:val="24"/>
          <w:szCs w:val="24"/>
          <w:lang w:bidi="ar"/>
        </w:rPr>
      </w:pPr>
      <w:r>
        <w:rPr>
          <w:rFonts w:ascii="Times New Roman" w:hAnsi="Times New Roman"/>
          <w:b/>
          <w:bCs/>
          <w:kern w:val="24"/>
          <w:szCs w:val="24"/>
          <w:lang w:bidi="ar"/>
        </w:rPr>
        <w:t>（1）公众参与过程与时间</w:t>
      </w:r>
    </w:p>
    <w:p>
      <w:pPr>
        <w:spacing w:line="440" w:lineRule="exact"/>
        <w:ind w:firstLine="480" w:firstLineChars="200"/>
        <w:rPr>
          <w:rFonts w:ascii="Times New Roman" w:hAnsi="Times New Roman"/>
          <w:szCs w:val="24"/>
          <w:lang w:bidi="ar"/>
        </w:rPr>
      </w:pPr>
      <w:r>
        <w:rPr>
          <w:rFonts w:ascii="Times New Roman" w:hAnsi="Times New Roman"/>
          <w:kern w:val="24"/>
          <w:szCs w:val="24"/>
          <w:lang w:bidi="ar"/>
        </w:rPr>
        <w:t>报告书基本编制完成时，</w:t>
      </w:r>
      <w:r>
        <w:rPr>
          <w:rFonts w:ascii="Times New Roman" w:hAnsi="Times New Roman"/>
        </w:rPr>
        <w:t>编写环评报告书征求意见稿，</w:t>
      </w:r>
      <w:r>
        <w:rPr>
          <w:rFonts w:ascii="Times New Roman" w:hAnsi="Times New Roman"/>
          <w:szCs w:val="24"/>
          <w:lang w:bidi="ar"/>
        </w:rPr>
        <w:t>在鄂尔多斯市能源局官网（http://nyj.ordos.gov.cn/xxgg/hygg/202201/t20220112_3143037.html）及微信公众号</w:t>
      </w:r>
      <w:r>
        <w:rPr>
          <w:rFonts w:ascii="Times New Roman" w:hAnsi="Times New Roman"/>
        </w:rPr>
        <w:t>公告了征求意见稿下载链接地址及公众参与调查表下载链接</w:t>
      </w:r>
      <w:r>
        <w:rPr>
          <w:rFonts w:ascii="Times New Roman" w:hAnsi="Times New Roman"/>
          <w:szCs w:val="24"/>
          <w:lang w:bidi="ar"/>
        </w:rPr>
        <w:t>。同时，</w:t>
      </w:r>
      <w:r>
        <w:rPr>
          <w:rFonts w:ascii="Times New Roman" w:hAnsi="Times New Roman"/>
        </w:rPr>
        <w:t>向鄂尔多斯市相关政府部门及伊金霍洛旗、杭锦旗人民政府以及矿区各井田部分居民发放了公参调查表收集意见。</w:t>
      </w:r>
    </w:p>
    <w:p>
      <w:pPr>
        <w:spacing w:line="440" w:lineRule="exact"/>
        <w:ind w:firstLine="480" w:firstLineChars="200"/>
        <w:rPr>
          <w:rFonts w:ascii="Times New Roman" w:hAnsi="Times New Roman"/>
          <w:szCs w:val="24"/>
          <w:lang w:bidi="ar"/>
        </w:rPr>
      </w:pPr>
      <w:r>
        <w:rPr>
          <w:rFonts w:ascii="Times New Roman" w:hAnsi="Times New Roman"/>
          <w:kern w:val="24"/>
          <w:szCs w:val="24"/>
          <w:lang w:bidi="ar"/>
        </w:rPr>
        <w:t>公示日期为2022年1月12日至2022年1月25日，为期10个工作日</w:t>
      </w:r>
      <w:r>
        <w:rPr>
          <w:rFonts w:ascii="Times New Roman" w:hAnsi="Times New Roman"/>
          <w:szCs w:val="24"/>
          <w:lang w:bidi="ar"/>
        </w:rPr>
        <w:t>。</w:t>
      </w:r>
    </w:p>
    <w:p>
      <w:pPr>
        <w:spacing w:line="440" w:lineRule="exact"/>
        <w:ind w:firstLine="482" w:firstLineChars="200"/>
        <w:rPr>
          <w:rFonts w:ascii="Times New Roman" w:hAnsi="Times New Roman"/>
          <w:b/>
          <w:bCs/>
          <w:szCs w:val="24"/>
          <w:lang w:bidi="ar"/>
        </w:rPr>
      </w:pPr>
      <w:r>
        <w:rPr>
          <w:rFonts w:ascii="Times New Roman" w:hAnsi="Times New Roman"/>
          <w:b/>
          <w:bCs/>
          <w:szCs w:val="24"/>
          <w:lang w:bidi="ar"/>
        </w:rPr>
        <w:t>（2）公示情况</w:t>
      </w:r>
    </w:p>
    <w:p>
      <w:pPr>
        <w:spacing w:line="440" w:lineRule="exact"/>
        <w:ind w:firstLine="480" w:firstLineChars="200"/>
        <w:rPr>
          <w:rFonts w:ascii="Times New Roman" w:hAnsi="Times New Roman"/>
          <w:szCs w:val="24"/>
        </w:rPr>
      </w:pPr>
      <w:r>
        <w:rPr>
          <w:rFonts w:ascii="Times New Roman" w:hAnsi="Times New Roman"/>
          <w:szCs w:val="24"/>
          <w:lang w:bidi="ar"/>
        </w:rPr>
        <w:t>公示情况见图10.2-2。</w:t>
      </w:r>
    </w:p>
    <w:p>
      <w:pPr>
        <w:jc w:val="center"/>
        <w:rPr>
          <w:rFonts w:ascii="Times New Roman" w:hAnsi="Times New Roman"/>
          <w:b/>
          <w:szCs w:val="24"/>
        </w:rPr>
      </w:pPr>
      <w:r>
        <w:rPr>
          <w:rFonts w:ascii="Times New Roman" w:hAnsi="Times New Roman"/>
        </w:rPr>
        <w:drawing>
          <wp:inline distT="0" distB="0" distL="114300" distR="114300">
            <wp:extent cx="5747385" cy="4015105"/>
            <wp:effectExtent l="0" t="0" r="5715" b="4445"/>
            <wp:docPr id="3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5"/>
                    <pic:cNvPicPr>
                      <a:picLocks noChangeAspect="1"/>
                    </pic:cNvPicPr>
                  </pic:nvPicPr>
                  <pic:blipFill>
                    <a:blip r:embed="rId173"/>
                    <a:stretch>
                      <a:fillRect/>
                    </a:stretch>
                  </pic:blipFill>
                  <pic:spPr>
                    <a:xfrm>
                      <a:off x="0" y="0"/>
                      <a:ext cx="5747385" cy="4015105"/>
                    </a:xfrm>
                    <a:prstGeom prst="rect">
                      <a:avLst/>
                    </a:prstGeom>
                    <a:noFill/>
                    <a:ln>
                      <a:noFill/>
                    </a:ln>
                  </pic:spPr>
                </pic:pic>
              </a:graphicData>
            </a:graphic>
          </wp:inline>
        </w:drawing>
      </w:r>
    </w:p>
    <w:p>
      <w:pPr>
        <w:jc w:val="center"/>
        <w:rPr>
          <w:rFonts w:ascii="Times New Roman" w:hAnsi="Times New Roman"/>
          <w:b/>
          <w:szCs w:val="24"/>
        </w:rPr>
      </w:pPr>
      <w:r>
        <w:rPr>
          <w:rFonts w:ascii="Times New Roman" w:hAnsi="Times New Roman"/>
          <w:b/>
          <w:szCs w:val="24"/>
          <w:lang w:bidi="ar"/>
        </w:rPr>
        <w:t>图10.2-2    第二次环评信息公告情况</w:t>
      </w:r>
    </w:p>
    <w:p>
      <w:pPr>
        <w:ind w:firstLine="482" w:firstLineChars="200"/>
        <w:rPr>
          <w:rFonts w:ascii="Times New Roman" w:hAnsi="Times New Roman"/>
          <w:b/>
          <w:bCs/>
          <w:szCs w:val="24"/>
          <w:lang w:bidi="ar"/>
        </w:rPr>
      </w:pPr>
    </w:p>
    <w:p>
      <w:pPr>
        <w:ind w:firstLine="482" w:firstLineChars="200"/>
        <w:rPr>
          <w:rFonts w:ascii="Times New Roman" w:hAnsi="Times New Roman"/>
          <w:b/>
          <w:bCs/>
          <w:szCs w:val="24"/>
          <w:lang w:bidi="ar"/>
        </w:rPr>
      </w:pPr>
      <w:r>
        <w:rPr>
          <w:rFonts w:ascii="Times New Roman" w:hAnsi="Times New Roman"/>
          <w:b/>
          <w:bCs/>
          <w:szCs w:val="24"/>
          <w:lang w:bidi="ar"/>
        </w:rPr>
        <w:t>（3）问卷调查结果</w:t>
      </w:r>
    </w:p>
    <w:p>
      <w:pPr>
        <w:widowControl/>
        <w:adjustRightInd w:val="0"/>
        <w:snapToGrid w:val="0"/>
        <w:spacing w:line="440" w:lineRule="exact"/>
        <w:ind w:firstLine="420"/>
        <w:rPr>
          <w:rFonts w:ascii="Times New Roman" w:hAnsi="Times New Roman"/>
          <w:szCs w:val="24"/>
        </w:rPr>
      </w:pPr>
      <w:r>
        <w:rPr>
          <w:rFonts w:ascii="Times New Roman" w:hAnsi="Times New Roman"/>
          <w:szCs w:val="24"/>
          <w:lang w:bidi="ar"/>
        </w:rPr>
        <w:t>本次公参调查收到团体问卷4份，个人问卷137份，其中奎腾沟井田居民34份，苏布尔噶井田居民8份，壕赖苏井田居民37份，纳林希里井田居民58份。</w:t>
      </w:r>
    </w:p>
    <w:p>
      <w:pPr>
        <w:ind w:firstLine="482" w:firstLineChars="200"/>
        <w:rPr>
          <w:rFonts w:ascii="Times New Roman" w:hAnsi="Times New Roman"/>
          <w:b/>
          <w:bCs/>
        </w:rPr>
      </w:pPr>
      <w:r>
        <w:rPr>
          <w:rFonts w:ascii="Times New Roman" w:hAnsi="Times New Roman"/>
          <w:b/>
          <w:bCs/>
        </w:rPr>
        <w:t>1）团体问卷</w:t>
      </w:r>
    </w:p>
    <w:p>
      <w:pPr>
        <w:widowControl/>
        <w:adjustRightInd w:val="0"/>
        <w:snapToGrid w:val="0"/>
        <w:spacing w:line="440" w:lineRule="exact"/>
        <w:ind w:firstLine="480" w:firstLineChars="200"/>
        <w:rPr>
          <w:rFonts w:ascii="Times New Roman" w:hAnsi="Times New Roman"/>
          <w:szCs w:val="24"/>
        </w:rPr>
      </w:pPr>
      <w:r>
        <w:rPr>
          <w:rFonts w:ascii="Times New Roman" w:hAnsi="Times New Roman"/>
          <w:szCs w:val="24"/>
          <w:lang w:bidi="ar"/>
        </w:rPr>
        <w:t>团体问卷分别来自于鄂尔多斯市生态环境局、鄂尔多斯市水利局、鄂尔多斯市自然资源局、伊金霍洛旗人民政府，调查统计结果见表10.2-1。</w:t>
      </w:r>
    </w:p>
    <w:p>
      <w:pPr>
        <w:topLinePunct/>
        <w:snapToGrid w:val="0"/>
        <w:spacing w:line="440" w:lineRule="exact"/>
        <w:jc w:val="center"/>
        <w:rPr>
          <w:rFonts w:ascii="Times New Roman" w:hAnsi="Times New Roman"/>
          <w:b/>
          <w:bCs/>
          <w:kern w:val="24"/>
          <w:szCs w:val="24"/>
        </w:rPr>
      </w:pPr>
      <w:r>
        <w:rPr>
          <w:rFonts w:ascii="Times New Roman" w:hAnsi="Times New Roman"/>
          <w:b/>
          <w:bCs/>
          <w:kern w:val="24"/>
          <w:szCs w:val="24"/>
          <w:lang w:bidi="ar"/>
        </w:rPr>
        <w:t>公众参与调查统计结果（团体）</w:t>
      </w:r>
    </w:p>
    <w:p>
      <w:pPr>
        <w:widowControl/>
        <w:adjustRightInd w:val="0"/>
        <w:snapToGrid w:val="0"/>
        <w:spacing w:line="440" w:lineRule="exact"/>
        <w:ind w:firstLine="240" w:firstLineChars="100"/>
        <w:outlineLvl w:val="4"/>
        <w:rPr>
          <w:rFonts w:ascii="Times New Roman" w:hAnsi="Times New Roman"/>
          <w:kern w:val="0"/>
          <w:szCs w:val="24"/>
        </w:rPr>
      </w:pPr>
      <w:r>
        <w:rPr>
          <w:rFonts w:ascii="Times New Roman" w:hAnsi="Times New Roman"/>
          <w:kern w:val="0"/>
          <w:szCs w:val="24"/>
          <w:lang w:bidi="ar"/>
        </w:rPr>
        <w:t>表10.2-1</w:t>
      </w:r>
    </w:p>
    <w:tbl>
      <w:tblPr>
        <w:tblStyle w:val="59"/>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695"/>
        <w:gridCol w:w="2737"/>
        <w:gridCol w:w="1955"/>
        <w:gridCol w:w="1701"/>
        <w:gridCol w:w="1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序号</w:t>
            </w:r>
          </w:p>
        </w:tc>
        <w:tc>
          <w:tcPr>
            <w:tcW w:w="4692"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内   容</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数量</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lang w:bidi="ar"/>
              </w:rPr>
              <w:t>1</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你是否</w:t>
            </w:r>
            <w:r>
              <w:rPr>
                <w:rFonts w:ascii="Times New Roman" w:hAnsi="Times New Roman"/>
                <w:sz w:val="18"/>
                <w:szCs w:val="18"/>
                <w:lang w:bidi="ar"/>
              </w:rPr>
              <w:t>了解该矿区总体规划</w:t>
            </w:r>
            <w:r>
              <w:rPr>
                <w:rFonts w:ascii="Times New Roman" w:hAnsi="Times New Roman"/>
                <w:kern w:val="0"/>
                <w:sz w:val="18"/>
                <w:szCs w:val="18"/>
                <w:lang w:bidi="ar"/>
              </w:rPr>
              <w:t>？</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了解</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3</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rPr>
              <w:t>一般了解</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不了解</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lang w:bidi="ar"/>
              </w:rPr>
              <w:t>2</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pacing w:line="240" w:lineRule="exact"/>
              <w:textAlignment w:val="baseline"/>
              <w:rPr>
                <w:rFonts w:ascii="Times New Roman" w:hAnsi="Times New Roman"/>
                <w:kern w:val="0"/>
                <w:sz w:val="18"/>
                <w:szCs w:val="18"/>
              </w:rPr>
            </w:pPr>
            <w:r>
              <w:rPr>
                <w:rFonts w:ascii="Times New Roman" w:hAnsi="Times New Roman"/>
                <w:kern w:val="0"/>
                <w:sz w:val="18"/>
                <w:szCs w:val="18"/>
                <w:lang w:bidi="ar"/>
              </w:rPr>
              <w:t>您认为矿区目前环境状况怎样？</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很好</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较好</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3</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一般</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较差</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不知道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lang w:bidi="ar"/>
              </w:rPr>
              <w:t>3</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pacing w:line="240" w:lineRule="exact"/>
              <w:textAlignment w:val="baseline"/>
              <w:rPr>
                <w:rFonts w:ascii="Times New Roman" w:hAnsi="Times New Roman"/>
                <w:kern w:val="0"/>
                <w:sz w:val="18"/>
                <w:szCs w:val="18"/>
              </w:rPr>
            </w:pPr>
            <w:r>
              <w:rPr>
                <w:rFonts w:ascii="Times New Roman" w:hAnsi="Times New Roman"/>
                <w:kern w:val="0"/>
                <w:sz w:val="18"/>
                <w:szCs w:val="18"/>
                <w:lang w:bidi="ar"/>
              </w:rPr>
              <w:t>您认为当地目前主要环境问题是？</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环境空气污染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地表水污染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地下水污染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噪声污染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固体废弃物堆置</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生态环境较差</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水土流失</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其他</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restart"/>
            <w:tcBorders>
              <w:top w:val="nil"/>
              <w:left w:val="single" w:color="auto" w:sz="4" w:space="0"/>
              <w:right w:val="single" w:color="auto" w:sz="4" w:space="0"/>
            </w:tcBorders>
            <w:shd w:val="clear" w:color="auto" w:fill="auto"/>
            <w:vAlign w:val="center"/>
          </w:tcPr>
          <w:p>
            <w:pPr>
              <w:jc w:val="center"/>
              <w:rPr>
                <w:rFonts w:ascii="Times New Roman" w:hAnsi="Times New Roman"/>
                <w:sz w:val="18"/>
                <w:szCs w:val="18"/>
              </w:rPr>
            </w:pPr>
            <w:r>
              <w:rPr>
                <w:rFonts w:ascii="Times New Roman" w:hAnsi="Times New Roman"/>
                <w:sz w:val="18"/>
                <w:szCs w:val="18"/>
              </w:rPr>
              <w:t>4</w:t>
            </w:r>
          </w:p>
        </w:tc>
        <w:tc>
          <w:tcPr>
            <w:tcW w:w="2737" w:type="dxa"/>
            <w:vMerge w:val="restart"/>
            <w:tcBorders>
              <w:top w:val="nil"/>
              <w:left w:val="single" w:color="auto" w:sz="4" w:space="0"/>
              <w:right w:val="single" w:color="auto" w:sz="4" w:space="0"/>
            </w:tcBorders>
            <w:shd w:val="clear" w:color="auto" w:fill="auto"/>
            <w:vAlign w:val="center"/>
          </w:tcPr>
          <w:p>
            <w:pPr>
              <w:jc w:val="left"/>
              <w:rPr>
                <w:rFonts w:ascii="Times New Roman" w:hAnsi="Times New Roman"/>
                <w:sz w:val="18"/>
                <w:szCs w:val="18"/>
              </w:rPr>
            </w:pPr>
            <w:r>
              <w:rPr>
                <w:rFonts w:ascii="Times New Roman" w:hAnsi="Times New Roman"/>
                <w:sz w:val="18"/>
                <w:szCs w:val="18"/>
              </w:rPr>
              <w:t>您认为矿区总体规划实施会给当地环境哪些方面带来不利影响</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lang w:bidi="ar"/>
              </w:rPr>
            </w:pPr>
            <w:r>
              <w:rPr>
                <w:rFonts w:ascii="Times New Roman" w:hAnsi="Times New Roman"/>
                <w:kern w:val="0"/>
                <w:sz w:val="18"/>
                <w:szCs w:val="18"/>
                <w:lang w:bidi="ar"/>
              </w:rPr>
              <w:t>空气</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14.29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left w:val="single" w:color="auto" w:sz="4" w:space="0"/>
              <w:right w:val="single" w:color="auto" w:sz="4" w:space="0"/>
            </w:tcBorders>
            <w:shd w:val="clear" w:color="auto" w:fill="auto"/>
            <w:vAlign w:val="center"/>
          </w:tcPr>
          <w:p>
            <w:pPr>
              <w:jc w:val="center"/>
              <w:rPr>
                <w:rFonts w:ascii="Times New Roman" w:hAnsi="Times New Roman"/>
                <w:sz w:val="18"/>
                <w:szCs w:val="18"/>
              </w:rPr>
            </w:pPr>
          </w:p>
        </w:tc>
        <w:tc>
          <w:tcPr>
            <w:tcW w:w="2737" w:type="dxa"/>
            <w:vMerge w:val="continue"/>
            <w:tcBorders>
              <w:left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lang w:bidi="ar"/>
              </w:rPr>
            </w:pPr>
            <w:r>
              <w:rPr>
                <w:rFonts w:ascii="Times New Roman" w:hAnsi="Times New Roman"/>
                <w:kern w:val="0"/>
                <w:sz w:val="18"/>
                <w:szCs w:val="18"/>
                <w:lang w:bidi="ar"/>
              </w:rPr>
              <w:t>地表水</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3</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21.43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left w:val="single" w:color="auto" w:sz="4" w:space="0"/>
              <w:right w:val="single" w:color="auto" w:sz="4" w:space="0"/>
            </w:tcBorders>
            <w:shd w:val="clear" w:color="auto" w:fill="auto"/>
            <w:vAlign w:val="center"/>
          </w:tcPr>
          <w:p>
            <w:pPr>
              <w:jc w:val="center"/>
              <w:rPr>
                <w:rFonts w:ascii="Times New Roman" w:hAnsi="Times New Roman"/>
                <w:sz w:val="18"/>
                <w:szCs w:val="18"/>
              </w:rPr>
            </w:pPr>
          </w:p>
        </w:tc>
        <w:tc>
          <w:tcPr>
            <w:tcW w:w="2737" w:type="dxa"/>
            <w:vMerge w:val="continue"/>
            <w:tcBorders>
              <w:left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lang w:bidi="ar"/>
              </w:rPr>
            </w:pPr>
            <w:r>
              <w:rPr>
                <w:rFonts w:ascii="Times New Roman" w:hAnsi="Times New Roman"/>
                <w:kern w:val="0"/>
                <w:sz w:val="18"/>
                <w:szCs w:val="18"/>
                <w:lang w:bidi="ar"/>
              </w:rPr>
              <w:t>地下水</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4</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28.57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left w:val="single" w:color="auto" w:sz="4" w:space="0"/>
              <w:right w:val="single" w:color="auto" w:sz="4" w:space="0"/>
            </w:tcBorders>
            <w:shd w:val="clear" w:color="auto" w:fill="auto"/>
            <w:vAlign w:val="center"/>
          </w:tcPr>
          <w:p>
            <w:pPr>
              <w:jc w:val="center"/>
              <w:rPr>
                <w:rFonts w:ascii="Times New Roman" w:hAnsi="Times New Roman"/>
                <w:sz w:val="18"/>
                <w:szCs w:val="18"/>
              </w:rPr>
            </w:pPr>
          </w:p>
        </w:tc>
        <w:tc>
          <w:tcPr>
            <w:tcW w:w="2737" w:type="dxa"/>
            <w:vMerge w:val="continue"/>
            <w:tcBorders>
              <w:left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lang w:bidi="ar"/>
              </w:rPr>
            </w:pPr>
            <w:r>
              <w:rPr>
                <w:rFonts w:ascii="Times New Roman" w:hAnsi="Times New Roman"/>
                <w:kern w:val="0"/>
                <w:sz w:val="18"/>
                <w:szCs w:val="18"/>
                <w:lang w:bidi="ar"/>
              </w:rPr>
              <w:t>噪声</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left w:val="single" w:color="auto" w:sz="4" w:space="0"/>
              <w:right w:val="single" w:color="auto" w:sz="4" w:space="0"/>
            </w:tcBorders>
            <w:shd w:val="clear" w:color="auto" w:fill="auto"/>
            <w:vAlign w:val="center"/>
          </w:tcPr>
          <w:p>
            <w:pPr>
              <w:jc w:val="center"/>
              <w:rPr>
                <w:rFonts w:ascii="Times New Roman" w:hAnsi="Times New Roman"/>
                <w:sz w:val="18"/>
                <w:szCs w:val="18"/>
              </w:rPr>
            </w:pPr>
          </w:p>
        </w:tc>
        <w:tc>
          <w:tcPr>
            <w:tcW w:w="2737" w:type="dxa"/>
            <w:vMerge w:val="continue"/>
            <w:tcBorders>
              <w:left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lang w:bidi="ar"/>
              </w:rPr>
            </w:pPr>
            <w:r>
              <w:rPr>
                <w:rFonts w:ascii="Times New Roman" w:hAnsi="Times New Roman"/>
                <w:kern w:val="0"/>
                <w:sz w:val="18"/>
                <w:szCs w:val="18"/>
                <w:lang w:bidi="ar"/>
              </w:rPr>
              <w:t>生态系统</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4</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28.57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left w:val="single" w:color="auto" w:sz="4" w:space="0"/>
              <w:right w:val="single" w:color="auto" w:sz="4" w:space="0"/>
            </w:tcBorders>
            <w:shd w:val="clear" w:color="auto" w:fill="auto"/>
            <w:vAlign w:val="center"/>
          </w:tcPr>
          <w:p>
            <w:pPr>
              <w:jc w:val="center"/>
              <w:rPr>
                <w:rFonts w:ascii="Times New Roman" w:hAnsi="Times New Roman"/>
                <w:sz w:val="18"/>
                <w:szCs w:val="18"/>
              </w:rPr>
            </w:pPr>
          </w:p>
        </w:tc>
        <w:tc>
          <w:tcPr>
            <w:tcW w:w="2737" w:type="dxa"/>
            <w:vMerge w:val="continue"/>
            <w:tcBorders>
              <w:left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lang w:bidi="ar"/>
              </w:rPr>
            </w:pPr>
            <w:r>
              <w:rPr>
                <w:rFonts w:ascii="Times New Roman" w:hAnsi="Times New Roman"/>
                <w:kern w:val="0"/>
                <w:sz w:val="18"/>
                <w:szCs w:val="18"/>
                <w:lang w:bidi="ar"/>
              </w:rPr>
              <w:t>其他</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7.14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18"/>
                <w:szCs w:val="18"/>
              </w:rPr>
            </w:pPr>
          </w:p>
        </w:tc>
        <w:tc>
          <w:tcPr>
            <w:tcW w:w="2737" w:type="dxa"/>
            <w:vMerge w:val="continue"/>
            <w:tcBorders>
              <w:left w:val="single" w:color="auto" w:sz="4" w:space="0"/>
              <w:bottom w:val="single" w:color="auto" w:sz="4" w:space="0"/>
              <w:right w:val="single" w:color="auto" w:sz="4" w:space="0"/>
            </w:tcBorders>
            <w:shd w:val="clear" w:color="auto" w:fill="auto"/>
            <w:vAlign w:val="center"/>
          </w:tcPr>
          <w:p>
            <w:pPr>
              <w:rPr>
                <w:rFonts w:ascii="Times New Roman" w:hAnsi="Times New Roman"/>
                <w:sz w:val="18"/>
                <w:szCs w:val="18"/>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lang w:bidi="ar"/>
              </w:rPr>
            </w:pPr>
            <w:r>
              <w:rPr>
                <w:rFonts w:ascii="Times New Roman" w:hAnsi="Times New Roman"/>
                <w:kern w:val="0"/>
                <w:sz w:val="18"/>
                <w:szCs w:val="18"/>
                <w:lang w:bidi="ar"/>
              </w:rPr>
              <w:t>不知道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lang w:bidi="ar"/>
              </w:rPr>
              <w:t>5</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textAlignment w:val="baseline"/>
              <w:rPr>
                <w:rFonts w:ascii="Times New Roman" w:hAnsi="Times New Roman"/>
                <w:kern w:val="0"/>
                <w:sz w:val="18"/>
                <w:szCs w:val="18"/>
              </w:rPr>
            </w:pPr>
            <w:r>
              <w:rPr>
                <w:rFonts w:ascii="Times New Roman" w:hAnsi="Times New Roman"/>
                <w:kern w:val="0"/>
                <w:sz w:val="18"/>
                <w:szCs w:val="18"/>
                <w:lang w:bidi="ar"/>
              </w:rPr>
              <w:t>您认为矿区规划实施是否有利于当地经济发展，提升人民生活质量</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有利</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3</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37.5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不利</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无影响</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lang w:bidi="ar"/>
              </w:rPr>
              <w:t>6</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textAlignment w:val="baseline"/>
              <w:rPr>
                <w:rFonts w:ascii="Times New Roman" w:hAnsi="Times New Roman"/>
                <w:kern w:val="0"/>
                <w:sz w:val="18"/>
                <w:szCs w:val="18"/>
              </w:rPr>
            </w:pPr>
            <w:r>
              <w:rPr>
                <w:rFonts w:ascii="Times New Roman" w:hAnsi="Times New Roman"/>
                <w:kern w:val="0"/>
                <w:sz w:val="18"/>
                <w:szCs w:val="18"/>
                <w:lang w:bidi="ar"/>
              </w:rPr>
              <w:t>您对规划实施的总体态度是？</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赞成</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基本赞成</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lang w:bidi="ar"/>
              </w:rPr>
              <w:t>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exac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18"/>
                <w:szCs w:val="18"/>
              </w:rPr>
            </w:pPr>
            <w:r>
              <w:rPr>
                <w:rFonts w:ascii="Times New Roman" w:hAnsi="Times New Roman"/>
                <w:kern w:val="0"/>
                <w:sz w:val="18"/>
                <w:szCs w:val="18"/>
                <w:lang w:bidi="ar"/>
              </w:rPr>
              <w:t>反对</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lang w:bidi="ar"/>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18"/>
                <w:szCs w:val="18"/>
              </w:rPr>
            </w:pPr>
            <w:r>
              <w:rPr>
                <w:rFonts w:ascii="Times New Roman" w:hAnsi="Times New Roman"/>
                <w:sz w:val="18"/>
                <w:szCs w:val="18"/>
              </w:rPr>
              <w:t>0</w:t>
            </w:r>
          </w:p>
        </w:tc>
      </w:tr>
    </w:tbl>
    <w:p>
      <w:pPr>
        <w:pStyle w:val="54"/>
        <w:widowControl w:val="0"/>
        <w:spacing w:before="0" w:beforeAutospacing="0" w:after="0" w:afterAutospacing="0" w:line="440" w:lineRule="exact"/>
        <w:ind w:firstLine="480" w:firstLineChars="200"/>
        <w:rPr>
          <w:rFonts w:ascii="Times New Roman" w:hAnsi="Times New Roman"/>
          <w:color w:val="auto"/>
          <w:kern w:val="2"/>
          <w:szCs w:val="24"/>
        </w:rPr>
      </w:pPr>
      <w:r>
        <w:rPr>
          <w:rFonts w:ascii="Times New Roman" w:hAnsi="Times New Roman"/>
          <w:color w:val="auto"/>
          <w:kern w:val="2"/>
          <w:szCs w:val="24"/>
          <w:lang w:bidi="ar"/>
        </w:rPr>
        <w:t>1）对矿区开发的态度</w:t>
      </w:r>
    </w:p>
    <w:p>
      <w:pPr>
        <w:pStyle w:val="54"/>
        <w:widowControl w:val="0"/>
        <w:spacing w:before="0" w:beforeAutospacing="0" w:after="0" w:afterAutospacing="0" w:line="440" w:lineRule="exact"/>
        <w:ind w:firstLine="480" w:firstLineChars="200"/>
        <w:rPr>
          <w:rFonts w:ascii="Times New Roman" w:hAnsi="Times New Roman"/>
          <w:color w:val="auto"/>
          <w:kern w:val="2"/>
          <w:szCs w:val="24"/>
        </w:rPr>
      </w:pPr>
      <w:r>
        <w:rPr>
          <w:rFonts w:ascii="Times New Roman" w:hAnsi="Times New Roman"/>
          <w:color w:val="auto"/>
          <w:kern w:val="2"/>
          <w:szCs w:val="24"/>
          <w:lang w:bidi="ar"/>
        </w:rPr>
        <w:t>在被调查的4个团体单位中，被调查者均对矿区有一定了解，认为矿区目前环境状况较好，认为</w:t>
      </w:r>
      <w:r>
        <w:rPr>
          <w:rFonts w:ascii="Times New Roman" w:hAnsi="Times New Roman"/>
          <w:color w:val="auto"/>
          <w:szCs w:val="24"/>
          <w:lang w:bidi="ar"/>
        </w:rPr>
        <w:t>规划实施有利于当地经济发展，提升人民生活质量，</w:t>
      </w:r>
      <w:r>
        <w:rPr>
          <w:rFonts w:ascii="Times New Roman" w:hAnsi="Times New Roman"/>
          <w:color w:val="auto"/>
          <w:kern w:val="2"/>
          <w:szCs w:val="24"/>
          <w:lang w:bidi="ar"/>
        </w:rPr>
        <w:t>100%赞成或基本赞成规划实施。</w:t>
      </w:r>
    </w:p>
    <w:p>
      <w:pPr>
        <w:pStyle w:val="54"/>
        <w:widowControl w:val="0"/>
        <w:spacing w:before="0" w:beforeAutospacing="0" w:after="0" w:afterAutospacing="0" w:line="440" w:lineRule="exact"/>
        <w:ind w:firstLine="480" w:firstLineChars="200"/>
        <w:rPr>
          <w:rFonts w:ascii="Times New Roman" w:hAnsi="Times New Roman"/>
          <w:color w:val="auto"/>
          <w:kern w:val="2"/>
          <w:szCs w:val="24"/>
        </w:rPr>
      </w:pPr>
      <w:r>
        <w:rPr>
          <w:rFonts w:ascii="Times New Roman" w:hAnsi="Times New Roman"/>
          <w:color w:val="auto"/>
          <w:kern w:val="2"/>
          <w:szCs w:val="24"/>
          <w:lang w:bidi="ar"/>
        </w:rPr>
        <w:t>2）建议及意见</w:t>
      </w:r>
    </w:p>
    <w:p>
      <w:pPr>
        <w:pStyle w:val="54"/>
        <w:widowControl w:val="0"/>
        <w:spacing w:before="0" w:beforeAutospacing="0" w:after="0" w:afterAutospacing="0" w:line="440" w:lineRule="exact"/>
        <w:ind w:firstLine="480" w:firstLineChars="200"/>
        <w:rPr>
          <w:rFonts w:ascii="Times New Roman" w:hAnsi="Times New Roman"/>
          <w:color w:val="auto"/>
          <w:kern w:val="2"/>
          <w:szCs w:val="24"/>
          <w:lang w:bidi="ar"/>
        </w:rPr>
      </w:pPr>
      <w:r>
        <w:rPr>
          <w:rFonts w:ascii="Times New Roman" w:hAnsi="Times New Roman"/>
          <w:color w:val="auto"/>
          <w:kern w:val="2"/>
          <w:szCs w:val="24"/>
          <w:lang w:bidi="ar"/>
        </w:rPr>
        <w:t>鄂尔多斯水利局工作人员提出：应重点分析地下水承载能力，以水定产。目前，全市地下水开发利用总量（包括疏干水）已分解至旗区，应与旗区进一步对接，分析地下水资源承载能力，不能突破地下水控制指标。应根据相关旗区的河湖划界成果复核矿区涉及的河流湖泊，在开发建设当中禁止挤占、破坏河道，认真保护河流湖泊水生态环境。</w:t>
      </w:r>
    </w:p>
    <w:p>
      <w:pPr>
        <w:pStyle w:val="54"/>
        <w:widowControl w:val="0"/>
        <w:spacing w:before="0" w:beforeAutospacing="0" w:after="0" w:afterAutospacing="0" w:line="440" w:lineRule="exact"/>
        <w:ind w:firstLine="480" w:firstLineChars="200"/>
        <w:rPr>
          <w:rFonts w:ascii="Times New Roman" w:hAnsi="Times New Roman"/>
          <w:color w:val="auto"/>
          <w:kern w:val="2"/>
          <w:szCs w:val="24"/>
          <w:lang w:bidi="ar"/>
        </w:rPr>
      </w:pPr>
      <w:r>
        <w:rPr>
          <w:rFonts w:ascii="Times New Roman" w:hAnsi="Times New Roman"/>
          <w:color w:val="auto"/>
          <w:kern w:val="2"/>
          <w:szCs w:val="24"/>
          <w:lang w:bidi="ar"/>
        </w:rPr>
        <w:t>鄂尔多斯市自然资源局工作人员提出：建议本规划的实施要本着“生态优先、绿色发展”的原则，尽量减少对当地环境的污染和破坏，合理避让生态红线、禁止及限制勘查开采区与，保护好生态环境，及时治理因规划实施带来的环境问题。</w:t>
      </w:r>
    </w:p>
    <w:p>
      <w:pPr>
        <w:pStyle w:val="54"/>
        <w:widowControl w:val="0"/>
        <w:spacing w:before="0" w:beforeAutospacing="0" w:after="0" w:afterAutospacing="0" w:line="440" w:lineRule="exact"/>
        <w:ind w:firstLine="480" w:firstLineChars="200"/>
        <w:rPr>
          <w:rFonts w:ascii="Times New Roman" w:hAnsi="Times New Roman"/>
          <w:color w:val="auto"/>
          <w:kern w:val="2"/>
          <w:szCs w:val="24"/>
          <w:lang w:bidi="ar"/>
        </w:rPr>
      </w:pPr>
      <w:r>
        <w:rPr>
          <w:rFonts w:ascii="Times New Roman" w:hAnsi="Times New Roman"/>
          <w:color w:val="auto"/>
          <w:kern w:val="2"/>
          <w:szCs w:val="24"/>
          <w:lang w:bidi="ar"/>
        </w:rPr>
        <w:t>伊金霍洛旗人民政府提出：</w:t>
      </w:r>
      <w:r>
        <w:rPr>
          <w:rFonts w:hint="eastAsia" w:cs="宋体"/>
          <w:color w:val="auto"/>
          <w:kern w:val="2"/>
          <w:szCs w:val="24"/>
          <w:lang w:bidi="ar"/>
        </w:rPr>
        <w:t>①</w:t>
      </w:r>
      <w:r>
        <w:rPr>
          <w:rFonts w:ascii="Times New Roman" w:hAnsi="Times New Roman"/>
          <w:color w:val="auto"/>
          <w:kern w:val="2"/>
          <w:szCs w:val="24"/>
          <w:lang w:bidi="ar"/>
        </w:rPr>
        <w:t>建议不占用我旗成吉思汗森林公园、鄂尔多斯遗鸥保护区和生态红线范围内林草地；</w:t>
      </w:r>
      <w:r>
        <w:rPr>
          <w:rFonts w:hint="eastAsia" w:cs="宋体"/>
          <w:color w:val="auto"/>
          <w:kern w:val="2"/>
          <w:szCs w:val="24"/>
          <w:lang w:bidi="ar"/>
        </w:rPr>
        <w:t>②</w:t>
      </w:r>
      <w:r>
        <w:rPr>
          <w:rFonts w:ascii="Times New Roman" w:hAnsi="Times New Roman"/>
          <w:color w:val="auto"/>
          <w:kern w:val="2"/>
          <w:szCs w:val="24"/>
          <w:lang w:bidi="ar"/>
        </w:rPr>
        <w:t>注重矿井开采所排弃的固体、液体、气体对周边生态环境的影响；</w:t>
      </w:r>
      <w:r>
        <w:rPr>
          <w:rFonts w:hint="eastAsia" w:cs="宋体"/>
          <w:color w:val="auto"/>
          <w:kern w:val="2"/>
          <w:szCs w:val="24"/>
          <w:lang w:bidi="ar"/>
        </w:rPr>
        <w:t>③</w:t>
      </w:r>
      <w:r>
        <w:rPr>
          <w:rFonts w:ascii="Times New Roman" w:hAnsi="Times New Roman"/>
          <w:color w:val="auto"/>
          <w:kern w:val="2"/>
          <w:szCs w:val="24"/>
          <w:lang w:bidi="ar"/>
        </w:rPr>
        <w:t>注重矿井开采造成的裂隙、塌陷等地址破坏造成的生态和社会影响；</w:t>
      </w:r>
      <w:r>
        <w:rPr>
          <w:rFonts w:hint="eastAsia" w:cs="宋体"/>
          <w:color w:val="auto"/>
          <w:kern w:val="2"/>
          <w:szCs w:val="24"/>
          <w:lang w:bidi="ar"/>
        </w:rPr>
        <w:t>④</w:t>
      </w:r>
      <w:r>
        <w:rPr>
          <w:rFonts w:ascii="Times New Roman" w:hAnsi="Times New Roman"/>
          <w:color w:val="auto"/>
          <w:kern w:val="2"/>
          <w:szCs w:val="24"/>
          <w:lang w:bidi="ar"/>
        </w:rPr>
        <w:t>注重矿区规划范围内的水资源保护工作；</w:t>
      </w:r>
      <w:r>
        <w:rPr>
          <w:rFonts w:hint="eastAsia" w:cs="宋体"/>
          <w:color w:val="auto"/>
          <w:kern w:val="2"/>
          <w:szCs w:val="24"/>
          <w:lang w:bidi="ar"/>
        </w:rPr>
        <w:t>⑤</w:t>
      </w:r>
      <w:r>
        <w:rPr>
          <w:rFonts w:ascii="Times New Roman" w:hAnsi="Times New Roman"/>
          <w:color w:val="auto"/>
          <w:kern w:val="2"/>
          <w:szCs w:val="24"/>
          <w:lang w:bidi="ar"/>
        </w:rPr>
        <w:t>坚持“采前预防、采中治理、采后恢复”的原则，降低对地下水土壤环境的污染，尽力降低对我旗环境影响；</w:t>
      </w:r>
      <w:r>
        <w:rPr>
          <w:rFonts w:hint="eastAsia" w:cs="宋体"/>
          <w:color w:val="auto"/>
          <w:kern w:val="2"/>
          <w:szCs w:val="24"/>
          <w:lang w:bidi="ar"/>
        </w:rPr>
        <w:t>⑥</w:t>
      </w:r>
      <w:r>
        <w:rPr>
          <w:rFonts w:ascii="Times New Roman" w:hAnsi="Times New Roman"/>
          <w:color w:val="auto"/>
          <w:kern w:val="2"/>
          <w:szCs w:val="24"/>
          <w:lang w:bidi="ar"/>
        </w:rPr>
        <w:t>该矿区范围与多个不可移动文物点重叠，请提前做好规划避让。</w:t>
      </w:r>
    </w:p>
    <w:p>
      <w:pPr>
        <w:spacing w:line="440" w:lineRule="exact"/>
        <w:ind w:firstLine="482" w:firstLineChars="200"/>
        <w:rPr>
          <w:rFonts w:ascii="Times New Roman" w:hAnsi="Times New Roman"/>
          <w:b/>
          <w:bCs/>
        </w:rPr>
      </w:pPr>
      <w:r>
        <w:rPr>
          <w:rFonts w:ascii="Times New Roman" w:hAnsi="Times New Roman"/>
          <w:b/>
          <w:bCs/>
        </w:rPr>
        <w:t>2)个人问卷</w:t>
      </w:r>
    </w:p>
    <w:p>
      <w:pPr>
        <w:widowControl/>
        <w:adjustRightInd w:val="0"/>
        <w:snapToGrid w:val="0"/>
        <w:spacing w:line="440" w:lineRule="exact"/>
        <w:ind w:firstLine="480" w:firstLineChars="200"/>
        <w:rPr>
          <w:rFonts w:ascii="Times New Roman" w:hAnsi="Times New Roman"/>
          <w:szCs w:val="24"/>
        </w:rPr>
      </w:pPr>
      <w:r>
        <w:rPr>
          <w:rFonts w:ascii="Times New Roman" w:hAnsi="Times New Roman"/>
          <w:szCs w:val="24"/>
          <w:lang w:bidi="ar"/>
        </w:rPr>
        <w:t>个人问卷调查统计结果见表10.2-3。</w:t>
      </w:r>
    </w:p>
    <w:p>
      <w:pPr>
        <w:topLinePunct/>
        <w:snapToGrid w:val="0"/>
        <w:spacing w:line="440" w:lineRule="exact"/>
        <w:jc w:val="center"/>
        <w:rPr>
          <w:rFonts w:ascii="Times New Roman" w:hAnsi="Times New Roman"/>
          <w:b/>
          <w:bCs/>
          <w:kern w:val="24"/>
          <w:szCs w:val="24"/>
        </w:rPr>
      </w:pPr>
      <w:r>
        <w:rPr>
          <w:rFonts w:ascii="Times New Roman" w:hAnsi="Times New Roman"/>
          <w:b/>
          <w:bCs/>
          <w:kern w:val="24"/>
          <w:szCs w:val="24"/>
          <w:lang w:bidi="ar"/>
        </w:rPr>
        <w:t>公众参与调查统计结果（个人）</w:t>
      </w:r>
    </w:p>
    <w:p>
      <w:pPr>
        <w:widowControl/>
        <w:adjustRightInd w:val="0"/>
        <w:snapToGrid w:val="0"/>
        <w:spacing w:line="440" w:lineRule="exact"/>
        <w:ind w:firstLine="240" w:firstLineChars="100"/>
        <w:outlineLvl w:val="4"/>
        <w:rPr>
          <w:rFonts w:ascii="Times New Roman" w:hAnsi="Times New Roman"/>
          <w:kern w:val="0"/>
          <w:szCs w:val="24"/>
        </w:rPr>
      </w:pPr>
      <w:r>
        <w:rPr>
          <w:rFonts w:ascii="Times New Roman" w:hAnsi="Times New Roman"/>
          <w:kern w:val="0"/>
          <w:szCs w:val="24"/>
          <w:lang w:bidi="ar"/>
        </w:rPr>
        <w:t>表10.2-3</w:t>
      </w:r>
    </w:p>
    <w:tbl>
      <w:tblPr>
        <w:tblStyle w:val="59"/>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1546"/>
        <w:gridCol w:w="2482"/>
        <w:gridCol w:w="2453"/>
        <w:gridCol w:w="2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tblHeader/>
          <w:jc w:val="center"/>
        </w:trPr>
        <w:tc>
          <w:tcPr>
            <w:tcW w:w="154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项  目</w:t>
            </w:r>
          </w:p>
        </w:tc>
        <w:tc>
          <w:tcPr>
            <w:tcW w:w="729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调查统计结果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tblHeader/>
          <w:jc w:val="center"/>
        </w:trPr>
        <w:tc>
          <w:tcPr>
            <w:tcW w:w="154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分类</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人数（人）</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性    别</w:t>
            </w: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男性</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124</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sz w:val="21"/>
                <w:szCs w:val="21"/>
              </w:rPr>
            </w:pPr>
            <w:r>
              <w:rPr>
                <w:rFonts w:ascii="Times New Roman" w:hAnsi="Times New Roman"/>
                <w:sz w:val="21"/>
                <w:szCs w:val="21"/>
                <w:lang w:bidi="ar"/>
              </w:rPr>
              <w:t>90.51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女性</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13</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ind w:firstLine="840" w:firstLineChars="400"/>
              <w:rPr>
                <w:rFonts w:ascii="Times New Roman" w:hAnsi="Times New Roman"/>
                <w:sz w:val="21"/>
                <w:szCs w:val="21"/>
              </w:rPr>
            </w:pPr>
            <w:r>
              <w:rPr>
                <w:rFonts w:ascii="Times New Roman" w:hAnsi="Times New Roman"/>
                <w:sz w:val="21"/>
                <w:szCs w:val="21"/>
                <w:lang w:bidi="ar"/>
              </w:rPr>
              <w:t>9.49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年    龄</w:t>
            </w: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18～30</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9</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lang w:bidi="ar"/>
              </w:rPr>
              <w:t>6.57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30～50</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32</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lang w:bidi="ar"/>
              </w:rPr>
              <w:t>23.36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&gt;50</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96</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rPr>
              <w:t>70.07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文化程度</w:t>
            </w: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小学/初中</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88</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lang w:bidi="ar"/>
              </w:rPr>
              <w:t>64.23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高中/中专</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37</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lang w:bidi="ar"/>
              </w:rPr>
            </w:pPr>
            <w:r>
              <w:rPr>
                <w:rFonts w:ascii="Times New Roman" w:hAnsi="Times New Roman"/>
                <w:kern w:val="0"/>
                <w:sz w:val="21"/>
                <w:szCs w:val="21"/>
                <w:lang w:bidi="ar"/>
              </w:rPr>
              <w:t>27.01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大学及以上</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12</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lang w:bidi="ar"/>
              </w:rPr>
            </w:pPr>
            <w:r>
              <w:rPr>
                <w:rFonts w:ascii="Times New Roman" w:hAnsi="Times New Roman"/>
                <w:kern w:val="0"/>
                <w:sz w:val="21"/>
                <w:szCs w:val="21"/>
                <w:lang w:bidi="ar"/>
              </w:rPr>
              <w:t>8.76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职    业</w:t>
            </w: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农牧民</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98</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lang w:bidi="ar"/>
              </w:rPr>
              <w:t>71.53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公务员</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5</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ind w:firstLine="840" w:firstLineChars="400"/>
              <w:rPr>
                <w:rFonts w:ascii="Times New Roman" w:hAnsi="Times New Roman"/>
                <w:kern w:val="0"/>
                <w:sz w:val="21"/>
                <w:szCs w:val="21"/>
              </w:rPr>
            </w:pPr>
            <w:r>
              <w:rPr>
                <w:rFonts w:ascii="Times New Roman" w:hAnsi="Times New Roman"/>
                <w:kern w:val="0"/>
                <w:sz w:val="21"/>
                <w:szCs w:val="21"/>
                <w:lang w:bidi="ar"/>
              </w:rPr>
              <w:t>3.65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国企职工</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0</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私营业主</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12</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lang w:bidi="ar"/>
              </w:rPr>
              <w:t>8.76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教师</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0</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lang w:bidi="ar"/>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学生</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0</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lang w:bidi="ar"/>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其它</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22</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lang w:bidi="ar"/>
              </w:rPr>
              <w:t>16.06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民   族</w:t>
            </w: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汉族</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127</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lang w:bidi="ar"/>
              </w:rPr>
            </w:pPr>
            <w:r>
              <w:rPr>
                <w:rFonts w:ascii="Times New Roman" w:hAnsi="Times New Roman"/>
                <w:kern w:val="0"/>
                <w:sz w:val="21"/>
                <w:szCs w:val="21"/>
                <w:lang w:bidi="ar"/>
              </w:rPr>
              <w:t>92.7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40" w:hRule="atLeast"/>
          <w:jc w:val="center"/>
        </w:trPr>
        <w:tc>
          <w:tcPr>
            <w:tcW w:w="154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482"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蒙古族</w:t>
            </w:r>
          </w:p>
        </w:tc>
        <w:tc>
          <w:tcPr>
            <w:tcW w:w="2453"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jc w:val="center"/>
              <w:textAlignment w:val="baseline"/>
              <w:rPr>
                <w:rFonts w:ascii="Times New Roman" w:hAnsi="Times New Roman"/>
                <w:kern w:val="0"/>
                <w:sz w:val="21"/>
                <w:szCs w:val="21"/>
              </w:rPr>
            </w:pPr>
            <w:r>
              <w:rPr>
                <w:rFonts w:ascii="Times New Roman" w:hAnsi="Times New Roman"/>
                <w:kern w:val="0"/>
                <w:sz w:val="21"/>
                <w:szCs w:val="21"/>
                <w:lang w:bidi="ar"/>
              </w:rPr>
              <w:t>10</w:t>
            </w:r>
          </w:p>
        </w:tc>
        <w:tc>
          <w:tcPr>
            <w:tcW w:w="236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jc w:val="center"/>
              <w:rPr>
                <w:rFonts w:ascii="Times New Roman" w:hAnsi="Times New Roman"/>
                <w:kern w:val="0"/>
                <w:sz w:val="21"/>
                <w:szCs w:val="21"/>
              </w:rPr>
            </w:pPr>
            <w:r>
              <w:rPr>
                <w:rFonts w:ascii="Times New Roman" w:hAnsi="Times New Roman"/>
                <w:kern w:val="0"/>
                <w:sz w:val="21"/>
                <w:szCs w:val="21"/>
                <w:lang w:bidi="ar"/>
              </w:rPr>
              <w:t>7.3</w:t>
            </w:r>
          </w:p>
        </w:tc>
      </w:tr>
    </w:tbl>
    <w:p>
      <w:pPr>
        <w:topLinePunct/>
        <w:snapToGrid w:val="0"/>
        <w:spacing w:before="120" w:beforeLines="50" w:after="120" w:afterLines="50" w:line="440" w:lineRule="exact"/>
        <w:jc w:val="center"/>
        <w:rPr>
          <w:rFonts w:ascii="Times New Roman" w:hAnsi="Times New Roman"/>
          <w:b/>
          <w:bCs/>
          <w:kern w:val="24"/>
          <w:szCs w:val="24"/>
        </w:rPr>
      </w:pPr>
      <w:r>
        <w:rPr>
          <w:rFonts w:ascii="Times New Roman" w:hAnsi="Times New Roman"/>
          <w:b/>
          <w:bCs/>
          <w:kern w:val="24"/>
          <w:szCs w:val="24"/>
          <w:lang w:bidi="ar"/>
        </w:rPr>
        <w:t>公众参与调查统计结果（个人）</w:t>
      </w:r>
    </w:p>
    <w:p>
      <w:pPr>
        <w:topLinePunct/>
        <w:snapToGrid w:val="0"/>
        <w:spacing w:line="440" w:lineRule="exact"/>
        <w:ind w:firstLine="240" w:firstLineChars="100"/>
        <w:rPr>
          <w:rFonts w:ascii="Times New Roman" w:hAnsi="Times New Roman"/>
          <w:b/>
          <w:bCs/>
          <w:kern w:val="24"/>
          <w:szCs w:val="24"/>
        </w:rPr>
      </w:pPr>
      <w:r>
        <w:rPr>
          <w:rFonts w:ascii="Times New Roman" w:hAnsi="Times New Roman"/>
          <w:kern w:val="24"/>
          <w:szCs w:val="24"/>
          <w:lang w:bidi="ar"/>
        </w:rPr>
        <w:t>表10.2-4</w:t>
      </w:r>
    </w:p>
    <w:tbl>
      <w:tblPr>
        <w:tblStyle w:val="59"/>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695"/>
        <w:gridCol w:w="2737"/>
        <w:gridCol w:w="1955"/>
        <w:gridCol w:w="1701"/>
        <w:gridCol w:w="1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tblHeader/>
          <w:jc w:val="center"/>
        </w:trPr>
        <w:tc>
          <w:tcPr>
            <w:tcW w:w="69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序号</w:t>
            </w:r>
          </w:p>
        </w:tc>
        <w:tc>
          <w:tcPr>
            <w:tcW w:w="4692"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内  容</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数量</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20" w:hRule="atLeas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你</w:t>
            </w:r>
            <w:r>
              <w:rPr>
                <w:rFonts w:ascii="Times New Roman" w:hAnsi="Times New Roman"/>
                <w:sz w:val="21"/>
                <w:szCs w:val="21"/>
                <w:lang w:bidi="ar"/>
              </w:rPr>
              <w:t>了解矿区规划吗</w:t>
            </w:r>
            <w:r>
              <w:rPr>
                <w:rFonts w:ascii="Times New Roman" w:hAnsi="Times New Roman"/>
                <w:kern w:val="0"/>
                <w:sz w:val="21"/>
                <w:szCs w:val="21"/>
                <w:lang w:bidi="ar"/>
              </w:rPr>
              <w:t>？</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了解</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116</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84.67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20"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一般了解</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7</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5.11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20"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不了解</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14</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10.22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2</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pacing w:line="240" w:lineRule="exact"/>
              <w:textAlignment w:val="baseline"/>
              <w:rPr>
                <w:rFonts w:ascii="Times New Roman" w:hAnsi="Times New Roman"/>
                <w:kern w:val="0"/>
                <w:sz w:val="21"/>
                <w:szCs w:val="21"/>
              </w:rPr>
            </w:pPr>
            <w:r>
              <w:rPr>
                <w:rFonts w:ascii="Times New Roman" w:hAnsi="Times New Roman"/>
                <w:kern w:val="0"/>
                <w:sz w:val="21"/>
                <w:szCs w:val="21"/>
                <w:lang w:bidi="ar"/>
              </w:rPr>
              <w:t>您认为矿区目前环境状况怎样？</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很好</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117</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85.40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00"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较好</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4</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2.92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一般</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4</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2.92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较差</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85"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不知道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3</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pacing w:line="240" w:lineRule="exact"/>
              <w:textAlignment w:val="baseline"/>
              <w:rPr>
                <w:rFonts w:ascii="Times New Roman" w:hAnsi="Times New Roman"/>
                <w:kern w:val="0"/>
                <w:sz w:val="21"/>
                <w:szCs w:val="21"/>
              </w:rPr>
            </w:pPr>
            <w:r>
              <w:rPr>
                <w:rFonts w:ascii="Times New Roman" w:hAnsi="Times New Roman"/>
                <w:kern w:val="0"/>
                <w:sz w:val="21"/>
                <w:szCs w:val="21"/>
                <w:lang w:bidi="ar"/>
              </w:rPr>
              <w:t>您认为当地目前主要环境问题是？</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空气质量较差</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104</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37.82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河流污染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20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7.27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地下水污染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58</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21.09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噪声</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4.36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固体废弃物堆置</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13</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4.73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生态环境较差</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36</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13.09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水土流失</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32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11.64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440"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其他</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4</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pacing w:line="240" w:lineRule="exact"/>
              <w:textAlignment w:val="baseline"/>
              <w:rPr>
                <w:rFonts w:ascii="Times New Roman" w:hAnsi="Times New Roman"/>
                <w:kern w:val="0"/>
                <w:sz w:val="21"/>
                <w:szCs w:val="21"/>
              </w:rPr>
            </w:pPr>
            <w:r>
              <w:rPr>
                <w:rFonts w:ascii="Times New Roman" w:hAnsi="Times New Roman"/>
                <w:kern w:val="0"/>
                <w:sz w:val="21"/>
                <w:szCs w:val="21"/>
                <w:lang w:bidi="ar"/>
              </w:rPr>
              <w:t>您认为矿区总体规划实施会给当地环境哪些方面带来不利影响？</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空气质量变差</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45</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12.71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地表水污染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47</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13.28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地下水污染</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27</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7.63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景观影响</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11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3.11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牧草地破坏</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119</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33.62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生态环境破坏</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91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25.71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固体废弃物增加</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13</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ind w:firstLine="525" w:firstLineChars="250"/>
              <w:textAlignment w:val="baseline"/>
              <w:rPr>
                <w:rFonts w:ascii="Times New Roman" w:hAnsi="Times New Roman"/>
                <w:sz w:val="21"/>
                <w:szCs w:val="21"/>
              </w:rPr>
            </w:pPr>
            <w:r>
              <w:rPr>
                <w:rFonts w:ascii="Times New Roman" w:hAnsi="Times New Roman"/>
                <w:sz w:val="21"/>
                <w:szCs w:val="21"/>
              </w:rPr>
              <w:t>3.67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其他</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ind w:firstLine="525" w:firstLineChars="250"/>
              <w:textAlignment w:val="baseline"/>
              <w:rPr>
                <w:rFonts w:ascii="Times New Roman" w:hAnsi="Times New Roman"/>
                <w:sz w:val="21"/>
                <w:szCs w:val="21"/>
              </w:rPr>
            </w:pPr>
            <w:r>
              <w:rPr>
                <w:rFonts w:ascii="Times New Roman" w:hAnsi="Times New Roman"/>
                <w:sz w:val="21"/>
                <w:szCs w:val="21"/>
              </w:rPr>
              <w:t>0.28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20" w:hRule="atLeas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5</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textAlignment w:val="baseline"/>
              <w:rPr>
                <w:rFonts w:ascii="Times New Roman" w:hAnsi="Times New Roman"/>
                <w:kern w:val="0"/>
                <w:sz w:val="21"/>
                <w:szCs w:val="21"/>
              </w:rPr>
            </w:pPr>
            <w:r>
              <w:rPr>
                <w:rFonts w:ascii="Times New Roman" w:hAnsi="Times New Roman"/>
                <w:kern w:val="0"/>
                <w:sz w:val="21"/>
                <w:szCs w:val="21"/>
                <w:lang w:bidi="ar"/>
              </w:rPr>
              <w:t>您认为矿区规划实施是否有利于当地经济发展，提升人民生活质量</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有利</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121</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88.32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320"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不利</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ind w:firstLine="525" w:firstLineChars="250"/>
              <w:textAlignment w:val="baseline"/>
              <w:rPr>
                <w:rFonts w:ascii="Times New Roman" w:hAnsi="Times New Roman"/>
                <w:sz w:val="21"/>
                <w:szCs w:val="21"/>
              </w:rPr>
            </w:pPr>
            <w:r>
              <w:rPr>
                <w:rFonts w:ascii="Times New Roman" w:hAnsi="Times New Roman"/>
                <w:sz w:val="21"/>
                <w:szCs w:val="21"/>
                <w:lang w:bidi="ar"/>
              </w:rPr>
              <w:t>8.76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90"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无影响</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4</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2.92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textAlignment w:val="baseline"/>
              <w:rPr>
                <w:rFonts w:ascii="Times New Roman" w:hAnsi="Times New Roman"/>
                <w:sz w:val="21"/>
                <w:szCs w:val="21"/>
              </w:rPr>
            </w:pPr>
            <w:r>
              <w:rPr>
                <w:rFonts w:ascii="Times New Roman" w:hAnsi="Times New Roman"/>
                <w:sz w:val="21"/>
                <w:szCs w:val="21"/>
                <w:lang w:bidi="ar"/>
              </w:rPr>
              <w:t xml:space="preserve"> 6</w:t>
            </w:r>
          </w:p>
        </w:tc>
        <w:tc>
          <w:tcPr>
            <w:tcW w:w="2737" w:type="dxa"/>
            <w:vMerge w:val="restart"/>
            <w:tcBorders>
              <w:top w:val="nil"/>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textAlignment w:val="baseline"/>
              <w:rPr>
                <w:rFonts w:ascii="Times New Roman" w:hAnsi="Times New Roman"/>
                <w:kern w:val="0"/>
                <w:sz w:val="21"/>
                <w:szCs w:val="21"/>
              </w:rPr>
            </w:pPr>
            <w:r>
              <w:rPr>
                <w:rFonts w:ascii="Times New Roman" w:hAnsi="Times New Roman"/>
                <w:kern w:val="0"/>
                <w:sz w:val="21"/>
                <w:szCs w:val="21"/>
                <w:lang w:bidi="ar"/>
              </w:rPr>
              <w:t>您对规划实施的总体态度是？</w:t>
            </w: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赞成</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122</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89.05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基本赞成</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15</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rPr>
              <w:t>10.95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284" w:hRule="atLeast"/>
          <w:jc w:val="center"/>
        </w:trPr>
        <w:tc>
          <w:tcPr>
            <w:tcW w:w="6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737"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1955"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kern w:val="0"/>
                <w:sz w:val="21"/>
                <w:szCs w:val="21"/>
              </w:rPr>
            </w:pPr>
            <w:r>
              <w:rPr>
                <w:rFonts w:ascii="Times New Roman" w:hAnsi="Times New Roman"/>
                <w:kern w:val="0"/>
                <w:sz w:val="21"/>
                <w:szCs w:val="21"/>
                <w:lang w:bidi="ar"/>
              </w:rPr>
              <w:t>反对</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0</w:t>
            </w: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pPr>
              <w:topLinePunct/>
              <w:adjustRightInd w:val="0"/>
              <w:snapToGrid w:val="0"/>
              <w:spacing w:line="240" w:lineRule="atLeast"/>
              <w:jc w:val="center"/>
              <w:textAlignment w:val="baseline"/>
              <w:rPr>
                <w:rFonts w:ascii="Times New Roman" w:hAnsi="Times New Roman"/>
                <w:sz w:val="21"/>
                <w:szCs w:val="21"/>
              </w:rPr>
            </w:pPr>
            <w:r>
              <w:rPr>
                <w:rFonts w:ascii="Times New Roman" w:hAnsi="Times New Roman"/>
                <w:sz w:val="21"/>
                <w:szCs w:val="21"/>
                <w:lang w:bidi="ar"/>
              </w:rPr>
              <w:t>0.00</w:t>
            </w:r>
          </w:p>
        </w:tc>
      </w:tr>
    </w:tbl>
    <w:p>
      <w:pPr>
        <w:spacing w:before="100" w:beforeAutospacing="1" w:line="440" w:lineRule="exact"/>
        <w:ind w:firstLine="480" w:firstLineChars="200"/>
        <w:rPr>
          <w:rFonts w:ascii="Times New Roman" w:hAnsi="Times New Roman"/>
          <w:szCs w:val="24"/>
        </w:rPr>
      </w:pPr>
      <w:r>
        <w:rPr>
          <w:rFonts w:ascii="Times New Roman" w:hAnsi="Times New Roman"/>
          <w:szCs w:val="24"/>
          <w:lang w:bidi="ar"/>
        </w:rPr>
        <w:t>1）个人信息统计结果</w:t>
      </w:r>
    </w:p>
    <w:p>
      <w:pPr>
        <w:pStyle w:val="54"/>
        <w:widowControl w:val="0"/>
        <w:spacing w:before="0" w:beforeAutospacing="0" w:after="0" w:afterAutospacing="0" w:line="440" w:lineRule="exact"/>
        <w:ind w:firstLine="480" w:firstLineChars="200"/>
        <w:rPr>
          <w:rFonts w:ascii="Times New Roman" w:hAnsi="Times New Roman"/>
          <w:color w:val="auto"/>
          <w:kern w:val="2"/>
          <w:szCs w:val="24"/>
        </w:rPr>
      </w:pPr>
      <w:r>
        <w:rPr>
          <w:rFonts w:ascii="Times New Roman" w:hAnsi="Times New Roman"/>
          <w:color w:val="auto"/>
          <w:kern w:val="2"/>
          <w:szCs w:val="24"/>
          <w:lang w:bidi="ar"/>
        </w:rPr>
        <w:t>个人被调查者以男性为主，年龄大多50岁以上，以农牧民为主。</w:t>
      </w:r>
    </w:p>
    <w:p>
      <w:pPr>
        <w:pStyle w:val="54"/>
        <w:widowControl w:val="0"/>
        <w:spacing w:before="0" w:beforeAutospacing="0" w:after="0" w:afterAutospacing="0" w:line="440" w:lineRule="exact"/>
        <w:ind w:firstLine="480" w:firstLineChars="200"/>
        <w:rPr>
          <w:rFonts w:ascii="Times New Roman" w:hAnsi="Times New Roman"/>
          <w:color w:val="auto"/>
          <w:kern w:val="2"/>
          <w:szCs w:val="24"/>
        </w:rPr>
      </w:pPr>
      <w:r>
        <w:rPr>
          <w:rFonts w:ascii="Times New Roman" w:hAnsi="Times New Roman"/>
          <w:color w:val="auto"/>
          <w:kern w:val="2"/>
          <w:szCs w:val="24"/>
          <w:lang w:bidi="ar"/>
        </w:rPr>
        <w:t>2）对项目建设的态度</w:t>
      </w:r>
    </w:p>
    <w:p>
      <w:pPr>
        <w:pStyle w:val="54"/>
        <w:widowControl w:val="0"/>
        <w:spacing w:before="0" w:beforeAutospacing="0" w:after="0" w:afterAutospacing="0" w:line="440" w:lineRule="exact"/>
        <w:ind w:firstLine="480" w:firstLineChars="200"/>
        <w:rPr>
          <w:rFonts w:ascii="Times New Roman" w:hAnsi="Times New Roman"/>
          <w:color w:val="auto"/>
          <w:kern w:val="2"/>
          <w:szCs w:val="24"/>
        </w:rPr>
      </w:pPr>
      <w:r>
        <w:rPr>
          <w:rFonts w:ascii="Times New Roman" w:hAnsi="Times New Roman"/>
          <w:color w:val="auto"/>
          <w:kern w:val="2"/>
          <w:szCs w:val="24"/>
          <w:lang w:bidi="ar"/>
        </w:rPr>
        <w:t>在被调查的137名群众中，100%赞成或基本赞成本项目的建设。</w:t>
      </w:r>
    </w:p>
    <w:p>
      <w:pPr>
        <w:pStyle w:val="54"/>
        <w:widowControl w:val="0"/>
        <w:spacing w:before="0" w:beforeAutospacing="0" w:after="0" w:afterAutospacing="0" w:line="440" w:lineRule="exact"/>
        <w:ind w:firstLine="480" w:firstLineChars="200"/>
        <w:rPr>
          <w:rFonts w:ascii="Times New Roman" w:hAnsi="Times New Roman"/>
          <w:color w:val="auto"/>
          <w:kern w:val="2"/>
          <w:szCs w:val="24"/>
        </w:rPr>
      </w:pPr>
      <w:r>
        <w:rPr>
          <w:rFonts w:ascii="Times New Roman" w:hAnsi="Times New Roman"/>
          <w:color w:val="auto"/>
          <w:kern w:val="2"/>
          <w:szCs w:val="24"/>
          <w:lang w:bidi="ar"/>
        </w:rPr>
        <w:t>3）公众建议及意见</w:t>
      </w:r>
    </w:p>
    <w:p>
      <w:pPr>
        <w:pStyle w:val="54"/>
        <w:widowControl w:val="0"/>
        <w:spacing w:before="0" w:beforeAutospacing="0" w:after="0" w:afterAutospacing="0" w:line="440" w:lineRule="exact"/>
        <w:ind w:firstLine="480" w:firstLineChars="200"/>
        <w:rPr>
          <w:rFonts w:ascii="Times New Roman" w:hAnsi="Times New Roman"/>
          <w:color w:val="auto"/>
          <w:kern w:val="2"/>
          <w:szCs w:val="24"/>
        </w:rPr>
      </w:pPr>
      <w:r>
        <w:rPr>
          <w:rFonts w:ascii="Times New Roman" w:hAnsi="Times New Roman"/>
          <w:color w:val="auto"/>
          <w:kern w:val="2"/>
          <w:szCs w:val="24"/>
          <w:lang w:bidi="ar"/>
        </w:rPr>
        <w:t>大部分被调查人表示出对规划实施后对环境污染等问题比较关心，并提出希望能保护环境、保护地下水资源、科学开发、保持生态平衡，不影响人民的生活环境，给人民合理的补偿。</w:t>
      </w:r>
    </w:p>
    <w:p>
      <w:pPr>
        <w:pStyle w:val="5"/>
        <w:widowControl/>
        <w:spacing w:before="120" w:after="120" w:line="440" w:lineRule="exact"/>
        <w:rPr>
          <w:sz w:val="24"/>
          <w:szCs w:val="24"/>
          <w:lang w:bidi="ar"/>
        </w:rPr>
        <w:sectPr>
          <w:pgSz w:w="11907" w:h="16840"/>
          <w:pgMar w:top="1701" w:right="1418" w:bottom="1418" w:left="1418" w:header="1134" w:footer="851" w:gutter="0"/>
          <w:cols w:space="720" w:num="1"/>
          <w:docGrid w:linePitch="312" w:charSpace="0"/>
        </w:sectPr>
      </w:pPr>
    </w:p>
    <w:p>
      <w:pPr>
        <w:pStyle w:val="3"/>
        <w:adjustRightInd w:val="0"/>
        <w:snapToGrid w:val="0"/>
        <w:spacing w:before="360" w:after="360" w:line="440" w:lineRule="exact"/>
        <w:jc w:val="center"/>
        <w:rPr>
          <w:sz w:val="36"/>
        </w:rPr>
      </w:pPr>
      <w:bookmarkStart w:id="395" w:name="_Toc23974"/>
      <w:r>
        <w:rPr>
          <w:sz w:val="36"/>
        </w:rPr>
        <w:t>11 环境管理、监测计划与跟踪评价</w:t>
      </w:r>
      <w:bookmarkEnd w:id="390"/>
      <w:bookmarkEnd w:id="391"/>
      <w:bookmarkEnd w:id="392"/>
      <w:bookmarkEnd w:id="395"/>
    </w:p>
    <w:p>
      <w:pPr>
        <w:pStyle w:val="4"/>
        <w:adjustRightInd w:val="0"/>
        <w:snapToGrid w:val="0"/>
        <w:spacing w:line="440" w:lineRule="exact"/>
        <w:jc w:val="left"/>
        <w:rPr>
          <w:rFonts w:ascii="Times New Roman" w:hAnsi="Times New Roman" w:eastAsia="宋体"/>
          <w:sz w:val="28"/>
        </w:rPr>
      </w:pPr>
      <w:bookmarkStart w:id="396" w:name="_Toc125193025"/>
      <w:bookmarkStart w:id="397" w:name="_Toc18838483"/>
      <w:bookmarkStart w:id="398" w:name="_Toc163441050"/>
      <w:bookmarkStart w:id="399" w:name="_Toc31950"/>
      <w:r>
        <w:rPr>
          <w:rFonts w:ascii="Times New Roman" w:hAnsi="Times New Roman" w:eastAsia="宋体"/>
          <w:sz w:val="28"/>
        </w:rPr>
        <w:t>11.1 环境管理</w:t>
      </w:r>
      <w:bookmarkEnd w:id="396"/>
      <w:r>
        <w:rPr>
          <w:rFonts w:ascii="Times New Roman" w:hAnsi="Times New Roman" w:eastAsia="宋体"/>
          <w:sz w:val="28"/>
        </w:rPr>
        <w:t>计划</w:t>
      </w:r>
      <w:bookmarkEnd w:id="397"/>
      <w:bookmarkEnd w:id="398"/>
      <w:bookmarkEnd w:id="399"/>
    </w:p>
    <w:p>
      <w:pPr>
        <w:pStyle w:val="5"/>
        <w:adjustRightInd w:val="0"/>
        <w:snapToGrid w:val="0"/>
        <w:spacing w:before="0" w:after="0" w:line="440" w:lineRule="exact"/>
        <w:rPr>
          <w:sz w:val="24"/>
        </w:rPr>
      </w:pPr>
      <w:bookmarkStart w:id="400" w:name="_Toc125193026"/>
      <w:r>
        <w:rPr>
          <w:sz w:val="24"/>
        </w:rPr>
        <w:t xml:space="preserve">11.1.1 </w:t>
      </w:r>
      <w:bookmarkEnd w:id="400"/>
      <w:r>
        <w:rPr>
          <w:sz w:val="24"/>
        </w:rPr>
        <w:t>环境管理基本原则</w:t>
      </w:r>
    </w:p>
    <w:p>
      <w:pPr>
        <w:adjustRightInd w:val="0"/>
        <w:snapToGrid w:val="0"/>
        <w:spacing w:line="440" w:lineRule="exact"/>
        <w:ind w:firstLine="480" w:firstLineChars="200"/>
        <w:rPr>
          <w:rFonts w:ascii="Times New Roman" w:hAnsi="Times New Roman"/>
        </w:rPr>
      </w:pPr>
      <w:r>
        <w:rPr>
          <w:rFonts w:ascii="Times New Roman" w:hAnsi="Times New Roman"/>
        </w:rPr>
        <w:t>矿区开展环境管理工作应在遵守国家相关环境保护法规的前提下，从实际出发遵循以下原则：</w:t>
      </w:r>
    </w:p>
    <w:p>
      <w:pPr>
        <w:adjustRightInd w:val="0"/>
        <w:snapToGrid w:val="0"/>
        <w:spacing w:line="440" w:lineRule="exact"/>
        <w:ind w:firstLine="480" w:firstLineChars="200"/>
        <w:rPr>
          <w:rFonts w:ascii="Times New Roman" w:hAnsi="Times New Roman"/>
        </w:rPr>
      </w:pPr>
      <w:r>
        <w:rPr>
          <w:rFonts w:ascii="Times New Roman" w:hAnsi="Times New Roman"/>
        </w:rPr>
        <w:t>（1）按“可持续发展”的思想，正确处理矿区发展和环境保护之间的关系，把经济效益和环境效益统一起来，促进环境保护、环境建设与国民经济持续、稳定、协调发展；</w:t>
      </w:r>
    </w:p>
    <w:p>
      <w:pPr>
        <w:adjustRightInd w:val="0"/>
        <w:snapToGrid w:val="0"/>
        <w:spacing w:line="440" w:lineRule="exact"/>
        <w:ind w:firstLine="480" w:firstLineChars="200"/>
        <w:rPr>
          <w:rFonts w:ascii="Times New Roman" w:hAnsi="Times New Roman"/>
        </w:rPr>
      </w:pPr>
      <w:r>
        <w:rPr>
          <w:rFonts w:ascii="Times New Roman" w:hAnsi="Times New Roman"/>
        </w:rPr>
        <w:t>（2）把环境管理作为矿区日常管理的重要组成部分之一，贯穿于管理全过程，将环保指标纳入矿区运行计划指标中，并进行定期考核和检查；</w:t>
      </w:r>
    </w:p>
    <w:p>
      <w:pPr>
        <w:adjustRightInd w:val="0"/>
        <w:snapToGrid w:val="0"/>
        <w:spacing w:line="440" w:lineRule="exact"/>
        <w:ind w:firstLine="480" w:firstLineChars="200"/>
        <w:rPr>
          <w:rFonts w:ascii="Times New Roman" w:hAnsi="Times New Roman"/>
        </w:rPr>
      </w:pPr>
      <w:r>
        <w:rPr>
          <w:rFonts w:ascii="Times New Roman" w:hAnsi="Times New Roman"/>
        </w:rPr>
        <w:t>（3）加强全区职工环境保护意识，做到专业管理与群众管理相结合。</w:t>
      </w:r>
    </w:p>
    <w:p>
      <w:pPr>
        <w:pStyle w:val="5"/>
        <w:adjustRightInd w:val="0"/>
        <w:snapToGrid w:val="0"/>
        <w:spacing w:before="0" w:after="0" w:line="440" w:lineRule="exact"/>
        <w:rPr>
          <w:sz w:val="24"/>
        </w:rPr>
      </w:pPr>
      <w:r>
        <w:rPr>
          <w:sz w:val="24"/>
        </w:rPr>
        <w:t>11.1.2 环境管理目标</w:t>
      </w:r>
    </w:p>
    <w:p>
      <w:pPr>
        <w:adjustRightInd w:val="0"/>
        <w:snapToGrid w:val="0"/>
        <w:spacing w:line="440" w:lineRule="exact"/>
        <w:ind w:firstLine="480" w:firstLineChars="200"/>
        <w:rPr>
          <w:rFonts w:ascii="Times New Roman" w:hAnsi="Times New Roman"/>
        </w:rPr>
      </w:pPr>
      <w:r>
        <w:rPr>
          <w:rFonts w:ascii="Times New Roman" w:hAnsi="Times New Roman"/>
        </w:rPr>
        <w:t>（1）确保矿区环境质量按功能分区达标。</w:t>
      </w:r>
    </w:p>
    <w:p>
      <w:pPr>
        <w:adjustRightInd w:val="0"/>
        <w:snapToGrid w:val="0"/>
        <w:spacing w:line="440" w:lineRule="exact"/>
        <w:ind w:firstLine="480" w:firstLineChars="200"/>
        <w:rPr>
          <w:rFonts w:ascii="Times New Roman" w:hAnsi="Times New Roman"/>
        </w:rPr>
      </w:pPr>
      <w:r>
        <w:rPr>
          <w:rFonts w:ascii="Times New Roman" w:hAnsi="Times New Roman"/>
        </w:rPr>
        <w:t>（2）建立公众参与机制，确保公众利益不受损害。</w:t>
      </w:r>
    </w:p>
    <w:p>
      <w:pPr>
        <w:adjustRightInd w:val="0"/>
        <w:snapToGrid w:val="0"/>
        <w:spacing w:line="440" w:lineRule="exact"/>
        <w:ind w:firstLine="480" w:firstLineChars="200"/>
        <w:rPr>
          <w:rFonts w:ascii="Times New Roman" w:hAnsi="Times New Roman"/>
        </w:rPr>
      </w:pPr>
      <w:r>
        <w:rPr>
          <w:rFonts w:ascii="Times New Roman" w:hAnsi="Times New Roman"/>
        </w:rPr>
        <w:t>（3）继续推行污染物排放总量控制，确保污染物排放总量按国家和当地环保部门要求执行。</w:t>
      </w:r>
    </w:p>
    <w:p>
      <w:pPr>
        <w:adjustRightInd w:val="0"/>
        <w:snapToGrid w:val="0"/>
        <w:spacing w:line="440" w:lineRule="exact"/>
        <w:ind w:firstLine="480" w:firstLineChars="200"/>
        <w:rPr>
          <w:rFonts w:ascii="Times New Roman" w:hAnsi="Times New Roman"/>
        </w:rPr>
      </w:pPr>
      <w:r>
        <w:rPr>
          <w:rFonts w:ascii="Times New Roman" w:hAnsi="Times New Roman"/>
        </w:rPr>
        <w:t>（4）加强矿区能源和资源节约措施建设。确保达到国家及相关部门“十四五”节能目标。</w:t>
      </w:r>
    </w:p>
    <w:p>
      <w:pPr>
        <w:adjustRightInd w:val="0"/>
        <w:snapToGrid w:val="0"/>
        <w:spacing w:line="440" w:lineRule="exact"/>
        <w:ind w:firstLine="480" w:firstLineChars="200"/>
        <w:rPr>
          <w:rFonts w:ascii="Times New Roman" w:hAnsi="Times New Roman"/>
        </w:rPr>
      </w:pPr>
      <w:r>
        <w:rPr>
          <w:rFonts w:ascii="Times New Roman" w:hAnsi="Times New Roman"/>
        </w:rPr>
        <w:t>（5）坚持生态保护与污染防治并重、生态建设与生态保护并举，着力推进生态工业园建设步伐。</w:t>
      </w:r>
    </w:p>
    <w:p>
      <w:pPr>
        <w:adjustRightInd w:val="0"/>
        <w:snapToGrid w:val="0"/>
        <w:spacing w:line="440" w:lineRule="exact"/>
        <w:ind w:firstLine="480" w:firstLineChars="200"/>
        <w:rPr>
          <w:rFonts w:ascii="Times New Roman" w:hAnsi="Times New Roman"/>
        </w:rPr>
      </w:pPr>
      <w:r>
        <w:rPr>
          <w:rFonts w:ascii="Times New Roman" w:hAnsi="Times New Roman"/>
        </w:rPr>
        <w:t>（6）加强环境管理能力建设，提高环境管理现代化水平，环境影响评价和“三同时”制度执行率达到100%，矿区内各工业企业环境管理体系应遵循ISO4001环境管理体系标准来建立，并尽早实施并寻求认证。</w:t>
      </w:r>
    </w:p>
    <w:p>
      <w:pPr>
        <w:adjustRightInd w:val="0"/>
        <w:snapToGrid w:val="0"/>
        <w:spacing w:line="440" w:lineRule="exact"/>
        <w:ind w:firstLine="480" w:firstLineChars="200"/>
        <w:rPr>
          <w:rFonts w:ascii="Times New Roman" w:hAnsi="Times New Roman"/>
        </w:rPr>
      </w:pPr>
      <w:r>
        <w:rPr>
          <w:rFonts w:ascii="Times New Roman" w:hAnsi="Times New Roman"/>
        </w:rPr>
        <w:t>（7）实施环境保护重点工程，确保减缓不利影响的措施和可持续发展对策得以顺利实施和执行。</w:t>
      </w:r>
    </w:p>
    <w:p>
      <w:pPr>
        <w:pStyle w:val="5"/>
        <w:adjustRightInd w:val="0"/>
        <w:snapToGrid w:val="0"/>
        <w:spacing w:before="0" w:after="0" w:line="440" w:lineRule="exact"/>
        <w:rPr>
          <w:sz w:val="24"/>
        </w:rPr>
      </w:pPr>
      <w:r>
        <w:rPr>
          <w:sz w:val="24"/>
        </w:rPr>
        <w:t>11.1.3 环境管理机构及职责</w:t>
      </w:r>
    </w:p>
    <w:p>
      <w:pPr>
        <w:adjustRightInd w:val="0"/>
        <w:snapToGrid w:val="0"/>
        <w:spacing w:line="440" w:lineRule="exact"/>
        <w:ind w:firstLine="482" w:firstLineChars="200"/>
        <w:rPr>
          <w:rFonts w:ascii="Times New Roman" w:hAnsi="Times New Roman"/>
          <w:b/>
        </w:rPr>
      </w:pPr>
      <w:r>
        <w:rPr>
          <w:rFonts w:ascii="Times New Roman" w:hAnsi="Times New Roman"/>
          <w:b/>
        </w:rPr>
        <w:t>（1）环境管理机构设置</w:t>
      </w:r>
    </w:p>
    <w:p>
      <w:pPr>
        <w:adjustRightInd w:val="0"/>
        <w:snapToGrid w:val="0"/>
        <w:spacing w:line="440" w:lineRule="exact"/>
        <w:ind w:firstLine="480" w:firstLineChars="200"/>
        <w:rPr>
          <w:rFonts w:ascii="Times New Roman" w:hAnsi="Times New Roman"/>
        </w:rPr>
      </w:pPr>
      <w:r>
        <w:rPr>
          <w:rFonts w:ascii="Times New Roman" w:hAnsi="Times New Roman"/>
        </w:rPr>
        <w:t>建议在纳林希里矿区设立矿区管理机构，负责管理整个矿区规划项目环境管理和日常环境监测工作。</w:t>
      </w:r>
    </w:p>
    <w:p>
      <w:pPr>
        <w:adjustRightInd w:val="0"/>
        <w:snapToGrid w:val="0"/>
        <w:spacing w:line="440" w:lineRule="exact"/>
        <w:ind w:firstLine="482" w:firstLineChars="200"/>
        <w:rPr>
          <w:rFonts w:ascii="Times New Roman" w:hAnsi="Times New Roman"/>
          <w:b/>
        </w:rPr>
      </w:pPr>
      <w:r>
        <w:rPr>
          <w:rFonts w:ascii="Times New Roman" w:hAnsi="Times New Roman"/>
          <w:b/>
        </w:rPr>
        <w:t>（2）管理人员及设备配置</w:t>
      </w:r>
    </w:p>
    <w:p>
      <w:pPr>
        <w:adjustRightInd w:val="0"/>
        <w:snapToGrid w:val="0"/>
        <w:spacing w:line="440" w:lineRule="exact"/>
        <w:ind w:firstLine="480" w:firstLineChars="200"/>
        <w:rPr>
          <w:rFonts w:ascii="Times New Roman" w:hAnsi="Times New Roman"/>
        </w:rPr>
      </w:pPr>
      <w:r>
        <w:rPr>
          <w:rFonts w:ascii="Times New Roman" w:hAnsi="Times New Roman"/>
        </w:rPr>
        <w:t>根据矿区经济发展的实际情况和国家文件规定的标准，配置一定数量的环境管理专业人员。矿区环境管理机构运行体系见图11.1-1。</w:t>
      </w:r>
    </w:p>
    <w:p>
      <w:pPr>
        <w:spacing w:line="529" w:lineRule="exact"/>
        <w:ind w:firstLine="480" w:firstLineChars="200"/>
        <w:rPr>
          <w:rFonts w:ascii="Times New Roman" w:hAnsi="Times New Roman"/>
        </w:rPr>
      </w:pPr>
      <w:r>
        <w:rPr>
          <w:rFonts w:ascii="Times New Roman" w:hAnsi="Times New Roman"/>
        </w:rPr>
        <mc:AlternateContent>
          <mc:Choice Requires="wpc">
            <w:drawing>
              <wp:anchor distT="0" distB="0" distL="114300" distR="114300" simplePos="0" relativeHeight="251661312" behindDoc="0" locked="0" layoutInCell="1" allowOverlap="1">
                <wp:simplePos x="0" y="0"/>
                <wp:positionH relativeFrom="column">
                  <wp:posOffset>691515</wp:posOffset>
                </wp:positionH>
                <wp:positionV relativeFrom="paragraph">
                  <wp:posOffset>73025</wp:posOffset>
                </wp:positionV>
                <wp:extent cx="4503420" cy="2897505"/>
                <wp:effectExtent l="0" t="0" r="0" b="0"/>
                <wp:wrapNone/>
                <wp:docPr id="467" name="画布 618"/>
                <wp:cNvGraphicFramePr/>
                <a:graphic xmlns:a="http://schemas.openxmlformats.org/drawingml/2006/main">
                  <a:graphicData uri="http://schemas.microsoft.com/office/word/2010/wordprocessingCanvas">
                    <wpc:wpc>
                      <wpc:bg>
                        <a:noFill/>
                      </wpc:bg>
                      <wpc:whole/>
                      <wps:wsp>
                        <wps:cNvPr id="17" name="Rectangle 619"/>
                        <wps:cNvSpPr>
                          <a:spLocks noChangeArrowheads="1"/>
                        </wps:cNvSpPr>
                        <wps:spPr bwMode="auto">
                          <a:xfrm>
                            <a:off x="379002" y="15800"/>
                            <a:ext cx="713203" cy="228000"/>
                          </a:xfrm>
                          <a:prstGeom prst="rect">
                            <a:avLst/>
                          </a:prstGeom>
                          <a:solidFill>
                            <a:srgbClr val="FFFFFF"/>
                          </a:solidFill>
                          <a:ln>
                            <a:noFill/>
                          </a:ln>
                        </wps:spPr>
                        <wps:bodyPr rot="0" vert="horz" wrap="square" lIns="91440" tIns="45720" rIns="91440" bIns="45720" anchor="t" anchorCtr="0" upright="1">
                          <a:noAutofit/>
                        </wps:bodyPr>
                      </wps:wsp>
                      <wps:wsp>
                        <wps:cNvPr id="18" name="Rectangle 620"/>
                        <wps:cNvSpPr>
                          <a:spLocks noChangeArrowheads="1"/>
                        </wps:cNvSpPr>
                        <wps:spPr bwMode="auto">
                          <a:xfrm>
                            <a:off x="512402" y="69200"/>
                            <a:ext cx="534002" cy="172700"/>
                          </a:xfrm>
                          <a:prstGeom prst="rect">
                            <a:avLst/>
                          </a:prstGeom>
                          <a:noFill/>
                          <a:ln>
                            <a:noFill/>
                          </a:ln>
                        </wps:spPr>
                        <wps:txbx>
                          <w:txbxContent>
                            <w:p>
                              <w:pPr>
                                <w:rPr>
                                  <w:sz w:val="21"/>
                                  <w:szCs w:val="21"/>
                                </w:rPr>
                              </w:pPr>
                              <w:r>
                                <w:rPr>
                                  <w:rFonts w:hint="eastAsia" w:cs="宋体"/>
                                  <w:color w:val="000000"/>
                                  <w:kern w:val="0"/>
                                  <w:sz w:val="21"/>
                                  <w:szCs w:val="21"/>
                                </w:rPr>
                                <w:t>监督管理</w:t>
                              </w:r>
                            </w:p>
                          </w:txbxContent>
                        </wps:txbx>
                        <wps:bodyPr rot="0" vert="horz" wrap="none" lIns="0" tIns="0" rIns="0" bIns="0" anchor="t" anchorCtr="0" upright="1">
                          <a:spAutoFit/>
                        </wps:bodyPr>
                      </wps:wsp>
                      <wps:wsp>
                        <wps:cNvPr id="19" name="Rectangle 621"/>
                        <wps:cNvSpPr>
                          <a:spLocks noChangeArrowheads="1"/>
                        </wps:cNvSpPr>
                        <wps:spPr bwMode="auto">
                          <a:xfrm>
                            <a:off x="1931609" y="15800"/>
                            <a:ext cx="713103" cy="228000"/>
                          </a:xfrm>
                          <a:prstGeom prst="rect">
                            <a:avLst/>
                          </a:prstGeom>
                          <a:solidFill>
                            <a:srgbClr val="FFFFFF"/>
                          </a:solidFill>
                          <a:ln>
                            <a:noFill/>
                          </a:ln>
                        </wps:spPr>
                        <wps:bodyPr rot="0" vert="horz" wrap="square" lIns="91440" tIns="45720" rIns="91440" bIns="45720" anchor="t" anchorCtr="0" upright="1">
                          <a:noAutofit/>
                        </wps:bodyPr>
                      </wps:wsp>
                      <wps:wsp>
                        <wps:cNvPr id="20" name="Rectangle 622"/>
                        <wps:cNvSpPr>
                          <a:spLocks noChangeArrowheads="1"/>
                        </wps:cNvSpPr>
                        <wps:spPr bwMode="auto">
                          <a:xfrm>
                            <a:off x="2015409" y="69200"/>
                            <a:ext cx="534102" cy="172700"/>
                          </a:xfrm>
                          <a:prstGeom prst="rect">
                            <a:avLst/>
                          </a:prstGeom>
                          <a:noFill/>
                          <a:ln>
                            <a:noFill/>
                          </a:ln>
                        </wps:spPr>
                        <wps:txbx>
                          <w:txbxContent>
                            <w:p>
                              <w:pPr>
                                <w:rPr>
                                  <w:sz w:val="21"/>
                                  <w:szCs w:val="21"/>
                                </w:rPr>
                              </w:pPr>
                              <w:r>
                                <w:rPr>
                                  <w:rFonts w:hint="eastAsia" w:cs="宋体"/>
                                  <w:color w:val="000000"/>
                                  <w:kern w:val="0"/>
                                  <w:sz w:val="21"/>
                                  <w:szCs w:val="21"/>
                                </w:rPr>
                                <w:t>执行机构</w:t>
                              </w:r>
                            </w:p>
                          </w:txbxContent>
                        </wps:txbx>
                        <wps:bodyPr rot="0" vert="horz" wrap="none" lIns="0" tIns="0" rIns="0" bIns="0" anchor="t" anchorCtr="0" upright="1">
                          <a:spAutoFit/>
                        </wps:bodyPr>
                      </wps:wsp>
                      <wps:wsp>
                        <wps:cNvPr id="21" name="Rectangle 623"/>
                        <wps:cNvSpPr>
                          <a:spLocks noChangeArrowheads="1"/>
                        </wps:cNvSpPr>
                        <wps:spPr bwMode="auto">
                          <a:xfrm>
                            <a:off x="3436615" y="15800"/>
                            <a:ext cx="712403" cy="228000"/>
                          </a:xfrm>
                          <a:prstGeom prst="rect">
                            <a:avLst/>
                          </a:prstGeom>
                          <a:solidFill>
                            <a:srgbClr val="FFFFFF"/>
                          </a:solidFill>
                          <a:ln>
                            <a:noFill/>
                          </a:ln>
                        </wps:spPr>
                        <wps:bodyPr rot="0" vert="horz" wrap="square" lIns="91440" tIns="45720" rIns="91440" bIns="45720" anchor="t" anchorCtr="0" upright="1">
                          <a:noAutofit/>
                        </wps:bodyPr>
                      </wps:wsp>
                      <wps:wsp>
                        <wps:cNvPr id="22" name="Rectangle 624"/>
                        <wps:cNvSpPr>
                          <a:spLocks noChangeArrowheads="1"/>
                        </wps:cNvSpPr>
                        <wps:spPr bwMode="auto">
                          <a:xfrm>
                            <a:off x="3571816" y="69200"/>
                            <a:ext cx="534102" cy="172700"/>
                          </a:xfrm>
                          <a:prstGeom prst="rect">
                            <a:avLst/>
                          </a:prstGeom>
                          <a:noFill/>
                          <a:ln>
                            <a:noFill/>
                          </a:ln>
                        </wps:spPr>
                        <wps:txbx>
                          <w:txbxContent>
                            <w:p>
                              <w:pPr>
                                <w:rPr>
                                  <w:sz w:val="21"/>
                                  <w:szCs w:val="21"/>
                                </w:rPr>
                              </w:pPr>
                              <w:r>
                                <w:rPr>
                                  <w:rFonts w:hint="eastAsia" w:cs="宋体"/>
                                  <w:color w:val="000000"/>
                                  <w:kern w:val="0"/>
                                  <w:sz w:val="21"/>
                                  <w:szCs w:val="21"/>
                                </w:rPr>
                                <w:t>咨询机构</w:t>
                              </w:r>
                            </w:p>
                          </w:txbxContent>
                        </wps:txbx>
                        <wps:bodyPr rot="0" vert="horz" wrap="none" lIns="0" tIns="0" rIns="0" bIns="0" anchor="t" anchorCtr="0" upright="1">
                          <a:spAutoFit/>
                        </wps:bodyPr>
                      </wps:wsp>
                      <wps:wsp>
                        <wps:cNvPr id="26" name="Rectangle 625"/>
                        <wps:cNvSpPr>
                          <a:spLocks noChangeArrowheads="1"/>
                        </wps:cNvSpPr>
                        <wps:spPr bwMode="auto">
                          <a:xfrm>
                            <a:off x="276801" y="243800"/>
                            <a:ext cx="1013505" cy="326401"/>
                          </a:xfrm>
                          <a:prstGeom prst="rect">
                            <a:avLst/>
                          </a:prstGeom>
                          <a:solidFill>
                            <a:srgbClr val="FFFFFF"/>
                          </a:solidFill>
                          <a:ln>
                            <a:noFill/>
                          </a:ln>
                        </wps:spPr>
                        <wps:bodyPr rot="0" vert="horz" wrap="square" lIns="91440" tIns="45720" rIns="91440" bIns="45720" anchor="t" anchorCtr="0" upright="1">
                          <a:noAutofit/>
                        </wps:bodyPr>
                      </wps:wsp>
                      <wps:wsp>
                        <wps:cNvPr id="39" name="Rectangle 626"/>
                        <wps:cNvSpPr>
                          <a:spLocks noChangeArrowheads="1"/>
                        </wps:cNvSpPr>
                        <wps:spPr bwMode="auto">
                          <a:xfrm>
                            <a:off x="276801" y="243800"/>
                            <a:ext cx="1083305" cy="351801"/>
                          </a:xfrm>
                          <a:prstGeom prst="rect">
                            <a:avLst/>
                          </a:prstGeom>
                          <a:noFill/>
                          <a:ln w="4" cap="rnd">
                            <a:solidFill>
                              <a:srgbClr val="000000"/>
                            </a:solidFill>
                            <a:round/>
                          </a:ln>
                        </wps:spPr>
                        <wps:bodyPr rot="0" vert="horz" wrap="square" lIns="91440" tIns="45720" rIns="91440" bIns="45720" anchor="t" anchorCtr="0" upright="1">
                          <a:noAutofit/>
                        </wps:bodyPr>
                      </wps:wsp>
                      <wps:wsp>
                        <wps:cNvPr id="40" name="Rectangle 627"/>
                        <wps:cNvSpPr>
                          <a:spLocks noChangeArrowheads="1"/>
                        </wps:cNvSpPr>
                        <wps:spPr bwMode="auto">
                          <a:xfrm>
                            <a:off x="292735" y="251460"/>
                            <a:ext cx="1030605" cy="354330"/>
                          </a:xfrm>
                          <a:prstGeom prst="rect">
                            <a:avLst/>
                          </a:prstGeom>
                          <a:noFill/>
                          <a:ln>
                            <a:noFill/>
                          </a:ln>
                        </wps:spPr>
                        <wps:txbx>
                          <w:txbxContent>
                            <w:p>
                              <w:pPr>
                                <w:ind w:left="420" w:hanging="420" w:hangingChars="200"/>
                                <w:rPr>
                                  <w:sz w:val="21"/>
                                  <w:szCs w:val="21"/>
                                </w:rPr>
                              </w:pPr>
                              <w:r>
                                <w:rPr>
                                  <w:rFonts w:hint="eastAsia" w:cs="宋体"/>
                                  <w:color w:val="000000"/>
                                  <w:kern w:val="0"/>
                                  <w:sz w:val="21"/>
                                  <w:szCs w:val="21"/>
                                </w:rPr>
                                <w:t>鄂尔多斯市生态环境局</w:t>
                              </w:r>
                            </w:p>
                          </w:txbxContent>
                        </wps:txbx>
                        <wps:bodyPr rot="0" vert="horz" wrap="square" lIns="0" tIns="0" rIns="0" bIns="0" anchor="t" anchorCtr="0" upright="1">
                          <a:noAutofit/>
                        </wps:bodyPr>
                      </wps:wsp>
                      <wps:wsp>
                        <wps:cNvPr id="42" name="Rectangle 628"/>
                        <wps:cNvSpPr>
                          <a:spLocks noChangeArrowheads="1"/>
                        </wps:cNvSpPr>
                        <wps:spPr bwMode="auto">
                          <a:xfrm>
                            <a:off x="1924009" y="243800"/>
                            <a:ext cx="712503" cy="326401"/>
                          </a:xfrm>
                          <a:prstGeom prst="rect">
                            <a:avLst/>
                          </a:prstGeom>
                          <a:solidFill>
                            <a:srgbClr val="FFFFFF"/>
                          </a:solidFill>
                          <a:ln>
                            <a:noFill/>
                          </a:ln>
                        </wps:spPr>
                        <wps:bodyPr rot="0" vert="horz" wrap="square" lIns="91440" tIns="45720" rIns="91440" bIns="45720" anchor="t" anchorCtr="0" upright="1">
                          <a:noAutofit/>
                        </wps:bodyPr>
                      </wps:wsp>
                      <wps:wsp>
                        <wps:cNvPr id="43" name="Rectangle 629"/>
                        <wps:cNvSpPr>
                          <a:spLocks noChangeArrowheads="1"/>
                        </wps:cNvSpPr>
                        <wps:spPr bwMode="auto">
                          <a:xfrm>
                            <a:off x="1924009" y="243800"/>
                            <a:ext cx="720703" cy="413401"/>
                          </a:xfrm>
                          <a:prstGeom prst="rect">
                            <a:avLst/>
                          </a:prstGeom>
                          <a:noFill/>
                          <a:ln w="4" cap="rnd">
                            <a:solidFill>
                              <a:srgbClr val="000000"/>
                            </a:solidFill>
                            <a:round/>
                          </a:ln>
                        </wps:spPr>
                        <wps:bodyPr rot="0" vert="horz" wrap="square" lIns="91440" tIns="45720" rIns="91440" bIns="45720" anchor="t" anchorCtr="0" upright="1">
                          <a:noAutofit/>
                        </wps:bodyPr>
                      </wps:wsp>
                      <wps:wsp>
                        <wps:cNvPr id="44" name="Rectangle 630"/>
                        <wps:cNvSpPr>
                          <a:spLocks noChangeArrowheads="1"/>
                        </wps:cNvSpPr>
                        <wps:spPr bwMode="auto">
                          <a:xfrm>
                            <a:off x="1947509" y="267300"/>
                            <a:ext cx="667403" cy="172700"/>
                          </a:xfrm>
                          <a:prstGeom prst="rect">
                            <a:avLst/>
                          </a:prstGeom>
                          <a:noFill/>
                          <a:ln>
                            <a:noFill/>
                          </a:ln>
                        </wps:spPr>
                        <wps:txbx>
                          <w:txbxContent>
                            <w:p>
                              <w:pPr>
                                <w:rPr>
                                  <w:sz w:val="21"/>
                                  <w:szCs w:val="21"/>
                                </w:rPr>
                              </w:pPr>
                              <w:r>
                                <w:rPr>
                                  <w:rFonts w:hint="eastAsia" w:cs="宋体"/>
                                  <w:color w:val="000000"/>
                                  <w:kern w:val="0"/>
                                  <w:sz w:val="21"/>
                                  <w:szCs w:val="21"/>
                                </w:rPr>
                                <w:t>矿区环境管</w:t>
                              </w:r>
                            </w:p>
                          </w:txbxContent>
                        </wps:txbx>
                        <wps:bodyPr rot="0" vert="horz" wrap="none" lIns="0" tIns="0" rIns="0" bIns="0" anchor="t" anchorCtr="0" upright="1">
                          <a:spAutoFit/>
                        </wps:bodyPr>
                      </wps:wsp>
                      <wps:wsp>
                        <wps:cNvPr id="45" name="Rectangle 631"/>
                        <wps:cNvSpPr>
                          <a:spLocks noChangeArrowheads="1"/>
                        </wps:cNvSpPr>
                        <wps:spPr bwMode="auto">
                          <a:xfrm>
                            <a:off x="2094209" y="441901"/>
                            <a:ext cx="400702" cy="172700"/>
                          </a:xfrm>
                          <a:prstGeom prst="rect">
                            <a:avLst/>
                          </a:prstGeom>
                          <a:noFill/>
                          <a:ln>
                            <a:noFill/>
                          </a:ln>
                        </wps:spPr>
                        <wps:txbx>
                          <w:txbxContent>
                            <w:p>
                              <w:pPr>
                                <w:rPr>
                                  <w:sz w:val="21"/>
                                  <w:szCs w:val="21"/>
                                </w:rPr>
                              </w:pPr>
                              <w:r>
                                <w:rPr>
                                  <w:rFonts w:hint="eastAsia" w:cs="宋体"/>
                                  <w:color w:val="000000"/>
                                  <w:kern w:val="0"/>
                                  <w:sz w:val="21"/>
                                  <w:szCs w:val="21"/>
                                </w:rPr>
                                <w:t>理机构</w:t>
                              </w:r>
                            </w:p>
                          </w:txbxContent>
                        </wps:txbx>
                        <wps:bodyPr rot="0" vert="horz" wrap="none" lIns="0" tIns="0" rIns="0" bIns="0" anchor="t" anchorCtr="0" upright="1">
                          <a:spAutoFit/>
                        </wps:bodyPr>
                      </wps:wsp>
                      <wps:wsp>
                        <wps:cNvPr id="46" name="Rectangle 632"/>
                        <wps:cNvSpPr>
                          <a:spLocks noChangeArrowheads="1"/>
                        </wps:cNvSpPr>
                        <wps:spPr bwMode="auto">
                          <a:xfrm>
                            <a:off x="3317815" y="243800"/>
                            <a:ext cx="950004" cy="326401"/>
                          </a:xfrm>
                          <a:prstGeom prst="rect">
                            <a:avLst/>
                          </a:prstGeom>
                          <a:solidFill>
                            <a:srgbClr val="FFFFFF"/>
                          </a:solidFill>
                          <a:ln>
                            <a:noFill/>
                          </a:ln>
                        </wps:spPr>
                        <wps:bodyPr rot="0" vert="horz" wrap="square" lIns="91440" tIns="45720" rIns="91440" bIns="45720" anchor="t" anchorCtr="0" upright="1">
                          <a:noAutofit/>
                        </wps:bodyPr>
                      </wps:wsp>
                      <wps:wsp>
                        <wps:cNvPr id="47" name="Rectangle 633"/>
                        <wps:cNvSpPr>
                          <a:spLocks noChangeArrowheads="1"/>
                        </wps:cNvSpPr>
                        <wps:spPr bwMode="auto">
                          <a:xfrm>
                            <a:off x="3317815" y="243800"/>
                            <a:ext cx="1020505" cy="351801"/>
                          </a:xfrm>
                          <a:prstGeom prst="rect">
                            <a:avLst/>
                          </a:prstGeom>
                          <a:noFill/>
                          <a:ln w="4" cap="rnd">
                            <a:solidFill>
                              <a:srgbClr val="000000"/>
                            </a:solidFill>
                            <a:round/>
                          </a:ln>
                        </wps:spPr>
                        <wps:bodyPr rot="0" vert="horz" wrap="square" lIns="91440" tIns="45720" rIns="91440" bIns="45720" anchor="t" anchorCtr="0" upright="1">
                          <a:noAutofit/>
                        </wps:bodyPr>
                      </wps:wsp>
                      <wps:wsp>
                        <wps:cNvPr id="48" name="Rectangle 634"/>
                        <wps:cNvSpPr>
                          <a:spLocks noChangeArrowheads="1"/>
                        </wps:cNvSpPr>
                        <wps:spPr bwMode="auto">
                          <a:xfrm>
                            <a:off x="3356615" y="353601"/>
                            <a:ext cx="934004" cy="172800"/>
                          </a:xfrm>
                          <a:prstGeom prst="rect">
                            <a:avLst/>
                          </a:prstGeom>
                          <a:noFill/>
                          <a:ln>
                            <a:noFill/>
                          </a:ln>
                        </wps:spPr>
                        <wps:txbx>
                          <w:txbxContent>
                            <w:p>
                              <w:pPr>
                                <w:rPr>
                                  <w:sz w:val="21"/>
                                  <w:szCs w:val="21"/>
                                </w:rPr>
                              </w:pPr>
                              <w:r>
                                <w:rPr>
                                  <w:rFonts w:hint="eastAsia" w:cs="宋体"/>
                                  <w:color w:val="000000"/>
                                  <w:kern w:val="0"/>
                                  <w:sz w:val="21"/>
                                  <w:szCs w:val="21"/>
                                </w:rPr>
                                <w:t>环保专家咨询组</w:t>
                              </w:r>
                            </w:p>
                          </w:txbxContent>
                        </wps:txbx>
                        <wps:bodyPr rot="0" vert="horz" wrap="none" lIns="0" tIns="0" rIns="0" bIns="0" anchor="t" anchorCtr="0" upright="1">
                          <a:spAutoFit/>
                        </wps:bodyPr>
                      </wps:wsp>
                      <wps:wsp>
                        <wps:cNvPr id="49" name="Line 635"/>
                        <wps:cNvCnPr>
                          <a:cxnSpLocks noChangeShapeType="1"/>
                        </wps:cNvCnPr>
                        <wps:spPr bwMode="auto">
                          <a:xfrm>
                            <a:off x="1360106" y="407001"/>
                            <a:ext cx="509902" cy="600"/>
                          </a:xfrm>
                          <a:prstGeom prst="line">
                            <a:avLst/>
                          </a:prstGeom>
                          <a:noFill/>
                          <a:ln w="4" cap="rnd">
                            <a:solidFill>
                              <a:srgbClr val="4677BF"/>
                            </a:solidFill>
                            <a:round/>
                          </a:ln>
                        </wps:spPr>
                        <wps:bodyPr/>
                      </wps:wsp>
                      <wps:wsp>
                        <wps:cNvPr id="51" name="Freeform 636"/>
                        <wps:cNvSpPr/>
                        <wps:spPr bwMode="auto">
                          <a:xfrm>
                            <a:off x="1861808" y="375201"/>
                            <a:ext cx="62200" cy="63500"/>
                          </a:xfrm>
                          <a:custGeom>
                            <a:avLst/>
                            <a:gdLst>
                              <a:gd name="T0" fmla="*/ 0 w 98"/>
                              <a:gd name="T1" fmla="*/ 0 h 100"/>
                              <a:gd name="T2" fmla="*/ 62230 w 98"/>
                              <a:gd name="T3" fmla="*/ 31750 h 100"/>
                              <a:gd name="T4" fmla="*/ 0 w 98"/>
                              <a:gd name="T5" fmla="*/ 63500 h 100"/>
                              <a:gd name="T6" fmla="*/ 0 w 98"/>
                              <a:gd name="T7" fmla="*/ 0 h 1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8" h="100">
                                <a:moveTo>
                                  <a:pt x="0" y="0"/>
                                </a:moveTo>
                                <a:lnTo>
                                  <a:pt x="98" y="50"/>
                                </a:lnTo>
                                <a:lnTo>
                                  <a:pt x="0" y="100"/>
                                </a:lnTo>
                                <a:lnTo>
                                  <a:pt x="0" y="0"/>
                                </a:lnTo>
                                <a:close/>
                              </a:path>
                            </a:pathLst>
                          </a:custGeom>
                          <a:solidFill>
                            <a:srgbClr val="4677BF"/>
                          </a:solidFill>
                          <a:ln>
                            <a:noFill/>
                          </a:ln>
                        </wps:spPr>
                        <wps:bodyPr rot="0" vert="horz" wrap="square" lIns="91440" tIns="45720" rIns="91440" bIns="45720" anchor="t" anchorCtr="0" upright="1">
                          <a:noAutofit/>
                        </wps:bodyPr>
                      </wps:wsp>
                      <wps:wsp>
                        <wps:cNvPr id="52" name="Line 637"/>
                        <wps:cNvCnPr>
                          <a:cxnSpLocks noChangeShapeType="1"/>
                        </wps:cNvCnPr>
                        <wps:spPr bwMode="auto">
                          <a:xfrm flipH="1">
                            <a:off x="2700012" y="407001"/>
                            <a:ext cx="627403" cy="600"/>
                          </a:xfrm>
                          <a:prstGeom prst="line">
                            <a:avLst/>
                          </a:prstGeom>
                          <a:noFill/>
                          <a:ln w="4" cap="rnd">
                            <a:solidFill>
                              <a:srgbClr val="4677BF"/>
                            </a:solidFill>
                            <a:round/>
                          </a:ln>
                        </wps:spPr>
                        <wps:bodyPr/>
                      </wps:wsp>
                      <wps:wsp>
                        <wps:cNvPr id="53" name="Freeform 638"/>
                        <wps:cNvSpPr/>
                        <wps:spPr bwMode="auto">
                          <a:xfrm>
                            <a:off x="2636512" y="375201"/>
                            <a:ext cx="62200" cy="63500"/>
                          </a:xfrm>
                          <a:custGeom>
                            <a:avLst/>
                            <a:gdLst>
                              <a:gd name="T0" fmla="*/ 62230 w 98"/>
                              <a:gd name="T1" fmla="*/ 63500 h 100"/>
                              <a:gd name="T2" fmla="*/ 0 w 98"/>
                              <a:gd name="T3" fmla="*/ 31750 h 100"/>
                              <a:gd name="T4" fmla="*/ 62230 w 98"/>
                              <a:gd name="T5" fmla="*/ 0 h 100"/>
                              <a:gd name="T6" fmla="*/ 62230 w 98"/>
                              <a:gd name="T7" fmla="*/ 63500 h 1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8" h="100">
                                <a:moveTo>
                                  <a:pt x="98" y="100"/>
                                </a:moveTo>
                                <a:lnTo>
                                  <a:pt x="0" y="50"/>
                                </a:lnTo>
                                <a:lnTo>
                                  <a:pt x="98" y="0"/>
                                </a:lnTo>
                                <a:lnTo>
                                  <a:pt x="98" y="100"/>
                                </a:lnTo>
                                <a:close/>
                              </a:path>
                            </a:pathLst>
                          </a:custGeom>
                          <a:solidFill>
                            <a:srgbClr val="4677BF"/>
                          </a:solidFill>
                          <a:ln>
                            <a:noFill/>
                          </a:ln>
                        </wps:spPr>
                        <wps:bodyPr rot="0" vert="horz" wrap="square" lIns="91440" tIns="45720" rIns="91440" bIns="45720" anchor="t" anchorCtr="0" upright="1">
                          <a:noAutofit/>
                        </wps:bodyPr>
                      </wps:wsp>
                      <wps:wsp>
                        <wps:cNvPr id="54" name="Rectangle 639"/>
                        <wps:cNvSpPr>
                          <a:spLocks noChangeArrowheads="1"/>
                        </wps:cNvSpPr>
                        <wps:spPr bwMode="auto">
                          <a:xfrm>
                            <a:off x="1852208" y="993702"/>
                            <a:ext cx="856004" cy="325101"/>
                          </a:xfrm>
                          <a:prstGeom prst="rect">
                            <a:avLst/>
                          </a:prstGeom>
                          <a:solidFill>
                            <a:srgbClr val="FFFFFF"/>
                          </a:solidFill>
                          <a:ln>
                            <a:noFill/>
                          </a:ln>
                        </wps:spPr>
                        <wps:bodyPr rot="0" vert="horz" wrap="square" lIns="91440" tIns="45720" rIns="91440" bIns="45720" anchor="t" anchorCtr="0" upright="1">
                          <a:noAutofit/>
                        </wps:bodyPr>
                      </wps:wsp>
                      <wps:wsp>
                        <wps:cNvPr id="55" name="Rectangle 640"/>
                        <wps:cNvSpPr>
                          <a:spLocks noChangeArrowheads="1"/>
                        </wps:cNvSpPr>
                        <wps:spPr bwMode="auto">
                          <a:xfrm>
                            <a:off x="1852208" y="993702"/>
                            <a:ext cx="856004" cy="325101"/>
                          </a:xfrm>
                          <a:prstGeom prst="rect">
                            <a:avLst/>
                          </a:prstGeom>
                          <a:noFill/>
                          <a:ln w="4" cap="rnd">
                            <a:solidFill>
                              <a:srgbClr val="000000"/>
                            </a:solidFill>
                            <a:round/>
                          </a:ln>
                        </wps:spPr>
                        <wps:bodyPr rot="0" vert="horz" wrap="square" lIns="91440" tIns="45720" rIns="91440" bIns="45720" anchor="t" anchorCtr="0" upright="1">
                          <a:noAutofit/>
                        </wps:bodyPr>
                      </wps:wsp>
                      <wps:wsp>
                        <wps:cNvPr id="56" name="Rectangle 641"/>
                        <wps:cNvSpPr>
                          <a:spLocks noChangeArrowheads="1"/>
                        </wps:cNvSpPr>
                        <wps:spPr bwMode="auto">
                          <a:xfrm>
                            <a:off x="1869408" y="1095302"/>
                            <a:ext cx="800704" cy="172700"/>
                          </a:xfrm>
                          <a:prstGeom prst="rect">
                            <a:avLst/>
                          </a:prstGeom>
                          <a:noFill/>
                          <a:ln>
                            <a:noFill/>
                          </a:ln>
                        </wps:spPr>
                        <wps:txbx>
                          <w:txbxContent>
                            <w:p>
                              <w:pPr>
                                <w:rPr>
                                  <w:sz w:val="21"/>
                                  <w:szCs w:val="21"/>
                                </w:rPr>
                              </w:pPr>
                              <w:r>
                                <w:rPr>
                                  <w:rFonts w:hint="eastAsia" w:cs="宋体"/>
                                  <w:color w:val="000000"/>
                                  <w:kern w:val="0"/>
                                  <w:sz w:val="21"/>
                                  <w:szCs w:val="21"/>
                                </w:rPr>
                                <w:t>企业环保部门</w:t>
                              </w:r>
                            </w:p>
                          </w:txbxContent>
                        </wps:txbx>
                        <wps:bodyPr rot="0" vert="horz" wrap="none" lIns="0" tIns="0" rIns="0" bIns="0" anchor="t" anchorCtr="0" upright="1">
                          <a:spAutoFit/>
                        </wps:bodyPr>
                      </wps:wsp>
                      <wps:wsp>
                        <wps:cNvPr id="57" name="Rectangle 642"/>
                        <wps:cNvSpPr>
                          <a:spLocks noChangeArrowheads="1"/>
                        </wps:cNvSpPr>
                        <wps:spPr bwMode="auto">
                          <a:xfrm>
                            <a:off x="1852208" y="1612903"/>
                            <a:ext cx="856004" cy="325101"/>
                          </a:xfrm>
                          <a:prstGeom prst="rect">
                            <a:avLst/>
                          </a:prstGeom>
                          <a:solidFill>
                            <a:srgbClr val="FFFFFF"/>
                          </a:solidFill>
                          <a:ln>
                            <a:noFill/>
                          </a:ln>
                        </wps:spPr>
                        <wps:bodyPr rot="0" vert="horz" wrap="square" lIns="91440" tIns="45720" rIns="91440" bIns="45720" anchor="t" anchorCtr="0" upright="1">
                          <a:noAutofit/>
                        </wps:bodyPr>
                      </wps:wsp>
                      <wps:wsp>
                        <wps:cNvPr id="58" name="Rectangle 643"/>
                        <wps:cNvSpPr>
                          <a:spLocks noChangeArrowheads="1"/>
                        </wps:cNvSpPr>
                        <wps:spPr bwMode="auto">
                          <a:xfrm>
                            <a:off x="1852208" y="1612903"/>
                            <a:ext cx="856004" cy="325101"/>
                          </a:xfrm>
                          <a:prstGeom prst="rect">
                            <a:avLst/>
                          </a:prstGeom>
                          <a:noFill/>
                          <a:ln w="4" cap="rnd">
                            <a:solidFill>
                              <a:srgbClr val="000000"/>
                            </a:solidFill>
                            <a:round/>
                          </a:ln>
                        </wps:spPr>
                        <wps:bodyPr rot="0" vert="horz" wrap="square" lIns="91440" tIns="45720" rIns="91440" bIns="45720" anchor="t" anchorCtr="0" upright="1">
                          <a:noAutofit/>
                        </wps:bodyPr>
                      </wps:wsp>
                      <wps:wsp>
                        <wps:cNvPr id="59" name="Rectangle 644"/>
                        <wps:cNvSpPr>
                          <a:spLocks noChangeArrowheads="1"/>
                        </wps:cNvSpPr>
                        <wps:spPr bwMode="auto">
                          <a:xfrm>
                            <a:off x="1888408" y="1715703"/>
                            <a:ext cx="800804" cy="172700"/>
                          </a:xfrm>
                          <a:prstGeom prst="rect">
                            <a:avLst/>
                          </a:prstGeom>
                          <a:noFill/>
                          <a:ln>
                            <a:noFill/>
                          </a:ln>
                        </wps:spPr>
                        <wps:txbx>
                          <w:txbxContent>
                            <w:p>
                              <w:pPr>
                                <w:rPr>
                                  <w:sz w:val="21"/>
                                  <w:szCs w:val="21"/>
                                </w:rPr>
                              </w:pPr>
                              <w:r>
                                <w:rPr>
                                  <w:rFonts w:hint="eastAsia" w:cs="宋体"/>
                                  <w:color w:val="000000"/>
                                  <w:kern w:val="0"/>
                                  <w:sz w:val="21"/>
                                  <w:szCs w:val="21"/>
                                </w:rPr>
                                <w:t>实施者负责人</w:t>
                              </w:r>
                            </w:p>
                          </w:txbxContent>
                        </wps:txbx>
                        <wps:bodyPr rot="0" vert="horz" wrap="none" lIns="0" tIns="0" rIns="0" bIns="0" anchor="t" anchorCtr="0" upright="1">
                          <a:spAutoFit/>
                        </wps:bodyPr>
                      </wps:wsp>
                      <wps:wsp>
                        <wps:cNvPr id="60" name="Rectangle 645"/>
                        <wps:cNvSpPr>
                          <a:spLocks noChangeArrowheads="1"/>
                        </wps:cNvSpPr>
                        <wps:spPr bwMode="auto">
                          <a:xfrm>
                            <a:off x="1852208" y="2232004"/>
                            <a:ext cx="856004" cy="325701"/>
                          </a:xfrm>
                          <a:prstGeom prst="rect">
                            <a:avLst/>
                          </a:prstGeom>
                          <a:solidFill>
                            <a:srgbClr val="FFFFFF"/>
                          </a:solidFill>
                          <a:ln>
                            <a:noFill/>
                          </a:ln>
                        </wps:spPr>
                        <wps:bodyPr rot="0" vert="horz" wrap="square" lIns="91440" tIns="45720" rIns="91440" bIns="45720" anchor="t" anchorCtr="0" upright="1">
                          <a:noAutofit/>
                        </wps:bodyPr>
                      </wps:wsp>
                      <wps:wsp>
                        <wps:cNvPr id="61" name="Rectangle 646"/>
                        <wps:cNvSpPr>
                          <a:spLocks noChangeArrowheads="1"/>
                        </wps:cNvSpPr>
                        <wps:spPr bwMode="auto">
                          <a:xfrm>
                            <a:off x="1852208" y="2232004"/>
                            <a:ext cx="856004" cy="325701"/>
                          </a:xfrm>
                          <a:prstGeom prst="rect">
                            <a:avLst/>
                          </a:prstGeom>
                          <a:noFill/>
                          <a:ln w="4" cap="rnd">
                            <a:solidFill>
                              <a:srgbClr val="000000"/>
                            </a:solidFill>
                            <a:round/>
                          </a:ln>
                        </wps:spPr>
                        <wps:bodyPr rot="0" vert="horz" wrap="square" lIns="91440" tIns="45720" rIns="91440" bIns="45720" anchor="t" anchorCtr="0" upright="1">
                          <a:noAutofit/>
                        </wps:bodyPr>
                      </wps:wsp>
                      <wps:wsp>
                        <wps:cNvPr id="62" name="Rectangle 647"/>
                        <wps:cNvSpPr>
                          <a:spLocks noChangeArrowheads="1"/>
                        </wps:cNvSpPr>
                        <wps:spPr bwMode="auto">
                          <a:xfrm>
                            <a:off x="2016709" y="2317704"/>
                            <a:ext cx="534002" cy="172700"/>
                          </a:xfrm>
                          <a:prstGeom prst="rect">
                            <a:avLst/>
                          </a:prstGeom>
                          <a:noFill/>
                          <a:ln>
                            <a:noFill/>
                          </a:ln>
                        </wps:spPr>
                        <wps:txbx>
                          <w:txbxContent>
                            <w:p>
                              <w:pPr>
                                <w:rPr>
                                  <w:sz w:val="21"/>
                                  <w:szCs w:val="21"/>
                                </w:rPr>
                              </w:pPr>
                              <w:r>
                                <w:rPr>
                                  <w:rFonts w:hint="eastAsia" w:cs="宋体"/>
                                  <w:color w:val="000000"/>
                                  <w:kern w:val="0"/>
                                  <w:sz w:val="21"/>
                                  <w:szCs w:val="21"/>
                                </w:rPr>
                                <w:t>工程项目</w:t>
                              </w:r>
                            </w:p>
                          </w:txbxContent>
                        </wps:txbx>
                        <wps:bodyPr rot="0" vert="horz" wrap="none" lIns="0" tIns="0" rIns="0" bIns="0" anchor="t" anchorCtr="0" upright="1">
                          <a:spAutoFit/>
                        </wps:bodyPr>
                      </wps:wsp>
                      <wps:wsp>
                        <wps:cNvPr id="64" name="Freeform 648"/>
                        <wps:cNvSpPr/>
                        <wps:spPr bwMode="auto">
                          <a:xfrm>
                            <a:off x="783503" y="570201"/>
                            <a:ext cx="1014805" cy="586101"/>
                          </a:xfrm>
                          <a:custGeom>
                            <a:avLst/>
                            <a:gdLst>
                              <a:gd name="T0" fmla="*/ 0 w 1598"/>
                              <a:gd name="T1" fmla="*/ 0 h 923"/>
                              <a:gd name="T2" fmla="*/ 0 w 1598"/>
                              <a:gd name="T3" fmla="*/ 586105 h 923"/>
                              <a:gd name="T4" fmla="*/ 1014730 w 1598"/>
                              <a:gd name="T5" fmla="*/ 586105 h 923"/>
                              <a:gd name="T6" fmla="*/ 0 60000 65536"/>
                              <a:gd name="T7" fmla="*/ 0 60000 65536"/>
                              <a:gd name="T8" fmla="*/ 0 60000 65536"/>
                            </a:gdLst>
                            <a:ahLst/>
                            <a:cxnLst>
                              <a:cxn ang="T6">
                                <a:pos x="T0" y="T1"/>
                              </a:cxn>
                              <a:cxn ang="T7">
                                <a:pos x="T2" y="T3"/>
                              </a:cxn>
                              <a:cxn ang="T8">
                                <a:pos x="T4" y="T5"/>
                              </a:cxn>
                            </a:cxnLst>
                            <a:rect l="0" t="0" r="r" b="b"/>
                            <a:pathLst>
                              <a:path w="1598" h="923">
                                <a:moveTo>
                                  <a:pt x="0" y="0"/>
                                </a:moveTo>
                                <a:lnTo>
                                  <a:pt x="0" y="923"/>
                                </a:lnTo>
                                <a:lnTo>
                                  <a:pt x="1598" y="923"/>
                                </a:lnTo>
                              </a:path>
                            </a:pathLst>
                          </a:custGeom>
                          <a:noFill/>
                          <a:ln w="4" cap="rnd">
                            <a:solidFill>
                              <a:srgbClr val="4677BF"/>
                            </a:solidFill>
                            <a:round/>
                          </a:ln>
                        </wps:spPr>
                        <wps:bodyPr rot="0" vert="horz" wrap="square" lIns="91440" tIns="45720" rIns="91440" bIns="45720" anchor="t" anchorCtr="0" upright="1">
                          <a:noAutofit/>
                        </wps:bodyPr>
                      </wps:wsp>
                      <wps:wsp>
                        <wps:cNvPr id="65" name="Freeform 649"/>
                        <wps:cNvSpPr/>
                        <wps:spPr bwMode="auto">
                          <a:xfrm>
                            <a:off x="1790708" y="1124502"/>
                            <a:ext cx="61500" cy="63500"/>
                          </a:xfrm>
                          <a:custGeom>
                            <a:avLst/>
                            <a:gdLst>
                              <a:gd name="T0" fmla="*/ 0 w 97"/>
                              <a:gd name="T1" fmla="*/ 0 h 100"/>
                              <a:gd name="T2" fmla="*/ 61595 w 97"/>
                              <a:gd name="T3" fmla="*/ 31750 h 100"/>
                              <a:gd name="T4" fmla="*/ 0 w 97"/>
                              <a:gd name="T5" fmla="*/ 63500 h 100"/>
                              <a:gd name="T6" fmla="*/ 0 w 97"/>
                              <a:gd name="T7" fmla="*/ 0 h 1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7" h="100">
                                <a:moveTo>
                                  <a:pt x="0" y="0"/>
                                </a:moveTo>
                                <a:lnTo>
                                  <a:pt x="97" y="50"/>
                                </a:lnTo>
                                <a:lnTo>
                                  <a:pt x="0" y="100"/>
                                </a:lnTo>
                                <a:lnTo>
                                  <a:pt x="0" y="0"/>
                                </a:lnTo>
                                <a:close/>
                              </a:path>
                            </a:pathLst>
                          </a:custGeom>
                          <a:solidFill>
                            <a:srgbClr val="4677BF"/>
                          </a:solidFill>
                          <a:ln>
                            <a:noFill/>
                          </a:ln>
                        </wps:spPr>
                        <wps:bodyPr rot="0" vert="horz" wrap="square" lIns="91440" tIns="45720" rIns="91440" bIns="45720" anchor="t" anchorCtr="0" upright="1">
                          <a:noAutofit/>
                        </wps:bodyPr>
                      </wps:wsp>
                      <wps:wsp>
                        <wps:cNvPr id="66" name="Freeform 650"/>
                        <wps:cNvSpPr/>
                        <wps:spPr bwMode="auto">
                          <a:xfrm>
                            <a:off x="783503" y="570201"/>
                            <a:ext cx="1014805" cy="1205202"/>
                          </a:xfrm>
                          <a:custGeom>
                            <a:avLst/>
                            <a:gdLst>
                              <a:gd name="T0" fmla="*/ 0 w 1598"/>
                              <a:gd name="T1" fmla="*/ 0 h 1898"/>
                              <a:gd name="T2" fmla="*/ 0 w 1598"/>
                              <a:gd name="T3" fmla="*/ 1205230 h 1898"/>
                              <a:gd name="T4" fmla="*/ 1014730 w 1598"/>
                              <a:gd name="T5" fmla="*/ 1205230 h 1898"/>
                              <a:gd name="T6" fmla="*/ 0 60000 65536"/>
                              <a:gd name="T7" fmla="*/ 0 60000 65536"/>
                              <a:gd name="T8" fmla="*/ 0 60000 65536"/>
                            </a:gdLst>
                            <a:ahLst/>
                            <a:cxnLst>
                              <a:cxn ang="T6">
                                <a:pos x="T0" y="T1"/>
                              </a:cxn>
                              <a:cxn ang="T7">
                                <a:pos x="T2" y="T3"/>
                              </a:cxn>
                              <a:cxn ang="T8">
                                <a:pos x="T4" y="T5"/>
                              </a:cxn>
                            </a:cxnLst>
                            <a:rect l="0" t="0" r="r" b="b"/>
                            <a:pathLst>
                              <a:path w="1598" h="1898">
                                <a:moveTo>
                                  <a:pt x="0" y="0"/>
                                </a:moveTo>
                                <a:lnTo>
                                  <a:pt x="0" y="1898"/>
                                </a:lnTo>
                                <a:lnTo>
                                  <a:pt x="1598" y="1898"/>
                                </a:lnTo>
                              </a:path>
                            </a:pathLst>
                          </a:custGeom>
                          <a:noFill/>
                          <a:ln w="4" cap="rnd">
                            <a:solidFill>
                              <a:srgbClr val="4677BF"/>
                            </a:solidFill>
                            <a:round/>
                          </a:ln>
                        </wps:spPr>
                        <wps:bodyPr rot="0" vert="horz" wrap="square" lIns="91440" tIns="45720" rIns="91440" bIns="45720" anchor="t" anchorCtr="0" upright="1">
                          <a:noAutofit/>
                        </wps:bodyPr>
                      </wps:wsp>
                      <wps:wsp>
                        <wps:cNvPr id="67" name="Freeform 651"/>
                        <wps:cNvSpPr/>
                        <wps:spPr bwMode="auto">
                          <a:xfrm>
                            <a:off x="1790708" y="1743703"/>
                            <a:ext cx="61500" cy="63500"/>
                          </a:xfrm>
                          <a:custGeom>
                            <a:avLst/>
                            <a:gdLst>
                              <a:gd name="T0" fmla="*/ 0 w 97"/>
                              <a:gd name="T1" fmla="*/ 0 h 100"/>
                              <a:gd name="T2" fmla="*/ 61595 w 97"/>
                              <a:gd name="T3" fmla="*/ 31750 h 100"/>
                              <a:gd name="T4" fmla="*/ 0 w 97"/>
                              <a:gd name="T5" fmla="*/ 63500 h 100"/>
                              <a:gd name="T6" fmla="*/ 0 w 97"/>
                              <a:gd name="T7" fmla="*/ 0 h 1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7" h="100">
                                <a:moveTo>
                                  <a:pt x="0" y="0"/>
                                </a:moveTo>
                                <a:lnTo>
                                  <a:pt x="97" y="50"/>
                                </a:lnTo>
                                <a:lnTo>
                                  <a:pt x="0" y="100"/>
                                </a:lnTo>
                                <a:lnTo>
                                  <a:pt x="0" y="0"/>
                                </a:lnTo>
                                <a:close/>
                              </a:path>
                            </a:pathLst>
                          </a:custGeom>
                          <a:solidFill>
                            <a:srgbClr val="4677BF"/>
                          </a:solidFill>
                          <a:ln>
                            <a:noFill/>
                          </a:ln>
                        </wps:spPr>
                        <wps:bodyPr rot="0" vert="horz" wrap="square" lIns="91440" tIns="45720" rIns="91440" bIns="45720" anchor="t" anchorCtr="0" upright="1">
                          <a:noAutofit/>
                        </wps:bodyPr>
                      </wps:wsp>
                      <wps:wsp>
                        <wps:cNvPr id="450" name="Line 652"/>
                        <wps:cNvCnPr>
                          <a:cxnSpLocks noChangeShapeType="1"/>
                        </wps:cNvCnPr>
                        <wps:spPr bwMode="auto">
                          <a:xfrm>
                            <a:off x="2280210" y="664801"/>
                            <a:ext cx="700" cy="273000"/>
                          </a:xfrm>
                          <a:prstGeom prst="line">
                            <a:avLst/>
                          </a:prstGeom>
                          <a:noFill/>
                          <a:ln w="4" cap="rnd">
                            <a:solidFill>
                              <a:srgbClr val="4677BF"/>
                            </a:solidFill>
                            <a:round/>
                          </a:ln>
                        </wps:spPr>
                        <wps:bodyPr/>
                      </wps:wsp>
                      <wps:wsp>
                        <wps:cNvPr id="451" name="Freeform 653"/>
                        <wps:cNvSpPr/>
                        <wps:spPr bwMode="auto">
                          <a:xfrm>
                            <a:off x="2249810" y="930202"/>
                            <a:ext cx="60900" cy="63500"/>
                          </a:xfrm>
                          <a:custGeom>
                            <a:avLst/>
                            <a:gdLst>
                              <a:gd name="T0" fmla="*/ 60960 w 96"/>
                              <a:gd name="T1" fmla="*/ 0 h 100"/>
                              <a:gd name="T2" fmla="*/ 30480 w 96"/>
                              <a:gd name="T3" fmla="*/ 63500 h 100"/>
                              <a:gd name="T4" fmla="*/ 0 w 96"/>
                              <a:gd name="T5" fmla="*/ 0 h 100"/>
                              <a:gd name="T6" fmla="*/ 60960 w 96"/>
                              <a:gd name="T7" fmla="*/ 0 h 1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6" h="100">
                                <a:moveTo>
                                  <a:pt x="96" y="0"/>
                                </a:moveTo>
                                <a:lnTo>
                                  <a:pt x="48" y="100"/>
                                </a:lnTo>
                                <a:lnTo>
                                  <a:pt x="0" y="0"/>
                                </a:lnTo>
                                <a:lnTo>
                                  <a:pt x="96" y="0"/>
                                </a:lnTo>
                                <a:close/>
                              </a:path>
                            </a:pathLst>
                          </a:custGeom>
                          <a:solidFill>
                            <a:srgbClr val="4677BF"/>
                          </a:solidFill>
                          <a:ln>
                            <a:noFill/>
                          </a:ln>
                        </wps:spPr>
                        <wps:bodyPr rot="0" vert="horz" wrap="square" lIns="91440" tIns="45720" rIns="91440" bIns="45720" anchor="t" anchorCtr="0" upright="1">
                          <a:noAutofit/>
                        </wps:bodyPr>
                      </wps:wsp>
                      <wps:wsp>
                        <wps:cNvPr id="456" name="Line 654"/>
                        <wps:cNvCnPr>
                          <a:cxnSpLocks noChangeShapeType="1"/>
                        </wps:cNvCnPr>
                        <wps:spPr bwMode="auto">
                          <a:xfrm>
                            <a:off x="2280210" y="1318802"/>
                            <a:ext cx="700" cy="238200"/>
                          </a:xfrm>
                          <a:prstGeom prst="line">
                            <a:avLst/>
                          </a:prstGeom>
                          <a:noFill/>
                          <a:ln w="4" cap="rnd">
                            <a:solidFill>
                              <a:srgbClr val="4677BF"/>
                            </a:solidFill>
                            <a:round/>
                          </a:ln>
                        </wps:spPr>
                        <wps:bodyPr/>
                      </wps:wsp>
                      <wps:wsp>
                        <wps:cNvPr id="458" name="Freeform 655"/>
                        <wps:cNvSpPr/>
                        <wps:spPr bwMode="auto">
                          <a:xfrm>
                            <a:off x="2249810" y="1549403"/>
                            <a:ext cx="60900" cy="63500"/>
                          </a:xfrm>
                          <a:custGeom>
                            <a:avLst/>
                            <a:gdLst>
                              <a:gd name="T0" fmla="*/ 60960 w 96"/>
                              <a:gd name="T1" fmla="*/ 0 h 100"/>
                              <a:gd name="T2" fmla="*/ 30480 w 96"/>
                              <a:gd name="T3" fmla="*/ 63500 h 100"/>
                              <a:gd name="T4" fmla="*/ 0 w 96"/>
                              <a:gd name="T5" fmla="*/ 0 h 100"/>
                              <a:gd name="T6" fmla="*/ 60960 w 96"/>
                              <a:gd name="T7" fmla="*/ 0 h 1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6" h="100">
                                <a:moveTo>
                                  <a:pt x="96" y="0"/>
                                </a:moveTo>
                                <a:lnTo>
                                  <a:pt x="48" y="100"/>
                                </a:lnTo>
                                <a:lnTo>
                                  <a:pt x="0" y="0"/>
                                </a:lnTo>
                                <a:lnTo>
                                  <a:pt x="96" y="0"/>
                                </a:lnTo>
                                <a:close/>
                              </a:path>
                            </a:pathLst>
                          </a:custGeom>
                          <a:solidFill>
                            <a:srgbClr val="4677BF"/>
                          </a:solidFill>
                          <a:ln>
                            <a:noFill/>
                          </a:ln>
                        </wps:spPr>
                        <wps:bodyPr rot="0" vert="horz" wrap="square" lIns="91440" tIns="45720" rIns="91440" bIns="45720" anchor="t" anchorCtr="0" upright="1">
                          <a:noAutofit/>
                        </wps:bodyPr>
                      </wps:wsp>
                      <wps:wsp>
                        <wps:cNvPr id="460" name="Line 656"/>
                        <wps:cNvCnPr>
                          <a:cxnSpLocks noChangeShapeType="1"/>
                        </wps:cNvCnPr>
                        <wps:spPr bwMode="auto">
                          <a:xfrm>
                            <a:off x="2280210" y="1938003"/>
                            <a:ext cx="700" cy="238700"/>
                          </a:xfrm>
                          <a:prstGeom prst="line">
                            <a:avLst/>
                          </a:prstGeom>
                          <a:noFill/>
                          <a:ln w="4" cap="rnd">
                            <a:solidFill>
                              <a:srgbClr val="4677BF"/>
                            </a:solidFill>
                            <a:round/>
                          </a:ln>
                        </wps:spPr>
                        <wps:bodyPr/>
                      </wps:wsp>
                      <wps:wsp>
                        <wps:cNvPr id="462" name="Freeform 657"/>
                        <wps:cNvSpPr/>
                        <wps:spPr bwMode="auto">
                          <a:xfrm>
                            <a:off x="2249810" y="2168504"/>
                            <a:ext cx="60900" cy="63500"/>
                          </a:xfrm>
                          <a:custGeom>
                            <a:avLst/>
                            <a:gdLst>
                              <a:gd name="T0" fmla="*/ 60960 w 96"/>
                              <a:gd name="T1" fmla="*/ 0 h 100"/>
                              <a:gd name="T2" fmla="*/ 30480 w 96"/>
                              <a:gd name="T3" fmla="*/ 63500 h 100"/>
                              <a:gd name="T4" fmla="*/ 0 w 96"/>
                              <a:gd name="T5" fmla="*/ 0 h 100"/>
                              <a:gd name="T6" fmla="*/ 60960 w 96"/>
                              <a:gd name="T7" fmla="*/ 0 h 1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6" h="100">
                                <a:moveTo>
                                  <a:pt x="96" y="0"/>
                                </a:moveTo>
                                <a:lnTo>
                                  <a:pt x="48" y="100"/>
                                </a:lnTo>
                                <a:lnTo>
                                  <a:pt x="0" y="0"/>
                                </a:lnTo>
                                <a:lnTo>
                                  <a:pt x="96" y="0"/>
                                </a:lnTo>
                                <a:close/>
                              </a:path>
                            </a:pathLst>
                          </a:custGeom>
                          <a:solidFill>
                            <a:srgbClr val="4677BF"/>
                          </a:solidFill>
                          <a:ln>
                            <a:noFill/>
                          </a:ln>
                        </wps:spPr>
                        <wps:bodyPr rot="0" vert="horz" wrap="square" lIns="91440" tIns="45720" rIns="91440" bIns="45720" anchor="t" anchorCtr="0" upright="1">
                          <a:noAutofit/>
                        </wps:bodyPr>
                      </wps:wsp>
                      <wps:wsp>
                        <wps:cNvPr id="464" name="Freeform 658"/>
                        <wps:cNvSpPr/>
                        <wps:spPr bwMode="auto">
                          <a:xfrm>
                            <a:off x="2792712" y="657201"/>
                            <a:ext cx="1000104" cy="1737303"/>
                          </a:xfrm>
                          <a:custGeom>
                            <a:avLst/>
                            <a:gdLst>
                              <a:gd name="T0" fmla="*/ 0 w 1575"/>
                              <a:gd name="T1" fmla="*/ 1737360 h 2736"/>
                              <a:gd name="T2" fmla="*/ 1000125 w 1575"/>
                              <a:gd name="T3" fmla="*/ 1737360 h 2736"/>
                              <a:gd name="T4" fmla="*/ 1000125 w 1575"/>
                              <a:gd name="T5" fmla="*/ 0 h 2736"/>
                              <a:gd name="T6" fmla="*/ 0 60000 65536"/>
                              <a:gd name="T7" fmla="*/ 0 60000 65536"/>
                              <a:gd name="T8" fmla="*/ 0 60000 65536"/>
                            </a:gdLst>
                            <a:ahLst/>
                            <a:cxnLst>
                              <a:cxn ang="T6">
                                <a:pos x="T0" y="T1"/>
                              </a:cxn>
                              <a:cxn ang="T7">
                                <a:pos x="T2" y="T3"/>
                              </a:cxn>
                              <a:cxn ang="T8">
                                <a:pos x="T4" y="T5"/>
                              </a:cxn>
                            </a:cxnLst>
                            <a:rect l="0" t="0" r="r" b="b"/>
                            <a:pathLst>
                              <a:path w="1575" h="2736">
                                <a:moveTo>
                                  <a:pt x="0" y="2736"/>
                                </a:moveTo>
                                <a:lnTo>
                                  <a:pt x="1575" y="2736"/>
                                </a:lnTo>
                                <a:lnTo>
                                  <a:pt x="1575" y="0"/>
                                </a:lnTo>
                              </a:path>
                            </a:pathLst>
                          </a:custGeom>
                          <a:noFill/>
                          <a:ln w="4" cap="rnd">
                            <a:solidFill>
                              <a:srgbClr val="4677BF"/>
                            </a:solidFill>
                            <a:round/>
                          </a:ln>
                        </wps:spPr>
                        <wps:bodyPr rot="0" vert="horz" wrap="square" lIns="91440" tIns="45720" rIns="91440" bIns="45720" anchor="t" anchorCtr="0" upright="1">
                          <a:noAutofit/>
                        </wps:bodyPr>
                      </wps:wsp>
                      <wps:wsp>
                        <wps:cNvPr id="465" name="Freeform 659"/>
                        <wps:cNvSpPr/>
                        <wps:spPr bwMode="auto">
                          <a:xfrm>
                            <a:off x="2708212" y="2362804"/>
                            <a:ext cx="92100" cy="63500"/>
                          </a:xfrm>
                          <a:custGeom>
                            <a:avLst/>
                            <a:gdLst>
                              <a:gd name="T0" fmla="*/ 92075 w 145"/>
                              <a:gd name="T1" fmla="*/ 63500 h 100"/>
                              <a:gd name="T2" fmla="*/ 0 w 145"/>
                              <a:gd name="T3" fmla="*/ 31750 h 100"/>
                              <a:gd name="T4" fmla="*/ 92075 w 145"/>
                              <a:gd name="T5" fmla="*/ 0 h 100"/>
                              <a:gd name="T6" fmla="*/ 92075 w 145"/>
                              <a:gd name="T7" fmla="*/ 63500 h 1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5" h="100">
                                <a:moveTo>
                                  <a:pt x="145" y="100"/>
                                </a:moveTo>
                                <a:lnTo>
                                  <a:pt x="0" y="50"/>
                                </a:lnTo>
                                <a:lnTo>
                                  <a:pt x="145" y="0"/>
                                </a:lnTo>
                                <a:lnTo>
                                  <a:pt x="145" y="100"/>
                                </a:lnTo>
                                <a:close/>
                              </a:path>
                            </a:pathLst>
                          </a:custGeom>
                          <a:solidFill>
                            <a:srgbClr val="4677BF"/>
                          </a:solidFill>
                          <a:ln>
                            <a:noFill/>
                          </a:ln>
                        </wps:spPr>
                        <wps:bodyPr rot="0" vert="horz" wrap="square" lIns="91440" tIns="45720" rIns="91440" bIns="45720" anchor="t" anchorCtr="0" upright="1">
                          <a:noAutofit/>
                        </wps:bodyPr>
                      </wps:wsp>
                      <wps:wsp>
                        <wps:cNvPr id="466" name="Freeform 660"/>
                        <wps:cNvSpPr/>
                        <wps:spPr bwMode="auto">
                          <a:xfrm>
                            <a:off x="3761717" y="570201"/>
                            <a:ext cx="62200" cy="94600"/>
                          </a:xfrm>
                          <a:custGeom>
                            <a:avLst/>
                            <a:gdLst>
                              <a:gd name="T0" fmla="*/ 0 w 98"/>
                              <a:gd name="T1" fmla="*/ 94615 h 149"/>
                              <a:gd name="T2" fmla="*/ 31115 w 98"/>
                              <a:gd name="T3" fmla="*/ 0 h 149"/>
                              <a:gd name="T4" fmla="*/ 62230 w 98"/>
                              <a:gd name="T5" fmla="*/ 94615 h 149"/>
                              <a:gd name="T6" fmla="*/ 0 w 98"/>
                              <a:gd name="T7" fmla="*/ 94615 h 14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8" h="149">
                                <a:moveTo>
                                  <a:pt x="0" y="149"/>
                                </a:moveTo>
                                <a:lnTo>
                                  <a:pt x="49" y="0"/>
                                </a:lnTo>
                                <a:lnTo>
                                  <a:pt x="98" y="149"/>
                                </a:lnTo>
                                <a:lnTo>
                                  <a:pt x="0" y="149"/>
                                </a:lnTo>
                                <a:close/>
                              </a:path>
                            </a:pathLst>
                          </a:custGeom>
                          <a:solidFill>
                            <a:srgbClr val="4677BF"/>
                          </a:solidFill>
                          <a:ln>
                            <a:noFill/>
                          </a:ln>
                        </wps:spPr>
                        <wps:bodyPr rot="0" vert="horz" wrap="square" lIns="91440" tIns="45720" rIns="91440" bIns="45720" anchor="t" anchorCtr="0" upright="1">
                          <a:noAutofit/>
                        </wps:bodyPr>
                      </wps:wsp>
                    </wpc:wpc>
                  </a:graphicData>
                </a:graphic>
              </wp:anchor>
            </w:drawing>
          </mc:Choice>
          <mc:Fallback>
            <w:pict>
              <v:group id="画布 618" o:spid="_x0000_s1026" o:spt="203" style="position:absolute;left:0pt;margin-left:54.45pt;margin-top:5.75pt;height:228.15pt;width:354.6pt;z-index:251661312;mso-width-relative:page;mso-height-relative:page;" coordsize="4503420,2897505" editas="canvas" o:gfxdata="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">
                <o:lock v:ext="edit" aspectratio="f"/>
                <v:shape id="画布 618" o:spid="_x0000_s1026" style="position:absolute;left:0;top:0;height:2897505;width:4503420;" filled="f" stroked="f" coordsize="21600,21600" o:gfxdata="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&#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">
                  <v:fill on="f" focussize="0,0"/>
                  <v:stroke on="f"/>
                  <v:imagedata o:title=""/>
                  <o:lock v:ext="edit" aspectratio="f"/>
                </v:shape>
                <v:rect id="Rectangle 619" o:spid="_x0000_s1026" o:spt="1" style="position:absolute;left:379002;top:15800;height:228000;width:713203;" fillcolor="#FFFFFF" filled="t" stroked="f" coordsize="21600,21600" o:gfxdata="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FVGTO1wAAAAoB&#10;AAAPAAAAAAAAAAEAIAAAACIAAABkcnMvZG93bnJldi54bWxQSwECFAAUAAAACACHTuJAH2wmZxwC&#10;AAA0BAAADgAAAAAAAAABACAAAAAmAQAAZHJzL2Uyb0RvYy54bWxQSwUGAAAAAAYABgBZAQAAtAUA&#10;AAAA&#10;">
                  <v:fill on="t" focussize="0,0"/>
                  <v:stroke on="f"/>
                  <v:imagedata o:title=""/>
                  <o:lock v:ext="edit" aspectratio="f"/>
                </v:rect>
                <v:rect id="Rectangle 620" o:spid="_x0000_s1026" o:spt="1" style="position:absolute;left:512402;top:69200;height:172700;width:534002;mso-wrap-style:none;" filled="f" stroked="f" coordsize="21600,21600" o:gfxdata="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NiVCHWAAAACgEAAA8AAAAAAAAAAQAgAAAAIgAAAGRycy9kb3du&#10;cmV2LnhtbFBLAQIUABQAAAAIAIdO4kB0hGBqAQIAAAQEAAAOAAAAAAAAAAEAIAAAACUBAABkcnMv&#10;ZTJvRG9jLnhtbFBLBQYAAAAABgAGAFkBAACYBQAAAAA=&#10;">
                  <v:fill on="f" focussize="0,0"/>
                  <v:stroke on="f"/>
                  <v:imagedata o:title=""/>
                  <o:lock v:ext="edit" aspectratio="f"/>
                  <v:textbox inset="0mm,0mm,0mm,0mm" style="mso-fit-shape-to-text:t;">
                    <w:txbxContent>
                      <w:p>
                        <w:pPr>
                          <w:rPr>
                            <w:sz w:val="21"/>
                            <w:szCs w:val="21"/>
                          </w:rPr>
                        </w:pPr>
                        <w:r>
                          <w:rPr>
                            <w:rFonts w:hint="eastAsia" w:cs="宋体"/>
                            <w:color w:val="000000"/>
                            <w:kern w:val="0"/>
                            <w:sz w:val="21"/>
                            <w:szCs w:val="21"/>
                          </w:rPr>
                          <w:t>监督管理</w:t>
                        </w:r>
                      </w:p>
                    </w:txbxContent>
                  </v:textbox>
                </v:rect>
                <v:rect id="Rectangle 621" o:spid="_x0000_s1026" o:spt="1" style="position:absolute;left:1931609;top:15800;height:228000;width:713103;" fillcolor="#FFFFFF" filled="t" stroked="f" coordsize="21600,21600" o:gfxdata="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VRkztcAAAAKAQAA&#10;DwAAAAAAAAABACAAAAAiAAAAZHJzL2Rvd25yZXYueG1sUEsBAhQAFAAAAAgAh07iQKrgdZgaAgAA&#10;NQQAAA4AAAAAAAAAAQAgAAAAJgEAAGRycy9lMm9Eb2MueG1sUEsFBgAAAAAGAAYAWQEAALIFAAAA&#10;AA==&#10;">
                  <v:fill on="t" focussize="0,0"/>
                  <v:stroke on="f"/>
                  <v:imagedata o:title=""/>
                  <o:lock v:ext="edit" aspectratio="f"/>
                </v:rect>
                <v:rect id="Rectangle 622" o:spid="_x0000_s1026" o:spt="1" style="position:absolute;left:2015409;top:69200;height:172700;width:534102;mso-wrap-style:none;" filled="f" stroked="f" coordsize="21600,21600" o:gfxdata="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2JUIdYAAAAKAQAADwAAAAAAAAABACAAAAAiAAAAZHJzL2Rv&#10;d25yZXYueG1sUEsBAhQAFAAAAAgAh07iQIbxnzcDAgAABQQAAA4AAAAAAAAAAQAgAAAAJQEAAGRy&#10;cy9lMm9Eb2MueG1sUEsFBgAAAAAGAAYAWQEAAJoFAAAAAA==&#10;">
                  <v:fill on="f" focussize="0,0"/>
                  <v:stroke on="f"/>
                  <v:imagedata o:title=""/>
                  <o:lock v:ext="edit" aspectratio="f"/>
                  <v:textbox inset="0mm,0mm,0mm,0mm" style="mso-fit-shape-to-text:t;">
                    <w:txbxContent>
                      <w:p>
                        <w:pPr>
                          <w:rPr>
                            <w:sz w:val="21"/>
                            <w:szCs w:val="21"/>
                          </w:rPr>
                        </w:pPr>
                        <w:r>
                          <w:rPr>
                            <w:rFonts w:hint="eastAsia" w:cs="宋体"/>
                            <w:color w:val="000000"/>
                            <w:kern w:val="0"/>
                            <w:sz w:val="21"/>
                            <w:szCs w:val="21"/>
                          </w:rPr>
                          <w:t>执行机构</w:t>
                        </w:r>
                      </w:p>
                    </w:txbxContent>
                  </v:textbox>
                </v:rect>
                <v:rect id="Rectangle 623" o:spid="_x0000_s1026" o:spt="1" style="position:absolute;left:3436615;top:15800;height:228000;width:712403;" fillcolor="#FFFFFF" filled="t" stroked="f" coordsize="21600,21600" o:gfxdata="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VRkztcAAAAK&#10;AQAADwAAAAAAAAABACAAAAAiAAAAZHJzL2Rvd25yZXYueG1sUEsBAhQAFAAAAAgAh07iQENW2EUd&#10;AgAANQQAAA4AAAAAAAAAAQAgAAAAJgEAAGRycy9lMm9Eb2MueG1sUEsFBgAAAAAGAAYAWQEAALUF&#10;AAAAAA==&#10;">
                  <v:fill on="t" focussize="0,0"/>
                  <v:stroke on="f"/>
                  <v:imagedata o:title=""/>
                  <o:lock v:ext="edit" aspectratio="f"/>
                </v:rect>
                <v:rect id="Rectangle 624" o:spid="_x0000_s1026" o:spt="1" style="position:absolute;left:3571816;top:69200;height:172700;width:534102;mso-wrap-style:none;" filled="f" stroked="f" coordsize="21600,21600" o:gfxdata="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DYlQh1gAAAAoBAAAPAAAAAAAAAAEAIAAAACIAAABkcnMv&#10;ZG93bnJldi54bWxQSwECFAAUAAAACACHTuJAEa194wUCAAAFBAAADgAAAAAAAAABACAAAAAlAQAA&#10;ZHJzL2Uyb0RvYy54bWxQSwUGAAAAAAYABgBZAQAAnAUAAAAA&#10;">
                  <v:fill on="f" focussize="0,0"/>
                  <v:stroke on="f"/>
                  <v:imagedata o:title=""/>
                  <o:lock v:ext="edit" aspectratio="f"/>
                  <v:textbox inset="0mm,0mm,0mm,0mm" style="mso-fit-shape-to-text:t;">
                    <w:txbxContent>
                      <w:p>
                        <w:pPr>
                          <w:rPr>
                            <w:sz w:val="21"/>
                            <w:szCs w:val="21"/>
                          </w:rPr>
                        </w:pPr>
                        <w:r>
                          <w:rPr>
                            <w:rFonts w:hint="eastAsia" w:cs="宋体"/>
                            <w:color w:val="000000"/>
                            <w:kern w:val="0"/>
                            <w:sz w:val="21"/>
                            <w:szCs w:val="21"/>
                          </w:rPr>
                          <w:t>咨询机构</w:t>
                        </w:r>
                      </w:p>
                    </w:txbxContent>
                  </v:textbox>
                </v:rect>
                <v:rect id="Rectangle 625" o:spid="_x0000_s1026" o:spt="1" style="position:absolute;left:276801;top:243800;height:326401;width:1013505;" fillcolor="#FFFFFF" filled="t" stroked="f" coordsize="21600,21600" o:gfxdata="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FVGTO1wAAAAoB&#10;AAAPAAAAAAAAAAEAIAAAACIAAABkcnMvZG93bnJldi54bWxQSwECFAAUAAAACACHTuJAjfqkTxwC&#10;AAA2BAAADgAAAAAAAAABACAAAAAmAQAAZHJzL2Uyb0RvYy54bWxQSwUGAAAAAAYABgBZAQAAtAUA&#10;AAAA&#10;">
                  <v:fill on="t" focussize="0,0"/>
                  <v:stroke on="f"/>
                  <v:imagedata o:title=""/>
                  <o:lock v:ext="edit" aspectratio="f"/>
                </v:rect>
                <v:rect id="Rectangle 626" o:spid="_x0000_s1026" o:spt="1" style="position:absolute;left:276801;top:243800;height:351801;width:1083305;" filled="f" stroked="t" coordsize="21600,21600" o:gfxdata="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ZRXq42AAAAAoBAAAPAAAAAAAAAAEAIAAAACIAAABkcnMvZG93bnJldi54bWxQSwEC&#10;FAAUAAAACACHTuJAl85ACy0CAABQBAAADgAAAAAAAAABACAAAAAnAQAAZHJzL2Uyb0RvYy54bWxQ&#10;SwUGAAAAAAYABgBZAQAAxgUAAAAA&#10;">
                  <v:fill on="f" focussize="0,0"/>
                  <v:stroke weight="0.00031496062992126pt" color="#000000" joinstyle="round" endcap="round"/>
                  <v:imagedata o:title=""/>
                  <o:lock v:ext="edit" aspectratio="f"/>
                </v:rect>
                <v:rect id="Rectangle 627" o:spid="_x0000_s1026" o:spt="1" style="position:absolute;left:292735;top:251460;height:354330;width:1030605;" filled="f" stroked="f" coordsize="21600,21600" o:gfxdata="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FKTofdkAAAAKAQAADwAAAAAAAAABACAAAAAiAAAA&#10;ZHJzL2Rvd25yZXYueG1sUEsBAhQAFAAAAAgAh07iQA2bhL8GAgAACAQAAA4AAAAAAAAAAQAgAAAA&#10;KAEAAGRycy9lMm9Eb2MueG1sUEsFBgAAAAAGAAYAWQEAAKAFAAAAAA==&#10;">
                  <v:fill on="f" focussize="0,0"/>
                  <v:stroke on="f"/>
                  <v:imagedata o:title=""/>
                  <o:lock v:ext="edit" aspectratio="f"/>
                  <v:textbox inset="0mm,0mm,0mm,0mm">
                    <w:txbxContent>
                      <w:p>
                        <w:pPr>
                          <w:ind w:left="420" w:hanging="420" w:hangingChars="200"/>
                          <w:rPr>
                            <w:sz w:val="21"/>
                            <w:szCs w:val="21"/>
                          </w:rPr>
                        </w:pPr>
                        <w:r>
                          <w:rPr>
                            <w:rFonts w:hint="eastAsia" w:cs="宋体"/>
                            <w:color w:val="000000"/>
                            <w:kern w:val="0"/>
                            <w:sz w:val="21"/>
                            <w:szCs w:val="21"/>
                          </w:rPr>
                          <w:t>鄂尔多斯市生态环境局</w:t>
                        </w:r>
                      </w:p>
                    </w:txbxContent>
                  </v:textbox>
                </v:rect>
                <v:rect id="Rectangle 628" o:spid="_x0000_s1026" o:spt="1" style="position:absolute;left:1924009;top:243800;height:326401;width:712503;" fillcolor="#FFFFFF" filled="t" stroked="f" coordsize="21600,21600" o:gfxdata="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VUZM7XAAAA&#10;CgEAAA8AAAAAAAAAAQAgAAAAIgAAAGRycy9kb3ducmV2LnhtbFBLAQIUABQAAAAIAIdO4kCniED5&#10;HgIAADYEAAAOAAAAAAAAAAEAIAAAACYBAABkcnMvZTJvRG9jLnhtbFBLBQYAAAAABgAGAFkBAAC2&#10;BQAAAAA=&#10;">
                  <v:fill on="t" focussize="0,0"/>
                  <v:stroke on="f"/>
                  <v:imagedata o:title=""/>
                  <o:lock v:ext="edit" aspectratio="f"/>
                </v:rect>
                <v:rect id="Rectangle 629" o:spid="_x0000_s1026" o:spt="1" style="position:absolute;left:1924009;top:243800;height:413401;width:720703;" filled="f" stroked="t" coordsize="21600,21600" o:gfxdata="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WUV6uNgAAAAKAQAADwAAAAAAAAABACAAAAAiAAAAZHJzL2Rvd25yZXYueG1sUEsB&#10;AhQAFAAAAAgAh07iQMcusFkuAgAAUAQAAA4AAAAAAAAAAQAgAAAAJwEAAGRycy9lMm9Eb2MueG1s&#10;UEsFBgAAAAAGAAYAWQEAAMcFAAAAAA==&#10;">
                  <v:fill on="f" focussize="0,0"/>
                  <v:stroke weight="0.00031496062992126pt" color="#000000" joinstyle="round" endcap="round"/>
                  <v:imagedata o:title=""/>
                  <o:lock v:ext="edit" aspectratio="f"/>
                </v:rect>
                <v:rect id="Rectangle 630" o:spid="_x0000_s1026" o:spt="1" style="position:absolute;left:1947509;top:267300;height:172700;width:667403;mso-wrap-style:none;" filled="f" stroked="f" coordsize="21600,21600" o:gfxdata="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2JUIdYAAAAKAQAADwAAAAAAAAABACAAAAAiAAAAZHJz&#10;L2Rvd25yZXYueG1sUEsBAhQAFAAAAAgAh07iQBTiTGsGAgAABgQAAA4AAAAAAAAAAQAgAAAAJQEA&#10;AGRycy9lMm9Eb2MueG1sUEsFBgAAAAAGAAYAWQEAAJ0FAAAAAA==&#10;">
                  <v:fill on="f" focussize="0,0"/>
                  <v:stroke on="f"/>
                  <v:imagedata o:title=""/>
                  <o:lock v:ext="edit" aspectratio="f"/>
                  <v:textbox inset="0mm,0mm,0mm,0mm" style="mso-fit-shape-to-text:t;">
                    <w:txbxContent>
                      <w:p>
                        <w:pPr>
                          <w:rPr>
                            <w:sz w:val="21"/>
                            <w:szCs w:val="21"/>
                          </w:rPr>
                        </w:pPr>
                        <w:r>
                          <w:rPr>
                            <w:rFonts w:hint="eastAsia" w:cs="宋体"/>
                            <w:color w:val="000000"/>
                            <w:kern w:val="0"/>
                            <w:sz w:val="21"/>
                            <w:szCs w:val="21"/>
                          </w:rPr>
                          <w:t>矿区环境管</w:t>
                        </w:r>
                      </w:p>
                    </w:txbxContent>
                  </v:textbox>
                </v:rect>
                <v:rect id="Rectangle 631" o:spid="_x0000_s1026" o:spt="1" style="position:absolute;left:2094209;top:441901;height:172700;width:400702;mso-wrap-style:none;" filled="f" stroked="f" coordsize="21600,21600" o:gfxdata="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DYlQh1gAAAAoBAAAPAAAAAAAAAAEAIAAAACIAAABkcnMv&#10;ZG93bnJldi54bWxQSwECFAAUAAAACACHTuJALna1cwUCAAAGBAAADgAAAAAAAAABACAAAAAlAQAA&#10;ZHJzL2Uyb0RvYy54bWxQSwUGAAAAAAYABgBZAQAAnAUAAAAA&#10;">
                  <v:fill on="f" focussize="0,0"/>
                  <v:stroke on="f"/>
                  <v:imagedata o:title=""/>
                  <o:lock v:ext="edit" aspectratio="f"/>
                  <v:textbox inset="0mm,0mm,0mm,0mm" style="mso-fit-shape-to-text:t;">
                    <w:txbxContent>
                      <w:p>
                        <w:pPr>
                          <w:rPr>
                            <w:sz w:val="21"/>
                            <w:szCs w:val="21"/>
                          </w:rPr>
                        </w:pPr>
                        <w:r>
                          <w:rPr>
                            <w:rFonts w:hint="eastAsia" w:cs="宋体"/>
                            <w:color w:val="000000"/>
                            <w:kern w:val="0"/>
                            <w:sz w:val="21"/>
                            <w:szCs w:val="21"/>
                          </w:rPr>
                          <w:t>理机构</w:t>
                        </w:r>
                      </w:p>
                    </w:txbxContent>
                  </v:textbox>
                </v:rect>
                <v:rect id="Rectangle 632" o:spid="_x0000_s1026" o:spt="1" style="position:absolute;left:3317815;top:243800;height:326401;width:950004;" fillcolor="#FFFFFF" filled="t" stroked="f" coordsize="21600,21600" o:gfxdata="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VRkztcA&#10;AAAKAQAADwAAAAAAAAABACAAAAAiAAAAZHJzL2Rvd25yZXYueG1sUEsBAhQAFAAAAAgAh07iQH9C&#10;JoIgAgAANgQAAA4AAAAAAAAAAQAgAAAAJgEAAGRycy9lMm9Eb2MueG1sUEsFBgAAAAAGAAYAWQEA&#10;ALgFAAAAAA==&#10;">
                  <v:fill on="t" focussize="0,0"/>
                  <v:stroke on="f"/>
                  <v:imagedata o:title=""/>
                  <o:lock v:ext="edit" aspectratio="f"/>
                </v:rect>
                <v:rect id="Rectangle 633" o:spid="_x0000_s1026" o:spt="1" style="position:absolute;left:3317815;top:243800;height:351801;width:1020505;" filled="f" stroked="t" coordsize="21600,21600" o:gfxdata="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ZRXq42AAAAAoBAAAPAAAAAAAAAAEAIAAAACIAAABkcnMvZG93bnJldi54bWxQ&#10;SwECFAAUAAAACACHTuJA9qklXTACAABRBAAADgAAAAAAAAABACAAAAAnAQAAZHJzL2Uyb0RvYy54&#10;bWxQSwUGAAAAAAYABgBZAQAAyQUAAAAA&#10;">
                  <v:fill on="f" focussize="0,0"/>
                  <v:stroke weight="0.00031496062992126pt" color="#000000" joinstyle="round" endcap="round"/>
                  <v:imagedata o:title=""/>
                  <o:lock v:ext="edit" aspectratio="f"/>
                </v:rect>
                <v:rect id="Rectangle 634" o:spid="_x0000_s1026" o:spt="1" style="position:absolute;left:3356615;top:353601;height:172800;width:934004;mso-wrap-style:none;" filled="f" stroked="f" coordsize="21600,21600" o:gfxdata="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NiVCHWAAAACgEAAA8AAAAAAAAAAQAgAAAAIgAAAGRy&#10;cy9kb3ducmV2LnhtbFBLAQIUABQAAAAIAIdO4kCU8vpeBwIAAAYEAAAOAAAAAAAAAAEAIAAAACUB&#10;AABkcnMvZTJvRG9jLnhtbFBLBQYAAAAABgAGAFkBAACeBQAAAAA=&#10;">
                  <v:fill on="f" focussize="0,0"/>
                  <v:stroke on="f"/>
                  <v:imagedata o:title=""/>
                  <o:lock v:ext="edit" aspectratio="f"/>
                  <v:textbox inset="0mm,0mm,0mm,0mm" style="mso-fit-shape-to-text:t;">
                    <w:txbxContent>
                      <w:p>
                        <w:pPr>
                          <w:rPr>
                            <w:sz w:val="21"/>
                            <w:szCs w:val="21"/>
                          </w:rPr>
                        </w:pPr>
                        <w:r>
                          <w:rPr>
                            <w:rFonts w:hint="eastAsia" w:cs="宋体"/>
                            <w:color w:val="000000"/>
                            <w:kern w:val="0"/>
                            <w:sz w:val="21"/>
                            <w:szCs w:val="21"/>
                          </w:rPr>
                          <w:t>环保专家咨询组</w:t>
                        </w:r>
                      </w:p>
                    </w:txbxContent>
                  </v:textbox>
                </v:rect>
                <v:line id="Line 635" o:spid="_x0000_s1026" o:spt="20" style="position:absolute;left:1360106;top:407001;height:600;width:509902;" filled="f" stroked="t" coordsize="21600,21600" o:gfxdata="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svCDXYAAAACgEA&#10;AA8AAAAAAAAAAQAgAAAAIgAAAGRycy9kb3ducmV2LnhtbFBLAQIUABQAAAAIAIdO4kA4ydLn4QEA&#10;ALUDAAAOAAAAAAAAAAEAIAAAACcBAABkcnMvZTJvRG9jLnhtbFBLBQYAAAAABgAGAFkBAAB6BQAA&#10;AAA=&#10;">
                  <v:fill on="f" focussize="0,0"/>
                  <v:stroke weight="0.00031496062992126pt" color="#4677BF" joinstyle="round" endcap="round"/>
                  <v:imagedata o:title=""/>
                  <o:lock v:ext="edit" aspectratio="f"/>
                </v:line>
                <v:shape id="Freeform 636" o:spid="_x0000_s1026" o:spt="100" style="position:absolute;left:1861808;top:375201;height:63500;width:62200;" fillcolor="#4677BF" filled="t" stroked="f" coordsize="98,100" o:gfxdata="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C3aTZ1wAAAAoBAAAPAAAAAAAAAAEAIAAAACIAAABkcnMvZG93bnJldi54bWxQSwECFAAU&#10;AAAACACHTuJApSf5xQ8DAACjBwAADgAAAAAAAAABACAAAAAmAQAAZHJzL2Uyb0RvYy54bWxQSwUG&#10;AAAAAAYABgBZAQAApwYAAAAA&#10;" path="m0,0l98,50,0,100,0,0xe">
                  <v:path o:connectlocs="0,0;39497000,20161250;0,40322500;0,0" o:connectangles="0,0,0,0"/>
                  <v:fill on="t" focussize="0,0"/>
                  <v:stroke on="f"/>
                  <v:imagedata o:title=""/>
                  <o:lock v:ext="edit" aspectratio="f"/>
                </v:shape>
                <v:line id="Line 637" o:spid="_x0000_s1026" o:spt="20" style="position:absolute;left:2700012;top:407001;flip:x;height:600;width:627403;" filled="f" stroked="t" coordsize="21600,21600" o:gfxdata="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6k/CrY&#10;AAAACgEAAA8AAAAAAAAAAQAgAAAAIgAAAGRycy9kb3ducmV2LnhtbFBLAQIUABQAAAAIAIdO4kDX&#10;h7QH5wEAAL8DAAAOAAAAAAAAAAEAIAAAACcBAABkcnMvZTJvRG9jLnhtbFBLBQYAAAAABgAGAFkB&#10;AACABQAAAAA=&#10;">
                  <v:fill on="f" focussize="0,0"/>
                  <v:stroke weight="0.00031496062992126pt" color="#4677BF" joinstyle="round" endcap="round"/>
                  <v:imagedata o:title=""/>
                  <o:lock v:ext="edit" aspectratio="f"/>
                </v:line>
                <v:shape id="Freeform 638" o:spid="_x0000_s1026" o:spt="100" style="position:absolute;left:2636512;top:375201;height:63500;width:62200;" fillcolor="#4677BF" filled="t" stroked="f" coordsize="98,100" o:gfxdata="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At2k2dcAAAAKAQAADwAAAAAAAAABACAAAAAiAAAAZHJzL2Rvd25yZXYueG1sUEsBAhQAFAAA&#10;AAgAh07iQJaUDrENAwAAswcAAA4AAAAAAAAAAQAgAAAAJgEAAGRycy9lMm9Eb2MueG1sUEsFBgAA&#10;AAAGAAYAWQEAAKUGAAAAAA==&#10;" path="m98,100l0,50,98,0,98,100xe">
                  <v:path o:connectlocs="39497000,40322500;0,20161250;39497000,0;39497000,40322500" o:connectangles="0,0,0,0"/>
                  <v:fill on="t" focussize="0,0"/>
                  <v:stroke on="f"/>
                  <v:imagedata o:title=""/>
                  <o:lock v:ext="edit" aspectratio="f"/>
                </v:shape>
                <v:rect id="Rectangle 639" o:spid="_x0000_s1026" o:spt="1" style="position:absolute;left:1852208;top:993702;height:325101;width:856004;" fillcolor="#FFFFFF" filled="t" stroked="f" coordsize="21600,21600" o:gfxdata="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VRkztcA&#10;AAAKAQAADwAAAAAAAAABACAAAAAiAAAAZHJzL2Rvd25yZXYueG1sUEsBAhQAFAAAAAgAh07iQH4N&#10;jBEgAgAANgQAAA4AAAAAAAAAAQAgAAAAJgEAAGRycy9lMm9Eb2MueG1sUEsFBgAAAAAGAAYAWQEA&#10;ALgFAAAAAA==&#10;">
                  <v:fill on="t" focussize="0,0"/>
                  <v:stroke on="f"/>
                  <v:imagedata o:title=""/>
                  <o:lock v:ext="edit" aspectratio="f"/>
                </v:rect>
                <v:rect id="Rectangle 640" o:spid="_x0000_s1026" o:spt="1" style="position:absolute;left:1852208;top:993702;height:325101;width:856004;" filled="f" stroked="t" coordsize="21600,21600" o:gfxdata="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lFerjYAAAACgEAAA8AAAAAAAAAAQAgAAAAIgAAAGRycy9kb3ducmV2LnhtbFBL&#10;AQIUABQAAAAIAIdO4kAFwbmlLwIAAFAEAAAOAAAAAAAAAAEAIAAAACcBAABkcnMvZTJvRG9jLnht&#10;bFBLBQYAAAAABgAGAFkBAADIBQAAAAA=&#10;">
                  <v:fill on="f" focussize="0,0"/>
                  <v:stroke weight="0.00031496062992126pt" color="#000000" joinstyle="round" endcap="round"/>
                  <v:imagedata o:title=""/>
                  <o:lock v:ext="edit" aspectratio="f"/>
                </v:rect>
                <v:rect id="Rectangle 641" o:spid="_x0000_s1026" o:spt="1" style="position:absolute;left:1869408;top:1095302;height:172700;width:800704;mso-wrap-style:none;" filled="f" stroked="f" coordsize="21600,21600" o:gfxdata="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DYlQh1gAAAAoBAAAPAAAAAAAAAAEAIAAAACIAAABkcnMv&#10;ZG93bnJldi54bWxQSwECFAAUAAAACACHTuJALZtaxAUCAAAHBAAADgAAAAAAAAABACAAAAAlAQAA&#10;ZHJzL2Uyb0RvYy54bWxQSwUGAAAAAAYABgBZAQAAnAUAAAAA&#10;">
                  <v:fill on="f" focussize="0,0"/>
                  <v:stroke on="f"/>
                  <v:imagedata o:title=""/>
                  <o:lock v:ext="edit" aspectratio="f"/>
                  <v:textbox inset="0mm,0mm,0mm,0mm" style="mso-fit-shape-to-text:t;">
                    <w:txbxContent>
                      <w:p>
                        <w:pPr>
                          <w:rPr>
                            <w:sz w:val="21"/>
                            <w:szCs w:val="21"/>
                          </w:rPr>
                        </w:pPr>
                        <w:r>
                          <w:rPr>
                            <w:rFonts w:hint="eastAsia" w:cs="宋体"/>
                            <w:color w:val="000000"/>
                            <w:kern w:val="0"/>
                            <w:sz w:val="21"/>
                            <w:szCs w:val="21"/>
                          </w:rPr>
                          <w:t>企业环保部门</w:t>
                        </w:r>
                      </w:p>
                    </w:txbxContent>
                  </v:textbox>
                </v:rect>
                <v:rect id="Rectangle 642" o:spid="_x0000_s1026" o:spt="1" style="position:absolute;left:1852208;top:1612903;height:325101;width:856004;" fillcolor="#FFFFFF" filled="t" stroked="f" coordsize="21600,21600" o:gfxdata="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VRkztcA&#10;AAAKAQAADwAAAAAAAAABACAAAAAiAAAAZHJzL2Rvd25yZXYueG1sUEsBAhQAFAAAAAgAh07iQFjX&#10;SMwgAgAANwQAAA4AAAAAAAAAAQAgAAAAJgEAAGRycy9lMm9Eb2MueG1sUEsFBgAAAAAGAAYAWQEA&#10;ALgFAAAAAA==&#10;">
                  <v:fill on="t" focussize="0,0"/>
                  <v:stroke on="f"/>
                  <v:imagedata o:title=""/>
                  <o:lock v:ext="edit" aspectratio="f"/>
                </v:rect>
                <v:rect id="Rectangle 643" o:spid="_x0000_s1026" o:spt="1" style="position:absolute;left:1852208;top:1612903;height:325101;width:856004;" filled="f" stroked="t" coordsize="21600,21600" o:gfxdata="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lFerjYAAAACgEAAA8AAAAAAAAAAQAgAAAAIgAAAGRycy9kb3ducmV2LnhtbFBL&#10;AQIUABQAAAAIAIdO4kApBtgtLwIAAFEEAAAOAAAAAAAAAAEAIAAAACcBAABkcnMvZTJvRG9jLnht&#10;bFBLBQYAAAAABgAGAFkBAADIBQAAAAA=&#10;">
                  <v:fill on="f" focussize="0,0"/>
                  <v:stroke weight="0.00031496062992126pt" color="#000000" joinstyle="round" endcap="round"/>
                  <v:imagedata o:title=""/>
                  <o:lock v:ext="edit" aspectratio="f"/>
                </v:rect>
                <v:rect id="Rectangle 644" o:spid="_x0000_s1026" o:spt="1" style="position:absolute;left:1888408;top:1715703;height:172700;width:800804;mso-wrap-style:none;" filled="f" stroked="f" coordsize="21600,21600" o:gfxdata="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DYlQh1gAAAAoBAAAPAAAAAAAAAAEAIAAAACIAAABkcnMv&#10;ZG93bnJldi54bWxQSwECFAAUAAAACACHTuJAmGxSlwUCAAAHBAAADgAAAAAAAAABACAAAAAlAQAA&#10;ZHJzL2Uyb0RvYy54bWxQSwUGAAAAAAYABgBZAQAAnAUAAAAA&#10;">
                  <v:fill on="f" focussize="0,0"/>
                  <v:stroke on="f"/>
                  <v:imagedata o:title=""/>
                  <o:lock v:ext="edit" aspectratio="f"/>
                  <v:textbox inset="0mm,0mm,0mm,0mm" style="mso-fit-shape-to-text:t;">
                    <w:txbxContent>
                      <w:p>
                        <w:pPr>
                          <w:rPr>
                            <w:sz w:val="21"/>
                            <w:szCs w:val="21"/>
                          </w:rPr>
                        </w:pPr>
                        <w:r>
                          <w:rPr>
                            <w:rFonts w:hint="eastAsia" w:cs="宋体"/>
                            <w:color w:val="000000"/>
                            <w:kern w:val="0"/>
                            <w:sz w:val="21"/>
                            <w:szCs w:val="21"/>
                          </w:rPr>
                          <w:t>实施者负责人</w:t>
                        </w:r>
                      </w:p>
                    </w:txbxContent>
                  </v:textbox>
                </v:rect>
                <v:rect id="Rectangle 645" o:spid="_x0000_s1026" o:spt="1" style="position:absolute;left:1852208;top:2232004;height:325701;width:856004;" fillcolor="#FFFFFF" filled="t" stroked="f" coordsize="21600,21600" o:gfxdata="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VUZM7XAAAA&#10;CgEAAA8AAAAAAAAAAQAgAAAAIgAAAGRycy9kb3ducmV2LnhtbFBLAQIUABQAAAAIAIdO4kA9/Fc8&#10;HgIAADcEAAAOAAAAAAAAAAEAIAAAACYBAABkcnMvZTJvRG9jLnhtbFBLBQYAAAAABgAGAFkBAAC2&#10;BQAAAAA=&#10;">
                  <v:fill on="t" focussize="0,0"/>
                  <v:stroke on="f"/>
                  <v:imagedata o:title=""/>
                  <o:lock v:ext="edit" aspectratio="f"/>
                </v:rect>
                <v:rect id="Rectangle 646" o:spid="_x0000_s1026" o:spt="1" style="position:absolute;left:1852208;top:2232004;height:325701;width:856004;" filled="f" stroked="t" coordsize="21600,21600" o:gfxdata="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WUV6uNgAAAAKAQAADwAAAAAAAAABACAAAAAiAAAAZHJzL2Rvd25yZXYueG1sUEsB&#10;AhQAFAAAAAgAh07iQDqjXM0uAgAAUQQAAA4AAAAAAAAAAQAgAAAAJwEAAGRycy9lMm9Eb2MueG1s&#10;UEsFBgAAAAAGAAYAWQEAAMcFAAAAAA==&#10;">
                  <v:fill on="f" focussize="0,0"/>
                  <v:stroke weight="0.00031496062992126pt" color="#000000" joinstyle="round" endcap="round"/>
                  <v:imagedata o:title=""/>
                  <o:lock v:ext="edit" aspectratio="f"/>
                </v:rect>
                <v:rect id="Rectangle 647" o:spid="_x0000_s1026" o:spt="1" style="position:absolute;left:2016709;top:2317704;height:172700;width:534002;mso-wrap-style:none;" filled="f" stroked="f" coordsize="21600,21600" o:gfxdata="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2JUIdYAAAAKAQAADwAAAAAAAAABACAAAAAiAAAAZHJz&#10;L2Rvd25yZXYueG1sUEsBAhQAFAAAAAgAh07iQEeBNH0GAgAABwQAAA4AAAAAAAAAAQAgAAAAJQEA&#10;AGRycy9lMm9Eb2MueG1sUEsFBgAAAAAGAAYAWQEAAJ0FAAAAAA==&#10;">
                  <v:fill on="f" focussize="0,0"/>
                  <v:stroke on="f"/>
                  <v:imagedata o:title=""/>
                  <o:lock v:ext="edit" aspectratio="f"/>
                  <v:textbox inset="0mm,0mm,0mm,0mm" style="mso-fit-shape-to-text:t;">
                    <w:txbxContent>
                      <w:p>
                        <w:pPr>
                          <w:rPr>
                            <w:sz w:val="21"/>
                            <w:szCs w:val="21"/>
                          </w:rPr>
                        </w:pPr>
                        <w:r>
                          <w:rPr>
                            <w:rFonts w:hint="eastAsia" w:cs="宋体"/>
                            <w:color w:val="000000"/>
                            <w:kern w:val="0"/>
                            <w:sz w:val="21"/>
                            <w:szCs w:val="21"/>
                          </w:rPr>
                          <w:t>工程项目</w:t>
                        </w:r>
                      </w:p>
                    </w:txbxContent>
                  </v:textbox>
                </v:rect>
                <v:shape id="Freeform 648" o:spid="_x0000_s1026" o:spt="100" style="position:absolute;left:783503;top:570201;height:586101;width:1014805;" filled="f" stroked="t" coordsize="1598,923" o:gfxdata="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x9jnHNkAAAAKAQAA&#10;DwAAAAAAAAABACAAAAAiAAAAZHJzL2Rvd25yZXYueG1sUEsBAhQAFAAAAAgAh07iQJcnkCP8AgAA&#10;AAcAAA4AAAAAAAAAAQAgAAAAKAEAAGRycy9lMm9Eb2MueG1sUEsFBgAAAAAGAAYAWQEAAJYGAAAA&#10;AA==&#10;" path="m0,0l0,923,1598,923e">
                  <v:path o:connectlocs="0,0;0,372174135;644401175,372174135" o:connectangles="0,0,0"/>
                  <v:fill on="f" focussize="0,0"/>
                  <v:stroke weight="0.00031496062992126pt" color="#4677BF" joinstyle="round" endcap="round"/>
                  <v:imagedata o:title=""/>
                  <o:lock v:ext="edit" aspectratio="f"/>
                </v:shape>
                <v:shape id="Freeform 649" o:spid="_x0000_s1026" o:spt="100" style="position:absolute;left:1790708;top:1124502;height:63500;width:61500;" fillcolor="#4677BF" filled="t" stroked="f" coordsize="97,100" o:gfxdata="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AAAAAZHJzL1BLAQIUABQA&#10;AAAIAIdO4kBcQoc02AAAAAoBAAAPAAAAAAAAAAEAIAAAACIAAABkcnMvZG93bnJldi54bWxQSwEC&#10;FAAUAAAACACHTuJAmgZknBEDAACkBwAADgAAAAAAAAABACAAAAAnAQAAZHJzL2Uyb0RvYy54bWxQ&#10;SwUGAAAAAAYABgBZAQAAqgYAAAAA&#10;" path="m0,0l97,50,0,100,0,0xe">
                  <v:path o:connectlocs="0,0;39052500,20161250;0,40322500;0,0" o:connectangles="0,0,0,0"/>
                  <v:fill on="t" focussize="0,0"/>
                  <v:stroke on="f"/>
                  <v:imagedata o:title=""/>
                  <o:lock v:ext="edit" aspectratio="f"/>
                </v:shape>
                <v:shape id="Freeform 650" o:spid="_x0000_s1026" o:spt="100" style="position:absolute;left:783503;top:570201;height:1205202;width:1014805;" filled="f" stroked="t" coordsize="1598,1898" o:gfxdata="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BehXT41gAAAAoBAAAPAAAAAAAA&#10;AAEAIAAAACIAAABkcnMvZG93bnJldi54bWxQSwECFAAUAAAACACHTuJAyilUm/gCAAAJBwAADgAA&#10;AAAAAAABACAAAAAlAQAAZHJzL2Uyb0RvYy54bWxQSwUGAAAAAAYABgBZAQAAjwYAAAAA&#10;" path="m0,0l0,1898,1598,1898e">
                  <v:path o:connectlocs="0,0;0,765303270;644401175,765303270" o:connectangles="0,0,0"/>
                  <v:fill on="f" focussize="0,0"/>
                  <v:stroke weight="0.00031496062992126pt" color="#4677BF" joinstyle="round" endcap="round"/>
                  <v:imagedata o:title=""/>
                  <o:lock v:ext="edit" aspectratio="f"/>
                </v:shape>
                <v:shape id="Freeform 651" o:spid="_x0000_s1026" o:spt="100" style="position:absolute;left:1790708;top:1743703;height:63500;width:61500;" fillcolor="#4677BF" filled="t" stroked="f" coordsize="97,100" o:gfxdata="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FxChzTYAAAACgEAAA8AAAAAAAAAAQAgAAAAIgAAAGRycy9kb3ducmV2LnhtbFBLAQIU&#10;ABQAAAAIAIdO4kAKjgcQEAMAAKQHAAAOAAAAAAAAAAEAIAAAACcBAABkcnMvZTJvRG9jLnhtbFBL&#10;BQYAAAAABgAGAFkBAACpBgAAAAA=&#10;" path="m0,0l97,50,0,100,0,0xe">
                  <v:path o:connectlocs="0,0;39052500,20161250;0,40322500;0,0" o:connectangles="0,0,0,0"/>
                  <v:fill on="t" focussize="0,0"/>
                  <v:stroke on="f"/>
                  <v:imagedata o:title=""/>
                  <o:lock v:ext="edit" aspectratio="f"/>
                </v:shape>
                <v:line id="Line 652" o:spid="_x0000_s1026" o:spt="20" style="position:absolute;left:2280210;top:664801;height:273000;width:700;" filled="f" stroked="t" coordsize="21600,21600" o:gfxdata="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svCDXYAAAACgEA&#10;AA8AAAAAAAAAAQAgAAAAIgAAAGRycy9kb3ducmV2LnhtbFBLAQIUABQAAAAIAIdO4kBHc51+4QEA&#10;ALYDAAAOAAAAAAAAAAEAIAAAACcBAABkcnMvZTJvRG9jLnhtbFBLBQYAAAAABgAGAFkBAAB6BQAA&#10;AAA=&#10;">
                  <v:fill on="f" focussize="0,0"/>
                  <v:stroke weight="0.00031496062992126pt" color="#4677BF" joinstyle="round" endcap="round"/>
                  <v:imagedata o:title=""/>
                  <o:lock v:ext="edit" aspectratio="f"/>
                </v:line>
                <v:shape id="Freeform 653" o:spid="_x0000_s1026" o:spt="100" style="position:absolute;left:2249810;top:930202;height:63500;width:60900;" fillcolor="#4677BF" filled="t" stroked="f" coordsize="96,100" o:gfxdata="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YsJOoNcAAAAKAQAADwAAAAAAAAABACAAAAAiAAAAZHJzL2Rvd25yZXYueG1sUEsB&#10;AhQAFAAAAAgAh07iQJKqGw0TAwAAqQcAAA4AAAAAAAAAAQAgAAAAJgEAAGRycy9lMm9Eb2MueG1s&#10;UEsFBgAAAAAGAAYAWQEAAKsGAAAAAA==&#10;" path="m96,0l48,100,0,0,96,0xe">
                  <v:path o:connectlocs="38671500,0;19335750,40322500;0,0;38671500,0" o:connectangles="0,0,0,0"/>
                  <v:fill on="t" focussize="0,0"/>
                  <v:stroke on="f"/>
                  <v:imagedata o:title=""/>
                  <o:lock v:ext="edit" aspectratio="f"/>
                </v:shape>
                <v:line id="Line 654" o:spid="_x0000_s1026" o:spt="20" style="position:absolute;left:2280210;top:1318802;height:238200;width:700;" filled="f" stroked="t" coordsize="21600,21600" o:gfxdata="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y8INdgAAAAKAQAA&#10;DwAAAAAAAAABACAAAAAiAAAAZHJzL2Rvd25yZXYueG1sUEsBAhQAFAAAAAgAh07iQKDFBBHgAQAA&#10;twMAAA4AAAAAAAAAAQAgAAAAJwEAAGRycy9lMm9Eb2MueG1sUEsFBgAAAAAGAAYAWQEAAHkFAAAA&#10;AA==&#10;">
                  <v:fill on="f" focussize="0,0"/>
                  <v:stroke weight="0.00031496062992126pt" color="#4677BF" joinstyle="round" endcap="round"/>
                  <v:imagedata o:title=""/>
                  <o:lock v:ext="edit" aspectratio="f"/>
                </v:line>
                <v:shape id="Freeform 655" o:spid="_x0000_s1026" o:spt="100" style="position:absolute;left:2249810;top:1549403;height:63500;width:60900;" fillcolor="#4677BF" filled="t" stroked="f" coordsize="96,100" o:gfxdata="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YsJOoNcAAAAKAQAADwAAAAAAAAABACAAAAAiAAAAZHJzL2Rvd25yZXYueG1sUEsB&#10;AhQAFAAAAAgAh07iQFw70nETAwAAqgcAAA4AAAAAAAAAAQAgAAAAJgEAAGRycy9lMm9Eb2MueG1s&#10;UEsFBgAAAAAGAAYAWQEAAKsGAAAAAA==&#10;" path="m96,0l48,100,0,0,96,0xe">
                  <v:path o:connectlocs="38671500,0;19335750,40322500;0,0;38671500,0" o:connectangles="0,0,0,0"/>
                  <v:fill on="t" focussize="0,0"/>
                  <v:stroke on="f"/>
                  <v:imagedata o:title=""/>
                  <o:lock v:ext="edit" aspectratio="f"/>
                </v:shape>
                <v:line id="Line 656" o:spid="_x0000_s1026" o:spt="20" style="position:absolute;left:2280210;top:1938003;height:238700;width:700;" filled="f" stroked="t" coordsize="21600,21600" o:gfxdata="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svCDXYAAAACgEA&#10;AA8AAAAAAAAAAQAgAAAAIgAAAGRycy9kb3ducmV2LnhtbFBLAQIUABQAAAAIAIdO4kAJmxP/4QEA&#10;ALcDAAAOAAAAAAAAAAEAIAAAACcBAABkcnMvZTJvRG9jLnhtbFBLBQYAAAAABgAGAFkBAAB6BQAA&#10;AAA=&#10;">
                  <v:fill on="f" focussize="0,0"/>
                  <v:stroke weight="0.00031496062992126pt" color="#4677BF" joinstyle="round" endcap="round"/>
                  <v:imagedata o:title=""/>
                  <o:lock v:ext="edit" aspectratio="f"/>
                </v:line>
                <v:shape id="Freeform 657" o:spid="_x0000_s1026" o:spt="100" style="position:absolute;left:2249810;top:2168504;height:63500;width:60900;" fillcolor="#4677BF" filled="t" stroked="f" coordsize="96,100" o:gfxdata="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YsJOoNcAAAAKAQAADwAAAAAAAAABACAAAAAiAAAAZHJzL2Rvd25yZXYueG1sUEsB&#10;AhQAFAAAAAgAh07iQB48XEsTAwAAqgcAAA4AAAAAAAAAAQAgAAAAJgEAAGRycy9lMm9Eb2MueG1s&#10;UEsFBgAAAAAGAAYAWQEAAKsGAAAAAA==&#10;" path="m96,0l48,100,0,0,96,0xe">
                  <v:path o:connectlocs="38671500,0;19335750,40322500;0,0;38671500,0" o:connectangles="0,0,0,0"/>
                  <v:fill on="t" focussize="0,0"/>
                  <v:stroke on="f"/>
                  <v:imagedata o:title=""/>
                  <o:lock v:ext="edit" aspectratio="f"/>
                </v:shape>
                <v:shape id="Freeform 658" o:spid="_x0000_s1026" o:spt="100" style="position:absolute;left:2792712;top:657201;height:1737303;width:1000104;" filled="f" stroked="t" coordsize="1575,2736" o:gfxdata="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9mR+P9gAAAAKAQAA&#10;DwAAAAAAAAABACAAAAAiAAAAZHJzL2Rvd25yZXYueG1sUEsBAhQAFAAAAAgAh07iQBmSCsP9AgAA&#10;FAcAAA4AAAAAAAAAAQAgAAAAJwEAAGRycy9lMm9Eb2MueG1sUEsFBgAAAAAGAAYAWQEAAJYGAAAA&#10;AA==&#10;" path="m0,2736l1575,2736,1575,0e">
                  <v:path o:connectlocs="0,1103187405;635066040,1103187405;635066040,0" o:connectangles="0,0,0"/>
                  <v:fill on="f" focussize="0,0"/>
                  <v:stroke weight="0.00031496062992126pt" color="#4677BF" joinstyle="round" endcap="round"/>
                  <v:imagedata o:title=""/>
                  <o:lock v:ext="edit" aspectratio="f"/>
                </v:shape>
                <v:shape id="Freeform 659" o:spid="_x0000_s1026" o:spt="100" style="position:absolute;left:2708212;top:2362804;height:63500;width:92100;" fillcolor="#4677BF" filled="t" stroked="f" coordsize="145,100" o:gfxdata="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zYe9NUAAAAKAQAADwAAAAAAAAABACAAAAAiAAAAZHJzL2Rvd25yZXYueG1sUEsBAhQA&#10;FAAAAAgAh07iQAc764kSAwAAvQcAAA4AAAAAAAAAAQAgAAAAJAEAAGRycy9lMm9Eb2MueG1sUEsF&#10;BgAAAAAGAAYAWQEAAKgGAAAAAA==&#10;" path="m145,100l0,50,145,0,145,100xe">
                  <v:path o:connectlocs="58483500,40322500;0,20161250;58483500,0;58483500,40322500" o:connectangles="0,0,0,0"/>
                  <v:fill on="t" focussize="0,0"/>
                  <v:stroke on="f"/>
                  <v:imagedata o:title=""/>
                  <o:lock v:ext="edit" aspectratio="f"/>
                </v:shape>
                <v:shape id="Freeform 660" o:spid="_x0000_s1026" o:spt="100" style="position:absolute;left:3761717;top:570201;height:94600;width:62200;" fillcolor="#4677BF" filled="t" stroked="f" coordsize="98,149" o:gfxdata="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" path="m0,149l49,0,98,149,0,149xe">
                  <v:path o:connectlocs="0,60071000;19748500,0;39497000,60071000;0,60071000" o:connectangles="0,0,0,0"/>
                  <v:fill on="t" focussize="0,0"/>
                  <v:stroke on="f"/>
                  <v:imagedata o:title=""/>
                  <o:lock v:ext="edit" aspectratio="f"/>
                </v:shape>
              </v:group>
            </w:pict>
          </mc:Fallback>
        </mc:AlternateContent>
      </w:r>
    </w:p>
    <w:p>
      <w:pPr>
        <w:spacing w:line="529" w:lineRule="exact"/>
        <w:ind w:firstLine="480" w:firstLineChars="200"/>
        <w:rPr>
          <w:rFonts w:ascii="Times New Roman" w:hAnsi="Times New Roman"/>
        </w:rPr>
      </w:pPr>
    </w:p>
    <w:p>
      <w:pPr>
        <w:spacing w:line="529" w:lineRule="exact"/>
        <w:ind w:firstLine="480" w:firstLineChars="200"/>
        <w:rPr>
          <w:rFonts w:ascii="Times New Roman" w:hAnsi="Times New Roman"/>
        </w:rPr>
      </w:pPr>
    </w:p>
    <w:p>
      <w:pPr>
        <w:spacing w:line="529" w:lineRule="exact"/>
        <w:ind w:firstLine="480" w:firstLineChars="200"/>
        <w:rPr>
          <w:rFonts w:ascii="Times New Roman" w:hAnsi="Times New Roman"/>
        </w:rPr>
      </w:pPr>
    </w:p>
    <w:p>
      <w:pPr>
        <w:spacing w:line="529" w:lineRule="exact"/>
        <w:ind w:firstLine="480" w:firstLineChars="200"/>
        <w:rPr>
          <w:rFonts w:ascii="Times New Roman" w:hAnsi="Times New Roman"/>
        </w:rPr>
      </w:pPr>
    </w:p>
    <w:p>
      <w:pPr>
        <w:spacing w:line="529" w:lineRule="exact"/>
        <w:ind w:firstLine="480" w:firstLineChars="200"/>
        <w:rPr>
          <w:rFonts w:ascii="Times New Roman" w:hAnsi="Times New Roman"/>
        </w:rPr>
      </w:pPr>
    </w:p>
    <w:p>
      <w:pPr>
        <w:spacing w:line="529" w:lineRule="exact"/>
        <w:ind w:firstLine="480" w:firstLineChars="200"/>
        <w:rPr>
          <w:rFonts w:ascii="Times New Roman" w:hAnsi="Times New Roman"/>
        </w:rPr>
      </w:pPr>
    </w:p>
    <w:p>
      <w:pPr>
        <w:spacing w:line="529" w:lineRule="exact"/>
        <w:ind w:firstLine="480" w:firstLineChars="200"/>
        <w:rPr>
          <w:rFonts w:ascii="Times New Roman" w:hAnsi="Times New Roman"/>
        </w:rPr>
      </w:pPr>
    </w:p>
    <w:p>
      <w:pPr>
        <w:spacing w:before="100" w:beforeAutospacing="1" w:after="100" w:afterAutospacing="1" w:line="420" w:lineRule="exact"/>
        <w:ind w:firstLine="482"/>
        <w:jc w:val="center"/>
        <w:rPr>
          <w:rFonts w:ascii="Times New Roman" w:hAnsi="Times New Roman"/>
          <w:b/>
        </w:rPr>
      </w:pPr>
      <w:r>
        <w:rPr>
          <w:rFonts w:ascii="Times New Roman" w:hAnsi="Times New Roman"/>
          <w:b/>
        </w:rPr>
        <w:t>图11.1-1 矿区环境管理机构运行体系图</w:t>
      </w:r>
    </w:p>
    <w:p>
      <w:pPr>
        <w:adjustRightInd w:val="0"/>
        <w:snapToGrid w:val="0"/>
        <w:spacing w:line="440" w:lineRule="exact"/>
        <w:ind w:firstLine="482" w:firstLineChars="200"/>
        <w:rPr>
          <w:rFonts w:ascii="Times New Roman" w:hAnsi="Times New Roman"/>
          <w:b/>
        </w:rPr>
      </w:pPr>
      <w:bookmarkStart w:id="401" w:name="_Toc125193028"/>
      <w:r>
        <w:rPr>
          <w:rFonts w:ascii="Times New Roman" w:hAnsi="Times New Roman"/>
          <w:b/>
        </w:rPr>
        <w:t>（3）环境管理机构职责</w:t>
      </w:r>
    </w:p>
    <w:p>
      <w:pPr>
        <w:adjustRightInd w:val="0"/>
        <w:snapToGrid w:val="0"/>
        <w:spacing w:line="440" w:lineRule="exact"/>
        <w:ind w:firstLine="480" w:firstLineChars="200"/>
        <w:rPr>
          <w:rFonts w:ascii="Times New Roman" w:hAnsi="Times New Roman"/>
        </w:rPr>
      </w:pPr>
      <w:r>
        <w:rPr>
          <w:rFonts w:ascii="Times New Roman" w:hAnsi="Times New Roman"/>
        </w:rPr>
        <w:t>矿区环境管理部门主要职责是：</w:t>
      </w:r>
    </w:p>
    <w:p>
      <w:pPr>
        <w:tabs>
          <w:tab w:val="left" w:pos="900"/>
        </w:tabs>
        <w:adjustRightInd w:val="0"/>
        <w:snapToGrid w:val="0"/>
        <w:spacing w:line="440" w:lineRule="exact"/>
        <w:ind w:firstLine="480" w:firstLineChars="200"/>
        <w:rPr>
          <w:rFonts w:ascii="Times New Roman" w:hAnsi="Times New Roman"/>
        </w:rPr>
      </w:pPr>
      <w:r>
        <w:rPr>
          <w:rFonts w:ascii="Times New Roman" w:hAnsi="Times New Roman"/>
        </w:rPr>
        <w:t>1）认真贯彻执行国家和地方政府、环保行政管理部门颁布的有关环境保护法律、法规和标准。协助矿区最高管理者协调矿区开发活动与环境保护活动；</w:t>
      </w:r>
    </w:p>
    <w:p>
      <w:pPr>
        <w:tabs>
          <w:tab w:val="left" w:pos="900"/>
        </w:tabs>
        <w:adjustRightInd w:val="0"/>
        <w:snapToGrid w:val="0"/>
        <w:spacing w:line="440" w:lineRule="exact"/>
        <w:ind w:firstLine="480" w:firstLineChars="200"/>
        <w:rPr>
          <w:rFonts w:ascii="Times New Roman" w:hAnsi="Times New Roman"/>
        </w:rPr>
      </w:pPr>
      <w:r>
        <w:rPr>
          <w:rFonts w:ascii="Times New Roman" w:hAnsi="Times New Roman"/>
        </w:rPr>
        <w:t>2）协助矿区最高管理者制定矿区环境方针，制定矿区环境管理目标、指标和环境管理方案，包括监控计划等；</w:t>
      </w:r>
    </w:p>
    <w:p>
      <w:pPr>
        <w:tabs>
          <w:tab w:val="left" w:pos="900"/>
        </w:tabs>
        <w:adjustRightInd w:val="0"/>
        <w:snapToGrid w:val="0"/>
        <w:spacing w:line="440" w:lineRule="exact"/>
        <w:ind w:firstLine="480" w:firstLineChars="200"/>
        <w:rPr>
          <w:rFonts w:ascii="Times New Roman" w:hAnsi="Times New Roman"/>
        </w:rPr>
      </w:pPr>
      <w:r>
        <w:rPr>
          <w:rFonts w:ascii="Times New Roman" w:hAnsi="Times New Roman"/>
        </w:rPr>
        <w:t>3）负责监督和实施矿区环境管理方案；负责制定和建立矿区内有关环保制度与政策；负责矿区的环境统计工作、污染源建档，并编制环境监测报告；</w:t>
      </w:r>
    </w:p>
    <w:p>
      <w:pPr>
        <w:tabs>
          <w:tab w:val="left" w:pos="900"/>
        </w:tabs>
        <w:adjustRightInd w:val="0"/>
        <w:snapToGrid w:val="0"/>
        <w:spacing w:line="440" w:lineRule="exact"/>
        <w:ind w:firstLine="480" w:firstLineChars="200"/>
        <w:rPr>
          <w:rFonts w:ascii="Times New Roman" w:hAnsi="Times New Roman"/>
        </w:rPr>
      </w:pPr>
      <w:r>
        <w:rPr>
          <w:rFonts w:ascii="Times New Roman" w:hAnsi="Times New Roman"/>
        </w:rPr>
        <w:t>4）负责监督矿区环保公用设施的运行、维修，以确保其正常稳定运行；</w:t>
      </w:r>
    </w:p>
    <w:p>
      <w:pPr>
        <w:tabs>
          <w:tab w:val="left" w:pos="900"/>
        </w:tabs>
        <w:adjustRightInd w:val="0"/>
        <w:snapToGrid w:val="0"/>
        <w:spacing w:line="440" w:lineRule="exact"/>
        <w:ind w:firstLine="480" w:firstLineChars="200"/>
        <w:rPr>
          <w:rFonts w:ascii="Times New Roman" w:hAnsi="Times New Roman"/>
        </w:rPr>
      </w:pPr>
      <w:r>
        <w:rPr>
          <w:rFonts w:ascii="Times New Roman" w:hAnsi="Times New Roman"/>
        </w:rPr>
        <w:t>5）负责对规划开发活动者进行环境教育与培训；</w:t>
      </w:r>
    </w:p>
    <w:p>
      <w:pPr>
        <w:tabs>
          <w:tab w:val="left" w:pos="900"/>
        </w:tabs>
        <w:adjustRightInd w:val="0"/>
        <w:snapToGrid w:val="0"/>
        <w:spacing w:line="440" w:lineRule="exact"/>
        <w:ind w:firstLine="480" w:firstLineChars="200"/>
        <w:rPr>
          <w:rFonts w:ascii="Times New Roman" w:hAnsi="Times New Roman"/>
        </w:rPr>
      </w:pPr>
      <w:r>
        <w:rPr>
          <w:rFonts w:ascii="Times New Roman" w:hAnsi="Times New Roman"/>
        </w:rPr>
        <w:t>6）负责有关环境事务方面的对外联络，如及时了解政府有关部门的相关环境政策和法规的颁布与修改并及时贯彻和执行，负责对公众的联络、解释、答复和协调有关矿区涉及公共利益的活动及相应措施；</w:t>
      </w:r>
    </w:p>
    <w:p>
      <w:pPr>
        <w:tabs>
          <w:tab w:val="left" w:pos="900"/>
        </w:tabs>
        <w:adjustRightInd w:val="0"/>
        <w:snapToGrid w:val="0"/>
        <w:spacing w:line="440" w:lineRule="exact"/>
        <w:ind w:firstLine="480" w:firstLineChars="200"/>
        <w:rPr>
          <w:rFonts w:ascii="Times New Roman" w:hAnsi="Times New Roman"/>
        </w:rPr>
      </w:pPr>
      <w:r>
        <w:rPr>
          <w:rFonts w:ascii="Times New Roman" w:hAnsi="Times New Roman"/>
        </w:rPr>
        <w:t>7）建立矿区内各企业危险废物的贮存、申报、经营许可、转移、排放制度；</w:t>
      </w:r>
    </w:p>
    <w:p>
      <w:pPr>
        <w:adjustRightInd w:val="0"/>
        <w:snapToGrid w:val="0"/>
        <w:spacing w:line="440" w:lineRule="exact"/>
        <w:ind w:firstLine="480" w:firstLineChars="200"/>
        <w:rPr>
          <w:rFonts w:ascii="Times New Roman" w:hAnsi="Times New Roman"/>
        </w:rPr>
      </w:pPr>
      <w:r>
        <w:rPr>
          <w:rFonts w:ascii="Times New Roman" w:hAnsi="Times New Roman"/>
        </w:rPr>
        <w:t>8）努力促进矿区按照ISO14000标准建立环境管理体系。</w:t>
      </w:r>
    </w:p>
    <w:p>
      <w:pPr>
        <w:pStyle w:val="5"/>
        <w:adjustRightInd w:val="0"/>
        <w:snapToGrid w:val="0"/>
        <w:spacing w:before="0" w:after="0" w:line="440" w:lineRule="exact"/>
        <w:rPr>
          <w:sz w:val="24"/>
        </w:rPr>
      </w:pPr>
      <w:r>
        <w:rPr>
          <w:sz w:val="24"/>
        </w:rPr>
        <w:t>11.1.4 环境管理时段</w:t>
      </w:r>
    </w:p>
    <w:bookmarkEnd w:id="401"/>
    <w:p>
      <w:pPr>
        <w:adjustRightInd w:val="0"/>
        <w:spacing w:line="440" w:lineRule="exact"/>
        <w:ind w:firstLine="482"/>
        <w:rPr>
          <w:rFonts w:ascii="Times New Roman" w:hAnsi="Times New Roman"/>
        </w:rPr>
      </w:pPr>
      <w:r>
        <w:rPr>
          <w:rFonts w:ascii="Times New Roman" w:hAnsi="Times New Roman"/>
        </w:rPr>
        <w:t>矿区环境管理时段始于矿区勘测开始，至矿区工程项目全面竣工验收、矿区工程项目投产运行及矿区闭矿期后的全过程，包括规划阶段、设计阶段、施工阶段、试生产阶段、规模生产阶段、信息反馈和群众监督、以及闭矿生态恢复期等7个阶段。并且根据该矿区开发的阶段性特点，特别强调环境管理工作的连续性、全面性。同时，应及时总结在上一个阶段环境管理中所发现的问题，以此为下一阶段工程建设和运行提出环境管理和污染控制的建议，避免类似问题的再次发生。</w:t>
      </w:r>
    </w:p>
    <w:p>
      <w:pPr>
        <w:pStyle w:val="5"/>
        <w:adjustRightInd w:val="0"/>
        <w:snapToGrid w:val="0"/>
        <w:spacing w:before="0" w:after="0" w:line="440" w:lineRule="exact"/>
        <w:rPr>
          <w:sz w:val="24"/>
        </w:rPr>
      </w:pPr>
      <w:bookmarkStart w:id="402" w:name="_Toc125193029"/>
      <w:r>
        <w:rPr>
          <w:sz w:val="24"/>
        </w:rPr>
        <w:t xml:space="preserve">11.1.5 </w:t>
      </w:r>
      <w:bookmarkEnd w:id="402"/>
      <w:r>
        <w:rPr>
          <w:sz w:val="24"/>
        </w:rPr>
        <w:t>环境管理内容</w:t>
      </w:r>
    </w:p>
    <w:p>
      <w:pPr>
        <w:adjustRightInd w:val="0"/>
        <w:snapToGrid w:val="0"/>
        <w:spacing w:line="440" w:lineRule="exact"/>
        <w:ind w:firstLine="480"/>
        <w:rPr>
          <w:rFonts w:ascii="Times New Roman" w:hAnsi="Times New Roman"/>
        </w:rPr>
      </w:pPr>
      <w:r>
        <w:rPr>
          <w:rFonts w:ascii="Times New Roman" w:hAnsi="Times New Roman"/>
        </w:rPr>
        <w:t>根据矿区环境管理的7个时段，各阶段具体内容见表11.1-1。</w:t>
      </w:r>
    </w:p>
    <w:p>
      <w:pPr>
        <w:pStyle w:val="345"/>
        <w:jc w:val="center"/>
        <w:rPr>
          <w:rFonts w:ascii="Times New Roman" w:hAnsi="Times New Roman" w:cs="Times New Roman"/>
        </w:rPr>
      </w:pPr>
      <w:r>
        <w:rPr>
          <w:rFonts w:ascii="Times New Roman" w:hAnsi="Times New Roman" w:cs="Times New Roman"/>
        </w:rPr>
        <w:t>新建项目环境管理内容</w:t>
      </w:r>
    </w:p>
    <w:p>
      <w:pPr>
        <w:pStyle w:val="331"/>
        <w:rPr>
          <w:rFonts w:ascii="Times New Roman" w:hAnsi="Times New Roman" w:cs="Times New Roman"/>
        </w:rPr>
      </w:pPr>
      <w:r>
        <w:rPr>
          <w:rFonts w:ascii="Times New Roman" w:hAnsi="Times New Roman" w:cs="Times New Roman"/>
        </w:rPr>
        <w:t>表11.1-1</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7"/>
        <w:gridCol w:w="7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tcBorders>
              <w:bottom w:val="single" w:color="auto" w:sz="4" w:space="0"/>
            </w:tcBorders>
            <w:vAlign w:val="center"/>
          </w:tcPr>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阶段</w:t>
            </w:r>
          </w:p>
        </w:tc>
        <w:tc>
          <w:tcPr>
            <w:tcW w:w="7520" w:type="dxa"/>
            <w:tcBorders>
              <w:bottom w:val="single" w:color="auto" w:sz="4" w:space="0"/>
            </w:tcBorders>
            <w:vAlign w:val="center"/>
          </w:tcPr>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环境管理内容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tcBorders>
              <w:bottom w:val="single" w:color="auto" w:sz="4" w:space="0"/>
            </w:tcBorders>
            <w:vAlign w:val="center"/>
          </w:tcPr>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建议书阶段</w:t>
            </w:r>
          </w:p>
        </w:tc>
        <w:tc>
          <w:tcPr>
            <w:tcW w:w="7520" w:type="dxa"/>
            <w:tcBorders>
              <w:bottom w:val="single" w:color="auto" w:sz="4" w:space="0"/>
            </w:tcBorders>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根据拟建项目的性质、规模、厂址、环境现状等有关资料，对项目建成后可能造成的环境影响进行简要说明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restart"/>
            <w:vAlign w:val="center"/>
          </w:tcPr>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可研阶段</w:t>
            </w: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委托评价单位进行环境影响评价工作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continue"/>
            <w:vAlign w:val="center"/>
          </w:tcPr>
          <w:p>
            <w:pPr>
              <w:pStyle w:val="522"/>
              <w:snapToGrid w:val="0"/>
              <w:spacing w:line="240" w:lineRule="atLeast"/>
              <w:jc w:val="center"/>
              <w:rPr>
                <w:rFonts w:ascii="Times New Roman" w:hAnsi="Times New Roman" w:eastAsia="宋体" w:cs="Times New Roman"/>
                <w:lang w:val="zh-CN"/>
              </w:rPr>
            </w:pP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进行环境现状监测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restart"/>
            <w:vAlign w:val="center"/>
          </w:tcPr>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施工阶段</w:t>
            </w: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依法执行环保设施与主体工程“三同时”制度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continue"/>
            <w:vAlign w:val="center"/>
          </w:tcPr>
          <w:p>
            <w:pPr>
              <w:pStyle w:val="522"/>
              <w:snapToGrid w:val="0"/>
              <w:spacing w:line="240" w:lineRule="atLeast"/>
              <w:jc w:val="center"/>
              <w:rPr>
                <w:rFonts w:ascii="Times New Roman" w:hAnsi="Times New Roman" w:eastAsia="宋体" w:cs="Times New Roman"/>
                <w:lang w:val="zh-CN"/>
              </w:rPr>
            </w:pP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开展施工期环境监理，保护施工现场周围的环境，防止对自然环境造成不应有的破坏，防止和减轻粉尘、噪声、振动等对居民区的污染和危害，项目竣工后，施工单位应该修整和复原在建设过程中受到破坏的环境，此阶段应进行施工环境监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restart"/>
            <w:vAlign w:val="center"/>
          </w:tcPr>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试生产阶段</w:t>
            </w: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完善准备、最大限度减少事故发生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continue"/>
            <w:vAlign w:val="center"/>
          </w:tcPr>
          <w:p>
            <w:pPr>
              <w:pStyle w:val="522"/>
              <w:snapToGrid w:val="0"/>
              <w:spacing w:line="240" w:lineRule="atLeast"/>
              <w:jc w:val="center"/>
              <w:rPr>
                <w:rFonts w:ascii="Times New Roman" w:hAnsi="Times New Roman" w:eastAsia="宋体" w:cs="Times New Roman"/>
                <w:lang w:val="zh-CN"/>
              </w:rPr>
            </w:pP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进行多方技术论证，完善工艺方案；严格施工设计监理，保证工程质量；建立生产工序管理和生产运转卡；向环保部门提交竣工验收报告。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restart"/>
            <w:vAlign w:val="center"/>
          </w:tcPr>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规模生产阶段</w:t>
            </w: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加强环保设备运行检查，力求达产达标，严禁超标排污。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continue"/>
            <w:vAlign w:val="center"/>
          </w:tcPr>
          <w:p>
            <w:pPr>
              <w:pStyle w:val="522"/>
              <w:snapToGrid w:val="0"/>
              <w:spacing w:line="240" w:lineRule="atLeast"/>
              <w:jc w:val="center"/>
              <w:rPr>
                <w:rFonts w:ascii="Times New Roman" w:hAnsi="Times New Roman" w:eastAsia="宋体" w:cs="Times New Roman"/>
                <w:lang w:val="zh-CN"/>
              </w:rPr>
            </w:pP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监督检查环保措施的执行</w:t>
            </w:r>
          </w:p>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监督检查环保设施的运行情况</w:t>
            </w:r>
          </w:p>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监督检查污染物的监测工作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restart"/>
            <w:vAlign w:val="center"/>
          </w:tcPr>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信息反馈和</w:t>
            </w:r>
          </w:p>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群众监督</w:t>
            </w: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反馈监督数据，加强群众监督，改进污染治理工作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Merge w:val="continue"/>
            <w:vAlign w:val="center"/>
          </w:tcPr>
          <w:p>
            <w:pPr>
              <w:pStyle w:val="522"/>
              <w:snapToGrid w:val="0"/>
              <w:spacing w:line="240" w:lineRule="atLeast"/>
              <w:jc w:val="center"/>
              <w:rPr>
                <w:rFonts w:ascii="Times New Roman" w:hAnsi="Times New Roman" w:eastAsia="宋体" w:cs="Times New Roman"/>
                <w:lang w:val="zh-CN"/>
              </w:rPr>
            </w:pP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建立奖惩制度确保环保设施正常运转；整理监测数据，技术人员据此研究并改进工艺的先进性；收集附近村民意见并选代表作为监督员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767" w:type="dxa"/>
            <w:vAlign w:val="center"/>
          </w:tcPr>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闭矿生态</w:t>
            </w:r>
          </w:p>
          <w:p>
            <w:pPr>
              <w:pStyle w:val="522"/>
              <w:snapToGrid w:val="0"/>
              <w:spacing w:line="240" w:lineRule="atLeast"/>
              <w:jc w:val="center"/>
              <w:rPr>
                <w:rFonts w:ascii="Times New Roman" w:hAnsi="Times New Roman" w:eastAsia="宋体" w:cs="Times New Roman"/>
                <w:lang w:val="zh-CN"/>
              </w:rPr>
            </w:pPr>
            <w:r>
              <w:rPr>
                <w:rFonts w:ascii="Times New Roman" w:hAnsi="Times New Roman" w:eastAsia="宋体" w:cs="Times New Roman"/>
                <w:lang w:val="zh-CN"/>
              </w:rPr>
              <w:t>恢复期</w:t>
            </w:r>
          </w:p>
        </w:tc>
        <w:tc>
          <w:tcPr>
            <w:tcW w:w="7520" w:type="dxa"/>
            <w:vAlign w:val="center"/>
          </w:tcPr>
          <w:p>
            <w:pPr>
              <w:pStyle w:val="522"/>
              <w:snapToGrid w:val="0"/>
              <w:spacing w:line="240" w:lineRule="atLeast"/>
              <w:rPr>
                <w:rFonts w:ascii="Times New Roman" w:hAnsi="Times New Roman" w:eastAsia="宋体" w:cs="Times New Roman"/>
                <w:lang w:val="zh-CN"/>
              </w:rPr>
            </w:pPr>
            <w:r>
              <w:rPr>
                <w:rFonts w:ascii="Times New Roman" w:hAnsi="Times New Roman" w:eastAsia="宋体" w:cs="Times New Roman"/>
                <w:lang w:val="zh-CN"/>
              </w:rPr>
              <w:t>监督检查闭矿期沉陷区、固体废弃物堆场生态恢复等环保措施的执行</w:t>
            </w:r>
          </w:p>
        </w:tc>
      </w:tr>
    </w:tbl>
    <w:p>
      <w:pPr>
        <w:pStyle w:val="4"/>
        <w:adjustRightInd w:val="0"/>
        <w:snapToGrid w:val="0"/>
        <w:spacing w:line="440" w:lineRule="exact"/>
        <w:jc w:val="left"/>
        <w:rPr>
          <w:rFonts w:ascii="Times New Roman" w:hAnsi="Times New Roman" w:eastAsia="宋体"/>
          <w:sz w:val="28"/>
        </w:rPr>
      </w:pPr>
      <w:bookmarkStart w:id="403" w:name="_Toc125193031"/>
      <w:bookmarkStart w:id="404" w:name="_Toc163441051"/>
      <w:bookmarkStart w:id="405" w:name="_Toc18838484"/>
      <w:bookmarkStart w:id="406" w:name="_Toc17020"/>
      <w:r>
        <w:rPr>
          <w:rFonts w:ascii="Times New Roman" w:hAnsi="Times New Roman" w:eastAsia="宋体"/>
          <w:sz w:val="28"/>
        </w:rPr>
        <w:t>11.2 环境监测</w:t>
      </w:r>
      <w:bookmarkEnd w:id="403"/>
      <w:r>
        <w:rPr>
          <w:rFonts w:ascii="Times New Roman" w:hAnsi="Times New Roman" w:eastAsia="宋体"/>
          <w:sz w:val="28"/>
        </w:rPr>
        <w:t>计划</w:t>
      </w:r>
      <w:bookmarkEnd w:id="404"/>
      <w:bookmarkEnd w:id="405"/>
      <w:bookmarkEnd w:id="406"/>
    </w:p>
    <w:p>
      <w:pPr>
        <w:pStyle w:val="5"/>
        <w:adjustRightInd w:val="0"/>
        <w:snapToGrid w:val="0"/>
        <w:spacing w:before="0" w:after="0" w:line="440" w:lineRule="exact"/>
        <w:rPr>
          <w:sz w:val="24"/>
        </w:rPr>
      </w:pPr>
      <w:bookmarkStart w:id="407" w:name="_Toc125193032"/>
      <w:r>
        <w:rPr>
          <w:sz w:val="24"/>
        </w:rPr>
        <w:t>11.2.1 监测</w:t>
      </w:r>
      <w:bookmarkEnd w:id="407"/>
      <w:r>
        <w:rPr>
          <w:sz w:val="24"/>
        </w:rPr>
        <w:t>目的</w:t>
      </w:r>
    </w:p>
    <w:p>
      <w:pPr>
        <w:spacing w:line="440" w:lineRule="exact"/>
        <w:ind w:firstLine="480" w:firstLineChars="200"/>
        <w:rPr>
          <w:rFonts w:ascii="Times New Roman" w:hAnsi="Times New Roman"/>
        </w:rPr>
      </w:pPr>
      <w:r>
        <w:rPr>
          <w:rFonts w:ascii="Times New Roman" w:hAnsi="Times New Roman"/>
        </w:rPr>
        <w:t>通过环境监测，可以了解矿区环境质量变化情况和矿区内各污染源的排污情况，保证矿区及周围地区经济、环境建设目标的实现和环境保护工作的顺利进行，为矿区的环境管理决策提供科学依据。</w:t>
      </w:r>
    </w:p>
    <w:p>
      <w:pPr>
        <w:pStyle w:val="5"/>
        <w:adjustRightInd w:val="0"/>
        <w:snapToGrid w:val="0"/>
        <w:spacing w:before="0" w:after="0" w:line="440" w:lineRule="exact"/>
        <w:rPr>
          <w:sz w:val="24"/>
        </w:rPr>
      </w:pPr>
      <w:bookmarkStart w:id="408" w:name="_Toc125193033"/>
      <w:r>
        <w:rPr>
          <w:sz w:val="24"/>
        </w:rPr>
        <w:t>11.2.2 监测</w:t>
      </w:r>
      <w:bookmarkEnd w:id="408"/>
      <w:r>
        <w:rPr>
          <w:sz w:val="24"/>
        </w:rPr>
        <w:t>机构</w:t>
      </w:r>
    </w:p>
    <w:p>
      <w:pPr>
        <w:adjustRightInd w:val="0"/>
        <w:snapToGrid w:val="0"/>
        <w:spacing w:line="440" w:lineRule="exact"/>
        <w:ind w:firstLine="480"/>
        <w:rPr>
          <w:rFonts w:ascii="Times New Roman" w:hAnsi="Times New Roman"/>
        </w:rPr>
      </w:pPr>
      <w:r>
        <w:rPr>
          <w:rFonts w:ascii="Times New Roman" w:hAnsi="Times New Roman"/>
        </w:rPr>
        <w:t>本矿区规划规模较大，且距离鄂尔多斯市较近，建议矿区的环境监测工作委托鄂尔多斯市地方环境监测机构代为监测，不在矿区建设独立的环境监测机构。</w:t>
      </w:r>
    </w:p>
    <w:p>
      <w:pPr>
        <w:pStyle w:val="5"/>
        <w:adjustRightInd w:val="0"/>
        <w:snapToGrid w:val="0"/>
        <w:spacing w:before="0" w:after="0" w:line="440" w:lineRule="exact"/>
        <w:rPr>
          <w:sz w:val="24"/>
        </w:rPr>
      </w:pPr>
      <w:bookmarkStart w:id="409" w:name="_Toc125193034"/>
      <w:r>
        <w:rPr>
          <w:sz w:val="24"/>
        </w:rPr>
        <w:t>11.2.3 监测内容</w:t>
      </w:r>
      <w:bookmarkEnd w:id="409"/>
    </w:p>
    <w:p>
      <w:pPr>
        <w:adjustRightInd w:val="0"/>
        <w:spacing w:line="440" w:lineRule="exact"/>
        <w:ind w:firstLine="482"/>
        <w:rPr>
          <w:rFonts w:ascii="Times New Roman" w:hAnsi="Times New Roman"/>
        </w:rPr>
      </w:pPr>
      <w:r>
        <w:rPr>
          <w:rFonts w:ascii="Times New Roman" w:hAnsi="Times New Roman"/>
        </w:rPr>
        <w:t>监测的主要内容和对象包括矿区内项目所涉及的环境问题，即环境空气、地表水、地下水、声环境、土壤、植被、地表变形等。主要分为以下两类：</w:t>
      </w:r>
    </w:p>
    <w:p>
      <w:pPr>
        <w:adjustRightInd w:val="0"/>
        <w:spacing w:line="440" w:lineRule="exact"/>
        <w:ind w:firstLine="482"/>
        <w:rPr>
          <w:rFonts w:ascii="Times New Roman" w:hAnsi="Times New Roman"/>
        </w:rPr>
      </w:pPr>
      <w:r>
        <w:rPr>
          <w:rFonts w:ascii="Times New Roman" w:hAnsi="Times New Roman"/>
        </w:rPr>
        <w:t>（1）环境质量监测</w:t>
      </w:r>
    </w:p>
    <w:p>
      <w:pPr>
        <w:adjustRightInd w:val="0"/>
        <w:spacing w:line="440" w:lineRule="exact"/>
        <w:ind w:firstLine="482"/>
        <w:rPr>
          <w:rFonts w:ascii="Times New Roman" w:hAnsi="Times New Roman"/>
        </w:rPr>
      </w:pPr>
      <w:r>
        <w:rPr>
          <w:rFonts w:ascii="Times New Roman" w:hAnsi="Times New Roman"/>
        </w:rPr>
        <w:t>监测内容包括环境空气质量监测、地表水环境质量监测、地下水环境质量监测、土壤环境质量监测、声环境质量监测等。监测项目、监测时间频率及监测点位设置见表11.2-1。</w:t>
      </w:r>
    </w:p>
    <w:p>
      <w:pPr>
        <w:adjustRightInd w:val="0"/>
        <w:spacing w:line="440" w:lineRule="exact"/>
        <w:ind w:firstLine="482"/>
        <w:rPr>
          <w:rFonts w:ascii="Times New Roman" w:hAnsi="Times New Roman"/>
        </w:rPr>
      </w:pPr>
      <w:r>
        <w:rPr>
          <w:rFonts w:ascii="Times New Roman" w:hAnsi="Times New Roman"/>
        </w:rPr>
        <w:t>（2）污染源监测</w:t>
      </w:r>
    </w:p>
    <w:p>
      <w:pPr>
        <w:adjustRightInd w:val="0"/>
        <w:spacing w:line="440" w:lineRule="exact"/>
        <w:ind w:firstLine="482"/>
        <w:rPr>
          <w:rFonts w:ascii="Times New Roman" w:hAnsi="Times New Roman"/>
        </w:rPr>
      </w:pPr>
      <w:r>
        <w:rPr>
          <w:rFonts w:ascii="Times New Roman" w:hAnsi="Times New Roman"/>
        </w:rPr>
        <w:t>监测内容包括：区内大气污染源、水环境污染源、噪声污染源、地表变形观测、事故监测等。监测项目、监测时间频率及监测点位设置见表11.2-2。</w:t>
      </w:r>
    </w:p>
    <w:p>
      <w:pPr>
        <w:adjustRightInd w:val="0"/>
        <w:snapToGrid w:val="0"/>
        <w:spacing w:line="440" w:lineRule="exact"/>
        <w:jc w:val="center"/>
        <w:rPr>
          <w:rFonts w:ascii="Times New Roman" w:hAnsi="Times New Roman"/>
          <w:b/>
        </w:rPr>
      </w:pPr>
      <w:r>
        <w:rPr>
          <w:rFonts w:ascii="Times New Roman" w:hAnsi="Times New Roman"/>
          <w:b/>
        </w:rPr>
        <w:t>监测点位及监测内容一览表</w:t>
      </w:r>
    </w:p>
    <w:p>
      <w:pPr>
        <w:pStyle w:val="331"/>
        <w:spacing w:line="440" w:lineRule="exact"/>
        <w:rPr>
          <w:rFonts w:ascii="Times New Roman" w:hAnsi="Times New Roman" w:cs="Times New Roman"/>
        </w:rPr>
      </w:pPr>
      <w:r>
        <w:rPr>
          <w:rFonts w:ascii="Times New Roman" w:hAnsi="Times New Roman" w:cs="Times New Roman"/>
        </w:rPr>
        <w:t>表11.2-1</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5"/>
        <w:gridCol w:w="3122"/>
        <w:gridCol w:w="1382"/>
        <w:gridCol w:w="2301"/>
        <w:gridCol w:w="16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84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监测要素</w:t>
            </w:r>
          </w:p>
        </w:tc>
        <w:tc>
          <w:tcPr>
            <w:tcW w:w="312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监测项目</w:t>
            </w:r>
          </w:p>
        </w:tc>
        <w:tc>
          <w:tcPr>
            <w:tcW w:w="138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监测时间/</w:t>
            </w:r>
          </w:p>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频率</w:t>
            </w:r>
          </w:p>
        </w:tc>
        <w:tc>
          <w:tcPr>
            <w:tcW w:w="230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监测布点</w:t>
            </w:r>
          </w:p>
        </w:tc>
        <w:tc>
          <w:tcPr>
            <w:tcW w:w="1637"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监测方法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环境空气</w:t>
            </w:r>
          </w:p>
        </w:tc>
        <w:tc>
          <w:tcPr>
            <w:tcW w:w="312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PM</w:t>
            </w:r>
            <w:r>
              <w:rPr>
                <w:rFonts w:ascii="Times New Roman" w:hAnsi="Times New Roman"/>
                <w:sz w:val="21"/>
                <w:szCs w:val="21"/>
                <w:vertAlign w:val="subscript"/>
              </w:rPr>
              <w:t>10</w:t>
            </w:r>
            <w:r>
              <w:rPr>
                <w:rFonts w:ascii="Times New Roman" w:hAnsi="Times New Roman"/>
                <w:sz w:val="21"/>
                <w:szCs w:val="21"/>
              </w:rPr>
              <w:t>、PM</w:t>
            </w:r>
            <w:r>
              <w:rPr>
                <w:rFonts w:ascii="Times New Roman" w:hAnsi="Times New Roman"/>
                <w:sz w:val="21"/>
                <w:szCs w:val="21"/>
                <w:vertAlign w:val="subscript"/>
              </w:rPr>
              <w:t>2.5</w:t>
            </w:r>
            <w:r>
              <w:rPr>
                <w:rFonts w:ascii="Times New Roman" w:hAnsi="Times New Roman"/>
                <w:sz w:val="21"/>
                <w:szCs w:val="21"/>
              </w:rPr>
              <w:t>、SO</w:t>
            </w:r>
            <w:r>
              <w:rPr>
                <w:rFonts w:ascii="Times New Roman" w:hAnsi="Times New Roman"/>
                <w:sz w:val="21"/>
                <w:szCs w:val="21"/>
                <w:vertAlign w:val="subscript"/>
              </w:rPr>
              <w:t>2</w:t>
            </w:r>
            <w:r>
              <w:rPr>
                <w:rFonts w:ascii="Times New Roman" w:hAnsi="Times New Roman"/>
                <w:sz w:val="21"/>
                <w:szCs w:val="21"/>
              </w:rPr>
              <w:t>、NO</w:t>
            </w:r>
            <w:r>
              <w:rPr>
                <w:rFonts w:ascii="Times New Roman" w:hAnsi="Times New Roman"/>
                <w:sz w:val="21"/>
                <w:szCs w:val="21"/>
                <w:vertAlign w:val="subscript"/>
              </w:rPr>
              <w:t>2</w:t>
            </w:r>
            <w:r>
              <w:rPr>
                <w:rFonts w:ascii="Times New Roman" w:hAnsi="Times New Roman"/>
                <w:sz w:val="21"/>
                <w:szCs w:val="21"/>
              </w:rPr>
              <w:t>、CO、O</w:t>
            </w:r>
            <w:r>
              <w:rPr>
                <w:rFonts w:ascii="Times New Roman" w:hAnsi="Times New Roman"/>
                <w:sz w:val="21"/>
                <w:szCs w:val="21"/>
                <w:vertAlign w:val="subscript"/>
              </w:rPr>
              <w:t>3</w:t>
            </w:r>
          </w:p>
        </w:tc>
        <w:tc>
          <w:tcPr>
            <w:tcW w:w="138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4次/年</w:t>
            </w:r>
          </w:p>
        </w:tc>
        <w:tc>
          <w:tcPr>
            <w:tcW w:w="2301"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各矿井工业场地厂界处、红庆河镇、鄂尔多斯遗鸥国家级自然保护区</w:t>
            </w:r>
          </w:p>
        </w:tc>
        <w:tc>
          <w:tcPr>
            <w:tcW w:w="1637"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按《环境空气质量标准》进行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地表水</w:t>
            </w:r>
          </w:p>
        </w:tc>
        <w:tc>
          <w:tcPr>
            <w:tcW w:w="312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pH、SS、溶解氧、高锰酸盐指数、BOD</w:t>
            </w:r>
            <w:r>
              <w:rPr>
                <w:rFonts w:ascii="Times New Roman" w:hAnsi="Times New Roman"/>
                <w:sz w:val="21"/>
                <w:szCs w:val="21"/>
                <w:vertAlign w:val="subscript"/>
              </w:rPr>
              <w:t>5</w:t>
            </w:r>
            <w:r>
              <w:rPr>
                <w:rFonts w:ascii="Times New Roman" w:hAnsi="Times New Roman"/>
                <w:sz w:val="21"/>
                <w:szCs w:val="21"/>
              </w:rPr>
              <w:t>、氨氮、总氮、总磷、铜、锌、氟化物、硒、总砷、总汞、镉、六价铬、铅、氰化物、挥发酚、石油类、阴离子表面活性剂、硫化物和粪大肠菌群23项，同时进行水文监测</w:t>
            </w:r>
          </w:p>
        </w:tc>
        <w:tc>
          <w:tcPr>
            <w:tcW w:w="138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3次/年，丰平枯各1次</w:t>
            </w:r>
          </w:p>
        </w:tc>
        <w:tc>
          <w:tcPr>
            <w:tcW w:w="2301" w:type="dxa"/>
            <w:vAlign w:val="center"/>
          </w:tcPr>
          <w:p>
            <w:pPr>
              <w:adjustRightInd w:val="0"/>
              <w:snapToGrid w:val="0"/>
              <w:spacing w:line="240" w:lineRule="atLeast"/>
              <w:rPr>
                <w:rFonts w:ascii="Times New Roman" w:hAnsi="Times New Roman"/>
                <w:sz w:val="21"/>
                <w:szCs w:val="21"/>
              </w:rPr>
            </w:pPr>
            <w:r>
              <w:rPr>
                <w:rStyle w:val="74"/>
                <w:rFonts w:ascii="Times New Roman" w:hAnsi="Times New Roman"/>
              </w:rPr>
              <w:t>矿区内</w:t>
            </w:r>
            <w:r>
              <w:rPr>
                <w:rStyle w:val="74"/>
                <w:rFonts w:hint="eastAsia" w:ascii="Times New Roman" w:hAnsi="Times New Roman"/>
              </w:rPr>
              <w:t>伊和日淖尔</w:t>
            </w:r>
            <w:r>
              <w:rPr>
                <w:rStyle w:val="74"/>
                <w:rFonts w:ascii="Times New Roman" w:hAnsi="Times New Roman"/>
              </w:rPr>
              <w:t>、哈塔图淖尔、光明淖尔、哈达图淖尔、乌兰淖尔</w:t>
            </w:r>
          </w:p>
        </w:tc>
        <w:tc>
          <w:tcPr>
            <w:tcW w:w="1637"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按《地表水和污水监测技术规范进行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地下水</w:t>
            </w:r>
          </w:p>
        </w:tc>
        <w:tc>
          <w:tcPr>
            <w:tcW w:w="312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pH值、总硬度、溶解性总固体、氨氮、硝酸盐氮、亚硝酸盐氮、挥发性酚、总氰化物、高锰酸盐指数、氟化物、砷、汞、镉、六价格、铁、锰、细菌总数和总大肠菌群、井深、水位、水温21项</w:t>
            </w:r>
          </w:p>
        </w:tc>
        <w:tc>
          <w:tcPr>
            <w:tcW w:w="138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3次/年，丰平枯各1次</w:t>
            </w:r>
          </w:p>
        </w:tc>
        <w:tc>
          <w:tcPr>
            <w:tcW w:w="2301"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居民水井、煤矿工业场地、矸石周转场地下水上下游及两侧</w:t>
            </w:r>
          </w:p>
        </w:tc>
        <w:tc>
          <w:tcPr>
            <w:tcW w:w="1637"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按</w:t>
            </w:r>
            <w:r>
              <w:rPr>
                <w:rFonts w:ascii="Times New Roman" w:hAnsi="Times New Roman"/>
                <w:kern w:val="20"/>
                <w:sz w:val="21"/>
                <w:szCs w:val="21"/>
              </w:rPr>
              <w:t>《地下水环境监测技术规范》进行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噪声</w:t>
            </w:r>
          </w:p>
        </w:tc>
        <w:tc>
          <w:tcPr>
            <w:tcW w:w="312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项目工业场地、风井场地厂界200m范围内敏感点，场外道路及输煤皮带栈桥、铁路专业线两侧敏感点环境噪声</w:t>
            </w:r>
          </w:p>
        </w:tc>
        <w:tc>
          <w:tcPr>
            <w:tcW w:w="138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2次/年</w:t>
            </w:r>
          </w:p>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昼间9:00-11:00、夜间22:0-22:40</w:t>
            </w:r>
          </w:p>
        </w:tc>
        <w:tc>
          <w:tcPr>
            <w:tcW w:w="2301"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各矿井工业场地、风井场地厂界200m范围内；场外道路、铁路专用线两侧200m范围内居民点处</w:t>
            </w:r>
          </w:p>
        </w:tc>
        <w:tc>
          <w:tcPr>
            <w:tcW w:w="1637" w:type="dxa"/>
            <w:vAlign w:val="center"/>
          </w:tcPr>
          <w:p>
            <w:pPr>
              <w:adjustRightInd w:val="0"/>
              <w:snapToGrid w:val="0"/>
              <w:spacing w:line="240" w:lineRule="atLeast"/>
              <w:rPr>
                <w:rFonts w:ascii="Times New Roman" w:hAnsi="Times New Roman"/>
                <w:sz w:val="21"/>
                <w:szCs w:val="21"/>
              </w:rPr>
            </w:pPr>
            <w:r>
              <w:rPr>
                <w:rFonts w:ascii="Times New Roman" w:hAnsi="Times New Roman"/>
                <w:spacing w:val="-10"/>
                <w:sz w:val="21"/>
                <w:szCs w:val="21"/>
              </w:rPr>
              <w:t>按《城市区域环境噪声测量方法》、《声学环境噪声测量方法》进行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土壤</w:t>
            </w:r>
          </w:p>
        </w:tc>
        <w:tc>
          <w:tcPr>
            <w:tcW w:w="312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pH、铜、锌、镉、汞、砷、铅、总铬、镍、六价铬；土壤含盐量SSC、有机质、全N、有效P、K，土壤侵蚀类型、程度、侵蚀模数</w:t>
            </w:r>
          </w:p>
        </w:tc>
        <w:tc>
          <w:tcPr>
            <w:tcW w:w="138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1次/3年</w:t>
            </w:r>
          </w:p>
        </w:tc>
        <w:tc>
          <w:tcPr>
            <w:tcW w:w="2301"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矸石周转场外侧500m范围，采煤沉陷区域</w:t>
            </w:r>
          </w:p>
        </w:tc>
        <w:tc>
          <w:tcPr>
            <w:tcW w:w="1637"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按《土壤监测技术规范》进行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植被</w:t>
            </w:r>
          </w:p>
        </w:tc>
        <w:tc>
          <w:tcPr>
            <w:tcW w:w="312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植被类型、植物的种类、组成、高度、盖度</w:t>
            </w:r>
          </w:p>
        </w:tc>
        <w:tc>
          <w:tcPr>
            <w:tcW w:w="1382"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1次/年</w:t>
            </w:r>
          </w:p>
        </w:tc>
        <w:tc>
          <w:tcPr>
            <w:tcW w:w="2301"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采煤沉陷区、临时排矸场</w:t>
            </w:r>
          </w:p>
        </w:tc>
        <w:tc>
          <w:tcPr>
            <w:tcW w:w="1637" w:type="dxa"/>
            <w:vAlign w:val="center"/>
          </w:tcPr>
          <w:p>
            <w:pPr>
              <w:tabs>
                <w:tab w:val="left" w:pos="923"/>
              </w:tabs>
              <w:adjustRightInd w:val="0"/>
              <w:snapToGrid w:val="0"/>
              <w:spacing w:line="240" w:lineRule="atLeast"/>
              <w:rPr>
                <w:rFonts w:ascii="Times New Roman" w:hAnsi="Times New Roman"/>
                <w:sz w:val="21"/>
                <w:szCs w:val="21"/>
              </w:rPr>
            </w:pPr>
            <w:r>
              <w:rPr>
                <w:rFonts w:ascii="Times New Roman" w:hAnsi="Times New Roman"/>
                <w:sz w:val="21"/>
                <w:szCs w:val="21"/>
              </w:rPr>
              <w:t>实地调查、资料收集、遥感影像分析相结合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45" w:type="dxa"/>
            <w:vAlign w:val="center"/>
          </w:tcPr>
          <w:p>
            <w:pPr>
              <w:adjustRightInd w:val="0"/>
              <w:snapToGrid w:val="0"/>
              <w:spacing w:line="240" w:lineRule="atLeast"/>
              <w:jc w:val="center"/>
              <w:rPr>
                <w:rFonts w:ascii="Times New Roman" w:hAnsi="Times New Roman"/>
                <w:sz w:val="21"/>
                <w:szCs w:val="21"/>
              </w:rPr>
            </w:pPr>
            <w:r>
              <w:rPr>
                <w:rFonts w:ascii="Times New Roman" w:hAnsi="Times New Roman"/>
                <w:sz w:val="21"/>
                <w:szCs w:val="21"/>
              </w:rPr>
              <w:t>地表变形</w:t>
            </w:r>
          </w:p>
        </w:tc>
        <w:tc>
          <w:tcPr>
            <w:tcW w:w="312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地表下沉、水平移动、水平变形、曲率变形、倾斜变形</w:t>
            </w:r>
          </w:p>
        </w:tc>
        <w:tc>
          <w:tcPr>
            <w:tcW w:w="1382" w:type="dxa"/>
            <w:vAlign w:val="center"/>
          </w:tcPr>
          <w:p>
            <w:pPr>
              <w:adjustRightInd w:val="0"/>
              <w:snapToGrid w:val="0"/>
              <w:spacing w:line="240" w:lineRule="atLeast"/>
              <w:rPr>
                <w:rFonts w:ascii="Times New Roman" w:hAnsi="Times New Roman"/>
                <w:sz w:val="21"/>
                <w:szCs w:val="21"/>
              </w:rPr>
            </w:pPr>
            <w:r>
              <w:rPr>
                <w:rFonts w:ascii="Times New Roman" w:hAnsi="Times New Roman"/>
                <w:sz w:val="21"/>
                <w:szCs w:val="21"/>
              </w:rPr>
              <w:t>随工作区推进实时监测</w:t>
            </w:r>
          </w:p>
        </w:tc>
        <w:tc>
          <w:tcPr>
            <w:tcW w:w="2301" w:type="dxa"/>
            <w:vAlign w:val="center"/>
          </w:tcPr>
          <w:p>
            <w:pPr>
              <w:adjustRightInd w:val="0"/>
              <w:snapToGrid w:val="0"/>
              <w:spacing w:line="240" w:lineRule="atLeast"/>
              <w:jc w:val="left"/>
              <w:rPr>
                <w:rFonts w:ascii="Times New Roman" w:hAnsi="Times New Roman"/>
                <w:sz w:val="21"/>
                <w:szCs w:val="21"/>
              </w:rPr>
            </w:pPr>
            <w:r>
              <w:rPr>
                <w:rFonts w:ascii="Times New Roman" w:hAnsi="Times New Roman"/>
                <w:sz w:val="21"/>
                <w:szCs w:val="21"/>
              </w:rPr>
              <w:t>矿井开采沉陷区</w:t>
            </w:r>
          </w:p>
        </w:tc>
        <w:tc>
          <w:tcPr>
            <w:tcW w:w="1637" w:type="dxa"/>
            <w:vAlign w:val="center"/>
          </w:tcPr>
          <w:p>
            <w:pPr>
              <w:tabs>
                <w:tab w:val="left" w:pos="923"/>
              </w:tabs>
              <w:adjustRightInd w:val="0"/>
              <w:snapToGrid w:val="0"/>
              <w:spacing w:line="240" w:lineRule="atLeast"/>
              <w:rPr>
                <w:rFonts w:ascii="Times New Roman" w:hAnsi="Times New Roman"/>
                <w:sz w:val="21"/>
                <w:szCs w:val="21"/>
              </w:rPr>
            </w:pPr>
            <w:r>
              <w:rPr>
                <w:rFonts w:ascii="Times New Roman" w:hAnsi="Times New Roman"/>
                <w:sz w:val="21"/>
                <w:szCs w:val="21"/>
              </w:rPr>
              <w:t>由煤矿地测科负责，建立岩移观测站</w:t>
            </w:r>
          </w:p>
        </w:tc>
      </w:tr>
    </w:tbl>
    <w:p>
      <w:pPr>
        <w:spacing w:line="440" w:lineRule="exact"/>
        <w:jc w:val="center"/>
        <w:outlineLvl w:val="4"/>
        <w:rPr>
          <w:rFonts w:ascii="Times New Roman" w:hAnsi="Times New Roman"/>
          <w:b/>
          <w:szCs w:val="24"/>
        </w:rPr>
      </w:pPr>
      <w:bookmarkStart w:id="410" w:name="_Toc163441052"/>
      <w:bookmarkStart w:id="411" w:name="_Toc125193036"/>
      <w:bookmarkStart w:id="412" w:name="_Toc18838485"/>
      <w:r>
        <w:rPr>
          <w:rFonts w:ascii="Times New Roman" w:hAnsi="Times New Roman"/>
          <w:b/>
          <w:szCs w:val="24"/>
          <w:lang w:bidi="ar"/>
        </w:rPr>
        <w:t>污染源监测计划表</w:t>
      </w:r>
    </w:p>
    <w:p>
      <w:pPr>
        <w:spacing w:line="440" w:lineRule="exact"/>
        <w:ind w:firstLine="240" w:firstLineChars="100"/>
        <w:outlineLvl w:val="4"/>
        <w:rPr>
          <w:rFonts w:ascii="Times New Roman" w:hAnsi="Times New Roman"/>
          <w:szCs w:val="24"/>
        </w:rPr>
      </w:pPr>
      <w:r>
        <w:rPr>
          <w:rFonts w:ascii="Times New Roman" w:hAnsi="Times New Roman"/>
          <w:szCs w:val="24"/>
          <w:lang w:bidi="ar"/>
        </w:rPr>
        <w:t xml:space="preserve">表11.2-2 </w:t>
      </w:r>
    </w:p>
    <w:tbl>
      <w:tblPr>
        <w:tblStyle w:val="59"/>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5"/>
        <w:gridCol w:w="584"/>
        <w:gridCol w:w="2888"/>
        <w:gridCol w:w="1176"/>
        <w:gridCol w:w="2145"/>
        <w:gridCol w:w="18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17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jc w:val="center"/>
              <w:rPr>
                <w:rFonts w:ascii="Times New Roman" w:hAnsi="Times New Roman"/>
                <w:sz w:val="21"/>
                <w:szCs w:val="21"/>
              </w:rPr>
            </w:pPr>
            <w:r>
              <w:rPr>
                <w:rFonts w:ascii="Times New Roman" w:hAnsi="Times New Roman"/>
                <w:sz w:val="21"/>
                <w:szCs w:val="21"/>
                <w:lang w:bidi="ar"/>
              </w:rPr>
              <w:t>监测要素</w:t>
            </w:r>
          </w:p>
        </w:tc>
        <w:tc>
          <w:tcPr>
            <w:tcW w:w="288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jc w:val="center"/>
              <w:rPr>
                <w:rFonts w:ascii="Times New Roman" w:hAnsi="Times New Roman"/>
                <w:sz w:val="21"/>
                <w:szCs w:val="21"/>
              </w:rPr>
            </w:pPr>
            <w:r>
              <w:rPr>
                <w:rFonts w:ascii="Times New Roman" w:hAnsi="Times New Roman"/>
                <w:sz w:val="21"/>
                <w:szCs w:val="21"/>
                <w:lang w:bidi="ar"/>
              </w:rPr>
              <w:t>监测项目</w:t>
            </w:r>
          </w:p>
        </w:tc>
        <w:tc>
          <w:tcPr>
            <w:tcW w:w="1176"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jc w:val="center"/>
              <w:rPr>
                <w:rFonts w:ascii="Times New Roman" w:hAnsi="Times New Roman"/>
                <w:sz w:val="21"/>
                <w:szCs w:val="21"/>
              </w:rPr>
            </w:pPr>
            <w:r>
              <w:rPr>
                <w:rFonts w:ascii="Times New Roman" w:hAnsi="Times New Roman"/>
                <w:sz w:val="21"/>
                <w:szCs w:val="21"/>
                <w:lang w:bidi="ar"/>
              </w:rPr>
              <w:t>监测时间/频率</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jc w:val="center"/>
              <w:rPr>
                <w:rFonts w:ascii="Times New Roman" w:hAnsi="Times New Roman"/>
                <w:sz w:val="21"/>
                <w:szCs w:val="21"/>
              </w:rPr>
            </w:pPr>
            <w:r>
              <w:rPr>
                <w:rFonts w:ascii="Times New Roman" w:hAnsi="Times New Roman"/>
                <w:sz w:val="21"/>
                <w:szCs w:val="21"/>
                <w:lang w:bidi="ar"/>
              </w:rPr>
              <w:t>监测布点</w:t>
            </w:r>
          </w:p>
        </w:tc>
        <w:tc>
          <w:tcPr>
            <w:tcW w:w="1899"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jc w:val="center"/>
              <w:rPr>
                <w:rFonts w:ascii="Times New Roman" w:hAnsi="Times New Roman"/>
                <w:sz w:val="21"/>
                <w:szCs w:val="21"/>
              </w:rPr>
            </w:pPr>
            <w:r>
              <w:rPr>
                <w:rFonts w:ascii="Times New Roman" w:hAnsi="Times New Roman"/>
                <w:sz w:val="21"/>
                <w:szCs w:val="21"/>
                <w:lang w:bidi="ar"/>
              </w:rPr>
              <w:t>监测方法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1179" w:type="dxa"/>
            <w:gridSpan w:val="2"/>
            <w:vMerge w:val="restart"/>
            <w:tcBorders>
              <w:top w:val="nil"/>
              <w:left w:val="single" w:color="auto" w:sz="4" w:space="0"/>
              <w:bottom w:val="single" w:color="auto" w:sz="4" w:space="0"/>
              <w:right w:val="single" w:color="auto" w:sz="4" w:space="0"/>
            </w:tcBorders>
            <w:shd w:val="clear" w:color="auto" w:fill="auto"/>
            <w:vAlign w:val="center"/>
          </w:tcPr>
          <w:p>
            <w:pPr>
              <w:snapToGrid w:val="0"/>
              <w:spacing w:line="240" w:lineRule="atLeast"/>
              <w:jc w:val="center"/>
              <w:rPr>
                <w:rFonts w:ascii="Times New Roman" w:hAnsi="Times New Roman"/>
                <w:sz w:val="21"/>
                <w:szCs w:val="21"/>
              </w:rPr>
            </w:pPr>
            <w:r>
              <w:rPr>
                <w:rFonts w:ascii="Times New Roman" w:hAnsi="Times New Roman"/>
                <w:sz w:val="21"/>
                <w:szCs w:val="21"/>
                <w:lang w:bidi="ar"/>
              </w:rPr>
              <w:t>空气</w:t>
            </w:r>
          </w:p>
        </w:tc>
        <w:tc>
          <w:tcPr>
            <w:tcW w:w="288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rPr>
                <w:rFonts w:ascii="Times New Roman" w:hAnsi="Times New Roman"/>
                <w:sz w:val="21"/>
                <w:szCs w:val="21"/>
              </w:rPr>
            </w:pPr>
            <w:r>
              <w:rPr>
                <w:rFonts w:ascii="Times New Roman" w:hAnsi="Times New Roman"/>
                <w:sz w:val="21"/>
                <w:szCs w:val="21"/>
                <w:lang w:bidi="ar"/>
              </w:rPr>
              <w:t>TSP（无组织排放颗粒物）</w:t>
            </w:r>
          </w:p>
        </w:tc>
        <w:tc>
          <w:tcPr>
            <w:tcW w:w="1176"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jc w:val="center"/>
              <w:rPr>
                <w:rFonts w:ascii="Times New Roman" w:hAnsi="Times New Roman"/>
                <w:sz w:val="21"/>
                <w:szCs w:val="21"/>
              </w:rPr>
            </w:pPr>
            <w:r>
              <w:rPr>
                <w:rFonts w:ascii="Times New Roman" w:hAnsi="Times New Roman"/>
                <w:sz w:val="21"/>
                <w:szCs w:val="21"/>
                <w:lang w:bidi="ar"/>
              </w:rPr>
              <w:t>4次/年</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rPr>
                <w:rFonts w:ascii="Times New Roman" w:hAnsi="Times New Roman"/>
                <w:sz w:val="21"/>
                <w:szCs w:val="21"/>
              </w:rPr>
            </w:pPr>
            <w:r>
              <w:rPr>
                <w:rFonts w:ascii="Times New Roman" w:hAnsi="Times New Roman"/>
                <w:sz w:val="21"/>
                <w:szCs w:val="21"/>
                <w:lang w:bidi="ar"/>
              </w:rPr>
              <w:t>各煤矿工业场地厂界处、矸石周转场</w:t>
            </w:r>
          </w:p>
        </w:tc>
        <w:tc>
          <w:tcPr>
            <w:tcW w:w="1899"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rPr>
                <w:rFonts w:ascii="Times New Roman" w:hAnsi="Times New Roman"/>
                <w:sz w:val="21"/>
                <w:szCs w:val="21"/>
              </w:rPr>
            </w:pPr>
            <w:r>
              <w:rPr>
                <w:rFonts w:ascii="Times New Roman" w:hAnsi="Times New Roman"/>
                <w:sz w:val="21"/>
                <w:szCs w:val="21"/>
                <w:lang w:bidi="ar"/>
              </w:rPr>
              <w:t>按《煤炭工业污染物排放标准》进行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1179" w:type="dxa"/>
            <w:gridSpan w:val="2"/>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88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rPr>
                <w:rFonts w:ascii="Times New Roman" w:hAnsi="Times New Roman"/>
                <w:sz w:val="21"/>
                <w:szCs w:val="21"/>
              </w:rPr>
            </w:pPr>
            <w:r>
              <w:rPr>
                <w:rFonts w:ascii="Times New Roman" w:hAnsi="Times New Roman"/>
                <w:sz w:val="21"/>
                <w:szCs w:val="21"/>
                <w:lang w:bidi="ar"/>
              </w:rPr>
              <w:t>烟尘、SO</w:t>
            </w:r>
            <w:r>
              <w:rPr>
                <w:rFonts w:ascii="Times New Roman" w:hAnsi="Times New Roman"/>
                <w:sz w:val="21"/>
                <w:szCs w:val="21"/>
                <w:vertAlign w:val="subscript"/>
                <w:lang w:bidi="ar"/>
              </w:rPr>
              <w:t>2</w:t>
            </w:r>
            <w:r>
              <w:rPr>
                <w:rFonts w:ascii="Times New Roman" w:hAnsi="Times New Roman"/>
                <w:sz w:val="21"/>
                <w:szCs w:val="21"/>
                <w:lang w:bidi="ar"/>
              </w:rPr>
              <w:t>、NO</w:t>
            </w:r>
            <w:r>
              <w:rPr>
                <w:rFonts w:ascii="Times New Roman" w:hAnsi="Times New Roman"/>
                <w:sz w:val="21"/>
                <w:szCs w:val="21"/>
                <w:vertAlign w:val="subscript"/>
                <w:lang w:bidi="ar"/>
              </w:rPr>
              <w:t>X</w:t>
            </w:r>
            <w:r>
              <w:rPr>
                <w:rFonts w:ascii="Times New Roman" w:hAnsi="Times New Roman"/>
                <w:sz w:val="21"/>
                <w:szCs w:val="21"/>
                <w:lang w:bidi="ar"/>
              </w:rPr>
              <w:t>（锅炉大气污染物）</w:t>
            </w:r>
          </w:p>
        </w:tc>
        <w:tc>
          <w:tcPr>
            <w:tcW w:w="1176"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jc w:val="center"/>
              <w:rPr>
                <w:rFonts w:ascii="Times New Roman" w:hAnsi="Times New Roman"/>
                <w:sz w:val="21"/>
                <w:szCs w:val="21"/>
              </w:rPr>
            </w:pPr>
            <w:r>
              <w:rPr>
                <w:rFonts w:ascii="Times New Roman" w:hAnsi="Times New Roman"/>
                <w:sz w:val="21"/>
                <w:szCs w:val="21"/>
                <w:lang w:bidi="ar"/>
              </w:rPr>
              <w:t>4次/年</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rPr>
                <w:rFonts w:ascii="Times New Roman" w:hAnsi="Times New Roman"/>
                <w:sz w:val="21"/>
                <w:szCs w:val="21"/>
              </w:rPr>
            </w:pPr>
            <w:r>
              <w:rPr>
                <w:rFonts w:ascii="Times New Roman" w:hAnsi="Times New Roman"/>
                <w:sz w:val="21"/>
                <w:szCs w:val="21"/>
                <w:lang w:bidi="ar"/>
              </w:rPr>
              <w:t>各煤矿锅炉房烟囱</w:t>
            </w:r>
          </w:p>
        </w:tc>
        <w:tc>
          <w:tcPr>
            <w:tcW w:w="1899"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atLeast"/>
              <w:rPr>
                <w:rFonts w:ascii="Times New Roman" w:hAnsi="Times New Roman"/>
                <w:sz w:val="21"/>
                <w:szCs w:val="21"/>
              </w:rPr>
            </w:pPr>
            <w:r>
              <w:rPr>
                <w:rFonts w:ascii="Times New Roman" w:hAnsi="Times New Roman"/>
                <w:sz w:val="21"/>
                <w:szCs w:val="21"/>
                <w:lang w:bidi="ar"/>
              </w:rPr>
              <w:t>按《锅炉大气污染物排放标准》进行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595" w:type="dxa"/>
            <w:vMerge w:val="restart"/>
            <w:tcBorders>
              <w:top w:val="nil"/>
              <w:left w:val="single" w:color="auto" w:sz="4" w:space="0"/>
              <w:bottom w:val="single" w:color="auto" w:sz="4" w:space="0"/>
              <w:right w:val="single" w:color="auto" w:sz="4" w:space="0"/>
            </w:tcBorders>
            <w:shd w:val="clear" w:color="auto" w:fill="auto"/>
            <w:vAlign w:val="center"/>
          </w:tcPr>
          <w:p>
            <w:pPr>
              <w:snapToGrid w:val="0"/>
              <w:spacing w:line="240" w:lineRule="atLeast"/>
              <w:jc w:val="center"/>
              <w:rPr>
                <w:rFonts w:ascii="Times New Roman" w:hAnsi="Times New Roman"/>
                <w:sz w:val="21"/>
                <w:szCs w:val="21"/>
              </w:rPr>
            </w:pPr>
            <w:r>
              <w:rPr>
                <w:rFonts w:ascii="Times New Roman" w:hAnsi="Times New Roman"/>
                <w:sz w:val="21"/>
                <w:szCs w:val="21"/>
                <w:lang w:bidi="ar"/>
              </w:rPr>
              <w:t>水</w:t>
            </w:r>
          </w:p>
        </w:tc>
        <w:tc>
          <w:tcPr>
            <w:tcW w:w="584"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矿井水</w:t>
            </w:r>
          </w:p>
        </w:tc>
        <w:tc>
          <w:tcPr>
            <w:tcW w:w="2888" w:type="dxa"/>
            <w:tcBorders>
              <w:top w:val="single" w:color="auto" w:sz="4" w:space="0"/>
              <w:left w:val="single" w:color="auto" w:sz="4" w:space="0"/>
              <w:bottom w:val="single" w:color="auto" w:sz="4" w:space="0"/>
              <w:right w:val="single" w:color="auto" w:sz="4" w:space="0"/>
            </w:tcBorders>
            <w:shd w:val="clear" w:color="auto" w:fill="auto"/>
            <w:vAlign w:val="center"/>
          </w:tcPr>
          <w:p>
            <w:pPr>
              <w:pStyle w:val="54"/>
              <w:widowControl w:val="0"/>
              <w:adjustRightInd w:val="0"/>
              <w:snapToGrid w:val="0"/>
              <w:spacing w:before="0" w:after="120" w:afterAutospacing="0" w:line="240" w:lineRule="exact"/>
              <w:textAlignment w:val="baseline"/>
              <w:rPr>
                <w:rFonts w:ascii="Times New Roman" w:hAnsi="Times New Roman"/>
                <w:color w:val="auto"/>
                <w:sz w:val="21"/>
                <w:szCs w:val="21"/>
              </w:rPr>
            </w:pPr>
            <w:r>
              <w:rPr>
                <w:rFonts w:ascii="Times New Roman" w:hAnsi="Times New Roman"/>
                <w:color w:val="auto"/>
                <w:sz w:val="21"/>
                <w:szCs w:val="21"/>
                <w:lang w:bidi="ar"/>
              </w:rPr>
              <w:t>pH、SS、溶解性总固体、COD、氨氮、总砷、氯化物、氟化物、硫化物、石油类、挥发酚、氰化物、铁、锰、铜、镉、汞、六价铬共18项，同时监测水温、当日处理量</w:t>
            </w:r>
          </w:p>
        </w:tc>
        <w:tc>
          <w:tcPr>
            <w:tcW w:w="1176" w:type="dxa"/>
            <w:vMerge w:val="restart"/>
            <w:tcBorders>
              <w:top w:val="nil"/>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4次/年</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各矿矿井水处理站进出口</w:t>
            </w:r>
          </w:p>
        </w:tc>
        <w:tc>
          <w:tcPr>
            <w:tcW w:w="1899"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rPr>
                <w:rFonts w:ascii="Times New Roman" w:hAnsi="Times New Roman"/>
                <w:sz w:val="21"/>
                <w:szCs w:val="21"/>
              </w:rPr>
            </w:pPr>
            <w:r>
              <w:rPr>
                <w:rFonts w:ascii="Times New Roman" w:hAnsi="Times New Roman"/>
                <w:sz w:val="21"/>
                <w:szCs w:val="21"/>
                <w:lang w:bidi="ar"/>
              </w:rPr>
              <w:t>按有关标准和监测技术规范执行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595"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584"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生活污水</w:t>
            </w:r>
          </w:p>
        </w:tc>
        <w:tc>
          <w:tcPr>
            <w:tcW w:w="2888" w:type="dxa"/>
            <w:tcBorders>
              <w:top w:val="single" w:color="auto" w:sz="4" w:space="0"/>
              <w:left w:val="single" w:color="auto" w:sz="4" w:space="0"/>
              <w:bottom w:val="single" w:color="auto" w:sz="4" w:space="0"/>
              <w:right w:val="single" w:color="auto" w:sz="4" w:space="0"/>
            </w:tcBorders>
            <w:shd w:val="clear" w:color="auto" w:fill="auto"/>
            <w:vAlign w:val="center"/>
          </w:tcPr>
          <w:p>
            <w:pPr>
              <w:pStyle w:val="54"/>
              <w:widowControl w:val="0"/>
              <w:adjustRightInd w:val="0"/>
              <w:snapToGrid w:val="0"/>
              <w:spacing w:before="0" w:after="120" w:afterAutospacing="0" w:line="240" w:lineRule="exact"/>
              <w:textAlignment w:val="baseline"/>
              <w:rPr>
                <w:rFonts w:ascii="Times New Roman" w:hAnsi="Times New Roman"/>
                <w:color w:val="auto"/>
                <w:sz w:val="21"/>
                <w:szCs w:val="21"/>
              </w:rPr>
            </w:pPr>
            <w:r>
              <w:rPr>
                <w:rFonts w:ascii="Times New Roman" w:hAnsi="Times New Roman"/>
                <w:color w:val="auto"/>
                <w:sz w:val="21"/>
                <w:szCs w:val="21"/>
                <w:lang w:bidi="ar"/>
              </w:rPr>
              <w:t>pH、COD、BOD</w:t>
            </w:r>
            <w:r>
              <w:rPr>
                <w:rFonts w:ascii="Times New Roman" w:hAnsi="Times New Roman"/>
                <w:color w:val="auto"/>
                <w:sz w:val="21"/>
                <w:szCs w:val="21"/>
                <w:vertAlign w:val="subscript"/>
                <w:lang w:bidi="ar"/>
              </w:rPr>
              <w:t>5</w:t>
            </w:r>
            <w:r>
              <w:rPr>
                <w:rFonts w:ascii="Times New Roman" w:hAnsi="Times New Roman"/>
                <w:color w:val="auto"/>
                <w:sz w:val="21"/>
                <w:szCs w:val="21"/>
                <w:lang w:bidi="ar"/>
              </w:rPr>
              <w:t>、SS、氨氮、动植物油、类大肠菌群、总氮、总磷、阴离子表面活性剂共10项，同时监测水温、当日处理量</w:t>
            </w:r>
          </w:p>
        </w:tc>
        <w:tc>
          <w:tcPr>
            <w:tcW w:w="1176" w:type="dxa"/>
            <w:vMerge w:val="continue"/>
            <w:tcBorders>
              <w:top w:val="nil"/>
              <w:left w:val="single" w:color="auto" w:sz="4" w:space="0"/>
              <w:bottom w:val="single" w:color="auto" w:sz="4" w:space="0"/>
              <w:right w:val="single" w:color="auto" w:sz="4" w:space="0"/>
            </w:tcBorders>
            <w:shd w:val="clear" w:color="auto" w:fill="auto"/>
            <w:vAlign w:val="center"/>
          </w:tcPr>
          <w:p>
            <w:pPr>
              <w:rPr>
                <w:rFonts w:ascii="Times New Roman" w:hAnsi="Times New Roman"/>
                <w:sz w:val="20"/>
              </w:rPr>
            </w:pP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各矿生活污水处理站进出口</w:t>
            </w:r>
          </w:p>
        </w:tc>
        <w:tc>
          <w:tcPr>
            <w:tcW w:w="1899"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rPr>
                <w:rFonts w:ascii="Times New Roman" w:hAnsi="Times New Roman"/>
                <w:sz w:val="21"/>
                <w:szCs w:val="21"/>
              </w:rPr>
            </w:pPr>
            <w:r>
              <w:rPr>
                <w:rFonts w:ascii="Times New Roman" w:hAnsi="Times New Roman"/>
                <w:sz w:val="21"/>
                <w:szCs w:val="21"/>
                <w:lang w:bidi="ar"/>
              </w:rPr>
              <w:t>按有关标准和监测技术规范执行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117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噪声</w:t>
            </w:r>
          </w:p>
        </w:tc>
        <w:tc>
          <w:tcPr>
            <w:tcW w:w="288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rPr>
                <w:rFonts w:ascii="Times New Roman" w:hAnsi="Times New Roman"/>
                <w:sz w:val="21"/>
                <w:szCs w:val="21"/>
              </w:rPr>
            </w:pPr>
            <w:r>
              <w:rPr>
                <w:rFonts w:ascii="Times New Roman" w:hAnsi="Times New Roman"/>
                <w:sz w:val="21"/>
                <w:szCs w:val="21"/>
                <w:lang w:bidi="ar"/>
              </w:rPr>
              <w:t>项目工业场地厂界噪声，运输道路、铁路专用线两侧噪声</w:t>
            </w:r>
          </w:p>
        </w:tc>
        <w:tc>
          <w:tcPr>
            <w:tcW w:w="1176"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rPr>
                <w:rFonts w:ascii="Times New Roman" w:hAnsi="Times New Roman"/>
                <w:sz w:val="21"/>
                <w:szCs w:val="21"/>
              </w:rPr>
            </w:pPr>
            <w:r>
              <w:rPr>
                <w:rFonts w:ascii="Times New Roman" w:hAnsi="Times New Roman"/>
                <w:sz w:val="21"/>
                <w:szCs w:val="21"/>
                <w:lang w:bidi="ar"/>
              </w:rPr>
              <w:t>6次/年</w:t>
            </w:r>
          </w:p>
          <w:p>
            <w:pPr>
              <w:snapToGrid w:val="0"/>
              <w:spacing w:line="240" w:lineRule="exact"/>
              <w:rPr>
                <w:rFonts w:ascii="Times New Roman" w:hAnsi="Times New Roman"/>
                <w:sz w:val="21"/>
                <w:szCs w:val="21"/>
              </w:rPr>
            </w:pPr>
            <w:r>
              <w:rPr>
                <w:rFonts w:ascii="Times New Roman" w:hAnsi="Times New Roman"/>
                <w:sz w:val="21"/>
                <w:szCs w:val="21"/>
                <w:lang w:bidi="ar"/>
              </w:rPr>
              <w:t>昼间9:00-11:00、夜间22:0-22:40</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矿区各煤矿工业场地厂界，矿区运煤皮带两侧、铁路专用线两侧200m</w:t>
            </w:r>
          </w:p>
        </w:tc>
        <w:tc>
          <w:tcPr>
            <w:tcW w:w="1899"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rPr>
                <w:rFonts w:ascii="Times New Roman" w:hAnsi="Times New Roman"/>
                <w:sz w:val="21"/>
                <w:szCs w:val="21"/>
              </w:rPr>
            </w:pPr>
            <w:r>
              <w:rPr>
                <w:rFonts w:ascii="Times New Roman" w:hAnsi="Times New Roman"/>
                <w:spacing w:val="-10"/>
                <w:sz w:val="21"/>
                <w:szCs w:val="21"/>
                <w:lang w:bidi="ar"/>
              </w:rPr>
              <w:t>按《城市区域环境噪声测量方法》、《铁路边界噪声限值及其测量方法》、《声学环境噪声测量方法》进行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7" w:hRule="atLeast"/>
          <w:jc w:val="center"/>
        </w:trPr>
        <w:tc>
          <w:tcPr>
            <w:tcW w:w="117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0" w:lineRule="atLeast"/>
              <w:jc w:val="center"/>
              <w:rPr>
                <w:rFonts w:ascii="Times New Roman" w:hAnsi="Times New Roman"/>
                <w:sz w:val="21"/>
                <w:szCs w:val="21"/>
              </w:rPr>
            </w:pPr>
            <w:r>
              <w:rPr>
                <w:rFonts w:ascii="Times New Roman" w:hAnsi="Times New Roman"/>
                <w:sz w:val="21"/>
                <w:szCs w:val="21"/>
                <w:lang w:bidi="ar"/>
              </w:rPr>
              <w:t>固废</w:t>
            </w:r>
          </w:p>
        </w:tc>
        <w:tc>
          <w:tcPr>
            <w:tcW w:w="288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rPr>
                <w:rFonts w:ascii="Times New Roman" w:hAnsi="Times New Roman"/>
                <w:sz w:val="21"/>
                <w:szCs w:val="21"/>
              </w:rPr>
            </w:pPr>
            <w:r>
              <w:rPr>
                <w:rFonts w:ascii="Times New Roman" w:hAnsi="Times New Roman"/>
                <w:sz w:val="21"/>
                <w:szCs w:val="21"/>
                <w:lang w:bidi="ar"/>
              </w:rPr>
              <w:t>矸石、灰渣等固废综合利用情况、生活垃圾、污泥、危废处置情况</w:t>
            </w:r>
          </w:p>
        </w:tc>
        <w:tc>
          <w:tcPr>
            <w:tcW w:w="1176"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2次/年</w:t>
            </w:r>
          </w:p>
        </w:tc>
        <w:tc>
          <w:tcPr>
            <w:tcW w:w="214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w:t>
            </w:r>
          </w:p>
        </w:tc>
        <w:tc>
          <w:tcPr>
            <w:tcW w:w="1899"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spacing w:line="240" w:lineRule="exact"/>
              <w:jc w:val="center"/>
              <w:rPr>
                <w:rFonts w:ascii="Times New Roman" w:hAnsi="Times New Roman"/>
                <w:sz w:val="21"/>
                <w:szCs w:val="21"/>
              </w:rPr>
            </w:pPr>
            <w:r>
              <w:rPr>
                <w:rFonts w:ascii="Times New Roman" w:hAnsi="Times New Roman"/>
                <w:sz w:val="21"/>
                <w:szCs w:val="21"/>
                <w:lang w:bidi="ar"/>
              </w:rPr>
              <w:t>/</w:t>
            </w:r>
          </w:p>
        </w:tc>
      </w:tr>
    </w:tbl>
    <w:p>
      <w:pPr>
        <w:ind w:firstLine="315" w:firstLineChars="150"/>
        <w:rPr>
          <w:rFonts w:ascii="Times New Roman" w:hAnsi="Times New Roman"/>
          <w:sz w:val="21"/>
          <w:szCs w:val="21"/>
        </w:rPr>
      </w:pPr>
      <w:r>
        <w:rPr>
          <w:rFonts w:ascii="Times New Roman" w:hAnsi="Times New Roman"/>
          <w:sz w:val="21"/>
          <w:szCs w:val="21"/>
        </w:rPr>
        <w:t>注：锅炉设置烟气自动连续监测系统。</w:t>
      </w:r>
    </w:p>
    <w:p>
      <w:pPr>
        <w:pStyle w:val="5"/>
        <w:adjustRightInd w:val="0"/>
        <w:snapToGrid w:val="0"/>
        <w:spacing w:before="120" w:beforeLines="50" w:after="0" w:line="440" w:lineRule="exact"/>
        <w:rPr>
          <w:sz w:val="24"/>
          <w:szCs w:val="21"/>
        </w:rPr>
      </w:pPr>
      <w:r>
        <w:rPr>
          <w:sz w:val="24"/>
          <w:szCs w:val="21"/>
        </w:rPr>
        <w:t>11.2.4 污染事故的应急监测</w:t>
      </w:r>
    </w:p>
    <w:p>
      <w:pPr>
        <w:adjustRightInd w:val="0"/>
        <w:spacing w:line="440" w:lineRule="exact"/>
        <w:ind w:firstLine="482"/>
        <w:rPr>
          <w:rFonts w:ascii="Times New Roman" w:hAnsi="Times New Roman"/>
        </w:rPr>
      </w:pPr>
      <w:r>
        <w:rPr>
          <w:rFonts w:ascii="Times New Roman" w:hAnsi="Times New Roman"/>
        </w:rPr>
        <w:t>由于环境污染事故一般具有突发性、不确定性、变动性、危险性，因此必须建立应急监测机构和完善的应急监测流程，配置具有先进水平的流动监测装置，确定主要污染物应急监测及处置方法，对突发的污染事故进行应急监测。</w:t>
      </w:r>
    </w:p>
    <w:p>
      <w:pPr>
        <w:adjustRightInd w:val="0"/>
        <w:spacing w:line="440" w:lineRule="exact"/>
        <w:ind w:firstLine="482"/>
        <w:rPr>
          <w:rFonts w:ascii="Times New Roman" w:hAnsi="Times New Roman"/>
        </w:rPr>
      </w:pPr>
      <w:r>
        <w:rPr>
          <w:rFonts w:ascii="Times New Roman" w:hAnsi="Times New Roman"/>
        </w:rPr>
        <w:t>对此，建议在矿区环境管理机构的基础上，结合矿区生产安全监督部门共同组建矿区环境事故应急领导和监测小组，同时建立环境污染事故应急专家咨询系统，广泛聘请科研、消防、工矿部门专家参加；环境事故监测小组应配备各种应急监测仪器及设备，应当组织力量对区内可能发生的污染事故调查取证程序和内容、不明污染物分析、监测方案、质量控制等环节予以研究。</w:t>
      </w:r>
    </w:p>
    <w:p>
      <w:pPr>
        <w:pStyle w:val="4"/>
        <w:adjustRightInd w:val="0"/>
        <w:snapToGrid w:val="0"/>
        <w:spacing w:line="440" w:lineRule="exact"/>
        <w:jc w:val="left"/>
        <w:rPr>
          <w:rFonts w:ascii="Times New Roman" w:hAnsi="Times New Roman" w:eastAsia="宋体"/>
          <w:sz w:val="28"/>
        </w:rPr>
      </w:pPr>
      <w:bookmarkStart w:id="413" w:name="_Toc1463"/>
      <w:r>
        <w:rPr>
          <w:rFonts w:ascii="Times New Roman" w:hAnsi="Times New Roman" w:eastAsia="宋体"/>
          <w:sz w:val="28"/>
        </w:rPr>
        <w:t>11.3 跟踪</w:t>
      </w:r>
      <w:bookmarkEnd w:id="410"/>
      <w:bookmarkEnd w:id="411"/>
      <w:r>
        <w:rPr>
          <w:rFonts w:ascii="Times New Roman" w:hAnsi="Times New Roman" w:eastAsia="宋体"/>
          <w:sz w:val="28"/>
        </w:rPr>
        <w:t>评价</w:t>
      </w:r>
      <w:bookmarkEnd w:id="412"/>
      <w:bookmarkEnd w:id="413"/>
    </w:p>
    <w:p>
      <w:pPr>
        <w:adjustRightInd w:val="0"/>
        <w:snapToGrid w:val="0"/>
        <w:spacing w:line="440" w:lineRule="exact"/>
        <w:ind w:firstLine="480" w:firstLineChars="200"/>
        <w:rPr>
          <w:rFonts w:ascii="Times New Roman" w:hAnsi="Times New Roman"/>
        </w:rPr>
      </w:pPr>
      <w:r>
        <w:rPr>
          <w:rFonts w:ascii="Times New Roman" w:hAnsi="Times New Roman"/>
        </w:rPr>
        <w:t>跟踪评价是指对规划实施所产生的环境影响进行监测、分析、评价，用以验证规划环境影响评价的准确性和判定减缓措施的有效性，并提出改进措施的过程。</w:t>
      </w:r>
    </w:p>
    <w:p>
      <w:pPr>
        <w:pStyle w:val="5"/>
        <w:adjustRightInd w:val="0"/>
        <w:snapToGrid w:val="0"/>
        <w:spacing w:before="0" w:after="0" w:line="440" w:lineRule="exact"/>
        <w:rPr>
          <w:sz w:val="24"/>
        </w:rPr>
      </w:pPr>
      <w:bookmarkStart w:id="414" w:name="_Toc125193038"/>
      <w:r>
        <w:rPr>
          <w:sz w:val="24"/>
        </w:rPr>
        <w:t>11.3.1 跟踪</w:t>
      </w:r>
      <w:bookmarkEnd w:id="414"/>
      <w:r>
        <w:rPr>
          <w:sz w:val="24"/>
        </w:rPr>
        <w:t>评价的意义</w:t>
      </w:r>
    </w:p>
    <w:p>
      <w:pPr>
        <w:adjustRightInd w:val="0"/>
        <w:snapToGrid w:val="0"/>
        <w:spacing w:line="440" w:lineRule="exact"/>
        <w:ind w:firstLine="480" w:firstLineChars="200"/>
        <w:rPr>
          <w:rFonts w:ascii="Times New Roman" w:hAnsi="Times New Roman"/>
        </w:rPr>
      </w:pPr>
      <w:r>
        <w:rPr>
          <w:rFonts w:ascii="Times New Roman" w:hAnsi="Times New Roman"/>
        </w:rPr>
        <w:t>跟踪评价是规划环境影响评价的重要补充，是确保规划实施对环境产生的影响在可控制范围内的重要保障。通过对规划环境影响的跟踪评价，具体有如下几个意义：</w:t>
      </w:r>
    </w:p>
    <w:p>
      <w:pPr>
        <w:adjustRightInd w:val="0"/>
        <w:snapToGrid w:val="0"/>
        <w:spacing w:line="440" w:lineRule="exact"/>
        <w:ind w:firstLine="482" w:firstLineChars="200"/>
        <w:rPr>
          <w:rFonts w:ascii="Times New Roman" w:hAnsi="Times New Roman"/>
          <w:b/>
        </w:rPr>
      </w:pPr>
      <w:r>
        <w:rPr>
          <w:rFonts w:ascii="Times New Roman" w:hAnsi="Times New Roman"/>
          <w:b/>
        </w:rPr>
        <w:t>（1）促进环境保护</w:t>
      </w:r>
    </w:p>
    <w:p>
      <w:pPr>
        <w:adjustRightInd w:val="0"/>
        <w:snapToGrid w:val="0"/>
        <w:spacing w:line="440" w:lineRule="exact"/>
        <w:ind w:firstLine="480" w:firstLineChars="200"/>
        <w:rPr>
          <w:rFonts w:ascii="Times New Roman" w:hAnsi="Times New Roman"/>
        </w:rPr>
      </w:pPr>
      <w:r>
        <w:rPr>
          <w:rFonts w:ascii="Times New Roman" w:hAnsi="Times New Roman"/>
        </w:rPr>
        <w:t>从环境保护角度，通过对环境影响事前评价的各种环境要素进行针对性的监测、检查与统计，以确定其实际变化量；并与环境影响报告书中经环保设施处理后的预测变化量进行比较分析；同时从整体上，对评价客体对环境所造成的实际影响与预测中的影响进行比较，并对结果进行分析评价；进一步分析其原因，最后通过对环境影响评价效果的评价，进一步修整和完善所采取的替代方案与对策。</w:t>
      </w:r>
    </w:p>
    <w:p>
      <w:pPr>
        <w:adjustRightInd w:val="0"/>
        <w:snapToGrid w:val="0"/>
        <w:spacing w:line="440" w:lineRule="exact"/>
        <w:ind w:firstLine="482" w:firstLineChars="200"/>
        <w:rPr>
          <w:rFonts w:ascii="Times New Roman" w:hAnsi="Times New Roman"/>
          <w:b/>
        </w:rPr>
      </w:pPr>
      <w:r>
        <w:rPr>
          <w:rFonts w:ascii="Times New Roman" w:hAnsi="Times New Roman"/>
          <w:b/>
        </w:rPr>
        <w:t>（2）检验宏观经济决策</w:t>
      </w:r>
    </w:p>
    <w:p>
      <w:pPr>
        <w:adjustRightInd w:val="0"/>
        <w:snapToGrid w:val="0"/>
        <w:spacing w:line="440" w:lineRule="exact"/>
        <w:ind w:firstLine="480" w:firstLineChars="200"/>
        <w:rPr>
          <w:rFonts w:ascii="Times New Roman" w:hAnsi="Times New Roman"/>
        </w:rPr>
      </w:pPr>
      <w:r>
        <w:rPr>
          <w:rFonts w:ascii="Times New Roman" w:hAnsi="Times New Roman"/>
        </w:rPr>
        <w:t>从经济发展角度，首先，在微观层面对投入使用的环保设施的实际投入和产出进行经济效益分析，以确定其是否达到了预想的最佳效果；其次，在宏观层面上对经济与环境之间的相互影响进行损益分析，对矿区发展规划实际造成的环境污染和环境破坏及其所带来的实际经济效益进行比较分析，以判断宏观决策正确与否。</w:t>
      </w:r>
    </w:p>
    <w:p>
      <w:pPr>
        <w:adjustRightInd w:val="0"/>
        <w:snapToGrid w:val="0"/>
        <w:spacing w:line="440" w:lineRule="exact"/>
        <w:ind w:firstLine="482" w:firstLineChars="200"/>
        <w:rPr>
          <w:rFonts w:ascii="Times New Roman" w:hAnsi="Times New Roman"/>
          <w:b/>
        </w:rPr>
      </w:pPr>
      <w:r>
        <w:rPr>
          <w:rFonts w:ascii="Times New Roman" w:hAnsi="Times New Roman"/>
          <w:b/>
        </w:rPr>
        <w:t>（3）有利于可持续发展</w:t>
      </w:r>
    </w:p>
    <w:p>
      <w:pPr>
        <w:adjustRightInd w:val="0"/>
        <w:snapToGrid w:val="0"/>
        <w:spacing w:line="440" w:lineRule="exact"/>
        <w:ind w:firstLine="480" w:firstLineChars="200"/>
        <w:rPr>
          <w:rFonts w:ascii="Times New Roman" w:hAnsi="Times New Roman"/>
        </w:rPr>
      </w:pPr>
      <w:r>
        <w:rPr>
          <w:rFonts w:ascii="Times New Roman" w:hAnsi="Times New Roman"/>
        </w:rPr>
        <w:t>从实现可持续发展的角度和维持生态环境良性发展角度，通过跟踪评价，结合矿区生态环境所具有的整体性、区域性和不可逆性的特点，系统分析和评价规划实施导致规划区生态环境的改变，分析规划实施后，环境承载力是否被突破，经济、社会及环境的发展是否协调，检验矿区发展规划区的可持续发展能力是否减弱。最后，总结规划实施过程中所获取的经验教训，从而指导日后的发展。</w:t>
      </w:r>
    </w:p>
    <w:p>
      <w:pPr>
        <w:pStyle w:val="5"/>
        <w:adjustRightInd w:val="0"/>
        <w:snapToGrid w:val="0"/>
        <w:spacing w:before="0" w:after="0" w:line="440" w:lineRule="exact"/>
        <w:rPr>
          <w:sz w:val="24"/>
        </w:rPr>
      </w:pPr>
      <w:bookmarkStart w:id="415" w:name="_Toc125193037"/>
      <w:r>
        <w:rPr>
          <w:sz w:val="24"/>
        </w:rPr>
        <w:t>11.3.2 跟踪</w:t>
      </w:r>
      <w:bookmarkEnd w:id="415"/>
      <w:r>
        <w:rPr>
          <w:sz w:val="24"/>
        </w:rPr>
        <w:t>评价时段</w:t>
      </w:r>
    </w:p>
    <w:p>
      <w:pPr>
        <w:adjustRightInd w:val="0"/>
        <w:snapToGrid w:val="0"/>
        <w:spacing w:line="440" w:lineRule="exact"/>
        <w:ind w:firstLine="480" w:firstLineChars="200"/>
        <w:rPr>
          <w:rFonts w:ascii="Times New Roman" w:hAnsi="Times New Roman"/>
        </w:rPr>
      </w:pPr>
      <w:r>
        <w:rPr>
          <w:rFonts w:ascii="Times New Roman" w:hAnsi="Times New Roman"/>
        </w:rPr>
        <w:t>跟踪评价时段应当和矿区规划时段相一致，在规划实施过程中，每隔五年左右进行一次环境影响跟踪评价。在规划修编时应重新编制环境影响报告书。</w:t>
      </w:r>
    </w:p>
    <w:p>
      <w:pPr>
        <w:pStyle w:val="5"/>
        <w:adjustRightInd w:val="0"/>
        <w:snapToGrid w:val="0"/>
        <w:spacing w:before="0" w:after="0" w:line="440" w:lineRule="exact"/>
        <w:rPr>
          <w:sz w:val="24"/>
        </w:rPr>
      </w:pPr>
      <w:r>
        <w:rPr>
          <w:sz w:val="24"/>
        </w:rPr>
        <w:t>11.3.3 跟踪评价内容</w:t>
      </w:r>
    </w:p>
    <w:p>
      <w:pPr>
        <w:adjustRightInd w:val="0"/>
        <w:snapToGrid w:val="0"/>
        <w:spacing w:line="440" w:lineRule="exact"/>
        <w:ind w:firstLine="480" w:firstLineChars="200"/>
        <w:rPr>
          <w:rFonts w:ascii="Times New Roman" w:hAnsi="Times New Roman"/>
        </w:rPr>
      </w:pPr>
      <w:r>
        <w:rPr>
          <w:rFonts w:ascii="Times New Roman" w:hAnsi="Times New Roman"/>
        </w:rPr>
        <w:t>规划的编制机关应当在对环境有重大不良影响的规划实施过程中，会同环境保护行政主管部门对规划的实施情况进行环境影响跟踪评价，并将评价结果报告审批机关。主要跟踪评价内容如下：</w:t>
      </w:r>
    </w:p>
    <w:p>
      <w:pPr>
        <w:adjustRightInd w:val="0"/>
        <w:snapToGrid w:val="0"/>
        <w:spacing w:line="440" w:lineRule="exact"/>
        <w:ind w:firstLine="480" w:firstLineChars="200"/>
        <w:rPr>
          <w:rFonts w:ascii="Times New Roman" w:hAnsi="Times New Roman"/>
        </w:rPr>
      </w:pPr>
      <w:r>
        <w:rPr>
          <w:rFonts w:ascii="Times New Roman" w:hAnsi="Times New Roman"/>
        </w:rPr>
        <w:t>（1）根据环境影响报告书在规划区污染防治对策与减缓措施中提出的各项防治措施是否在规划实施过程中得到是全面落实；</w:t>
      </w:r>
    </w:p>
    <w:p>
      <w:pPr>
        <w:adjustRightInd w:val="0"/>
        <w:snapToGrid w:val="0"/>
        <w:spacing w:line="440" w:lineRule="exact"/>
        <w:ind w:firstLine="480" w:firstLineChars="200"/>
        <w:rPr>
          <w:rFonts w:ascii="Times New Roman" w:hAnsi="Times New Roman"/>
        </w:rPr>
      </w:pPr>
      <w:r>
        <w:rPr>
          <w:rFonts w:ascii="Times New Roman" w:hAnsi="Times New Roman"/>
        </w:rPr>
        <w:t>（2）在规划实施过程中对环境造成的实际影响与环境影响报告书分析、预测和评估结论是否一致；</w:t>
      </w:r>
    </w:p>
    <w:p>
      <w:pPr>
        <w:adjustRightInd w:val="0"/>
        <w:snapToGrid w:val="0"/>
        <w:spacing w:line="440" w:lineRule="exact"/>
        <w:ind w:firstLine="480" w:firstLineChars="200"/>
        <w:rPr>
          <w:rFonts w:ascii="Times New Roman" w:hAnsi="Times New Roman"/>
        </w:rPr>
      </w:pPr>
      <w:r>
        <w:rPr>
          <w:rFonts w:ascii="Times New Roman" w:hAnsi="Times New Roman"/>
        </w:rPr>
        <w:t>（3）对规划实施过程中产生的新的不良环境影响作出分析，并提出改进措施；</w:t>
      </w:r>
    </w:p>
    <w:p>
      <w:pPr>
        <w:adjustRightInd w:val="0"/>
        <w:snapToGrid w:val="0"/>
        <w:spacing w:line="440" w:lineRule="exact"/>
        <w:ind w:firstLine="480" w:firstLineChars="200"/>
        <w:rPr>
          <w:rFonts w:ascii="Times New Roman" w:hAnsi="Times New Roman"/>
        </w:rPr>
      </w:pPr>
      <w:r>
        <w:rPr>
          <w:rFonts w:ascii="Times New Roman" w:hAnsi="Times New Roman"/>
        </w:rPr>
        <w:t>（4）对正在实施的规划提出修改意见。</w:t>
      </w:r>
    </w:p>
    <w:p>
      <w:pPr>
        <w:pStyle w:val="5"/>
        <w:adjustRightInd w:val="0"/>
        <w:snapToGrid w:val="0"/>
        <w:spacing w:before="0" w:after="0" w:line="440" w:lineRule="exact"/>
        <w:rPr>
          <w:sz w:val="24"/>
        </w:rPr>
      </w:pPr>
      <w:bookmarkStart w:id="416" w:name="_Toc125193041"/>
      <w:r>
        <w:rPr>
          <w:sz w:val="24"/>
        </w:rPr>
        <w:t>11.3.4 跟踪评价</w:t>
      </w:r>
      <w:bookmarkEnd w:id="416"/>
      <w:r>
        <w:rPr>
          <w:sz w:val="24"/>
        </w:rPr>
        <w:t>计划</w:t>
      </w:r>
    </w:p>
    <w:p>
      <w:pPr>
        <w:spacing w:line="420" w:lineRule="exact"/>
        <w:ind w:firstLine="480" w:firstLineChars="200"/>
        <w:rPr>
          <w:rFonts w:ascii="Times New Roman" w:hAnsi="Times New Roman"/>
        </w:rPr>
      </w:pPr>
      <w:r>
        <w:rPr>
          <w:rFonts w:ascii="Times New Roman" w:hAnsi="Times New Roman"/>
        </w:rPr>
        <w:t>根据环发[2015]178号《</w:t>
      </w:r>
      <w:r>
        <w:rPr>
          <w:rFonts w:ascii="Times New Roman" w:hAnsi="Times New Roman"/>
          <w:bCs/>
          <w:kern w:val="0"/>
        </w:rPr>
        <w:t>关于加强规划环境影响评价与建设项目环境影响评价联动工作的意见</w:t>
      </w:r>
      <w:r>
        <w:rPr>
          <w:rFonts w:ascii="Times New Roman" w:hAnsi="Times New Roman"/>
        </w:rPr>
        <w:t>》有关要求，矿区应做好以下跟踪评价：</w:t>
      </w:r>
    </w:p>
    <w:p>
      <w:pPr>
        <w:spacing w:line="420" w:lineRule="exact"/>
        <w:ind w:firstLine="480" w:firstLineChars="200"/>
        <w:rPr>
          <w:rFonts w:ascii="Times New Roman" w:hAnsi="Times New Roman"/>
          <w:kern w:val="0"/>
        </w:rPr>
      </w:pPr>
      <w:r>
        <w:rPr>
          <w:rFonts w:ascii="Times New Roman" w:hAnsi="Times New Roman"/>
        </w:rPr>
        <w:t>（1）应跟踪评价本次环评提出的</w:t>
      </w:r>
      <w:r>
        <w:rPr>
          <w:rFonts w:ascii="Times New Roman" w:hAnsi="Times New Roman"/>
          <w:kern w:val="0"/>
        </w:rPr>
        <w:t>优化矿产资源开发的布局、规模、开发方式、建设时序等建议，是否得到落实；</w:t>
      </w:r>
    </w:p>
    <w:p>
      <w:pPr>
        <w:spacing w:line="420" w:lineRule="exact"/>
        <w:ind w:firstLine="480" w:firstLineChars="200"/>
        <w:rPr>
          <w:rFonts w:ascii="Times New Roman" w:hAnsi="Times New Roman"/>
        </w:rPr>
      </w:pPr>
      <w:r>
        <w:rPr>
          <w:rFonts w:ascii="Times New Roman" w:hAnsi="Times New Roman"/>
        </w:rPr>
        <w:t>（2）应跟踪评价矿井开发后实际的环境影响到底是什么程度，尤其生态恢复措施、地表沉陷表现形式，对敏感保护目标的影响，各项环境影响减缓措施的有效性，总结经验。跟踪评价计划见表11.3-1。</w:t>
      </w:r>
    </w:p>
    <w:p>
      <w:pPr>
        <w:adjustRightInd w:val="0"/>
        <w:snapToGrid w:val="0"/>
        <w:spacing w:line="360" w:lineRule="exact"/>
        <w:jc w:val="center"/>
        <w:rPr>
          <w:rFonts w:ascii="Times New Roman" w:hAnsi="Times New Roman"/>
          <w:b/>
        </w:rPr>
      </w:pPr>
      <w:r>
        <w:rPr>
          <w:rFonts w:ascii="Times New Roman" w:hAnsi="Times New Roman"/>
          <w:b/>
        </w:rPr>
        <w:t>跟踪评价计划</w:t>
      </w:r>
    </w:p>
    <w:p>
      <w:pPr>
        <w:pStyle w:val="331"/>
        <w:spacing w:line="360" w:lineRule="exact"/>
        <w:rPr>
          <w:rFonts w:ascii="Times New Roman" w:hAnsi="Times New Roman" w:cs="Times New Roman"/>
        </w:rPr>
      </w:pPr>
      <w:r>
        <w:rPr>
          <w:rFonts w:ascii="Times New Roman" w:hAnsi="Times New Roman" w:cs="Times New Roman"/>
        </w:rPr>
        <w:t>表11.3-1</w:t>
      </w:r>
    </w:p>
    <w:tbl>
      <w:tblPr>
        <w:tblStyle w:val="59"/>
        <w:tblW w:w="89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57" w:type="dxa"/>
          <w:bottom w:w="28" w:type="dxa"/>
          <w:right w:w="57" w:type="dxa"/>
        </w:tblCellMar>
      </w:tblPr>
      <w:tblGrid>
        <w:gridCol w:w="1212"/>
        <w:gridCol w:w="1543"/>
        <w:gridCol w:w="3261"/>
        <w:gridCol w:w="28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7" w:type="dxa"/>
            <w:bottom w:w="28" w:type="dxa"/>
            <w:right w:w="57" w:type="dxa"/>
          </w:tblCellMar>
        </w:tblPrEx>
        <w:trPr>
          <w:trHeight w:val="397" w:hRule="atLeast"/>
          <w:jc w:val="center"/>
        </w:trPr>
        <w:tc>
          <w:tcPr>
            <w:tcW w:w="1212" w:type="dxa"/>
            <w:vAlign w:val="center"/>
          </w:tcPr>
          <w:p>
            <w:pPr>
              <w:jc w:val="center"/>
              <w:rPr>
                <w:rFonts w:ascii="Times New Roman" w:hAnsi="Times New Roman"/>
                <w:sz w:val="21"/>
                <w:szCs w:val="21"/>
              </w:rPr>
            </w:pPr>
            <w:bookmarkStart w:id="417" w:name="_Toc125193042"/>
            <w:r>
              <w:rPr>
                <w:rFonts w:ascii="Times New Roman" w:hAnsi="Times New Roman"/>
                <w:sz w:val="21"/>
                <w:szCs w:val="21"/>
              </w:rPr>
              <w:t>项  目</w:t>
            </w:r>
          </w:p>
        </w:tc>
        <w:tc>
          <w:tcPr>
            <w:tcW w:w="1543" w:type="dxa"/>
            <w:vAlign w:val="center"/>
          </w:tcPr>
          <w:p>
            <w:pPr>
              <w:jc w:val="center"/>
              <w:rPr>
                <w:rFonts w:ascii="Times New Roman" w:hAnsi="Times New Roman"/>
                <w:sz w:val="21"/>
                <w:szCs w:val="21"/>
              </w:rPr>
            </w:pPr>
            <w:bookmarkStart w:id="418" w:name="_Toc486994370"/>
            <w:bookmarkStart w:id="419" w:name="_Toc479736187"/>
            <w:bookmarkStart w:id="420" w:name="_Toc506693959"/>
            <w:bookmarkStart w:id="421" w:name="_Toc483995140"/>
            <w:bookmarkStart w:id="422" w:name="_Toc504553745"/>
            <w:bookmarkStart w:id="423" w:name="_Toc478109802"/>
            <w:r>
              <w:rPr>
                <w:rFonts w:ascii="Times New Roman" w:hAnsi="Times New Roman"/>
                <w:sz w:val="21"/>
                <w:szCs w:val="21"/>
              </w:rPr>
              <w:t>跟踪评价对象</w:t>
            </w:r>
            <w:bookmarkEnd w:id="418"/>
            <w:bookmarkEnd w:id="419"/>
            <w:bookmarkEnd w:id="420"/>
            <w:bookmarkEnd w:id="421"/>
            <w:bookmarkEnd w:id="422"/>
            <w:bookmarkEnd w:id="423"/>
          </w:p>
        </w:tc>
        <w:tc>
          <w:tcPr>
            <w:tcW w:w="3261" w:type="dxa"/>
            <w:vAlign w:val="center"/>
          </w:tcPr>
          <w:p>
            <w:pPr>
              <w:jc w:val="center"/>
              <w:rPr>
                <w:rFonts w:ascii="Times New Roman" w:hAnsi="Times New Roman"/>
                <w:sz w:val="21"/>
                <w:szCs w:val="21"/>
              </w:rPr>
            </w:pPr>
            <w:r>
              <w:rPr>
                <w:rFonts w:ascii="Times New Roman" w:hAnsi="Times New Roman"/>
                <w:sz w:val="21"/>
                <w:szCs w:val="21"/>
              </w:rPr>
              <w:t>评价重点内容</w:t>
            </w:r>
          </w:p>
        </w:tc>
        <w:tc>
          <w:tcPr>
            <w:tcW w:w="2894" w:type="dxa"/>
            <w:vAlign w:val="center"/>
          </w:tcPr>
          <w:p>
            <w:pPr>
              <w:jc w:val="center"/>
              <w:rPr>
                <w:rFonts w:ascii="Times New Roman" w:hAnsi="Times New Roman"/>
                <w:sz w:val="21"/>
                <w:szCs w:val="21"/>
              </w:rPr>
            </w:pPr>
            <w:r>
              <w:rPr>
                <w:rFonts w:ascii="Times New Roman" w:hAnsi="Times New Roman"/>
                <w:sz w:val="21"/>
                <w:szCs w:val="21"/>
              </w:rPr>
              <w:t>主要目的和意义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7" w:type="dxa"/>
            <w:bottom w:w="28" w:type="dxa"/>
            <w:right w:w="57" w:type="dxa"/>
          </w:tblCellMar>
        </w:tblPrEx>
        <w:trPr>
          <w:trHeight w:val="397" w:hRule="atLeast"/>
          <w:jc w:val="center"/>
        </w:trPr>
        <w:tc>
          <w:tcPr>
            <w:tcW w:w="2755" w:type="dxa"/>
            <w:gridSpan w:val="2"/>
            <w:vAlign w:val="center"/>
          </w:tcPr>
          <w:p>
            <w:pPr>
              <w:rPr>
                <w:rFonts w:ascii="Times New Roman" w:hAnsi="Times New Roman"/>
                <w:sz w:val="21"/>
                <w:szCs w:val="21"/>
              </w:rPr>
            </w:pPr>
            <w:r>
              <w:rPr>
                <w:rFonts w:ascii="Times New Roman" w:hAnsi="Times New Roman"/>
                <w:sz w:val="21"/>
                <w:szCs w:val="21"/>
              </w:rPr>
              <w:t>奎腾沟矿井（8.00Mt/a）</w:t>
            </w:r>
          </w:p>
          <w:p>
            <w:pPr>
              <w:rPr>
                <w:rFonts w:ascii="Times New Roman" w:hAnsi="Times New Roman"/>
                <w:sz w:val="21"/>
                <w:szCs w:val="21"/>
              </w:rPr>
            </w:pPr>
            <w:r>
              <w:rPr>
                <w:rFonts w:ascii="Times New Roman" w:hAnsi="Times New Roman"/>
                <w:sz w:val="21"/>
                <w:szCs w:val="21"/>
              </w:rPr>
              <w:t>苏布尔噶矿井（8.00Mt/a）</w:t>
            </w:r>
          </w:p>
          <w:p>
            <w:pPr>
              <w:rPr>
                <w:rFonts w:ascii="Times New Roman" w:hAnsi="Times New Roman"/>
                <w:sz w:val="21"/>
                <w:szCs w:val="21"/>
              </w:rPr>
            </w:pPr>
            <w:r>
              <w:rPr>
                <w:rFonts w:ascii="Times New Roman" w:hAnsi="Times New Roman"/>
                <w:sz w:val="21"/>
                <w:szCs w:val="21"/>
              </w:rPr>
              <w:t>壕赖苏矿井（8.00Mt/a）</w:t>
            </w:r>
          </w:p>
          <w:p>
            <w:pPr>
              <w:rPr>
                <w:rFonts w:ascii="Times New Roman" w:hAnsi="Times New Roman"/>
                <w:sz w:val="21"/>
                <w:szCs w:val="21"/>
              </w:rPr>
            </w:pPr>
            <w:r>
              <w:rPr>
                <w:rFonts w:ascii="Times New Roman" w:hAnsi="Times New Roman"/>
                <w:sz w:val="21"/>
                <w:szCs w:val="21"/>
              </w:rPr>
              <w:t>纳林希里矿井（8.00Mt/a）</w:t>
            </w:r>
          </w:p>
        </w:tc>
        <w:tc>
          <w:tcPr>
            <w:tcW w:w="3261" w:type="dxa"/>
            <w:vAlign w:val="center"/>
          </w:tcPr>
          <w:p>
            <w:pPr>
              <w:rPr>
                <w:rFonts w:ascii="Times New Roman" w:hAnsi="Times New Roman"/>
                <w:sz w:val="21"/>
                <w:szCs w:val="21"/>
              </w:rPr>
            </w:pPr>
            <w:r>
              <w:rPr>
                <w:rFonts w:ascii="Times New Roman" w:hAnsi="Times New Roman"/>
                <w:sz w:val="21"/>
                <w:szCs w:val="21"/>
              </w:rPr>
              <w:t>生态整治与恢复情况；“三废”治理情况及相配套的污染防治措施和生态保护措施落实运行情况；煤炭开采所导致的潜水水位变化情况；对公益林的影响情况等</w:t>
            </w:r>
          </w:p>
        </w:tc>
        <w:tc>
          <w:tcPr>
            <w:tcW w:w="2894" w:type="dxa"/>
          </w:tcPr>
          <w:p>
            <w:pPr>
              <w:pStyle w:val="22"/>
              <w:rPr>
                <w:rFonts w:ascii="Times New Roman" w:hAnsi="Times New Roman"/>
                <w:sz w:val="21"/>
                <w:szCs w:val="21"/>
              </w:rPr>
            </w:pPr>
            <w:bookmarkStart w:id="424" w:name="_Toc504553753"/>
            <w:bookmarkStart w:id="425" w:name="_Toc479736194"/>
            <w:bookmarkStart w:id="426" w:name="_Toc483995147"/>
            <w:bookmarkStart w:id="427" w:name="_Toc506693967"/>
            <w:bookmarkStart w:id="428" w:name="_Toc486994377"/>
            <w:bookmarkStart w:id="429" w:name="_Toc478109809"/>
            <w:r>
              <w:rPr>
                <w:rFonts w:ascii="Times New Roman" w:hAnsi="Times New Roman"/>
                <w:sz w:val="21"/>
                <w:szCs w:val="21"/>
              </w:rPr>
              <w:t>生态整治与恢复措施落实情况及效果；掌握矿井开采前后沉陷影响及污染物排放对各环境要素及生态影响情况；掌握环保措施的有效性和实施情况，资源综合利用情况和清洁生产水平现状。</w:t>
            </w:r>
            <w:bookmarkEnd w:id="424"/>
            <w:bookmarkEnd w:id="425"/>
            <w:bookmarkEnd w:id="426"/>
            <w:bookmarkEnd w:id="427"/>
            <w:bookmarkEnd w:id="428"/>
            <w:bookmarkEnd w:id="429"/>
          </w:p>
        </w:tc>
      </w:tr>
    </w:tbl>
    <w:p>
      <w:pPr>
        <w:pStyle w:val="5"/>
        <w:adjustRightInd w:val="0"/>
        <w:snapToGrid w:val="0"/>
        <w:spacing w:before="0" w:after="0" w:line="440" w:lineRule="exact"/>
        <w:rPr>
          <w:sz w:val="24"/>
        </w:rPr>
      </w:pPr>
      <w:r>
        <w:rPr>
          <w:sz w:val="24"/>
        </w:rPr>
        <w:t xml:space="preserve">11.3.5 </w:t>
      </w:r>
      <w:bookmarkEnd w:id="417"/>
      <w:r>
        <w:rPr>
          <w:sz w:val="24"/>
        </w:rPr>
        <w:t>下阶段项目环评工作重点及简化建议</w:t>
      </w:r>
    </w:p>
    <w:p>
      <w:pPr>
        <w:pStyle w:val="492"/>
        <w:adjustRightInd w:val="0"/>
        <w:snapToGrid w:val="0"/>
        <w:spacing w:before="0" w:after="0" w:line="440" w:lineRule="exact"/>
      </w:pPr>
      <w:r>
        <w:t>11.3.5.1下阶段项目环评重点</w:t>
      </w:r>
    </w:p>
    <w:p>
      <w:pPr>
        <w:adjustRightInd w:val="0"/>
        <w:snapToGrid w:val="0"/>
        <w:spacing w:line="440" w:lineRule="exact"/>
        <w:ind w:firstLine="480"/>
        <w:rPr>
          <w:rFonts w:ascii="Times New Roman" w:hAnsi="Times New Roman"/>
        </w:rPr>
      </w:pPr>
      <w:r>
        <w:rPr>
          <w:rFonts w:ascii="Times New Roman" w:hAnsi="Times New Roman"/>
        </w:rPr>
        <w:t>矿区在下阶段项目环评工作中，要高度重视环境保护工作，从源头上控制污染，大力推行清洁生产，发展循环经济。严格按照国家有关环保的法律法规和标准，产业政策，科学评审矿区规划项目，引导企业采用国际国内先进的环保工艺和技术，严格控制工业污染。下阶段项目环评工作重点为：</w:t>
      </w:r>
    </w:p>
    <w:p>
      <w:pPr>
        <w:adjustRightInd w:val="0"/>
        <w:snapToGrid w:val="0"/>
        <w:spacing w:line="440" w:lineRule="exact"/>
        <w:ind w:firstLine="480"/>
        <w:rPr>
          <w:rFonts w:ascii="Times New Roman" w:hAnsi="Times New Roman"/>
        </w:rPr>
      </w:pPr>
      <w:r>
        <w:rPr>
          <w:rFonts w:ascii="Times New Roman" w:hAnsi="Times New Roman"/>
        </w:rPr>
        <w:t>（1）严格执行环境影响评价制度及“三同时”制度</w:t>
      </w:r>
    </w:p>
    <w:p>
      <w:pPr>
        <w:adjustRightInd w:val="0"/>
        <w:snapToGrid w:val="0"/>
        <w:spacing w:line="440" w:lineRule="exact"/>
        <w:ind w:firstLine="480"/>
        <w:rPr>
          <w:rFonts w:ascii="Times New Roman" w:hAnsi="Times New Roman"/>
        </w:rPr>
      </w:pPr>
      <w:r>
        <w:rPr>
          <w:rFonts w:ascii="Times New Roman" w:hAnsi="Times New Roman"/>
        </w:rPr>
        <w:t>建设项目应严格执行环境影响评价和“三同时”制度，尽早开展环境影响评价工作。各项污染防治措施应按照环评及批复要求，同时设计、同时建设及同时投产。纳入矿区规划中的项目，下阶段开展项目环评时，应以本规划环评报告书提出的资源承载力、环境目标，减缓与控制污染的对策、循环经济与清洁生产等内容为基础，根据专家评审意见、生态环境部门批复意见，结合环境状况与项目设计情况，重点开展如下工作：</w:t>
      </w:r>
    </w:p>
    <w:p>
      <w:pPr>
        <w:adjustRightInd w:val="0"/>
        <w:snapToGrid w:val="0"/>
        <w:spacing w:line="440" w:lineRule="exact"/>
        <w:ind w:firstLine="480"/>
        <w:rPr>
          <w:rFonts w:ascii="Times New Roman" w:hAnsi="Times New Roman"/>
        </w:rPr>
      </w:pPr>
      <w:r>
        <w:rPr>
          <w:rFonts w:ascii="Times New Roman" w:hAnsi="Times New Roman"/>
        </w:rPr>
        <w:t>1）矿区规划矿井项目环评时应重点预测项目开发地表沉陷影响，并提出对村庄、高速公路等敏感目标的具体防治措施；</w:t>
      </w:r>
    </w:p>
    <w:p>
      <w:pPr>
        <w:adjustRightInd w:val="0"/>
        <w:snapToGrid w:val="0"/>
        <w:spacing w:line="440" w:lineRule="exact"/>
        <w:ind w:firstLine="480"/>
        <w:rPr>
          <w:rFonts w:ascii="Times New Roman" w:hAnsi="Times New Roman"/>
        </w:rPr>
      </w:pPr>
      <w:r>
        <w:rPr>
          <w:rFonts w:ascii="Times New Roman" w:hAnsi="Times New Roman"/>
        </w:rPr>
        <w:t>2）充分论证项目开采对上覆含水层的导通影响，并提出具体防治措施；</w:t>
      </w:r>
    </w:p>
    <w:p>
      <w:pPr>
        <w:adjustRightInd w:val="0"/>
        <w:snapToGrid w:val="0"/>
        <w:spacing w:line="440" w:lineRule="exact"/>
        <w:ind w:firstLine="480"/>
        <w:rPr>
          <w:rFonts w:ascii="Times New Roman" w:hAnsi="Times New Roman"/>
        </w:rPr>
      </w:pPr>
      <w:r>
        <w:rPr>
          <w:rFonts w:ascii="Times New Roman" w:hAnsi="Times New Roman"/>
        </w:rPr>
        <w:t>3）论证矿井水处理措施及综合利用的可行性；</w:t>
      </w:r>
    </w:p>
    <w:p>
      <w:pPr>
        <w:adjustRightInd w:val="0"/>
        <w:snapToGrid w:val="0"/>
        <w:spacing w:line="440" w:lineRule="exact"/>
        <w:ind w:firstLine="480"/>
        <w:rPr>
          <w:rFonts w:ascii="Times New Roman" w:hAnsi="Times New Roman"/>
        </w:rPr>
      </w:pPr>
      <w:r>
        <w:rPr>
          <w:rFonts w:ascii="Times New Roman" w:hAnsi="Times New Roman"/>
        </w:rPr>
        <w:t>4）落实项目总量控制指标来源。</w:t>
      </w:r>
    </w:p>
    <w:p>
      <w:pPr>
        <w:adjustRightInd w:val="0"/>
        <w:snapToGrid w:val="0"/>
        <w:spacing w:line="440" w:lineRule="exact"/>
        <w:ind w:firstLine="480"/>
        <w:rPr>
          <w:rFonts w:ascii="Times New Roman" w:hAnsi="Times New Roman"/>
        </w:rPr>
      </w:pPr>
      <w:r>
        <w:rPr>
          <w:rFonts w:ascii="Times New Roman" w:hAnsi="Times New Roman"/>
        </w:rPr>
        <w:t>建设项目建设期、竣工后，应及时委托开展施工环境监理和竣工环境保护验收监测工作。通过环境监理，确保环保工程施工质量的同时，将环境保护理念贯穿整个施工期，实现施工过程达标。</w:t>
      </w:r>
    </w:p>
    <w:p>
      <w:pPr>
        <w:adjustRightInd w:val="0"/>
        <w:snapToGrid w:val="0"/>
        <w:spacing w:line="440" w:lineRule="exact"/>
        <w:ind w:firstLine="480"/>
        <w:rPr>
          <w:rFonts w:ascii="Times New Roman" w:hAnsi="Times New Roman"/>
        </w:rPr>
      </w:pPr>
      <w:r>
        <w:rPr>
          <w:rFonts w:ascii="Times New Roman" w:hAnsi="Times New Roman"/>
        </w:rPr>
        <w:t>通过验收调查和监测，逐项核实环评及批复文件中提出污染防治要求的落实情况。根据环保执行情况的调查，分析其有效性及存在的问题，针对该工程已产生的实际环境问题及可能存在的潜在环境影响，提出切实可行的补救措施和对应急措施提出改进意见。在满足“三同时”前提下，建设项目方可进入正式生产。</w:t>
      </w:r>
    </w:p>
    <w:p>
      <w:pPr>
        <w:adjustRightInd w:val="0"/>
        <w:snapToGrid w:val="0"/>
        <w:spacing w:line="440" w:lineRule="exact"/>
        <w:ind w:firstLine="480"/>
        <w:rPr>
          <w:rFonts w:ascii="Times New Roman" w:hAnsi="Times New Roman"/>
        </w:rPr>
      </w:pPr>
      <w:r>
        <w:rPr>
          <w:rFonts w:ascii="Times New Roman" w:hAnsi="Times New Roman"/>
        </w:rPr>
        <w:t>（2）矿区规划各矿井项目环评时应重点预测项目开发地表沉陷影响，并提出相应的防治措施；</w:t>
      </w:r>
    </w:p>
    <w:p>
      <w:pPr>
        <w:adjustRightInd w:val="0"/>
        <w:snapToGrid w:val="0"/>
        <w:spacing w:line="440" w:lineRule="exact"/>
        <w:ind w:firstLine="480"/>
        <w:rPr>
          <w:rFonts w:ascii="Times New Roman" w:hAnsi="Times New Roman"/>
        </w:rPr>
      </w:pPr>
      <w:r>
        <w:rPr>
          <w:rFonts w:ascii="Times New Roman" w:hAnsi="Times New Roman"/>
        </w:rPr>
        <w:t>（3）落实公益林保护措施；</w:t>
      </w:r>
    </w:p>
    <w:p>
      <w:pPr>
        <w:adjustRightInd w:val="0"/>
        <w:snapToGrid w:val="0"/>
        <w:spacing w:line="440" w:lineRule="exact"/>
        <w:ind w:firstLine="480"/>
        <w:rPr>
          <w:rFonts w:ascii="Times New Roman" w:hAnsi="Times New Roman"/>
        </w:rPr>
      </w:pPr>
      <w:r>
        <w:rPr>
          <w:rFonts w:ascii="Times New Roman" w:hAnsi="Times New Roman"/>
        </w:rPr>
        <w:t>（4）加强生态保护和水土保持；</w:t>
      </w:r>
    </w:p>
    <w:p>
      <w:pPr>
        <w:adjustRightInd w:val="0"/>
        <w:snapToGrid w:val="0"/>
        <w:spacing w:line="440" w:lineRule="exact"/>
        <w:ind w:firstLine="480"/>
        <w:rPr>
          <w:rFonts w:ascii="Times New Roman" w:hAnsi="Times New Roman"/>
        </w:rPr>
      </w:pPr>
      <w:r>
        <w:rPr>
          <w:rFonts w:ascii="Times New Roman" w:hAnsi="Times New Roman"/>
        </w:rPr>
        <w:t>矿区属于鄂尔多斯高原典型草原沙漠化控制生态功能区。项目在建设过程中应加强环境管理和监理，严格控制施工作业范围，并对施工区及时进行场地平整和压实处理等，最大限度地减少地表扰动，减少水土流失。</w:t>
      </w:r>
    </w:p>
    <w:p>
      <w:pPr>
        <w:adjustRightInd w:val="0"/>
        <w:snapToGrid w:val="0"/>
        <w:spacing w:line="440" w:lineRule="exact"/>
        <w:ind w:firstLine="480"/>
        <w:rPr>
          <w:rFonts w:ascii="Times New Roman" w:hAnsi="Times New Roman"/>
        </w:rPr>
      </w:pPr>
      <w:r>
        <w:rPr>
          <w:rFonts w:ascii="Times New Roman" w:hAnsi="Times New Roman"/>
        </w:rPr>
        <w:t>选择合适物种，对工业场地、风井场地等区域实施绿化。</w:t>
      </w:r>
    </w:p>
    <w:p>
      <w:pPr>
        <w:pStyle w:val="492"/>
        <w:adjustRightInd w:val="0"/>
        <w:snapToGrid w:val="0"/>
        <w:spacing w:before="0" w:after="0" w:line="440" w:lineRule="exact"/>
      </w:pPr>
      <w:r>
        <w:t>11.3.5.2下阶段项目环评简化建议</w:t>
      </w:r>
    </w:p>
    <w:p>
      <w:pPr>
        <w:adjustRightInd w:val="0"/>
        <w:snapToGrid w:val="0"/>
        <w:spacing w:line="440" w:lineRule="exact"/>
        <w:ind w:firstLine="480"/>
        <w:rPr>
          <w:rFonts w:ascii="Times New Roman" w:hAnsi="Times New Roman"/>
        </w:rPr>
      </w:pPr>
      <w:r>
        <w:rPr>
          <w:rFonts w:ascii="Times New Roman" w:hAnsi="Times New Roman"/>
        </w:rPr>
        <w:t>在本规划环境影响报告书审查后，规划实施过程中，列入规划环评中的重点项目，如果在2023年前开展环境影响评价工作，在具体环评工作中可简化的内容主要包括如下几点：</w:t>
      </w:r>
    </w:p>
    <w:p>
      <w:pPr>
        <w:adjustRightInd w:val="0"/>
        <w:snapToGrid w:val="0"/>
        <w:spacing w:line="440" w:lineRule="exact"/>
        <w:ind w:firstLine="480"/>
        <w:rPr>
          <w:rFonts w:ascii="Times New Roman" w:hAnsi="Times New Roman"/>
        </w:rPr>
      </w:pPr>
      <w:r>
        <w:rPr>
          <w:rFonts w:ascii="Times New Roman" w:hAnsi="Times New Roman"/>
        </w:rPr>
        <w:t>1）区域环境现状调查与分析；</w:t>
      </w:r>
    </w:p>
    <w:p>
      <w:pPr>
        <w:adjustRightInd w:val="0"/>
        <w:snapToGrid w:val="0"/>
        <w:spacing w:line="440" w:lineRule="exact"/>
        <w:ind w:firstLine="480"/>
        <w:rPr>
          <w:rFonts w:ascii="Times New Roman" w:hAnsi="Times New Roman"/>
        </w:rPr>
      </w:pPr>
      <w:r>
        <w:rPr>
          <w:rFonts w:ascii="Times New Roman" w:hAnsi="Times New Roman"/>
        </w:rPr>
        <w:t>2）区域污染源现状调查与分析；</w:t>
      </w:r>
    </w:p>
    <w:p>
      <w:pPr>
        <w:adjustRightInd w:val="0"/>
        <w:snapToGrid w:val="0"/>
        <w:spacing w:line="440" w:lineRule="exact"/>
        <w:ind w:firstLine="480"/>
        <w:rPr>
          <w:rFonts w:ascii="Times New Roman" w:hAnsi="Times New Roman"/>
        </w:rPr>
      </w:pPr>
      <w:r>
        <w:rPr>
          <w:rFonts w:ascii="Times New Roman" w:hAnsi="Times New Roman"/>
        </w:rPr>
        <w:t>3）区域社会经济发展现状调查与分析；</w:t>
      </w:r>
    </w:p>
    <w:p>
      <w:pPr>
        <w:adjustRightInd w:val="0"/>
        <w:snapToGrid w:val="0"/>
        <w:spacing w:line="440" w:lineRule="exact"/>
        <w:ind w:firstLine="480"/>
        <w:rPr>
          <w:rFonts w:ascii="Times New Roman" w:hAnsi="Times New Roman"/>
        </w:rPr>
      </w:pPr>
      <w:r>
        <w:rPr>
          <w:rFonts w:ascii="Times New Roman" w:hAnsi="Times New Roman"/>
        </w:rPr>
        <w:t>4）资源承载力分析；</w:t>
      </w:r>
    </w:p>
    <w:p>
      <w:pPr>
        <w:adjustRightInd w:val="0"/>
        <w:snapToGrid w:val="0"/>
        <w:spacing w:line="440" w:lineRule="exact"/>
        <w:ind w:firstLine="480"/>
        <w:rPr>
          <w:rFonts w:ascii="Times New Roman" w:hAnsi="Times New Roman"/>
        </w:rPr>
      </w:pPr>
      <w:r>
        <w:rPr>
          <w:rFonts w:ascii="Times New Roman" w:hAnsi="Times New Roman"/>
        </w:rPr>
        <w:t>5）大气环境容量和水环境容量承载力分析。</w:t>
      </w:r>
    </w:p>
    <w:p>
      <w:pPr>
        <w:spacing w:line="529" w:lineRule="exact"/>
        <w:ind w:firstLine="480" w:firstLineChars="200"/>
        <w:rPr>
          <w:rFonts w:ascii="Times New Roman" w:hAnsi="Times New Roman"/>
        </w:rPr>
        <w:sectPr>
          <w:headerReference r:id="rId37" w:type="default"/>
          <w:pgSz w:w="11907" w:h="16840"/>
          <w:pgMar w:top="1701" w:right="1418" w:bottom="1134" w:left="1418" w:header="1134" w:footer="851" w:gutter="0"/>
          <w:cols w:space="720" w:num="1"/>
          <w:docGrid w:linePitch="312" w:charSpace="0"/>
        </w:sectPr>
      </w:pPr>
    </w:p>
    <w:p>
      <w:pPr>
        <w:pStyle w:val="3"/>
        <w:adjustRightInd w:val="0"/>
        <w:snapToGrid w:val="0"/>
        <w:spacing w:before="360" w:after="360" w:line="440" w:lineRule="exact"/>
        <w:jc w:val="center"/>
        <w:rPr>
          <w:sz w:val="36"/>
        </w:rPr>
      </w:pPr>
      <w:bookmarkStart w:id="430" w:name="_Toc17958"/>
      <w:bookmarkStart w:id="431" w:name="_Toc18838500"/>
      <w:bookmarkStart w:id="432" w:name="_Toc163441044"/>
      <w:bookmarkStart w:id="433" w:name="_Toc247104484"/>
      <w:bookmarkStart w:id="434" w:name="_Toc255477139"/>
      <w:r>
        <w:rPr>
          <w:sz w:val="36"/>
        </w:rPr>
        <w:t>12 结论与建议</w:t>
      </w:r>
      <w:bookmarkEnd w:id="430"/>
      <w:bookmarkEnd w:id="431"/>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纳林希里矿区位于内蒙古自治区鄂尔多斯市境内，行政区划隶属于内蒙古自治区鄂尔多斯市伊金霍洛旗苏布尔噶镇、红庆河镇及杭锦旗锡尼镇管辖。矿区地理坐标为：东经109°09′49″～109°25′02″；北纬39°21′11″～39°44′51″，矿区南北平均长38.1km，东西平均宽17.8km，矿区总面积708.16km</w:t>
      </w:r>
      <w:r>
        <w:rPr>
          <w:rFonts w:ascii="Times New Roman" w:hAnsi="Times New Roman"/>
          <w:szCs w:val="24"/>
          <w:vertAlign w:val="superscript"/>
        </w:rPr>
        <w:t>2</w:t>
      </w:r>
      <w:r>
        <w:rPr>
          <w:rFonts w:ascii="Times New Roman" w:hAnsi="Times New Roman"/>
          <w:szCs w:val="24"/>
        </w:rPr>
        <w:t>。矿区由北向南共划分4个井田（奎腾沟井田8.00Mt/a、苏布尔嘎井田8.00Mt/a、壕赖苏井田8.00Mt/a、纳林希里井田8.00Mt/a），矿区西部普查区划分为1个勘查区。四个井田总规模32.00Mt/a，即矿区规划总规模为32.00Mt/a。</w:t>
      </w:r>
    </w:p>
    <w:p>
      <w:pPr>
        <w:adjustRightInd w:val="0"/>
        <w:snapToGrid w:val="0"/>
        <w:spacing w:line="440" w:lineRule="exact"/>
        <w:ind w:firstLine="720" w:firstLineChars="300"/>
        <w:rPr>
          <w:rFonts w:ascii="Times New Roman" w:hAnsi="Times New Roman"/>
          <w:kern w:val="0"/>
          <w:szCs w:val="24"/>
        </w:rPr>
      </w:pPr>
      <w:r>
        <w:rPr>
          <w:rFonts w:ascii="Times New Roman" w:hAnsi="Times New Roman"/>
          <w:szCs w:val="24"/>
        </w:rPr>
        <w:t>矿区含煤地层为侏罗系中下统延安组（J</w:t>
      </w:r>
      <w:r>
        <w:rPr>
          <w:rFonts w:ascii="Times New Roman" w:hAnsi="Times New Roman"/>
          <w:szCs w:val="24"/>
          <w:vertAlign w:val="subscript"/>
        </w:rPr>
        <w:t>1-2y</w:t>
      </w:r>
      <w:r>
        <w:rPr>
          <w:rFonts w:ascii="Times New Roman" w:hAnsi="Times New Roman"/>
          <w:szCs w:val="24"/>
        </w:rPr>
        <w:t>），矿区内共有16个可采煤层，</w:t>
      </w:r>
      <w:r>
        <w:rPr>
          <w:rFonts w:ascii="Times New Roman" w:hAnsi="Times New Roman"/>
        </w:rPr>
        <w:t>矿区内共有16个可采煤层，其中全区可采煤层1层（4-1），大部可采煤层7层（2-2、3-1、3-2、4-2上、4-2、5-1、6-2）；局部可采煤层8层（2-1上、2-1、2-1下、2-2上、2-2下、4-1上、4-1下、5-2）。矿区内各可采煤层煤质为特低灰～低灰分，特低硫～低硫分，低磷，特低氯，特低砷、低氟，高发热量不粘煤。有害元素含量甚少，对环境影响较小，可选性好，热稳定性高，是优质环保煤，可作为优质动力用煤、工业气化及液化用煤。</w:t>
      </w:r>
      <w:r>
        <w:rPr>
          <w:rFonts w:ascii="Times New Roman" w:hAnsi="Times New Roman"/>
          <w:szCs w:val="24"/>
        </w:rPr>
        <w:t>内蒙古巴彦淖尔市临河工业园区及内蒙古巴彦淖尔市临河工业园区</w:t>
      </w:r>
      <w:r>
        <w:rPr>
          <w:rFonts w:ascii="Times New Roman" w:hAnsi="Times New Roman"/>
          <w:kern w:val="0"/>
        </w:rPr>
        <w:t>是本矿区煤的最大用户，部分通过铁路运至华中地区供用户作燃料用煤。</w:t>
      </w:r>
    </w:p>
    <w:p>
      <w:pPr>
        <w:adjustRightInd w:val="0"/>
        <w:snapToGrid w:val="0"/>
        <w:spacing w:line="440" w:lineRule="exact"/>
        <w:ind w:firstLine="480" w:firstLineChars="200"/>
        <w:rPr>
          <w:rFonts w:ascii="Times New Roman" w:hAnsi="Times New Roman"/>
        </w:rPr>
      </w:pPr>
      <w:r>
        <w:rPr>
          <w:rFonts w:ascii="Times New Roman" w:hAnsi="Times New Roman"/>
        </w:rPr>
        <w:t>本次评价针对矿区总体规划规模、结构、布局以及重大项目的设计，结合区域生态和环境特征，在空间上划分为生产区、辅助生产区两大块，以生态环境、水环境、大气环境、矿区资源和环境承载力、总量控制以及矿区循环经济和清洁生产为重点，对矿区总体规划的环境影响进行了全面而深入的分析、预测与评价，并得出以下结论和建议。</w:t>
      </w:r>
    </w:p>
    <w:p>
      <w:pPr>
        <w:pStyle w:val="4"/>
        <w:adjustRightInd w:val="0"/>
        <w:snapToGrid w:val="0"/>
        <w:spacing w:line="440" w:lineRule="exact"/>
        <w:jc w:val="left"/>
        <w:rPr>
          <w:rFonts w:ascii="Times New Roman" w:hAnsi="Times New Roman" w:eastAsia="宋体"/>
          <w:sz w:val="28"/>
        </w:rPr>
      </w:pPr>
      <w:bookmarkStart w:id="435" w:name="_Toc18838501"/>
      <w:bookmarkStart w:id="436" w:name="_Toc20900"/>
      <w:r>
        <w:rPr>
          <w:rFonts w:ascii="Times New Roman" w:hAnsi="Times New Roman" w:eastAsia="宋体"/>
          <w:sz w:val="28"/>
        </w:rPr>
        <w:t>12.1 规划方案政策、法规及规划协调性分析结论</w:t>
      </w:r>
      <w:bookmarkEnd w:id="435"/>
      <w:bookmarkEnd w:id="436"/>
    </w:p>
    <w:p>
      <w:pPr>
        <w:pStyle w:val="5"/>
        <w:adjustRightInd w:val="0"/>
        <w:snapToGrid w:val="0"/>
        <w:spacing w:before="0" w:after="0" w:line="440" w:lineRule="exact"/>
        <w:rPr>
          <w:sz w:val="24"/>
        </w:rPr>
      </w:pPr>
      <w:r>
        <w:rPr>
          <w:sz w:val="24"/>
        </w:rPr>
        <w:t>12.1.1 规划方案外部协调性结论</w:t>
      </w:r>
    </w:p>
    <w:p>
      <w:pPr>
        <w:adjustRightInd w:val="0"/>
        <w:snapToGrid w:val="0"/>
        <w:spacing w:line="440" w:lineRule="exact"/>
        <w:ind w:firstLine="480" w:firstLineChars="200"/>
        <w:rPr>
          <w:rFonts w:ascii="Times New Roman" w:hAnsi="Times New Roman"/>
        </w:rPr>
      </w:pPr>
      <w:r>
        <w:rPr>
          <w:rFonts w:ascii="Times New Roman" w:hAnsi="Times New Roman"/>
        </w:rPr>
        <w:t>从外部协调性来看，纳林希里矿区总体规划总体符合国家、行业层次，区域、省级层次，地方层次的社会经济发展规划、节能降耗政策措施、污染物排放总量控制计划等相关政策、法规和规划。但也存在一定的规划外部协调性潜在冲突，主要表现在：</w:t>
      </w:r>
    </w:p>
    <w:p>
      <w:pPr>
        <w:spacing w:line="440" w:lineRule="exact"/>
        <w:ind w:firstLine="480" w:firstLineChars="200"/>
        <w:rPr>
          <w:rFonts w:ascii="Times New Roman" w:hAnsi="Times New Roman"/>
        </w:rPr>
      </w:pPr>
      <w:r>
        <w:rPr>
          <w:rFonts w:ascii="Times New Roman" w:hAnsi="Times New Roman"/>
          <w:szCs w:val="24"/>
        </w:rPr>
        <w:t>矿区开发会带</w:t>
      </w:r>
      <w:r>
        <w:rPr>
          <w:rFonts w:ascii="Times New Roman" w:hAnsi="Times New Roman"/>
        </w:rPr>
        <w:t>来一定程度的水土流失，给生态带来一定程度的影响；矿区北部边界（</w:t>
      </w:r>
      <w:r>
        <w:rPr>
          <w:rFonts w:ascii="Times New Roman" w:hAnsi="Times New Roman"/>
          <w:szCs w:val="24"/>
        </w:rPr>
        <w:t>奎腾沟井田</w:t>
      </w:r>
      <w:r>
        <w:rPr>
          <w:rFonts w:ascii="Times New Roman" w:hAnsi="Times New Roman"/>
        </w:rPr>
        <w:t>）</w:t>
      </w:r>
      <w:r>
        <w:rPr>
          <w:rFonts w:ascii="Times New Roman" w:hAnsi="Times New Roman"/>
          <w:szCs w:val="24"/>
        </w:rPr>
        <w:t>紧邻</w:t>
      </w:r>
      <w:r>
        <w:rPr>
          <w:rFonts w:ascii="Times New Roman" w:hAnsi="Times New Roman"/>
        </w:rPr>
        <w:t>鄂尔多斯遗鸥国家级保护区，根据沉陷预测结果，规划的</w:t>
      </w:r>
      <w:r>
        <w:rPr>
          <w:rFonts w:ascii="Times New Roman" w:hAnsi="Times New Roman"/>
          <w:szCs w:val="24"/>
        </w:rPr>
        <w:t>奎腾沟井田开采后，遗鸥国家级自然保护区部分临近奎腾沟井田的区域会受到开采沉陷影响。</w:t>
      </w:r>
    </w:p>
    <w:p>
      <w:pPr>
        <w:pStyle w:val="5"/>
        <w:adjustRightInd w:val="0"/>
        <w:snapToGrid w:val="0"/>
        <w:spacing w:before="0" w:after="0" w:line="440" w:lineRule="exact"/>
        <w:rPr>
          <w:sz w:val="24"/>
        </w:rPr>
      </w:pPr>
      <w:r>
        <w:rPr>
          <w:sz w:val="24"/>
        </w:rPr>
        <w:t>12.1.2 规划方案内部协调性结论</w:t>
      </w:r>
    </w:p>
    <w:p>
      <w:pPr>
        <w:spacing w:line="440" w:lineRule="exact"/>
        <w:ind w:firstLine="480" w:firstLineChars="200"/>
        <w:rPr>
          <w:rFonts w:ascii="Times New Roman" w:hAnsi="Times New Roman"/>
        </w:rPr>
      </w:pPr>
      <w:r>
        <w:rPr>
          <w:rFonts w:ascii="Times New Roman" w:hAnsi="Times New Roman"/>
        </w:rPr>
        <w:t>从内部协调性来看，矿区煤矿与选煤厂协调性较高，采煤与运煤、矿区地面总布置、固废与综合利用、矿井水与综合利用、供电与用电基本协调，但也存在一定的不协调性，主要表现在矿区总平面布置方面：矿区规划的</w:t>
      </w:r>
      <w:r>
        <w:rPr>
          <w:rFonts w:ascii="Times New Roman" w:hAnsi="Times New Roman"/>
          <w:szCs w:val="24"/>
        </w:rPr>
        <w:t>壕赖苏矿井工业场地、纳林希里矿井工业场地占用部分基本农田，矿区铁路专用线部分路段占用基本农田。</w:t>
      </w:r>
    </w:p>
    <w:p>
      <w:pPr>
        <w:pStyle w:val="4"/>
        <w:adjustRightInd w:val="0"/>
        <w:snapToGrid w:val="0"/>
        <w:spacing w:line="440" w:lineRule="exact"/>
        <w:jc w:val="left"/>
        <w:rPr>
          <w:rFonts w:ascii="Times New Roman" w:hAnsi="Times New Roman" w:eastAsia="宋体"/>
          <w:sz w:val="28"/>
        </w:rPr>
      </w:pPr>
      <w:bookmarkStart w:id="437" w:name="_Toc18228"/>
      <w:bookmarkStart w:id="438" w:name="_Toc18838502"/>
      <w:r>
        <w:rPr>
          <w:rFonts w:ascii="Times New Roman" w:hAnsi="Times New Roman" w:eastAsia="宋体"/>
          <w:sz w:val="28"/>
        </w:rPr>
        <w:t>12.2 矿区环境质量现状评价结论</w:t>
      </w:r>
      <w:bookmarkEnd w:id="437"/>
      <w:bookmarkEnd w:id="438"/>
    </w:p>
    <w:p>
      <w:pPr>
        <w:pStyle w:val="5"/>
        <w:adjustRightInd w:val="0"/>
        <w:snapToGrid w:val="0"/>
        <w:spacing w:before="0" w:after="0" w:line="440" w:lineRule="exact"/>
        <w:rPr>
          <w:sz w:val="24"/>
        </w:rPr>
      </w:pPr>
      <w:r>
        <w:rPr>
          <w:sz w:val="24"/>
        </w:rPr>
        <w:t>12.2.1 矿区生态与环境功能区划</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矿区环境空气划分为二类环境空气质量功能区；</w:t>
      </w:r>
    </w:p>
    <w:p>
      <w:pPr>
        <w:adjustRightInd w:val="0"/>
        <w:snapToGrid w:val="0"/>
        <w:spacing w:line="440" w:lineRule="exact"/>
        <w:ind w:firstLine="480" w:firstLineChars="200"/>
        <w:rPr>
          <w:rFonts w:ascii="Times New Roman" w:hAnsi="Times New Roman"/>
          <w:szCs w:val="24"/>
        </w:rPr>
      </w:pPr>
      <w:r>
        <w:rPr>
          <w:rFonts w:ascii="Times New Roman" w:hAnsi="Times New Roman"/>
        </w:rPr>
        <w:t>矿区所在区域地下水属Ⅲ类</w:t>
      </w:r>
      <w:r>
        <w:rPr>
          <w:rFonts w:ascii="Times New Roman" w:hAnsi="Times New Roman"/>
          <w:szCs w:val="24"/>
        </w:rPr>
        <w:t>功能区；</w:t>
      </w:r>
    </w:p>
    <w:p>
      <w:pPr>
        <w:pStyle w:val="573"/>
        <w:adjustRightInd w:val="0"/>
        <w:snapToGrid w:val="0"/>
        <w:spacing w:line="440" w:lineRule="exact"/>
        <w:ind w:firstLine="480"/>
        <w:jc w:val="both"/>
        <w:rPr>
          <w:rFonts w:ascii="Times New Roman" w:hAnsi="Times New Roman" w:eastAsia="宋体" w:cs="Times New Roman"/>
          <w:bCs w:val="0"/>
        </w:rPr>
      </w:pPr>
      <w:r>
        <w:rPr>
          <w:rFonts w:ascii="Times New Roman" w:hAnsi="Times New Roman" w:eastAsia="宋体" w:cs="Times New Roman"/>
        </w:rPr>
        <w:t>根</w:t>
      </w:r>
      <w:r>
        <w:rPr>
          <w:rFonts w:ascii="Times New Roman" w:hAnsi="Times New Roman" w:eastAsia="宋体" w:cs="Times New Roman"/>
          <w:bCs w:val="0"/>
        </w:rPr>
        <w:t>据《内蒙古生态环境功能区划》，矿区属于III-5-2鄂尔多斯高原典型草原沙漠化控制生态功能区。根据《鄂尔多斯市生态功能区划》纳林希里矿区属鄂尔多斯高原典型草原沙漠化控制生态功能区。</w:t>
      </w:r>
    </w:p>
    <w:p>
      <w:pPr>
        <w:pStyle w:val="5"/>
        <w:adjustRightInd w:val="0"/>
        <w:snapToGrid w:val="0"/>
        <w:spacing w:before="0" w:after="0" w:line="440" w:lineRule="exact"/>
        <w:rPr>
          <w:sz w:val="24"/>
        </w:rPr>
      </w:pPr>
      <w:r>
        <w:rPr>
          <w:sz w:val="24"/>
        </w:rPr>
        <w:t>12.2.2 矿区环境空气质量现状</w:t>
      </w:r>
    </w:p>
    <w:p>
      <w:pPr>
        <w:spacing w:line="440" w:lineRule="exact"/>
        <w:ind w:firstLine="480" w:firstLineChars="200"/>
        <w:rPr>
          <w:rFonts w:ascii="Times New Roman" w:hAnsi="Times New Roman"/>
        </w:rPr>
      </w:pPr>
      <w:r>
        <w:rPr>
          <w:rFonts w:ascii="Times New Roman" w:hAnsi="Times New Roman"/>
        </w:rPr>
        <w:t>2021年矿区所在的鄂尔多斯市为环境空气质量达标区。</w:t>
      </w:r>
    </w:p>
    <w:p>
      <w:pPr>
        <w:adjustRightInd w:val="0"/>
        <w:snapToGrid w:val="0"/>
        <w:spacing w:line="440" w:lineRule="exact"/>
        <w:ind w:firstLine="480" w:firstLineChars="200"/>
        <w:rPr>
          <w:rFonts w:ascii="Times New Roman" w:hAnsi="Times New Roman"/>
        </w:rPr>
      </w:pPr>
      <w:r>
        <w:rPr>
          <w:rFonts w:ascii="Times New Roman" w:hAnsi="Times New Roman"/>
        </w:rPr>
        <w:t>本次评价收集了鄂尔多斯市生态环境局2015~2020年环境空气质量统计数据，并对矿区拟建工业场地处及矿区内红庆河镇环境空气质量进行了补充监测，结果表明近两年年鄂尔多斯市环境空气质量6项大气基本污染物均满足《环境空气质量标准》（GB3095-2012）中二级标准限制的要求。矿区内各监测点NO</w:t>
      </w:r>
      <w:r>
        <w:rPr>
          <w:rFonts w:ascii="Times New Roman" w:hAnsi="Times New Roman"/>
          <w:vertAlign w:val="subscript"/>
        </w:rPr>
        <w:t>2</w:t>
      </w:r>
      <w:r>
        <w:rPr>
          <w:rFonts w:ascii="Times New Roman" w:hAnsi="Times New Roman"/>
        </w:rPr>
        <w:t>、SO</w:t>
      </w:r>
      <w:r>
        <w:rPr>
          <w:rFonts w:ascii="Times New Roman" w:hAnsi="Times New Roman"/>
          <w:vertAlign w:val="subscript"/>
        </w:rPr>
        <w:t>2</w:t>
      </w:r>
      <w:r>
        <w:rPr>
          <w:rFonts w:ascii="Times New Roman" w:hAnsi="Times New Roman"/>
        </w:rPr>
        <w:t>、CO和O</w:t>
      </w:r>
      <w:r>
        <w:rPr>
          <w:rFonts w:ascii="Times New Roman" w:hAnsi="Times New Roman"/>
          <w:vertAlign w:val="subscript"/>
        </w:rPr>
        <w:t>3</w:t>
      </w:r>
      <w:r>
        <w:rPr>
          <w:rFonts w:ascii="Times New Roman" w:hAnsi="Times New Roman"/>
        </w:rPr>
        <w:t>小时浓度以及NO</w:t>
      </w:r>
      <w:r>
        <w:rPr>
          <w:rFonts w:ascii="Times New Roman" w:hAnsi="Times New Roman"/>
          <w:vertAlign w:val="subscript"/>
        </w:rPr>
        <w:t>2</w:t>
      </w:r>
      <w:r>
        <w:rPr>
          <w:rFonts w:ascii="Times New Roman" w:hAnsi="Times New Roman"/>
        </w:rPr>
        <w:t>、SO</w:t>
      </w:r>
      <w:r>
        <w:rPr>
          <w:rFonts w:ascii="Times New Roman" w:hAnsi="Times New Roman"/>
          <w:vertAlign w:val="subscript"/>
        </w:rPr>
        <w:t>2</w:t>
      </w:r>
      <w:r>
        <w:rPr>
          <w:rFonts w:ascii="Times New Roman" w:hAnsi="Times New Roman"/>
        </w:rPr>
        <w:t>、CO、TSP、PM</w:t>
      </w:r>
      <w:r>
        <w:rPr>
          <w:rFonts w:ascii="Times New Roman" w:hAnsi="Times New Roman"/>
          <w:vertAlign w:val="subscript"/>
        </w:rPr>
        <w:t>10</w:t>
      </w:r>
      <w:r>
        <w:rPr>
          <w:rFonts w:ascii="Times New Roman" w:hAnsi="Times New Roman"/>
        </w:rPr>
        <w:t>和PM</w:t>
      </w:r>
      <w:r>
        <w:rPr>
          <w:rFonts w:ascii="Times New Roman" w:hAnsi="Times New Roman"/>
          <w:vertAlign w:val="subscript"/>
        </w:rPr>
        <w:t>2.5</w:t>
      </w:r>
      <w:r>
        <w:rPr>
          <w:rFonts w:ascii="Times New Roman" w:hAnsi="Times New Roman"/>
        </w:rPr>
        <w:t>日均浓度，O</w:t>
      </w:r>
      <w:r>
        <w:rPr>
          <w:rFonts w:ascii="Times New Roman" w:hAnsi="Times New Roman"/>
          <w:vertAlign w:val="subscript"/>
        </w:rPr>
        <w:t>3</w:t>
      </w:r>
      <w:r>
        <w:rPr>
          <w:rFonts w:ascii="Times New Roman" w:hAnsi="Times New Roman"/>
        </w:rPr>
        <w:t>日最大8小时浓度均达标。矿区环境空气质量较好。</w:t>
      </w:r>
    </w:p>
    <w:p>
      <w:pPr>
        <w:pStyle w:val="5"/>
        <w:adjustRightInd w:val="0"/>
        <w:snapToGrid w:val="0"/>
        <w:spacing w:before="0" w:after="0" w:line="440" w:lineRule="exact"/>
        <w:rPr>
          <w:sz w:val="24"/>
        </w:rPr>
      </w:pPr>
      <w:r>
        <w:rPr>
          <w:sz w:val="24"/>
        </w:rPr>
        <w:t>12.2.3 矿区地表水环境质量现状</w:t>
      </w:r>
    </w:p>
    <w:p>
      <w:pPr>
        <w:adjustRightInd w:val="0"/>
        <w:snapToGrid w:val="0"/>
        <w:spacing w:line="440" w:lineRule="exact"/>
        <w:ind w:firstLine="480" w:firstLineChars="200"/>
        <w:rPr>
          <w:rFonts w:ascii="Times New Roman" w:hAnsi="Times New Roman"/>
        </w:rPr>
      </w:pPr>
      <w:r>
        <w:rPr>
          <w:rFonts w:ascii="Times New Roman" w:hAnsi="Times New Roman"/>
        </w:rPr>
        <w:t>本矿区评价范围内涉及6个淖尔，包括位于苏布尔噶井田的伊和日淖尔（神海子）、位于壕赖苏井田的哈塔图淖尔以及光明淖尔、位于纳林希里井田的哈达图淖尔、位于勘查区的乌兰淖尔。本次评价监测阶段乌兰淖尔处于干涸状态，其余伊和日淖尔、哈塔图淖尔、光明淖尔、哈达图淖尔四个监测点的COD、BOD</w:t>
      </w:r>
      <w:r>
        <w:rPr>
          <w:rFonts w:ascii="Times New Roman" w:hAnsi="Times New Roman"/>
          <w:vertAlign w:val="subscript"/>
        </w:rPr>
        <w:t>5</w:t>
      </w:r>
      <w:r>
        <w:rPr>
          <w:rFonts w:ascii="Times New Roman" w:hAnsi="Times New Roman"/>
        </w:rPr>
        <w:t>、氟化物、氨氮、阴离子表面活性剂、砷六项指标有不同程度超标，而矿区南侧边界外其和淖尔水环境质量明显优于矿区内其他淖尔，仅COD、BOD</w:t>
      </w:r>
      <w:r>
        <w:rPr>
          <w:rFonts w:ascii="Times New Roman" w:hAnsi="Times New Roman"/>
          <w:vertAlign w:val="subscript"/>
        </w:rPr>
        <w:t>5</w:t>
      </w:r>
      <w:r>
        <w:rPr>
          <w:rFonts w:ascii="Times New Roman" w:hAnsi="Times New Roman"/>
        </w:rPr>
        <w:t>、氟化物有轻微超标。由于本矿区尚未开发，矿区范围内亦无生产矿井及小窑，因此各淖尔水环境质量超标原因可能与其自然背景值及当地居民生活有关。</w:t>
      </w:r>
    </w:p>
    <w:p>
      <w:pPr>
        <w:pStyle w:val="5"/>
        <w:adjustRightInd w:val="0"/>
        <w:snapToGrid w:val="0"/>
        <w:spacing w:before="0" w:after="0" w:line="440" w:lineRule="exact"/>
        <w:rPr>
          <w:sz w:val="24"/>
        </w:rPr>
      </w:pPr>
      <w:r>
        <w:rPr>
          <w:sz w:val="24"/>
        </w:rPr>
        <w:t>12.2.4 矿区地下水环境质量现状</w:t>
      </w:r>
    </w:p>
    <w:p>
      <w:pPr>
        <w:widowControl/>
        <w:spacing w:line="440" w:lineRule="exact"/>
        <w:ind w:firstLine="480" w:firstLineChars="200"/>
        <w:rPr>
          <w:rFonts w:ascii="Times New Roman" w:hAnsi="Times New Roman"/>
          <w:bCs/>
          <w:color w:val="FF0000"/>
          <w:szCs w:val="24"/>
        </w:rPr>
      </w:pPr>
      <w:r>
        <w:rPr>
          <w:rFonts w:ascii="Times New Roman" w:hAnsi="Times New Roman"/>
          <w:bCs/>
          <w:szCs w:val="24"/>
        </w:rPr>
        <w:t>本次评价共对13个地下水环境质量现状监测点进行评价分析，监测层位为第四系及白垩系含水层。根据监测结果，仅7#（</w:t>
      </w:r>
      <w:r>
        <w:rPr>
          <w:rFonts w:ascii="Times New Roman" w:hAnsi="Times New Roman"/>
          <w:bCs/>
          <w:kern w:val="0"/>
          <w:szCs w:val="24"/>
          <w:lang w:val="zh-CN"/>
        </w:rPr>
        <w:t>壕赖苏一队水井</w:t>
      </w:r>
      <w:r>
        <w:rPr>
          <w:rFonts w:ascii="Times New Roman" w:hAnsi="Times New Roman"/>
          <w:bCs/>
          <w:szCs w:val="24"/>
        </w:rPr>
        <w:t>）、8#（</w:t>
      </w:r>
      <w:r>
        <w:rPr>
          <w:rFonts w:ascii="Times New Roman" w:hAnsi="Times New Roman"/>
          <w:bCs/>
          <w:kern w:val="0"/>
          <w:szCs w:val="24"/>
          <w:lang w:val="zh-CN"/>
        </w:rPr>
        <w:t>光明二队水井</w:t>
      </w:r>
      <w:r>
        <w:rPr>
          <w:rFonts w:ascii="Times New Roman" w:hAnsi="Times New Roman"/>
          <w:bCs/>
          <w:szCs w:val="24"/>
        </w:rPr>
        <w:t>）、9#（</w:t>
      </w:r>
      <w:r>
        <w:rPr>
          <w:rFonts w:ascii="Times New Roman" w:hAnsi="Times New Roman"/>
          <w:bCs/>
          <w:kern w:val="0"/>
          <w:szCs w:val="24"/>
          <w:lang w:val="zh-CN"/>
        </w:rPr>
        <w:t>红庆河镇水井</w:t>
      </w:r>
      <w:r>
        <w:rPr>
          <w:rFonts w:ascii="Times New Roman" w:hAnsi="Times New Roman"/>
          <w:bCs/>
          <w:szCs w:val="24"/>
        </w:rPr>
        <w:t>）监测点处pH值出现略微超标，超标倍数分别为0.13、0.24、0.29，其余均达到</w:t>
      </w:r>
      <w:r>
        <w:rPr>
          <w:rFonts w:ascii="Times New Roman" w:hAnsi="Times New Roman"/>
          <w:kern w:val="0"/>
          <w:szCs w:val="24"/>
        </w:rPr>
        <w:t>《地下水质量标准》（GB/T14848-2017）中Ⅲ类水质标准</w:t>
      </w:r>
      <w:r>
        <w:rPr>
          <w:rFonts w:ascii="Times New Roman" w:hAnsi="Times New Roman"/>
          <w:bCs/>
          <w:szCs w:val="24"/>
        </w:rPr>
        <w:t>，第四系及白垩系含水层地下水水质总体较好。</w:t>
      </w:r>
      <w:r>
        <w:rPr>
          <w:rFonts w:ascii="Times New Roman" w:hAnsi="Times New Roman"/>
          <w:bCs/>
          <w:color w:val="FF0000"/>
          <w:szCs w:val="24"/>
        </w:rPr>
        <w:t>超标原因可能是由于矿区属内流区，其地下水主要来自大气降水，矿区受气候干燥，降水量小、蒸发量大的影响，导致部分区域出现盐碱化，导致周边地下水pH轻微超标。</w:t>
      </w:r>
    </w:p>
    <w:p>
      <w:pPr>
        <w:spacing w:line="440" w:lineRule="exact"/>
        <w:ind w:firstLine="480" w:firstLineChars="200"/>
        <w:rPr>
          <w:rFonts w:ascii="Times New Roman" w:hAnsi="Times New Roman"/>
          <w:color w:val="FF0000"/>
          <w:kern w:val="0"/>
          <w:szCs w:val="24"/>
        </w:rPr>
      </w:pPr>
      <w:r>
        <w:rPr>
          <w:rFonts w:ascii="Times New Roman" w:hAnsi="Times New Roman"/>
          <w:color w:val="FF0000"/>
          <w:kern w:val="0"/>
          <w:szCs w:val="24"/>
        </w:rPr>
        <w:t>矿区第四系及白垩系地下水水位埋深多为0~60m之间，水位标高约1288.96~1522.71m，其地下水流向总体与地形一致。</w:t>
      </w:r>
    </w:p>
    <w:p>
      <w:pPr>
        <w:pStyle w:val="5"/>
        <w:adjustRightInd w:val="0"/>
        <w:snapToGrid w:val="0"/>
        <w:spacing w:before="0" w:after="0" w:line="440" w:lineRule="exact"/>
        <w:rPr>
          <w:sz w:val="24"/>
        </w:rPr>
      </w:pPr>
      <w:r>
        <w:rPr>
          <w:sz w:val="24"/>
        </w:rPr>
        <w:t>12.2.5 矿区声环境质量现状</w:t>
      </w:r>
    </w:p>
    <w:p>
      <w:pPr>
        <w:adjustRightInd w:val="0"/>
        <w:spacing w:line="440" w:lineRule="exact"/>
        <w:ind w:firstLine="480" w:firstLineChars="200"/>
        <w:rPr>
          <w:rFonts w:ascii="Times New Roman" w:hAnsi="Times New Roman"/>
        </w:rPr>
      </w:pPr>
      <w:r>
        <w:rPr>
          <w:rFonts w:ascii="Times New Roman" w:hAnsi="Times New Roman"/>
        </w:rPr>
        <w:t>本次评价在各矿井拟建工业场地处、勘查区、拟建公路、以及矿区内居民点处分别设置声环境质量监测点。根据监测结果可知，11个监测点处环境噪声昼间在33-38dB（A）之间，夜间在30-35dB（A）之间，满足《声环境质量标准》（GB3096-2008）2类标准要求，该区域声环境质量良好。</w:t>
      </w:r>
    </w:p>
    <w:p>
      <w:pPr>
        <w:pStyle w:val="5"/>
        <w:adjustRightInd w:val="0"/>
        <w:snapToGrid w:val="0"/>
        <w:spacing w:before="0" w:after="0" w:line="440" w:lineRule="exact"/>
        <w:rPr>
          <w:sz w:val="24"/>
        </w:rPr>
      </w:pPr>
      <w:r>
        <w:rPr>
          <w:sz w:val="24"/>
        </w:rPr>
        <w:t>12.2.6 矿区土壤环境质量现状</w:t>
      </w:r>
    </w:p>
    <w:p>
      <w:pPr>
        <w:adjustRightInd w:val="0"/>
        <w:snapToGrid w:val="0"/>
        <w:spacing w:line="440" w:lineRule="exact"/>
        <w:ind w:firstLine="482"/>
        <w:rPr>
          <w:rFonts w:ascii="Times New Roman" w:hAnsi="Times New Roman"/>
        </w:rPr>
      </w:pPr>
      <w:r>
        <w:rPr>
          <w:rFonts w:ascii="Times New Roman" w:hAnsi="Times New Roman"/>
        </w:rPr>
        <w:t>综合考虑井田分布、土壤类型、土地利用类型，本次土壤现状监测共布设8个监测点，各监测点监测结果表明，5#（壕赖苏井田拟建工业场地）土壤为极重度盐化，其他均未盐化；监测pH的四个点位除6#（奎腾沟井田拟建工业场地）无酸化或碱化外，其他三个点均存在不同程度的碱化。各监测点挥发性与半挥发性有机污染物均未检出。各监测点各监测因子均满足《土壤环境质量 建设用地土壤污染风险管控标准（试行）》（GB 36600-2018），其他农用地均满足《土壤环境质量 农用地土壤污染风险管控标准（试行）》（GB15618-2018）。总体而言，土壤环境质量较好。</w:t>
      </w:r>
    </w:p>
    <w:p>
      <w:pPr>
        <w:pStyle w:val="5"/>
        <w:adjustRightInd w:val="0"/>
        <w:snapToGrid w:val="0"/>
        <w:spacing w:before="0" w:after="0" w:line="440" w:lineRule="exact"/>
        <w:rPr>
          <w:sz w:val="24"/>
        </w:rPr>
      </w:pPr>
      <w:r>
        <w:rPr>
          <w:sz w:val="24"/>
        </w:rPr>
        <w:t>12.2.7 矿区生态环境现状</w:t>
      </w:r>
    </w:p>
    <w:p>
      <w:pPr>
        <w:adjustRightInd w:val="0"/>
        <w:snapToGrid w:val="0"/>
        <w:spacing w:line="440" w:lineRule="exact"/>
        <w:ind w:firstLine="480" w:firstLineChars="200"/>
        <w:rPr>
          <w:rFonts w:ascii="Times New Roman" w:hAnsi="Times New Roman"/>
        </w:rPr>
      </w:pPr>
      <w:r>
        <w:rPr>
          <w:rFonts w:ascii="Times New Roman" w:hAnsi="Times New Roman"/>
        </w:rPr>
        <w:t>纳林希里矿区位于鄂尔多斯高原之东北部，区内呈西北高、东南低的斜坡状地形，海拔标高最高1545m(特格鲁，矿区西北10km处)，最低1277m（巴嘎淖尔湖畔），最大高差274m，区内地表起伏不大，海拔标高一般在1300～1500m之间。受毛乌素沙漠的影响，地面多被风积砂覆盖，形成平缓洼地及梁地相间的风积丘陵地貌。</w:t>
      </w:r>
    </w:p>
    <w:p>
      <w:pPr>
        <w:spacing w:line="440" w:lineRule="exact"/>
        <w:ind w:firstLine="480" w:firstLineChars="200"/>
        <w:rPr>
          <w:rFonts w:ascii="Times New Roman" w:hAnsi="Times New Roman"/>
          <w:szCs w:val="24"/>
        </w:rPr>
      </w:pPr>
      <w:r>
        <w:rPr>
          <w:rFonts w:ascii="Times New Roman" w:hAnsi="Times New Roman"/>
          <w:szCs w:val="24"/>
        </w:rPr>
        <w:t>草地及林地在评价区内大面积分布，其中天然牧草地面积421.09km</w:t>
      </w:r>
      <w:r>
        <w:rPr>
          <w:rFonts w:ascii="Times New Roman" w:hAnsi="Times New Roman"/>
          <w:szCs w:val="24"/>
          <w:vertAlign w:val="superscript"/>
        </w:rPr>
        <w:t>2</w:t>
      </w:r>
      <w:r>
        <w:rPr>
          <w:rFonts w:ascii="Times New Roman" w:hAnsi="Times New Roman"/>
          <w:szCs w:val="24"/>
        </w:rPr>
        <w:t>，占评价区的40.07%，评价区内的林地为乔木林地、灌木林地和其他林地，灌木林地在评价区内大面积分布，面积396.28km</w:t>
      </w:r>
      <w:r>
        <w:rPr>
          <w:rFonts w:ascii="Times New Roman" w:hAnsi="Times New Roman"/>
          <w:szCs w:val="24"/>
          <w:vertAlign w:val="superscript"/>
        </w:rPr>
        <w:t>2</w:t>
      </w:r>
      <w:r>
        <w:rPr>
          <w:rFonts w:ascii="Times New Roman" w:hAnsi="Times New Roman"/>
          <w:szCs w:val="24"/>
        </w:rPr>
        <w:t>，占评价区的37.71%。该区处于农牧交错带上，评价区内的耕地为水浇地和旱地。</w:t>
      </w:r>
    </w:p>
    <w:p>
      <w:pPr>
        <w:spacing w:line="440" w:lineRule="exact"/>
        <w:ind w:firstLine="480" w:firstLineChars="200"/>
        <w:rPr>
          <w:rFonts w:ascii="Times New Roman" w:hAnsi="Times New Roman"/>
        </w:rPr>
      </w:pPr>
      <w:r>
        <w:rPr>
          <w:rFonts w:ascii="Times New Roman" w:hAnsi="Times New Roman"/>
        </w:rPr>
        <w:t>评价区处于我国的农牧交错带上，依据《中国植被区划》，该区域植被分区属于温带南部典型草原亚地带鄂尔多斯高原长茅草、克氏针茅草原区，目前，典型地带性植被退化严重，大部分被沙生植被和灌丛植被所取代。</w:t>
      </w:r>
    </w:p>
    <w:p>
      <w:pPr>
        <w:adjustRightInd w:val="0"/>
        <w:snapToGrid w:val="0"/>
        <w:spacing w:line="440" w:lineRule="exact"/>
        <w:ind w:firstLine="482"/>
        <w:rPr>
          <w:rFonts w:ascii="Times New Roman" w:hAnsi="Times New Roman"/>
        </w:rPr>
      </w:pPr>
      <w:r>
        <w:rPr>
          <w:rFonts w:ascii="Times New Roman" w:hAnsi="Times New Roman"/>
        </w:rPr>
        <w:t>评价区地处中温带，野生动物的地理分布在动物地理区划中属古北界—蒙新区—东部草原亚区。典型的草原动物主要有蒙古兔、艾鼬、黄鼬、草原黄鼠、五趾跳鼠、长爪沙鼠和草原沙蜥等。</w:t>
      </w:r>
    </w:p>
    <w:p>
      <w:pPr>
        <w:pStyle w:val="32"/>
        <w:spacing w:line="440" w:lineRule="exact"/>
        <w:ind w:firstLine="480"/>
        <w:rPr>
          <w:rFonts w:ascii="Times New Roman" w:hAnsi="Times New Roman"/>
          <w:szCs w:val="24"/>
        </w:rPr>
      </w:pPr>
      <w:bookmarkStart w:id="439" w:name="_Toc18838503"/>
      <w:r>
        <w:rPr>
          <w:rFonts w:ascii="Times New Roman" w:hAnsi="Times New Roman"/>
        </w:rPr>
        <w:t>评价区内涉及四种土壤类型，分别为栗钙土、粗骨土、风沙土和草甸土。其中风沙土分布面积广，占评价区总面积的</w:t>
      </w:r>
      <w:r>
        <w:rPr>
          <w:rFonts w:ascii="Times New Roman" w:hAnsi="Times New Roman"/>
          <w:szCs w:val="24"/>
        </w:rPr>
        <w:t>51.30%，其次是草甸土，占评价区面积的31.40%。</w:t>
      </w:r>
    </w:p>
    <w:p>
      <w:pPr>
        <w:spacing w:line="440" w:lineRule="exact"/>
        <w:ind w:firstLine="480" w:firstLineChars="200"/>
        <w:rPr>
          <w:rFonts w:ascii="Times New Roman" w:hAnsi="Times New Roman"/>
        </w:rPr>
      </w:pPr>
      <w:r>
        <w:rPr>
          <w:rFonts w:ascii="Times New Roman" w:hAnsi="Times New Roman"/>
          <w:szCs w:val="24"/>
        </w:rPr>
        <w:t>评价区位于鄂尔多斯高原之东部，受毛乌素沙漠的影响，该区域内常年风沙较大。</w:t>
      </w:r>
      <w:r>
        <w:rPr>
          <w:rFonts w:ascii="Times New Roman" w:hAnsi="Times New Roman"/>
        </w:rPr>
        <w:t>评价区及井田内的土壤侵蚀强度均以中度侵蚀为主，</w:t>
      </w:r>
      <w:r>
        <w:rPr>
          <w:rFonts w:ascii="Times New Roman" w:hAnsi="Times New Roman"/>
          <w:szCs w:val="24"/>
        </w:rPr>
        <w:t>水土流失类型以为风力侵蚀为主，兼有水力侵蚀</w:t>
      </w:r>
      <w:r>
        <w:rPr>
          <w:rFonts w:ascii="Times New Roman" w:hAnsi="Times New Roman"/>
        </w:rPr>
        <w:t>。</w:t>
      </w:r>
    </w:p>
    <w:p>
      <w:pPr>
        <w:pStyle w:val="4"/>
        <w:adjustRightInd w:val="0"/>
        <w:snapToGrid w:val="0"/>
        <w:spacing w:line="440" w:lineRule="exact"/>
        <w:jc w:val="left"/>
        <w:rPr>
          <w:rFonts w:ascii="Times New Roman" w:hAnsi="Times New Roman" w:eastAsia="宋体"/>
          <w:sz w:val="28"/>
        </w:rPr>
      </w:pPr>
      <w:bookmarkStart w:id="440" w:name="_Toc25367"/>
      <w:r>
        <w:rPr>
          <w:rFonts w:ascii="Times New Roman" w:hAnsi="Times New Roman" w:eastAsia="宋体"/>
          <w:sz w:val="28"/>
        </w:rPr>
        <w:t>12.3 矿区规划实施环境影响评价</w:t>
      </w:r>
      <w:bookmarkEnd w:id="439"/>
      <w:r>
        <w:rPr>
          <w:rFonts w:ascii="Times New Roman" w:hAnsi="Times New Roman" w:eastAsia="宋体"/>
          <w:sz w:val="28"/>
        </w:rPr>
        <w:t>及减缓措施</w:t>
      </w:r>
      <w:bookmarkEnd w:id="440"/>
    </w:p>
    <w:p>
      <w:pPr>
        <w:pStyle w:val="5"/>
        <w:adjustRightInd w:val="0"/>
        <w:snapToGrid w:val="0"/>
        <w:spacing w:before="0" w:after="0" w:line="440" w:lineRule="exact"/>
        <w:rPr>
          <w:sz w:val="24"/>
        </w:rPr>
      </w:pPr>
      <w:r>
        <w:rPr>
          <w:sz w:val="24"/>
        </w:rPr>
        <w:t>12.3.1 生态影响预测与评价</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矿区开发对生态环境的影响主要表现在对地形地貌、土地利用格局和土壤侵蚀的影响三个方面。</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（1）地形地貌：</w:t>
      </w:r>
      <w:r>
        <w:rPr>
          <w:rFonts w:ascii="Times New Roman" w:hAnsi="Times New Roman"/>
        </w:rPr>
        <w:t>矿区规划井田全部为井工矿，井工开采对地形地貌的影响主要是开采沉陷的影响。根据地表沉陷预测，矿区开发后地表最大下沉深度约23m。由于矿区煤层埋深大，地表不会出现明显的裂缝和破碎变形，而是整体缓慢下沉，形成较为明显的下沉盆地。</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2）土地利用：矿区项目占地主要包括矿井及选煤厂（含矿井工业场地、风井场地及矸石周转场）占地，矿区辅助企业中心区、矿区爆破材料库、矿区公路、矿区铁路等，占地类型主要为林地和草地，总占地面积为638.65hm</w:t>
      </w:r>
      <w:r>
        <w:rPr>
          <w:rFonts w:ascii="Times New Roman" w:hAnsi="Times New Roman"/>
          <w:szCs w:val="24"/>
          <w:vertAlign w:val="superscript"/>
        </w:rPr>
        <w:t>2</w:t>
      </w:r>
      <w:r>
        <w:rPr>
          <w:rFonts w:ascii="Times New Roman" w:hAnsi="Times New Roman"/>
          <w:szCs w:val="24"/>
        </w:rPr>
        <w:t>，矿区开发后土地利用类型有所变化，但总体变化不大。</w:t>
      </w:r>
      <w:r>
        <w:rPr>
          <w:rFonts w:ascii="Times New Roman" w:hAnsi="Times New Roman"/>
        </w:rPr>
        <w:t>根据地表沉陷预测，矿区开发后地表最大下沉深度约23m。由于矿区煤层埋深大，地表不会出现明显的裂缝和破碎变形，而是整体缓慢下沉，形成较为明显的下沉盆地。</w:t>
      </w:r>
      <w:r>
        <w:rPr>
          <w:rFonts w:ascii="Times New Roman" w:hAnsi="Times New Roman"/>
          <w:szCs w:val="24"/>
        </w:rPr>
        <w:t>通过对矿区内植被调查及现状分析，矿区及评价区内植被覆盖度在30%左右。根据土地利用现状分析，区域主要土地利用类型为林地和草地，矿区开采沉陷可能造成沉陷盆地边缘的植被覆盖度下降，但基本不会改变土地利用类型。</w:t>
      </w:r>
    </w:p>
    <w:p>
      <w:pPr>
        <w:spacing w:line="440" w:lineRule="exact"/>
        <w:ind w:firstLine="480" w:firstLineChars="200"/>
        <w:rPr>
          <w:rFonts w:ascii="Times New Roman" w:hAnsi="Times New Roman"/>
        </w:rPr>
      </w:pPr>
      <w:r>
        <w:rPr>
          <w:rFonts w:ascii="Times New Roman" w:hAnsi="Times New Roman"/>
          <w:szCs w:val="24"/>
        </w:rPr>
        <w:t>（3）耕地及永久基本农田：</w:t>
      </w:r>
      <w:r>
        <w:rPr>
          <w:rFonts w:ascii="Times New Roman" w:hAnsi="Times New Roman"/>
        </w:rPr>
        <w:t>矿区开发后项目占地总面积为638.65hm</w:t>
      </w:r>
      <w:r>
        <w:rPr>
          <w:rFonts w:ascii="Times New Roman" w:hAnsi="Times New Roman"/>
          <w:vertAlign w:val="superscript"/>
        </w:rPr>
        <w:t>2</w:t>
      </w:r>
      <w:r>
        <w:rPr>
          <w:rFonts w:ascii="Times New Roman" w:hAnsi="Times New Roman"/>
        </w:rPr>
        <w:t>，其中水浇地面积70.47hm</w:t>
      </w:r>
      <w:r>
        <w:rPr>
          <w:rFonts w:ascii="Times New Roman" w:hAnsi="Times New Roman"/>
          <w:vertAlign w:val="superscript"/>
        </w:rPr>
        <w:t>2</w:t>
      </w:r>
      <w:r>
        <w:rPr>
          <w:rFonts w:ascii="Times New Roman" w:hAnsi="Times New Roman"/>
        </w:rPr>
        <w:t>，旱地面积3.94hm</w:t>
      </w:r>
      <w:r>
        <w:rPr>
          <w:rFonts w:ascii="Times New Roman" w:hAnsi="Times New Roman"/>
          <w:vertAlign w:val="superscript"/>
        </w:rPr>
        <w:t>2</w:t>
      </w:r>
      <w:r>
        <w:rPr>
          <w:rFonts w:ascii="Times New Roman" w:hAnsi="Times New Roman"/>
        </w:rPr>
        <w:t>。矿区开发后受地表沉陷影响的水浇地面积为18.48km</w:t>
      </w:r>
      <w:r>
        <w:rPr>
          <w:rFonts w:ascii="Times New Roman" w:hAnsi="Times New Roman"/>
          <w:vertAlign w:val="superscript"/>
        </w:rPr>
        <w:t>2</w:t>
      </w:r>
      <w:r>
        <w:rPr>
          <w:rFonts w:ascii="Times New Roman" w:hAnsi="Times New Roman"/>
        </w:rPr>
        <w:t>，旱地面积4.11km</w:t>
      </w:r>
      <w:r>
        <w:rPr>
          <w:rFonts w:ascii="Times New Roman" w:hAnsi="Times New Roman"/>
          <w:vertAlign w:val="superscript"/>
        </w:rPr>
        <w:t>2</w:t>
      </w:r>
      <w:r>
        <w:rPr>
          <w:rFonts w:ascii="Times New Roman" w:hAnsi="Times New Roman"/>
        </w:rPr>
        <w:t>。由于矿区煤层埋深大，地表不会出现明显的裂缝和破碎变形，而是整体缓慢下沉，地表沉陷对耕地的影响不大，仅在沉陷盆地边缘，由于田面坡度变陡影响水浇地灌溉；在沉陷盆地低洼处有可能因排水不畅造成耕地内涝导致农作物减产。因此应对耕地受损的农民应按国家规定进行必要的经济补偿并按有关规定复垦或异地开垦同等面积同等质量以上的耕地，以减轻矿区开采沉陷对耕地及农业生产的影响。</w:t>
      </w:r>
    </w:p>
    <w:p>
      <w:pPr>
        <w:adjustRightInd w:val="0"/>
        <w:snapToGrid w:val="0"/>
        <w:spacing w:line="440" w:lineRule="exact"/>
        <w:ind w:firstLine="480" w:firstLineChars="200"/>
        <w:rPr>
          <w:rFonts w:ascii="Times New Roman" w:hAnsi="Times New Roman"/>
        </w:rPr>
      </w:pPr>
      <w:r>
        <w:rPr>
          <w:rFonts w:ascii="Times New Roman" w:hAnsi="Times New Roman"/>
        </w:rPr>
        <w:t>项目建设占地中有42.28hm</w:t>
      </w:r>
      <w:r>
        <w:rPr>
          <w:rFonts w:ascii="Times New Roman" w:hAnsi="Times New Roman"/>
          <w:vertAlign w:val="superscript"/>
        </w:rPr>
        <w:t>2</w:t>
      </w:r>
      <w:r>
        <w:rPr>
          <w:rFonts w:ascii="Times New Roman" w:hAnsi="Times New Roman"/>
        </w:rPr>
        <w:t>为永久基本农田。地表沉陷范围内分布有永久基本农田17.96km</w:t>
      </w:r>
      <w:r>
        <w:rPr>
          <w:rFonts w:ascii="Times New Roman" w:hAnsi="Times New Roman"/>
          <w:vertAlign w:val="superscript"/>
        </w:rPr>
        <w:t>2</w:t>
      </w:r>
      <w:r>
        <w:rPr>
          <w:rFonts w:ascii="Times New Roman" w:hAnsi="Times New Roman"/>
        </w:rPr>
        <w:t>，其中水浇地15.70km</w:t>
      </w:r>
      <w:r>
        <w:rPr>
          <w:rFonts w:ascii="Times New Roman" w:hAnsi="Times New Roman"/>
          <w:vertAlign w:val="superscript"/>
        </w:rPr>
        <w:t>2</w:t>
      </w:r>
      <w:r>
        <w:rPr>
          <w:rFonts w:ascii="Times New Roman" w:hAnsi="Times New Roman"/>
        </w:rPr>
        <w:t>，旱地2.26km</w:t>
      </w:r>
      <w:r>
        <w:rPr>
          <w:rFonts w:ascii="Times New Roman" w:hAnsi="Times New Roman"/>
          <w:vertAlign w:val="superscript"/>
        </w:rPr>
        <w:t>2</w:t>
      </w:r>
      <w:r>
        <w:rPr>
          <w:rFonts w:ascii="Times New Roman" w:hAnsi="Times New Roman"/>
        </w:rPr>
        <w:t>。根据开采沉陷预测结果，矿区开采地表沉陷对永久基本农田影响不大。</w:t>
      </w:r>
    </w:p>
    <w:p>
      <w:pPr>
        <w:spacing w:line="440" w:lineRule="exact"/>
        <w:ind w:firstLine="480" w:firstLineChars="200"/>
        <w:rPr>
          <w:rFonts w:ascii="Times New Roman" w:hAnsi="Times New Roman"/>
        </w:rPr>
      </w:pPr>
      <w:r>
        <w:rPr>
          <w:rFonts w:ascii="Times New Roman" w:hAnsi="Times New Roman"/>
          <w:szCs w:val="24"/>
        </w:rPr>
        <w:t>（4）林地及公益林：</w:t>
      </w:r>
      <w:r>
        <w:rPr>
          <w:rFonts w:ascii="Times New Roman" w:hAnsi="Times New Roman"/>
        </w:rPr>
        <w:t>矿区开发后项目占地总面积为638.65hm</w:t>
      </w:r>
      <w:r>
        <w:rPr>
          <w:rFonts w:ascii="Times New Roman" w:hAnsi="Times New Roman"/>
          <w:vertAlign w:val="superscript"/>
        </w:rPr>
        <w:t>2</w:t>
      </w:r>
      <w:r>
        <w:rPr>
          <w:rFonts w:ascii="Times New Roman" w:hAnsi="Times New Roman"/>
        </w:rPr>
        <w:t>，其中乔木林地面积1.79hm</w:t>
      </w:r>
      <w:r>
        <w:rPr>
          <w:rFonts w:ascii="Times New Roman" w:hAnsi="Times New Roman"/>
          <w:vertAlign w:val="superscript"/>
        </w:rPr>
        <w:t>2</w:t>
      </w:r>
      <w:r>
        <w:rPr>
          <w:rFonts w:ascii="Times New Roman" w:hAnsi="Times New Roman"/>
        </w:rPr>
        <w:t>，灌木林地面积148.90hm</w:t>
      </w:r>
      <w:r>
        <w:rPr>
          <w:rFonts w:ascii="Times New Roman" w:hAnsi="Times New Roman"/>
          <w:vertAlign w:val="superscript"/>
        </w:rPr>
        <w:t>2</w:t>
      </w:r>
      <w:r>
        <w:rPr>
          <w:rFonts w:ascii="Times New Roman" w:hAnsi="Times New Roman"/>
        </w:rPr>
        <w:t>，其他林地面积2.35hm</w:t>
      </w:r>
      <w:r>
        <w:rPr>
          <w:rFonts w:ascii="Times New Roman" w:hAnsi="Times New Roman"/>
          <w:vertAlign w:val="superscript"/>
        </w:rPr>
        <w:t>2</w:t>
      </w:r>
      <w:r>
        <w:rPr>
          <w:rFonts w:ascii="Times New Roman" w:hAnsi="Times New Roman"/>
        </w:rPr>
        <w:t>。根据生态现状调查结果，项目建设后，因项目占地林地约损失生物量219.11t，数量较小，不会导致区域生物量明显减少。</w:t>
      </w:r>
    </w:p>
    <w:p>
      <w:pPr>
        <w:pStyle w:val="185"/>
        <w:spacing w:line="440" w:lineRule="exact"/>
        <w:ind w:firstLine="480"/>
        <w:rPr>
          <w:rFonts w:ascii="Times New Roman" w:hAnsi="Times New Roman" w:cs="Times New Roman"/>
        </w:rPr>
      </w:pPr>
      <w:r>
        <w:rPr>
          <w:rFonts w:ascii="Times New Roman" w:hAnsi="Times New Roman" w:cs="Times New Roman"/>
          <w:kern w:val="24"/>
          <w:szCs w:val="24"/>
        </w:rPr>
        <w:t>矿区开发后受地表沉陷影响的林地中有公益林123.43km</w:t>
      </w:r>
      <w:r>
        <w:rPr>
          <w:rFonts w:ascii="Times New Roman" w:hAnsi="Times New Roman" w:cs="Times New Roman"/>
          <w:kern w:val="24"/>
          <w:szCs w:val="24"/>
          <w:vertAlign w:val="superscript"/>
        </w:rPr>
        <w:t>2</w:t>
      </w:r>
      <w:r>
        <w:rPr>
          <w:rFonts w:ascii="Times New Roman" w:hAnsi="Times New Roman" w:cs="Times New Roman"/>
          <w:kern w:val="24"/>
          <w:szCs w:val="24"/>
        </w:rPr>
        <w:t>，其中一级国家级公益林1.50km</w:t>
      </w:r>
      <w:r>
        <w:rPr>
          <w:rFonts w:ascii="Times New Roman" w:hAnsi="Times New Roman" w:cs="Times New Roman"/>
          <w:kern w:val="24"/>
          <w:szCs w:val="24"/>
          <w:vertAlign w:val="superscript"/>
        </w:rPr>
        <w:t>2</w:t>
      </w:r>
      <w:r>
        <w:rPr>
          <w:rFonts w:ascii="Times New Roman" w:hAnsi="Times New Roman" w:cs="Times New Roman"/>
          <w:kern w:val="24"/>
          <w:szCs w:val="24"/>
        </w:rPr>
        <w:t>，二级国家级公益林121.93km</w:t>
      </w:r>
      <w:r>
        <w:rPr>
          <w:rFonts w:ascii="Times New Roman" w:hAnsi="Times New Roman" w:cs="Times New Roman"/>
          <w:kern w:val="24"/>
          <w:szCs w:val="24"/>
          <w:vertAlign w:val="superscript"/>
        </w:rPr>
        <w:t>2</w:t>
      </w:r>
      <w:r>
        <w:rPr>
          <w:rFonts w:ascii="Times New Roman" w:hAnsi="Times New Roman" w:cs="Times New Roman"/>
          <w:kern w:val="24"/>
          <w:szCs w:val="24"/>
        </w:rPr>
        <w:t>。受沉陷影响的公益林主要为灌木林地，</w:t>
      </w:r>
      <w:r>
        <w:rPr>
          <w:rFonts w:ascii="Times New Roman" w:hAnsi="Times New Roman" w:cs="Times New Roman"/>
        </w:rPr>
        <w:t>抗旱性较强，生长多依赖大气降水，地表沉陷后的地下水变化对其生长无较大影响。地表沉陷基本不会对林木的正常生长产生影响，仅是在裂缝处的局部林木可能因根系裸露或植株倒伏造成生长状况不良或死亡，不会出现大面积的林木死亡，不会对整个区域的林业生产力和生态功能造成重大影响。</w:t>
      </w:r>
    </w:p>
    <w:p>
      <w:pPr>
        <w:numPr>
          <w:ilvl w:val="0"/>
          <w:numId w:val="3"/>
        </w:numPr>
        <w:spacing w:line="440" w:lineRule="exact"/>
        <w:ind w:firstLine="480" w:firstLineChars="200"/>
        <w:rPr>
          <w:rFonts w:ascii="Times New Roman" w:hAnsi="Times New Roman"/>
        </w:rPr>
      </w:pPr>
      <w:r>
        <w:rPr>
          <w:rFonts w:ascii="Times New Roman" w:hAnsi="Times New Roman"/>
          <w:szCs w:val="24"/>
        </w:rPr>
        <w:t>草地及基本草原：矿区开发后项目占地总面积为638.65hm</w:t>
      </w:r>
      <w:r>
        <w:rPr>
          <w:rFonts w:ascii="Times New Roman" w:hAnsi="Times New Roman"/>
          <w:szCs w:val="24"/>
          <w:vertAlign w:val="superscript"/>
        </w:rPr>
        <w:t>2</w:t>
      </w:r>
      <w:r>
        <w:rPr>
          <w:rFonts w:ascii="Times New Roman" w:hAnsi="Times New Roman"/>
          <w:szCs w:val="24"/>
        </w:rPr>
        <w:t>，其中</w:t>
      </w:r>
      <w:r>
        <w:rPr>
          <w:rFonts w:ascii="Times New Roman" w:hAnsi="Times New Roman"/>
        </w:rPr>
        <w:t>天然牧草地面积361.96hm</w:t>
      </w:r>
      <w:r>
        <w:rPr>
          <w:rFonts w:ascii="Times New Roman" w:hAnsi="Times New Roman"/>
          <w:vertAlign w:val="superscript"/>
        </w:rPr>
        <w:t>2</w:t>
      </w:r>
      <w:r>
        <w:rPr>
          <w:rFonts w:ascii="Times New Roman" w:hAnsi="Times New Roman"/>
        </w:rPr>
        <w:t>，人工牧草地面积15.84hm</w:t>
      </w:r>
      <w:r>
        <w:rPr>
          <w:rFonts w:ascii="Times New Roman" w:hAnsi="Times New Roman"/>
          <w:vertAlign w:val="superscript"/>
        </w:rPr>
        <w:t>2</w:t>
      </w:r>
      <w:r>
        <w:rPr>
          <w:rFonts w:ascii="Times New Roman" w:hAnsi="Times New Roman"/>
        </w:rPr>
        <w:t>，其他草地面积4.93hm</w:t>
      </w:r>
      <w:r>
        <w:rPr>
          <w:rFonts w:ascii="Times New Roman" w:hAnsi="Times New Roman"/>
          <w:vertAlign w:val="superscript"/>
        </w:rPr>
        <w:t>2</w:t>
      </w:r>
      <w:r>
        <w:rPr>
          <w:rFonts w:ascii="Times New Roman" w:hAnsi="Times New Roman"/>
        </w:rPr>
        <w:t>。项目建设后，因项目占地草地约损失生物量386.75t，数量较小，不会导致区域生物量明显减少。地表沉陷对草地的影响较小，仅在沉陷裂缝为位置有可能发生草地退化。</w:t>
      </w:r>
    </w:p>
    <w:p>
      <w:pPr>
        <w:spacing w:line="440" w:lineRule="exact"/>
        <w:ind w:firstLine="482"/>
        <w:rPr>
          <w:rFonts w:ascii="Times New Roman" w:hAnsi="Times New Roman"/>
        </w:rPr>
      </w:pPr>
      <w:r>
        <w:rPr>
          <w:rFonts w:ascii="Times New Roman" w:hAnsi="Times New Roman"/>
        </w:rPr>
        <w:t>项目建设占地中有基本草原59.12hm</w:t>
      </w:r>
      <w:r>
        <w:rPr>
          <w:rFonts w:ascii="Times New Roman" w:hAnsi="Times New Roman"/>
          <w:vertAlign w:val="superscript"/>
        </w:rPr>
        <w:t>2</w:t>
      </w:r>
      <w:r>
        <w:rPr>
          <w:rFonts w:ascii="Times New Roman" w:hAnsi="Times New Roman"/>
        </w:rPr>
        <w:t>。矿区开发后受地表沉陷影响的草地中有基本草原136.53km</w:t>
      </w:r>
      <w:r>
        <w:rPr>
          <w:rFonts w:ascii="Times New Roman" w:hAnsi="Times New Roman"/>
          <w:vertAlign w:val="superscript"/>
        </w:rPr>
        <w:t>2</w:t>
      </w:r>
      <w:r>
        <w:rPr>
          <w:rFonts w:ascii="Times New Roman" w:hAnsi="Times New Roman"/>
        </w:rPr>
        <w:t>，根据地表沉陷预测结果及上述分析，地表沉陷对基本草原影响不大，仅在局部地区可能会发生植被退化和植被演替的情况。</w:t>
      </w:r>
    </w:p>
    <w:p>
      <w:pPr>
        <w:pStyle w:val="2"/>
        <w:numPr>
          <w:ilvl w:val="0"/>
          <w:numId w:val="3"/>
        </w:numPr>
        <w:spacing w:line="440" w:lineRule="exact"/>
        <w:ind w:firstLine="480" w:firstLineChars="200"/>
        <w:rPr>
          <w:rFonts w:ascii="Times New Roman" w:eastAsia="宋体"/>
          <w:color w:val="auto"/>
        </w:rPr>
      </w:pPr>
      <w:r>
        <w:rPr>
          <w:rFonts w:ascii="Times New Roman" w:eastAsia="宋体"/>
          <w:color w:val="auto"/>
        </w:rPr>
        <w:t>土壤侵蚀：评价区水土流失类型以为风力侵蚀为主，兼有水力侵蚀，评价区内的水土流失强度以中度侵蚀为主。矿区开发之后由于施工期间会对评价区内地表造成人为干扰，一些区域植被会受到破坏，局部地区土壤侵蚀强度有所增加。另外由于井工矿开采造成地表沉陷，沉陷盆地边缘以及裂缝区域土壤侵蚀强度会有所增加。本次评价数据分析显示矿区开发后轻度侵蚀面积有所减少，中度侵蚀、强烈侵蚀面积有所增加，出现了极强烈侵蚀，但是总体上评价区土壤侵蚀强度仍以中度侵蚀为主，矿区开发对评价区土壤侵蚀总体影响不大。</w:t>
      </w:r>
    </w:p>
    <w:p>
      <w:pPr>
        <w:pStyle w:val="185"/>
        <w:numPr>
          <w:ilvl w:val="0"/>
          <w:numId w:val="3"/>
        </w:numPr>
        <w:spacing w:line="440" w:lineRule="exact"/>
        <w:ind w:firstLine="480"/>
        <w:rPr>
          <w:rFonts w:ascii="Times New Roman" w:hAnsi="Times New Roman" w:cs="Times New Roman"/>
        </w:rPr>
      </w:pPr>
      <w:r>
        <w:rPr>
          <w:rFonts w:ascii="Times New Roman" w:hAnsi="Times New Roman" w:cs="Times New Roman"/>
        </w:rPr>
        <w:t>土壤沙化：评价区总体植被盖度较少，根据计算，沙漠化敏感性指数为6.85，属于沙漠化高度敏感区，较易发生沙漠化。随着矿区，沉陷区内植被可能会出现不同程度的退化，降低了植被盖度，增加了土壤沙漠化的风险。因此，在煤矿开发过程中必须高度重视扰动地表的植被恢复工作。</w:t>
      </w:r>
    </w:p>
    <w:p>
      <w:pPr>
        <w:spacing w:line="440" w:lineRule="exact"/>
        <w:ind w:firstLine="480" w:firstLineChars="200"/>
        <w:rPr>
          <w:rFonts w:ascii="Times New Roman" w:hAnsi="Times New Roman"/>
        </w:rPr>
      </w:pPr>
      <w:r>
        <w:rPr>
          <w:rFonts w:ascii="Times New Roman" w:hAnsi="Times New Roman"/>
        </w:rPr>
        <w:t>土壤盐渍化：评价区多年平均降水量376.5mm，多年平均蒸发量2534.2mm，蒸发量/降雨量为6.4，属中度敏感；区域地下水矿化度基本在1-2.23g/l之间，属轻度敏感；评价区内盐渍化敏感性程度轻重与否主要取决于地形。总体来看，梁地对于土壤盐渍化不敏感，该区域发生土壤盐渍化的可能很小；平缓洼地属于中度敏感区，有发生土壤盐渍化的可能，应加强管理和跟踪监测，防止土地退化而发生盐渍化。</w:t>
      </w:r>
    </w:p>
    <w:p>
      <w:pPr>
        <w:numPr>
          <w:ilvl w:val="0"/>
          <w:numId w:val="3"/>
        </w:numPr>
        <w:spacing w:line="440" w:lineRule="exact"/>
        <w:ind w:firstLine="480" w:firstLineChars="200"/>
        <w:rPr>
          <w:rFonts w:ascii="Times New Roman" w:hAnsi="Times New Roman"/>
          <w:kern w:val="0"/>
        </w:rPr>
      </w:pPr>
      <w:r>
        <w:rPr>
          <w:rFonts w:ascii="Times New Roman" w:hAnsi="Times New Roman"/>
        </w:rPr>
        <w:t>野生动物：</w:t>
      </w:r>
      <w:r>
        <w:rPr>
          <w:rFonts w:ascii="Times New Roman" w:hAnsi="Times New Roman"/>
          <w:kern w:val="0"/>
        </w:rPr>
        <w:t>矿区内的野生动物主要是蒙古兔、艾鼬、黄鼬、草原黄鼠、五趾</w:t>
      </w:r>
    </w:p>
    <w:p>
      <w:pPr>
        <w:spacing w:line="440" w:lineRule="exact"/>
        <w:rPr>
          <w:rFonts w:ascii="Times New Roman" w:hAnsi="Times New Roman"/>
          <w:kern w:val="0"/>
        </w:rPr>
      </w:pPr>
      <w:r>
        <w:rPr>
          <w:rFonts w:ascii="Times New Roman" w:hAnsi="Times New Roman"/>
          <w:kern w:val="0"/>
        </w:rPr>
        <w:t>跳鼠、长爪沙鼠等小型哺乳动物和草原沙蜥等爬行动物，均为广布种。矿区开发过程中，大量施工人员进驻工程区，造成当地人类活动频繁；施工活动产生的噪声、扬尘、废弃等，都将对施工区及其附近的偶尔出现的野生动物产生干扰，使得该区域野生动物的栖息适宜度降低。因此建设单位在进行开发活动的同时应尽量减少人为扰动，降低因规划实施对其造成的不良影响。地表沉陷将会对野生动物生境产生一定的影响，特别是一些活动范围较小的洞穴动物，如鼠类、沙蜥等。但矿区内的动物为广布种，种群数量庞大，可替代生境众多，地表沉陷的影响不会对其种群生存造成威胁。</w:t>
      </w:r>
    </w:p>
    <w:p>
      <w:pPr>
        <w:pStyle w:val="5"/>
        <w:adjustRightInd w:val="0"/>
        <w:snapToGrid w:val="0"/>
        <w:spacing w:before="0" w:after="0" w:line="440" w:lineRule="exact"/>
        <w:rPr>
          <w:sz w:val="24"/>
        </w:rPr>
      </w:pPr>
      <w:r>
        <w:rPr>
          <w:sz w:val="24"/>
        </w:rPr>
        <w:t>12.3.2地下水环境影响预测与评价</w:t>
      </w:r>
    </w:p>
    <w:p>
      <w:pPr>
        <w:snapToGrid w:val="0"/>
        <w:spacing w:line="440" w:lineRule="exact"/>
        <w:ind w:firstLine="480" w:firstLineChars="200"/>
        <w:rPr>
          <w:rFonts w:ascii="Times New Roman" w:hAnsi="Times New Roman"/>
          <w:szCs w:val="24"/>
        </w:rPr>
      </w:pPr>
      <w:r>
        <w:rPr>
          <w:rFonts w:ascii="Times New Roman" w:hAnsi="Times New Roman"/>
          <w:szCs w:val="24"/>
        </w:rPr>
        <w:t>（1）煤炭开采对含水层的影响</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1）煤炭开采对第四系含水层的影响</w:t>
      </w:r>
    </w:p>
    <w:p>
      <w:pPr>
        <w:adjustRightInd w:val="0"/>
        <w:snapToGrid w:val="0"/>
        <w:spacing w:line="440" w:lineRule="exact"/>
        <w:ind w:firstLine="480" w:firstLineChars="200"/>
        <w:rPr>
          <w:rFonts w:ascii="Times New Roman" w:hAnsi="Times New Roman"/>
          <w:szCs w:val="24"/>
        </w:rPr>
      </w:pPr>
      <w:r>
        <w:rPr>
          <w:rFonts w:ascii="Times New Roman" w:hAnsi="Times New Roman"/>
          <w:kern w:val="0"/>
          <w:szCs w:val="24"/>
        </w:rPr>
        <w:t>项目区煤层埋藏较深，最上层可采煤层2-1煤埋藏深度大于700m。导裂带距第四系675.9~1042.89m，平均798.88m，导裂带远未波及第四系含水层，且下部存在安定组隔水层，隔水层岩性主要为紫红色、棕色及杂色砂质泥岩和泥岩，隔水性能好，阻隔了与下部受煤层开采影响含水层之间的水力联系，煤炭开采对第四系含水层影响较小。</w:t>
      </w:r>
    </w:p>
    <w:p>
      <w:pPr>
        <w:snapToGrid w:val="0"/>
        <w:spacing w:line="440" w:lineRule="exact"/>
        <w:ind w:firstLine="480" w:firstLineChars="200"/>
        <w:rPr>
          <w:rFonts w:ascii="Times New Roman" w:hAnsi="Times New Roman"/>
          <w:szCs w:val="24"/>
        </w:rPr>
      </w:pPr>
      <w:r>
        <w:rPr>
          <w:rFonts w:ascii="Times New Roman" w:hAnsi="Times New Roman"/>
          <w:szCs w:val="24"/>
        </w:rPr>
        <w:t>2）煤炭开采对白垩系下统志丹群（K</w:t>
      </w:r>
      <w:r>
        <w:rPr>
          <w:rFonts w:ascii="Times New Roman" w:hAnsi="Times New Roman"/>
          <w:szCs w:val="24"/>
          <w:vertAlign w:val="subscript"/>
        </w:rPr>
        <w:t>1</w:t>
      </w:r>
      <w:r>
        <w:rPr>
          <w:rFonts w:ascii="Times New Roman" w:hAnsi="Times New Roman"/>
          <w:szCs w:val="24"/>
        </w:rPr>
        <w:t>zh）孔隙潜水～裂隙承压水含水岩组的影响</w:t>
      </w:r>
    </w:p>
    <w:p>
      <w:pPr>
        <w:tabs>
          <w:tab w:val="center" w:pos="1680"/>
        </w:tabs>
        <w:adjustRightInd w:val="0"/>
        <w:snapToGrid w:val="0"/>
        <w:spacing w:line="440" w:lineRule="exact"/>
        <w:ind w:firstLine="480" w:firstLineChars="200"/>
        <w:rPr>
          <w:rFonts w:ascii="Times New Roman" w:hAnsi="Times New Roman"/>
          <w:color w:val="FF0000"/>
          <w:szCs w:val="24"/>
        </w:rPr>
      </w:pPr>
      <w:r>
        <w:rPr>
          <w:rFonts w:ascii="Times New Roman" w:hAnsi="Times New Roman"/>
          <w:color w:val="FF0000"/>
          <w:szCs w:val="24"/>
        </w:rPr>
        <w:t>据各勘探线钻孔煤层导水裂缝带最大发育高度计算结果，导水裂缝带距离含水岩组46.9~294.19m，平均147.66m，未波及该含水岩组，且含水岩组下部存在矿区</w:t>
      </w:r>
      <w:r>
        <w:rPr>
          <w:rFonts w:hint="eastAsia" w:ascii="Times New Roman" w:hAnsi="Times New Roman"/>
          <w:color w:val="FF0000"/>
          <w:szCs w:val="24"/>
        </w:rPr>
        <w:t>广泛分布</w:t>
      </w:r>
      <w:r>
        <w:rPr>
          <w:rFonts w:ascii="Times New Roman" w:hAnsi="Times New Roman"/>
          <w:color w:val="FF0000"/>
          <w:szCs w:val="24"/>
        </w:rPr>
        <w:t>，且隔水性能较好侏罗系中统安定组隔水层，根据分析，矿区仅局部居于会导入安定组，并未贯通隔水层，</w:t>
      </w:r>
      <w:bookmarkStart w:id="441" w:name="_Hlk98952406"/>
      <w:r>
        <w:rPr>
          <w:rFonts w:ascii="Times New Roman" w:hAnsi="Times New Roman"/>
          <w:color w:val="FF0000"/>
          <w:szCs w:val="24"/>
        </w:rPr>
        <w:t>导入区安定组剩余厚度约46.9~178m</w:t>
      </w:r>
      <w:bookmarkEnd w:id="441"/>
      <w:r>
        <w:rPr>
          <w:rFonts w:ascii="Times New Roman" w:hAnsi="Times New Roman"/>
          <w:color w:val="FF0000"/>
          <w:szCs w:val="24"/>
        </w:rPr>
        <w:t>，导入区安定组仍具有较厚的隔水层段，</w:t>
      </w:r>
      <w:r>
        <w:rPr>
          <w:rFonts w:hint="eastAsia" w:ascii="Times New Roman" w:hAnsi="Times New Roman"/>
          <w:color w:val="FF0000"/>
          <w:szCs w:val="24"/>
        </w:rPr>
        <w:t>且安定组厚度小于</w:t>
      </w:r>
      <w:r>
        <w:rPr>
          <w:rFonts w:ascii="Times New Roman" w:hAnsi="Times New Roman"/>
          <w:color w:val="FF0000"/>
          <w:szCs w:val="24"/>
        </w:rPr>
        <w:t>30m的区域（局部分布于纳林希里井田南部）导裂带发育顶界面距离安定组底板约22.6~116m，能极大程度保证安定组不被破坏，隔水性能良好，阻隔了与下部含水层水力联系，评价认为煤炭开采对志丹群含水岩组影响较小。</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3）煤炭开采对煤系上覆侏罗系中统直罗组碎屑岩类承压水含水岩组、煤系含水岩组的影响</w:t>
      </w:r>
    </w:p>
    <w:p>
      <w:pPr>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矿区导水裂缝带普遍导入直罗组，煤矿开采直接破坏含水岩组结构，承压水排泄方式将由原天然排泄方式变为以人工开采排泄为主，含水岩组内地下水基本被疏干，</w:t>
      </w:r>
      <w:r>
        <w:rPr>
          <w:rFonts w:hint="eastAsia" w:ascii="Times New Roman" w:hAnsi="Times New Roman"/>
          <w:kern w:val="0"/>
          <w:szCs w:val="24"/>
        </w:rPr>
        <w:t>作为矿井涌水排至地面</w:t>
      </w:r>
      <w:r>
        <w:rPr>
          <w:rFonts w:ascii="Times New Roman" w:hAnsi="Times New Roman"/>
          <w:kern w:val="0"/>
          <w:szCs w:val="24"/>
        </w:rPr>
        <w:t>。</w:t>
      </w:r>
    </w:p>
    <w:p>
      <w:pPr>
        <w:snapToGrid w:val="0"/>
        <w:spacing w:line="440" w:lineRule="exact"/>
        <w:ind w:firstLine="480" w:firstLineChars="200"/>
        <w:rPr>
          <w:rFonts w:ascii="Times New Roman" w:hAnsi="Times New Roman"/>
          <w:szCs w:val="24"/>
        </w:rPr>
      </w:pPr>
      <w:r>
        <w:rPr>
          <w:rFonts w:ascii="Times New Roman" w:hAnsi="Times New Roman"/>
          <w:szCs w:val="24"/>
        </w:rPr>
        <w:t>（2）煤炭开采对地下水水位的影响</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szCs w:val="24"/>
        </w:rPr>
        <w:t>1）煤炭开采对第四系含水层、白垩系志丹群含水岩组水位的影响</w:t>
      </w:r>
    </w:p>
    <w:p>
      <w:pPr>
        <w:autoSpaceDE w:val="0"/>
        <w:autoSpaceDN w:val="0"/>
        <w:adjustRightInd w:val="0"/>
        <w:snapToGrid w:val="0"/>
        <w:spacing w:line="440" w:lineRule="exact"/>
        <w:ind w:firstLine="480" w:firstLineChars="200"/>
        <w:rPr>
          <w:rFonts w:ascii="Times New Roman" w:hAnsi="Times New Roman"/>
          <w:szCs w:val="24"/>
        </w:rPr>
      </w:pPr>
      <w:r>
        <w:rPr>
          <w:rFonts w:ascii="Times New Roman" w:hAnsi="Times New Roman"/>
          <w:kern w:val="0"/>
          <w:szCs w:val="24"/>
        </w:rPr>
        <w:t>导裂带未波及</w:t>
      </w:r>
      <w:r>
        <w:rPr>
          <w:rFonts w:ascii="Times New Roman" w:hAnsi="Times New Roman"/>
          <w:szCs w:val="24"/>
        </w:rPr>
        <w:t>第四系含水层、白垩系志丹群含水岩组，且第四系含水层、白垩系志丹群含水岩组由于安定组隔水层的阻隔作用，与下部受煤炭开采影响的含水层水力联系弱，当下部含水层（岩组）中地下水水位下降时，对其水位影响比较小。</w:t>
      </w:r>
    </w:p>
    <w:p>
      <w:pPr>
        <w:autoSpaceDE w:val="0"/>
        <w:autoSpaceDN w:val="0"/>
        <w:adjustRightInd w:val="0"/>
        <w:snapToGrid w:val="0"/>
        <w:spacing w:line="440" w:lineRule="exact"/>
        <w:ind w:firstLine="480" w:firstLineChars="200"/>
        <w:rPr>
          <w:rFonts w:ascii="Times New Roman" w:hAnsi="Times New Roman"/>
          <w:kern w:val="0"/>
          <w:szCs w:val="24"/>
        </w:rPr>
      </w:pPr>
      <w:r>
        <w:rPr>
          <w:rFonts w:ascii="Times New Roman" w:hAnsi="Times New Roman"/>
          <w:kern w:val="0"/>
          <w:szCs w:val="24"/>
        </w:rPr>
        <w:t>因此，评价认为煤矿开采对第四系含水层</w:t>
      </w:r>
      <w:r>
        <w:rPr>
          <w:rFonts w:ascii="Times New Roman" w:hAnsi="Times New Roman"/>
          <w:szCs w:val="24"/>
        </w:rPr>
        <w:t>、白垩系志丹群含水岩组水位影响</w:t>
      </w:r>
      <w:r>
        <w:rPr>
          <w:rFonts w:ascii="Times New Roman" w:hAnsi="Times New Roman"/>
          <w:kern w:val="0"/>
          <w:szCs w:val="24"/>
        </w:rPr>
        <w:t>较小。</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2）煤炭开采对直罗组碎屑岩类承压水含水岩组、煤系含水岩组水位的影响</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煤炭开采直接破坏煤系含水岩组，且导水裂缝带普遍导入直罗组。随着矿井水的排出，地下水位逐年下降，形成以开采区为中心的不规则水位降落漏斗。根据对主要影响含水层疏干影响半径计算，直罗组碎屑岩类承压水含水岩组疏干影响半径约1425.82m，直罗组底部至3煤组底碎屑岩类承压水含水岩组疏干影响半径约2426.77m，4煤组顶部至6煤组底碎屑岩类承压水含水岩组疏干影响半径约1098.09m。</w:t>
      </w:r>
    </w:p>
    <w:p>
      <w:pPr>
        <w:tabs>
          <w:tab w:val="center" w:pos="1680"/>
        </w:tabs>
        <w:adjustRightInd w:val="0"/>
        <w:snapToGrid w:val="0"/>
        <w:spacing w:line="440" w:lineRule="exact"/>
        <w:ind w:firstLine="480" w:firstLineChars="200"/>
        <w:rPr>
          <w:rFonts w:ascii="Times New Roman" w:hAnsi="Times New Roman"/>
          <w:szCs w:val="24"/>
        </w:rPr>
      </w:pPr>
      <w:r>
        <w:rPr>
          <w:rFonts w:ascii="Times New Roman" w:hAnsi="Times New Roman"/>
          <w:szCs w:val="24"/>
        </w:rPr>
        <w:t>煤炭开采对直罗组碎屑岩类承压水含水岩组、煤系含水岩组水位的影响较大。</w:t>
      </w:r>
    </w:p>
    <w:p>
      <w:pPr>
        <w:spacing w:line="440" w:lineRule="exact"/>
        <w:ind w:firstLine="480" w:firstLineChars="200"/>
        <w:rPr>
          <w:rFonts w:ascii="Times New Roman" w:hAnsi="Times New Roman"/>
          <w:szCs w:val="24"/>
        </w:rPr>
      </w:pPr>
      <w:r>
        <w:rPr>
          <w:rFonts w:ascii="Times New Roman" w:hAnsi="Times New Roman"/>
          <w:szCs w:val="24"/>
        </w:rPr>
        <w:t>（3）煤炭开采对地下水水质的影响分析</w:t>
      </w:r>
    </w:p>
    <w:p>
      <w:pPr>
        <w:spacing w:line="440" w:lineRule="exact"/>
        <w:ind w:firstLine="480" w:firstLineChars="200"/>
        <w:rPr>
          <w:rFonts w:ascii="Times New Roman" w:hAnsi="Times New Roman"/>
          <w:szCs w:val="24"/>
        </w:rPr>
      </w:pPr>
      <w:r>
        <w:rPr>
          <w:rFonts w:ascii="Times New Roman" w:hAnsi="Times New Roman"/>
          <w:szCs w:val="24"/>
        </w:rPr>
        <w:t>各矿井生产生活污水及排出的矿井水经处理站处理达标后均进行妥善处置，可能造成地下水污染的设施均进行相应防渗处理，不会造成地下水水质污染。因此矿区开发对地下含水层水质影响较小。</w:t>
      </w:r>
    </w:p>
    <w:p>
      <w:pPr>
        <w:spacing w:line="440" w:lineRule="exact"/>
        <w:ind w:firstLine="480" w:firstLineChars="200"/>
        <w:rPr>
          <w:rFonts w:ascii="Times New Roman" w:hAnsi="Times New Roman"/>
          <w:szCs w:val="24"/>
        </w:rPr>
      </w:pPr>
      <w:r>
        <w:rPr>
          <w:rFonts w:ascii="Times New Roman" w:hAnsi="Times New Roman"/>
          <w:szCs w:val="24"/>
        </w:rPr>
        <w:t>（4）煤炭开采对地下水资源量的影响分析</w:t>
      </w:r>
    </w:p>
    <w:p>
      <w:pPr>
        <w:spacing w:line="440" w:lineRule="exact"/>
        <w:ind w:firstLine="480" w:firstLineChars="200"/>
        <w:rPr>
          <w:rFonts w:ascii="Times New Roman" w:hAnsi="Times New Roman"/>
          <w:szCs w:val="24"/>
        </w:rPr>
      </w:pPr>
      <w:r>
        <w:rPr>
          <w:rFonts w:ascii="Times New Roman" w:hAnsi="Times New Roman"/>
          <w:szCs w:val="24"/>
        </w:rPr>
        <w:t>煤炭开采对第四系及白垩系含水层影响较小，主要破坏煤系上覆侏罗系中统直罗组碎屑岩类承压水含水岩组及煤系含水岩组的地下水资源量。根据地质、水文地质资料，以上含水岩组水质较差，不具供水意义。经导水裂缝带、巷道排出的矿井水分别排入各矿井水处理站经分质处理后回用于矿井井下消防洒水、选煤厂生产补充水、辅助企业生产用水，后期经深度处理可用于矿井生活用水；富剩余部分可处理达到地表水III类水水质标准后，就近排入井田内地势低洼的淖尔，增加淖尔水量，改善淖尔水质及周边生态，也可根据临近的鄂尔多斯江苏工业园区用水需求，送到该工业园区作为生产、生活及园区绿化用水等综合利用。</w:t>
      </w:r>
    </w:p>
    <w:p>
      <w:pPr>
        <w:spacing w:line="440" w:lineRule="exact"/>
        <w:ind w:firstLine="480" w:firstLineChars="200"/>
        <w:rPr>
          <w:rFonts w:ascii="Times New Roman" w:hAnsi="Times New Roman"/>
          <w:szCs w:val="24"/>
        </w:rPr>
      </w:pPr>
      <w:r>
        <w:rPr>
          <w:rFonts w:ascii="Times New Roman" w:hAnsi="Times New Roman"/>
          <w:szCs w:val="24"/>
        </w:rPr>
        <w:t>因此，矿区开采不会造成大量地下水资源的浪费和损失。</w:t>
      </w:r>
    </w:p>
    <w:p>
      <w:pPr>
        <w:spacing w:line="440" w:lineRule="exact"/>
        <w:ind w:firstLine="480" w:firstLineChars="200"/>
        <w:rPr>
          <w:rFonts w:ascii="Times New Roman" w:hAnsi="Times New Roman"/>
          <w:szCs w:val="24"/>
        </w:rPr>
      </w:pPr>
      <w:r>
        <w:rPr>
          <w:rFonts w:ascii="Times New Roman" w:hAnsi="Times New Roman"/>
          <w:szCs w:val="24"/>
        </w:rPr>
        <w:t>（5）煤炭开采对水源地及居民水井的影响分析</w:t>
      </w:r>
    </w:p>
    <w:p>
      <w:pPr>
        <w:spacing w:line="440" w:lineRule="exact"/>
        <w:ind w:firstLine="480" w:firstLineChars="200"/>
        <w:rPr>
          <w:rFonts w:ascii="Times New Roman" w:hAnsi="Times New Roman"/>
          <w:szCs w:val="24"/>
        </w:rPr>
      </w:pPr>
      <w:r>
        <w:rPr>
          <w:rFonts w:ascii="Times New Roman" w:hAnsi="Times New Roman"/>
          <w:szCs w:val="24"/>
        </w:rPr>
        <w:t>矿区涉及水源地有2个，分别是伊金霍洛旗红庆河镇乌兰淖水源地、伊金霍洛旗红庆河镇哈达图淖尔水源地, 水源地取水层位均为白垩系志丹群（保安群）含水岩组。根据资料收集及调查，矿区内水井取水层位为第四系、白垩系志丹群组含水层。</w:t>
      </w:r>
    </w:p>
    <w:p>
      <w:pPr>
        <w:spacing w:line="440" w:lineRule="exact"/>
        <w:ind w:firstLine="480" w:firstLineChars="200"/>
        <w:rPr>
          <w:rFonts w:ascii="Times New Roman" w:hAnsi="Times New Roman"/>
          <w:szCs w:val="24"/>
        </w:rPr>
      </w:pPr>
      <w:r>
        <w:rPr>
          <w:rFonts w:ascii="Times New Roman" w:hAnsi="Times New Roman"/>
          <w:szCs w:val="24"/>
        </w:rPr>
        <w:t>本次评价对第四系潜水含水层、白垩系志丹群含水岩组的水位、水质影响进行了分析。根据分析，导水裂缝带未直接波及上述含水层，且与下部含水层之间存在一隔水性能较好的安定组隔水层，阻隔了与下部含水层的水力联系，煤炭开采对第四系及白垩系含水层水位影响较小；</w:t>
      </w:r>
    </w:p>
    <w:p>
      <w:pPr>
        <w:spacing w:line="440" w:lineRule="exact"/>
        <w:ind w:firstLine="480" w:firstLineChars="200"/>
        <w:rPr>
          <w:rFonts w:ascii="Times New Roman" w:hAnsi="Times New Roman"/>
          <w:szCs w:val="24"/>
        </w:rPr>
      </w:pPr>
      <w:r>
        <w:rPr>
          <w:rFonts w:ascii="Times New Roman" w:hAnsi="Times New Roman"/>
          <w:szCs w:val="24"/>
        </w:rPr>
        <w:t>煤矿开采的生产生活废水及矿井水经处理站处理达标后，能得到妥善处置，可能产生地下水污染的设施均采取了防渗措施，因此煤炭开采对第四系潜水含水层及白垩系志丹群组含水岩组地下水水质影响较小。</w:t>
      </w:r>
    </w:p>
    <w:p>
      <w:pPr>
        <w:adjustRightInd w:val="0"/>
        <w:snapToGrid w:val="0"/>
        <w:spacing w:line="440" w:lineRule="exact"/>
        <w:ind w:firstLine="480" w:firstLineChars="200"/>
        <w:rPr>
          <w:rFonts w:ascii="Times New Roman" w:hAnsi="Times New Roman"/>
        </w:rPr>
      </w:pPr>
      <w:r>
        <w:rPr>
          <w:rFonts w:ascii="Times New Roman" w:hAnsi="Times New Roman"/>
          <w:szCs w:val="24"/>
        </w:rPr>
        <w:t>综上，评价认为煤炭开采对水源地及居民水井的影响较小。</w:t>
      </w:r>
    </w:p>
    <w:p>
      <w:pPr>
        <w:pStyle w:val="5"/>
        <w:adjustRightInd w:val="0"/>
        <w:snapToGrid w:val="0"/>
        <w:spacing w:before="0" w:after="0" w:line="440" w:lineRule="exact"/>
        <w:rPr>
          <w:sz w:val="24"/>
        </w:rPr>
      </w:pPr>
      <w:r>
        <w:rPr>
          <w:sz w:val="24"/>
        </w:rPr>
        <w:t>12.3.3 地表水环境影响预测与评价</w:t>
      </w:r>
    </w:p>
    <w:p>
      <w:pPr>
        <w:spacing w:line="440" w:lineRule="exact"/>
        <w:ind w:firstLine="480" w:firstLineChars="200"/>
        <w:rPr>
          <w:rFonts w:ascii="Times New Roman" w:hAnsi="Times New Roman"/>
        </w:rPr>
      </w:pPr>
      <w:r>
        <w:rPr>
          <w:rFonts w:ascii="Times New Roman" w:hAnsi="Times New Roman"/>
          <w:snapToGrid w:val="0"/>
        </w:rPr>
        <w:t>本矿区矿井水、生产生活污废水分质处理达标后优先回用于矿井作为井下消防洒水、选煤厂生产补充水、辅助企业生产用水等</w:t>
      </w:r>
      <w:r>
        <w:rPr>
          <w:rFonts w:ascii="Times New Roman" w:hAnsi="Times New Roman"/>
        </w:rPr>
        <w:t>生产生活用水</w:t>
      </w:r>
      <w:r>
        <w:rPr>
          <w:rFonts w:ascii="Times New Roman" w:hAnsi="Times New Roman"/>
          <w:snapToGrid w:val="0"/>
        </w:rPr>
        <w:t>综合利用，</w:t>
      </w:r>
      <w:r>
        <w:rPr>
          <w:rFonts w:ascii="Times New Roman" w:hAnsi="Times New Roman"/>
        </w:rPr>
        <w:t>部分井下排水经深度处理后，回用于矿井作为生产生活用水综合利用，剩余部分可处理达到地表水III类水水质标准后，</w:t>
      </w:r>
      <w:r>
        <w:rPr>
          <w:rFonts w:hint="eastAsia" w:ascii="Times New Roman" w:hAnsi="Times New Roman"/>
        </w:rPr>
        <w:t>送至临近的蒙苏经济开发区及纳林希里4×1000MW煤电一体化电厂项目</w:t>
      </w:r>
      <w:r>
        <w:rPr>
          <w:rFonts w:ascii="Times New Roman" w:hAnsi="Times New Roman"/>
        </w:rPr>
        <w:t>作为生产、生活及园区绿化用水等综合利用。</w:t>
      </w:r>
      <w:r>
        <w:rPr>
          <w:rFonts w:hint="eastAsia" w:ascii="Times New Roman" w:hAnsi="Times New Roman"/>
        </w:rPr>
        <w:t>如有多余可</w:t>
      </w:r>
      <w:r>
        <w:rPr>
          <w:rFonts w:ascii="Times New Roman" w:hAnsi="Times New Roman"/>
        </w:rPr>
        <w:t>就近排入井田内地势低洼的淖尔，增加淖尔水量，改善淖尔水质及周边生态。</w:t>
      </w:r>
    </w:p>
    <w:p>
      <w:pPr>
        <w:spacing w:line="440" w:lineRule="exact"/>
        <w:ind w:firstLine="480" w:firstLineChars="200"/>
        <w:rPr>
          <w:rStyle w:val="74"/>
          <w:rFonts w:ascii="Times New Roman" w:hAnsi="Times New Roman"/>
        </w:rPr>
      </w:pPr>
      <w:r>
        <w:rPr>
          <w:rFonts w:ascii="Times New Roman" w:hAnsi="Times New Roman"/>
          <w:snapToGrid w:val="0"/>
        </w:rPr>
        <w:t>根据对矿区内淖尔水质监测，淖尔水质达不到地表水III类水水质标准，矿区矿井水在矿井自身综合利用后富余部分，本次评价提出</w:t>
      </w:r>
      <w:r>
        <w:rPr>
          <w:rFonts w:ascii="Times New Roman" w:hAnsi="Times New Roman"/>
        </w:rPr>
        <w:t>处理达到地表水III类水水质标准后，就近排入井田内地势低洼的淖尔。一方面可增加淖尔水量，部分干涸或接近干涸的淖尔水量得到补充，改善淖尔及周边生态；另一方面处理达到地表水III类水水质标准后的矿井水水质比淖尔原有水质要好，可改善淖尔水质。</w:t>
      </w:r>
      <w:r>
        <w:rPr>
          <w:rFonts w:ascii="Times New Roman" w:hAnsi="Times New Roman"/>
          <w:snapToGrid w:val="0"/>
        </w:rPr>
        <w:t xml:space="preserve"> </w:t>
      </w:r>
    </w:p>
    <w:p>
      <w:pPr>
        <w:pStyle w:val="5"/>
        <w:adjustRightInd w:val="0"/>
        <w:snapToGrid w:val="0"/>
        <w:spacing w:before="0" w:after="0" w:line="440" w:lineRule="exact"/>
        <w:rPr>
          <w:sz w:val="24"/>
        </w:rPr>
      </w:pPr>
      <w:r>
        <w:rPr>
          <w:sz w:val="24"/>
        </w:rPr>
        <w:t>12.3.4 大气环境影响预测与评价</w:t>
      </w:r>
    </w:p>
    <w:p>
      <w:pPr>
        <w:spacing w:line="440" w:lineRule="exact"/>
        <w:ind w:firstLine="480" w:firstLineChars="200"/>
        <w:rPr>
          <w:rFonts w:ascii="Times New Roman" w:hAnsi="Times New Roman"/>
          <w:kern w:val="0"/>
        </w:rPr>
      </w:pPr>
      <w:r>
        <w:rPr>
          <w:rFonts w:ascii="Times New Roman" w:hAnsi="Times New Roman"/>
        </w:rPr>
        <w:t>根据本次评价预测，本项目主要关心点鄂尔多斯市遗鸥国家级保护区各预测因子的最大浓度值未超过（GB3095-2012）中一级标准；且区域最大浓度贡献值的位置位于纳林希里井田，远离遗鸥自然保护区，项目大气污染源对遗鸥自然保护区的空气质量影响较小。各居民点预测因子的最大浓度值未超过（GB3095-2012）中二级标准，说明项目大气污染源对周边主要关心点的空气质量影响较小。</w:t>
      </w:r>
    </w:p>
    <w:p>
      <w:pPr>
        <w:adjustRightInd w:val="0"/>
        <w:snapToGrid w:val="0"/>
        <w:spacing w:line="440" w:lineRule="exact"/>
        <w:ind w:firstLine="480" w:firstLineChars="200"/>
        <w:rPr>
          <w:rFonts w:ascii="Times New Roman" w:hAnsi="Times New Roman"/>
          <w:kern w:val="0"/>
        </w:rPr>
      </w:pPr>
      <w:r>
        <w:rPr>
          <w:rFonts w:ascii="Times New Roman" w:hAnsi="Times New Roman"/>
        </w:rPr>
        <w:t>综上，总体而言，矿区规划实施后，大气污染物</w:t>
      </w:r>
      <w:r>
        <w:rPr>
          <w:rFonts w:ascii="Times New Roman" w:hAnsi="Times New Roman"/>
          <w:kern w:val="0"/>
        </w:rPr>
        <w:t>SO</w:t>
      </w:r>
      <w:r>
        <w:rPr>
          <w:rFonts w:ascii="Times New Roman" w:hAnsi="Times New Roman"/>
          <w:kern w:val="0"/>
          <w:vertAlign w:val="subscript"/>
        </w:rPr>
        <w:t>2</w:t>
      </w:r>
      <w:r>
        <w:rPr>
          <w:rFonts w:ascii="Times New Roman" w:hAnsi="Times New Roman"/>
          <w:kern w:val="0"/>
        </w:rPr>
        <w:t>、NO</w:t>
      </w:r>
      <w:r>
        <w:rPr>
          <w:rFonts w:ascii="Times New Roman" w:hAnsi="Times New Roman"/>
          <w:kern w:val="0"/>
          <w:vertAlign w:val="subscript"/>
        </w:rPr>
        <w:t>2</w:t>
      </w:r>
      <w:r>
        <w:rPr>
          <w:rFonts w:ascii="Times New Roman" w:hAnsi="Times New Roman"/>
          <w:kern w:val="0"/>
        </w:rPr>
        <w:t>、PM</w:t>
      </w:r>
      <w:r>
        <w:rPr>
          <w:rFonts w:ascii="Times New Roman" w:hAnsi="Times New Roman"/>
          <w:kern w:val="0"/>
          <w:vertAlign w:val="subscript"/>
        </w:rPr>
        <w:t>10</w:t>
      </w:r>
      <w:r>
        <w:rPr>
          <w:rFonts w:ascii="Times New Roman" w:hAnsi="Times New Roman"/>
        </w:rPr>
        <w:t>对关心点和评价区环境空气质量的影响在其可承受范围之内。</w:t>
      </w:r>
    </w:p>
    <w:p>
      <w:pPr>
        <w:pStyle w:val="5"/>
        <w:adjustRightInd w:val="0"/>
        <w:snapToGrid w:val="0"/>
        <w:spacing w:before="0" w:after="0" w:line="440" w:lineRule="exact"/>
        <w:rPr>
          <w:sz w:val="24"/>
        </w:rPr>
      </w:pPr>
      <w:r>
        <w:rPr>
          <w:sz w:val="24"/>
        </w:rPr>
        <w:t>12.3.4 固体废物环境影响预测与评价</w:t>
      </w:r>
    </w:p>
    <w:p>
      <w:pPr>
        <w:adjustRightInd w:val="0"/>
        <w:snapToGrid w:val="0"/>
        <w:spacing w:line="440" w:lineRule="exact"/>
        <w:ind w:firstLine="480" w:firstLineChars="200"/>
        <w:rPr>
          <w:rFonts w:ascii="Times New Roman" w:hAnsi="Times New Roman"/>
        </w:rPr>
      </w:pPr>
      <w:r>
        <w:rPr>
          <w:rFonts w:ascii="Times New Roman" w:hAnsi="Times New Roman"/>
        </w:rPr>
        <w:t>矿区开发所产生的固废主要为煤矸石、锅炉灰渣、生活垃圾、生活污水处理站有机污泥，只要按照本报告提出的固废综合利用和处置措施，矿区固体废物不会对环境造成较大影响，不会对矿区建设规模造成制约性的影响。</w:t>
      </w:r>
    </w:p>
    <w:p>
      <w:pPr>
        <w:pStyle w:val="5"/>
        <w:adjustRightInd w:val="0"/>
        <w:snapToGrid w:val="0"/>
        <w:spacing w:before="0" w:after="0" w:line="440" w:lineRule="exact"/>
        <w:rPr>
          <w:sz w:val="24"/>
        </w:rPr>
      </w:pPr>
      <w:r>
        <w:rPr>
          <w:sz w:val="24"/>
        </w:rPr>
        <w:t>12.3.5 声环境影响预测与评价</w:t>
      </w:r>
    </w:p>
    <w:p>
      <w:pPr>
        <w:adjustRightInd w:val="0"/>
        <w:snapToGrid w:val="0"/>
        <w:spacing w:line="440" w:lineRule="exact"/>
        <w:ind w:firstLine="480" w:firstLineChars="200"/>
        <w:rPr>
          <w:rFonts w:ascii="Times New Roman" w:hAnsi="Times New Roman"/>
        </w:rPr>
      </w:pPr>
      <w:r>
        <w:rPr>
          <w:rFonts w:ascii="Times New Roman" w:hAnsi="Times New Roman"/>
        </w:rPr>
        <w:t>矿区范围内涉及村庄较多，按照本报告提出的噪声污染控制措施，矿区开发不会对声环境造成较大影响</w:t>
      </w:r>
      <w:r>
        <w:rPr>
          <w:rFonts w:ascii="Times New Roman" w:hAnsi="Times New Roman"/>
          <w:spacing w:val="3"/>
          <w:kern w:val="0"/>
        </w:rPr>
        <w:t>，不会产生噪声扰民现象</w:t>
      </w:r>
      <w:r>
        <w:rPr>
          <w:rFonts w:ascii="Times New Roman" w:hAnsi="Times New Roman"/>
          <w:kern w:val="0"/>
        </w:rPr>
        <w:t>。</w:t>
      </w:r>
    </w:p>
    <w:p>
      <w:pPr>
        <w:pStyle w:val="5"/>
        <w:adjustRightInd w:val="0"/>
        <w:snapToGrid w:val="0"/>
        <w:spacing w:before="0" w:after="0" w:line="440" w:lineRule="exact"/>
        <w:rPr>
          <w:sz w:val="24"/>
        </w:rPr>
      </w:pPr>
      <w:r>
        <w:rPr>
          <w:sz w:val="24"/>
        </w:rPr>
        <w:t>12.3.6 社会经济影响分析</w:t>
      </w:r>
    </w:p>
    <w:p>
      <w:pPr>
        <w:adjustRightInd w:val="0"/>
        <w:snapToGrid w:val="0"/>
        <w:spacing w:line="440" w:lineRule="exact"/>
        <w:ind w:firstLine="480" w:firstLineChars="200"/>
        <w:rPr>
          <w:rFonts w:ascii="Times New Roman" w:hAnsi="Times New Roman"/>
        </w:rPr>
      </w:pPr>
      <w:r>
        <w:rPr>
          <w:rFonts w:ascii="Times New Roman" w:hAnsi="Times New Roman"/>
        </w:rPr>
        <w:t>矿区规划方案实施对当地社会经济的影响利弊并存。有利影响主要表现在促进当地经济发展，改善区域基础设施，增加区域经济收入；增加当地少数民族群众就业机会，缓解民族矛盾；促进国家矿产资源有序开发等；由于矿区内无常住农牧民，其不利影响较小，主要表现在矿区采煤沉陷对地形地貌、土地利用格局造成的不良影响，可通过生态整治减缓这种不利影响。</w:t>
      </w:r>
    </w:p>
    <w:p>
      <w:pPr>
        <w:pStyle w:val="5"/>
        <w:adjustRightInd w:val="0"/>
        <w:snapToGrid w:val="0"/>
        <w:spacing w:before="0" w:after="0" w:line="440" w:lineRule="exact"/>
        <w:rPr>
          <w:sz w:val="24"/>
        </w:rPr>
      </w:pPr>
      <w:r>
        <w:rPr>
          <w:sz w:val="24"/>
        </w:rPr>
        <w:t>12.3.7 对鄂尔多斯遗鸥国家级自然保护区自然保护区的影响分析</w:t>
      </w:r>
    </w:p>
    <w:p>
      <w:pPr>
        <w:adjustRightInd w:val="0"/>
        <w:snapToGrid w:val="0"/>
        <w:spacing w:line="440" w:lineRule="exact"/>
        <w:ind w:firstLine="480" w:firstLineChars="200"/>
        <w:rPr>
          <w:rFonts w:ascii="Times New Roman" w:hAnsi="Times New Roman"/>
          <w:szCs w:val="24"/>
          <w:lang w:bidi="ar"/>
        </w:rPr>
      </w:pPr>
      <w:r>
        <w:rPr>
          <w:rFonts w:ascii="Times New Roman" w:hAnsi="Times New Roman"/>
        </w:rPr>
        <w:t>鄂尔多斯遗鸥国家级自然保护区位于矿区北侧，其实验区南边界紧邻矿区东北边界。保护区内桃-阿海子湖心岛面积大小及其离岸距离是影响遗鸥在保护区内进行繁殖栖息与否的关键性因子。纳林希里矿区距桃-阿海子约2.6km，</w:t>
      </w:r>
      <w:r>
        <w:rPr>
          <w:rFonts w:ascii="Times New Roman" w:hAnsi="Times New Roman"/>
          <w:szCs w:val="24"/>
          <w:lang w:bidi="ar"/>
        </w:rPr>
        <w:t>桃-阿海子主要地下水补给源为第四系松散潜水含水层及白垩系碎屑岩孔隙潜水含水层</w:t>
      </w:r>
      <w:r>
        <w:rPr>
          <w:rFonts w:hint="eastAsia" w:ascii="Times New Roman" w:hAnsi="Times New Roman"/>
          <w:szCs w:val="24"/>
          <w:lang w:bidi="ar"/>
        </w:rPr>
        <w:t>，</w:t>
      </w:r>
      <w:r>
        <w:rPr>
          <w:rFonts w:ascii="Times New Roman" w:hAnsi="Times New Roman"/>
          <w:szCs w:val="24"/>
          <w:lang w:bidi="ar"/>
        </w:rPr>
        <w:t>根据本次评价影响分析，</w:t>
      </w:r>
      <w:r>
        <w:rPr>
          <w:rFonts w:ascii="Times New Roman" w:hAnsi="Times New Roman"/>
        </w:rPr>
        <w:t>矿区内煤层埋藏较深，</w:t>
      </w:r>
      <w:r>
        <w:rPr>
          <w:rFonts w:hint="eastAsia" w:ascii="Times New Roman" w:hAnsi="Times New Roman"/>
        </w:rPr>
        <w:t>矿区煤炭开发</w:t>
      </w:r>
      <w:r>
        <w:rPr>
          <w:rFonts w:ascii="Times New Roman" w:hAnsi="Times New Roman"/>
          <w:szCs w:val="24"/>
        </w:rPr>
        <w:t>导水裂缝带距离</w:t>
      </w:r>
      <w:r>
        <w:rPr>
          <w:rFonts w:hint="eastAsia" w:ascii="Times New Roman" w:hAnsi="Times New Roman"/>
          <w:szCs w:val="24"/>
        </w:rPr>
        <w:t>白垩系底板距离平均</w:t>
      </w:r>
      <w:r>
        <w:rPr>
          <w:rFonts w:ascii="Times New Roman" w:hAnsi="Times New Roman"/>
          <w:szCs w:val="24"/>
        </w:rPr>
        <w:t>147.66m</w:t>
      </w:r>
      <w:r>
        <w:rPr>
          <w:rFonts w:hint="eastAsia" w:ascii="Times New Roman" w:hAnsi="Times New Roman"/>
          <w:szCs w:val="24"/>
        </w:rPr>
        <w:t>，</w:t>
      </w:r>
      <w:r>
        <w:rPr>
          <w:rFonts w:ascii="Times New Roman" w:hAnsi="Times New Roman"/>
        </w:rPr>
        <w:t>煤炭开采对</w:t>
      </w:r>
      <w:r>
        <w:rPr>
          <w:rFonts w:ascii="Times New Roman" w:hAnsi="Times New Roman"/>
          <w:szCs w:val="24"/>
          <w:lang w:bidi="ar"/>
        </w:rPr>
        <w:t>第四系松散潜水含水层及白垩系碎屑岩孔隙潜水含水层水位及水质等影响较小</w:t>
      </w:r>
      <w:r>
        <w:rPr>
          <w:rFonts w:hint="eastAsia" w:ascii="Times New Roman" w:hAnsi="Times New Roman"/>
          <w:szCs w:val="24"/>
          <w:lang w:bidi="ar"/>
        </w:rPr>
        <w:t>，因此对</w:t>
      </w:r>
      <w:r>
        <w:rPr>
          <w:rFonts w:ascii="Times New Roman" w:hAnsi="Times New Roman"/>
          <w:szCs w:val="24"/>
          <w:lang w:bidi="ar"/>
        </w:rPr>
        <w:t>桃-阿海子主要地下水补给源</w:t>
      </w:r>
      <w:r>
        <w:rPr>
          <w:rFonts w:hint="eastAsia" w:ascii="Times New Roman" w:hAnsi="Times New Roman"/>
          <w:szCs w:val="24"/>
          <w:lang w:bidi="ar"/>
        </w:rPr>
        <w:t>影响较小。</w:t>
      </w:r>
    </w:p>
    <w:p>
      <w:pPr>
        <w:spacing w:line="440" w:lineRule="exact"/>
        <w:ind w:firstLine="480" w:firstLineChars="200"/>
        <w:rPr>
          <w:rFonts w:ascii="Times New Roman" w:hAnsi="Times New Roman"/>
          <w:bCs/>
          <w:kern w:val="0"/>
          <w:szCs w:val="24"/>
        </w:rPr>
      </w:pPr>
      <w:r>
        <w:rPr>
          <w:rFonts w:hint="eastAsia" w:ascii="Times New Roman" w:hAnsi="Times New Roman"/>
          <w:bCs/>
          <w:kern w:val="0"/>
          <w:szCs w:val="24"/>
        </w:rPr>
        <w:t>矿区奎腾沟井田北部区域为保护区部分汇水范围，面积约23.58km</w:t>
      </w:r>
      <w:r>
        <w:rPr>
          <w:rFonts w:ascii="Times New Roman" w:hAnsi="Times New Roman"/>
          <w:bCs/>
          <w:kern w:val="0"/>
          <w:szCs w:val="24"/>
          <w:vertAlign w:val="superscript"/>
        </w:rPr>
        <w:t>2</w:t>
      </w:r>
      <w:r>
        <w:rPr>
          <w:rFonts w:hint="eastAsia" w:ascii="Times New Roman" w:hAnsi="Times New Roman"/>
          <w:bCs/>
          <w:kern w:val="0"/>
          <w:szCs w:val="24"/>
        </w:rPr>
        <w:t>，分水岭为西北-东南方向展布，分水岭以北为保护区的部分地表汇水来源，分水岭以南地表汇流主要流入矿区内。根据本次沉陷影响预测，汇水区沉陷最大值约21m，奎腾沟煤层开采导致局部地段分水岭向北移动，汇水影响区域面积约0.71km</w:t>
      </w:r>
      <w:r>
        <w:rPr>
          <w:rFonts w:hint="eastAsia" w:ascii="Times New Roman" w:hAnsi="Times New Roman"/>
          <w:bCs/>
          <w:kern w:val="0"/>
          <w:szCs w:val="24"/>
          <w:vertAlign w:val="superscript"/>
        </w:rPr>
        <w:t>2</w:t>
      </w:r>
      <w:r>
        <w:rPr>
          <w:rFonts w:hint="eastAsia" w:ascii="Times New Roman" w:hAnsi="Times New Roman"/>
          <w:bCs/>
          <w:kern w:val="0"/>
          <w:szCs w:val="24"/>
        </w:rPr>
        <w:t>，自然保护区地表汇流量损失约14.7万立方米/年，遗鸥国家级自然保护区汇水面积约665km</w:t>
      </w:r>
      <w:r>
        <w:rPr>
          <w:rFonts w:ascii="Times New Roman" w:hAnsi="Times New Roman"/>
          <w:bCs/>
          <w:kern w:val="0"/>
          <w:szCs w:val="24"/>
          <w:vertAlign w:val="superscript"/>
        </w:rPr>
        <w:t>2</w:t>
      </w:r>
      <w:r>
        <w:rPr>
          <w:rFonts w:hint="eastAsia" w:ascii="Times New Roman" w:hAnsi="Times New Roman"/>
          <w:bCs/>
          <w:kern w:val="0"/>
          <w:szCs w:val="24"/>
        </w:rPr>
        <w:t>，总汇水量约1.38亿立方米/年（降水量为207mm），汇水影响区域及损失水量仅占自然保护区的0.107%，因此，矿区煤层开采总体对遗鸥国家级自然保护区汇水影响较小。</w:t>
      </w:r>
    </w:p>
    <w:p>
      <w:pPr>
        <w:adjustRightInd w:val="0"/>
        <w:snapToGrid w:val="0"/>
        <w:spacing w:line="440" w:lineRule="exact"/>
        <w:ind w:firstLine="480" w:firstLineChars="200"/>
        <w:rPr>
          <w:rFonts w:ascii="Times New Roman" w:hAnsi="Times New Roman"/>
        </w:rPr>
      </w:pPr>
      <w:r>
        <w:rPr>
          <w:rFonts w:hint="eastAsia" w:ascii="Times New Roman" w:hAnsi="Times New Roman"/>
          <w:szCs w:val="24"/>
          <w:lang w:bidi="ar"/>
        </w:rPr>
        <w:t>且根据沉陷影响分析，</w:t>
      </w:r>
      <w:r>
        <w:rPr>
          <w:rFonts w:ascii="Times New Roman" w:hAnsi="Times New Roman"/>
          <w:szCs w:val="24"/>
          <w:lang w:bidi="ar"/>
        </w:rPr>
        <w:t>本次评价提出</w:t>
      </w:r>
      <w:r>
        <w:rPr>
          <w:rFonts w:ascii="Times New Roman" w:hAnsi="Times New Roman"/>
        </w:rPr>
        <w:t>对矿区（奎腾沟井田）北边界内侧暂留设400m宽的保护煤柱，在项目实施阶段，留设保护煤柱根据开采情况及地表岩移观测结果实时修正，确保生态保护红线区不受开采沉陷影响。保证遗鸥国家级自然保护区不受开采沉陷影响。</w:t>
      </w:r>
    </w:p>
    <w:p>
      <w:pPr>
        <w:pStyle w:val="4"/>
        <w:adjustRightInd w:val="0"/>
        <w:snapToGrid w:val="0"/>
        <w:spacing w:line="440" w:lineRule="exact"/>
        <w:jc w:val="left"/>
        <w:rPr>
          <w:rFonts w:ascii="Times New Roman" w:hAnsi="Times New Roman" w:eastAsia="宋体"/>
          <w:sz w:val="28"/>
        </w:rPr>
      </w:pPr>
      <w:bookmarkStart w:id="442" w:name="_Toc18838504"/>
      <w:bookmarkStart w:id="443" w:name="_Toc2979"/>
      <w:r>
        <w:rPr>
          <w:rFonts w:ascii="Times New Roman" w:hAnsi="Times New Roman" w:eastAsia="宋体"/>
          <w:sz w:val="28"/>
        </w:rPr>
        <w:t>12.4 矿区资源、环境承载力分析结论</w:t>
      </w:r>
      <w:bookmarkEnd w:id="442"/>
      <w:bookmarkEnd w:id="443"/>
    </w:p>
    <w:p>
      <w:pPr>
        <w:pStyle w:val="5"/>
        <w:adjustRightInd w:val="0"/>
        <w:snapToGrid w:val="0"/>
        <w:spacing w:before="0" w:after="0" w:line="440" w:lineRule="exact"/>
        <w:rPr>
          <w:sz w:val="24"/>
        </w:rPr>
      </w:pPr>
      <w:r>
        <w:rPr>
          <w:sz w:val="24"/>
        </w:rPr>
        <w:t>12.4.1 矿区水资源承载力分析</w:t>
      </w:r>
    </w:p>
    <w:p>
      <w:pPr>
        <w:adjustRightInd w:val="0"/>
        <w:snapToGrid w:val="0"/>
        <w:spacing w:line="440" w:lineRule="exact"/>
        <w:ind w:firstLine="480" w:firstLineChars="200"/>
        <w:rPr>
          <w:rFonts w:ascii="Times New Roman" w:hAnsi="Times New Roman"/>
          <w:szCs w:val="24"/>
        </w:rPr>
      </w:pPr>
      <w:r>
        <w:rPr>
          <w:rFonts w:ascii="Times New Roman" w:hAnsi="Times New Roman"/>
          <w:szCs w:val="24"/>
        </w:rPr>
        <w:t>矿区规划项目实施后总用水量为</w:t>
      </w:r>
      <w:r>
        <w:rPr>
          <w:rFonts w:ascii="Times New Roman" w:hAnsi="Times New Roman" w:eastAsia="等线"/>
          <w:kern w:val="0"/>
          <w:szCs w:val="24"/>
          <w:lang w:bidi="ar"/>
        </w:rPr>
        <w:t>21482.38</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/d，供水水源中矿井水与生活污水可利用水源量为</w:t>
      </w:r>
      <w:r>
        <w:rPr>
          <w:rFonts w:ascii="Times New Roman" w:hAnsi="Times New Roman"/>
          <w:kern w:val="0"/>
          <w:szCs w:val="24"/>
        </w:rPr>
        <w:t>59810</w:t>
      </w:r>
      <w:r>
        <w:rPr>
          <w:rFonts w:ascii="Times New Roman" w:hAnsi="Times New Roman"/>
          <w:szCs w:val="24"/>
        </w:rPr>
        <w:t>m</w:t>
      </w:r>
      <w:r>
        <w:rPr>
          <w:rFonts w:ascii="Times New Roman" w:hAnsi="Times New Roman"/>
          <w:szCs w:val="24"/>
          <w:vertAlign w:val="superscript"/>
        </w:rPr>
        <w:t>3</w:t>
      </w:r>
      <w:r>
        <w:rPr>
          <w:rFonts w:ascii="Times New Roman" w:hAnsi="Times New Roman"/>
          <w:szCs w:val="24"/>
        </w:rPr>
        <w:t>/d，可供水量大于规划需水量，规划项目矿井水及生活污水处理后回用水资源即可满足规划项目用水需求，且有富余水量38327.62m</w:t>
      </w:r>
      <w:r>
        <w:rPr>
          <w:rFonts w:ascii="Times New Roman" w:hAnsi="Times New Roman"/>
          <w:szCs w:val="24"/>
          <w:vertAlign w:val="superscript"/>
        </w:rPr>
        <w:t>3</w:t>
      </w:r>
      <w:r>
        <w:rPr>
          <w:rFonts w:ascii="Times New Roman" w:hAnsi="Times New Roman"/>
          <w:szCs w:val="24"/>
        </w:rPr>
        <w:t>/d。</w:t>
      </w:r>
      <w:r>
        <w:rPr>
          <w:rFonts w:ascii="Times New Roman" w:hAnsi="Times New Roman"/>
        </w:rPr>
        <w:t>本区水资源</w:t>
      </w:r>
      <w:r>
        <w:rPr>
          <w:rFonts w:ascii="Times New Roman" w:hAnsi="Times New Roman"/>
          <w:szCs w:val="24"/>
        </w:rPr>
        <w:t>可以满足规划项目用水需求。</w:t>
      </w:r>
    </w:p>
    <w:p>
      <w:pPr>
        <w:adjustRightInd w:val="0"/>
        <w:snapToGrid w:val="0"/>
        <w:spacing w:line="440" w:lineRule="exact"/>
        <w:ind w:firstLine="480" w:firstLineChars="200"/>
        <w:rPr>
          <w:rFonts w:ascii="Times New Roman" w:hAnsi="Times New Roman"/>
        </w:rPr>
      </w:pPr>
      <w:r>
        <w:rPr>
          <w:rFonts w:ascii="Times New Roman" w:hAnsi="Times New Roman"/>
        </w:rPr>
        <w:t>本区地下水水资源较为丰富，但从节约水资源及满足环保要求出发，设计优先考虑将井下排水、生活污水经处理后回用。分析结果表明，矿区规划水源可满足矿区规划项目用水需求，区域水资源可以承载矿区开发建设需要。同时，也没有超过鄂尔多斯市用水总量控制指标。</w:t>
      </w:r>
    </w:p>
    <w:p>
      <w:pPr>
        <w:pStyle w:val="5"/>
        <w:adjustRightInd w:val="0"/>
        <w:snapToGrid w:val="0"/>
        <w:spacing w:before="0" w:after="0" w:line="440" w:lineRule="exact"/>
        <w:rPr>
          <w:sz w:val="24"/>
        </w:rPr>
      </w:pPr>
      <w:r>
        <w:rPr>
          <w:sz w:val="24"/>
        </w:rPr>
        <w:t>12.4.2 矿区环境承载力分析</w:t>
      </w:r>
    </w:p>
    <w:p>
      <w:pPr>
        <w:adjustRightInd w:val="0"/>
        <w:snapToGrid w:val="0"/>
        <w:spacing w:line="440" w:lineRule="exact"/>
        <w:ind w:firstLine="482" w:firstLineChars="200"/>
        <w:rPr>
          <w:rFonts w:ascii="Times New Roman" w:hAnsi="Times New Roman"/>
          <w:b/>
        </w:rPr>
      </w:pPr>
      <w:r>
        <w:rPr>
          <w:rFonts w:ascii="Times New Roman" w:hAnsi="Times New Roman"/>
          <w:b/>
        </w:rPr>
        <w:t>（1）矿区生态承载力</w:t>
      </w:r>
    </w:p>
    <w:p>
      <w:pPr>
        <w:spacing w:line="440" w:lineRule="exact"/>
        <w:ind w:firstLine="480" w:firstLineChars="200"/>
        <w:rPr>
          <w:rFonts w:ascii="Times New Roman" w:hAnsi="Times New Roman"/>
          <w:szCs w:val="24"/>
        </w:rPr>
      </w:pPr>
      <w:r>
        <w:rPr>
          <w:rFonts w:ascii="Times New Roman" w:hAnsi="Times New Roman"/>
          <w:szCs w:val="24"/>
        </w:rPr>
        <w:t>评价区由于生态环境一般，生态弹性度中等稳定，水资源属于低承载、高压水平，土地资源属于较高承载、中压水平。生态系统稳定性一般，遭受外界干扰后生态，生态系统具有一定的自我恢复能力，但自我恢复能力较弱，破坏后的生态环境仍需要人为的干预、能量的持续输入才能得以恢复。</w:t>
      </w:r>
    </w:p>
    <w:p>
      <w:pPr>
        <w:spacing w:line="440" w:lineRule="exact"/>
        <w:ind w:firstLine="480" w:firstLineChars="200"/>
        <w:rPr>
          <w:rFonts w:ascii="Times New Roman" w:hAnsi="Times New Roman"/>
          <w:szCs w:val="24"/>
        </w:rPr>
      </w:pPr>
      <w:r>
        <w:rPr>
          <w:rFonts w:ascii="Times New Roman" w:hAnsi="Times New Roman"/>
          <w:szCs w:val="24"/>
        </w:rPr>
        <w:t>土地资源不会成为该区域开发的限制因素，水资源是矿区大规模开发的限制因素。矿区开发过程中，应加强土地资源保护，尽量减少永久占用土地，沉陷造成的土地破坏应及时采取措施加以减缓、恢复；开展清洁生产，提高污废水资源化利用率，减少新鲜水消耗，缓解矿区开发对区域水资源的影响；另外要加强矿区开发“三废”治理力度，使“三废”100％达标排放，污废水排放必须满足水环境功能区划要求；应尽量减少矿区开发固体废弃物产生量，不可避免产生的应进行综合利用和无害化处理。</w:t>
      </w:r>
    </w:p>
    <w:p>
      <w:pPr>
        <w:adjustRightInd w:val="0"/>
        <w:snapToGrid w:val="0"/>
        <w:spacing w:line="440" w:lineRule="exact"/>
        <w:ind w:firstLine="482" w:firstLineChars="200"/>
        <w:rPr>
          <w:rFonts w:ascii="Times New Roman" w:hAnsi="Times New Roman"/>
          <w:b/>
        </w:rPr>
      </w:pPr>
      <w:r>
        <w:rPr>
          <w:rFonts w:ascii="Times New Roman" w:hAnsi="Times New Roman"/>
          <w:b/>
        </w:rPr>
        <w:t>（2）大气环境承载力及总量控制分析</w:t>
      </w:r>
    </w:p>
    <w:p>
      <w:pPr>
        <w:overflowPunct w:val="0"/>
        <w:adjustRightInd w:val="0"/>
        <w:snapToGrid w:val="0"/>
        <w:spacing w:line="440" w:lineRule="exact"/>
        <w:ind w:firstLine="482"/>
        <w:rPr>
          <w:rFonts w:ascii="Times New Roman" w:hAnsi="Times New Roman"/>
        </w:rPr>
      </w:pPr>
      <w:r>
        <w:rPr>
          <w:rFonts w:ascii="Times New Roman" w:hAnsi="Times New Roman"/>
        </w:rPr>
        <w:t>矿区需要申请的SO</w:t>
      </w:r>
      <w:r>
        <w:rPr>
          <w:rFonts w:ascii="Times New Roman" w:hAnsi="Times New Roman"/>
          <w:vertAlign w:val="subscript"/>
        </w:rPr>
        <w:t>2</w:t>
      </w:r>
      <w:r>
        <w:rPr>
          <w:rFonts w:ascii="Times New Roman" w:hAnsi="Times New Roman"/>
          <w:szCs w:val="24"/>
        </w:rPr>
        <w:t>和NOx</w:t>
      </w:r>
      <w:r>
        <w:rPr>
          <w:rFonts w:ascii="Times New Roman" w:hAnsi="Times New Roman"/>
        </w:rPr>
        <w:t>分别为213.53t/a和401.76t/a，，占矿区现状剩余容量的5.19%和18.36%。矿区现状SO</w:t>
      </w:r>
      <w:r>
        <w:rPr>
          <w:rFonts w:ascii="Times New Roman" w:hAnsi="Times New Roman"/>
          <w:vertAlign w:val="subscript"/>
        </w:rPr>
        <w:t>2</w:t>
      </w:r>
      <w:r>
        <w:rPr>
          <w:rFonts w:ascii="Times New Roman" w:hAnsi="Times New Roman"/>
        </w:rPr>
        <w:t>和</w:t>
      </w:r>
      <w:r>
        <w:rPr>
          <w:rFonts w:ascii="Times New Roman" w:hAnsi="Times New Roman"/>
          <w:szCs w:val="24"/>
        </w:rPr>
        <w:t>NOx</w:t>
      </w:r>
      <w:r>
        <w:rPr>
          <w:rFonts w:ascii="Times New Roman" w:hAnsi="Times New Roman"/>
        </w:rPr>
        <w:t>剩余容量能够承载矿区规划项目SO</w:t>
      </w:r>
      <w:r>
        <w:rPr>
          <w:rFonts w:ascii="Times New Roman" w:hAnsi="Times New Roman"/>
          <w:vertAlign w:val="subscript"/>
        </w:rPr>
        <w:t>2</w:t>
      </w:r>
      <w:r>
        <w:rPr>
          <w:rFonts w:ascii="Times New Roman" w:hAnsi="Times New Roman"/>
        </w:rPr>
        <w:t>和</w:t>
      </w:r>
      <w:r>
        <w:rPr>
          <w:rFonts w:ascii="Times New Roman" w:hAnsi="Times New Roman"/>
          <w:szCs w:val="24"/>
        </w:rPr>
        <w:t>NOx</w:t>
      </w:r>
      <w:r>
        <w:rPr>
          <w:rFonts w:ascii="Times New Roman" w:hAnsi="Times New Roman"/>
        </w:rPr>
        <w:t>排放需要。</w:t>
      </w:r>
    </w:p>
    <w:p>
      <w:pPr>
        <w:pStyle w:val="4"/>
        <w:spacing w:after="140" w:line="413" w:lineRule="auto"/>
        <w:jc w:val="left"/>
        <w:rPr>
          <w:rFonts w:ascii="Times New Roman" w:hAnsi="Times New Roman" w:eastAsia="宋体"/>
          <w:sz w:val="28"/>
        </w:rPr>
      </w:pPr>
      <w:bookmarkStart w:id="444" w:name="_Toc18838505"/>
      <w:bookmarkStart w:id="445" w:name="_Toc1938"/>
      <w:r>
        <w:rPr>
          <w:rFonts w:ascii="Times New Roman" w:hAnsi="Times New Roman" w:eastAsia="宋体"/>
          <w:sz w:val="28"/>
        </w:rPr>
        <w:t>12.5 清洁生产与矿区循环经济分析结论</w:t>
      </w:r>
      <w:bookmarkEnd w:id="444"/>
      <w:bookmarkEnd w:id="445"/>
    </w:p>
    <w:p>
      <w:pPr>
        <w:adjustRightInd w:val="0"/>
        <w:snapToGrid w:val="0"/>
        <w:spacing w:line="440" w:lineRule="exact"/>
        <w:ind w:firstLine="480" w:firstLineChars="200"/>
        <w:rPr>
          <w:rFonts w:ascii="Times New Roman" w:hAnsi="Times New Roman"/>
        </w:rPr>
      </w:pPr>
      <w:r>
        <w:rPr>
          <w:rFonts w:ascii="Times New Roman" w:hAnsi="Times New Roman"/>
        </w:rPr>
        <w:t>纳林希里矿区为新建矿区，对于本矿区规划环评清洁生产水平分析，更关注的是从宏观控制的角度，根据国家颁布相关清洁生产标准、清洁生产指标体系及国内外研究成果，提出清洁生产控制指标。建议矿区煤矿清洁生产控制指标遵循表9.1-1执行。</w:t>
      </w:r>
    </w:p>
    <w:p>
      <w:pPr>
        <w:adjustRightInd w:val="0"/>
        <w:snapToGrid w:val="0"/>
        <w:spacing w:line="440" w:lineRule="exact"/>
        <w:ind w:firstLine="480" w:firstLineChars="200"/>
        <w:rPr>
          <w:rFonts w:ascii="Times New Roman" w:hAnsi="Times New Roman"/>
        </w:rPr>
      </w:pPr>
      <w:r>
        <w:rPr>
          <w:rFonts w:ascii="Times New Roman" w:hAnsi="Times New Roman"/>
        </w:rPr>
        <w:t>矿区具有丰富的煤炭资源及煤炭生产过程中的副产品，为矿区发展循环经济、延伸产业链条提供了充足的条件，具有循环经济发展的潜力。矿区应遵循“3R”和全过程设计的原则，从资源利用输入端减量化、生产过程的资源再利用和末端资源综合利用、输出端废物减量排放和生态环境保护三方面构建矿区循环经济发展模式，建议走“煤炭-电力-市场”的发展模式。</w:t>
      </w:r>
    </w:p>
    <w:p>
      <w:pPr>
        <w:pStyle w:val="4"/>
        <w:adjustRightInd w:val="0"/>
        <w:snapToGrid w:val="0"/>
        <w:spacing w:line="440" w:lineRule="exact"/>
        <w:jc w:val="left"/>
        <w:rPr>
          <w:rFonts w:ascii="Times New Roman" w:hAnsi="Times New Roman" w:eastAsia="宋体"/>
          <w:sz w:val="28"/>
        </w:rPr>
      </w:pPr>
      <w:bookmarkStart w:id="446" w:name="_Toc18838506"/>
      <w:bookmarkStart w:id="447" w:name="_Toc13441"/>
      <w:r>
        <w:rPr>
          <w:rFonts w:ascii="Times New Roman" w:hAnsi="Times New Roman" w:eastAsia="宋体"/>
          <w:sz w:val="28"/>
        </w:rPr>
        <w:t>12.6 公众参与结论</w:t>
      </w:r>
      <w:bookmarkEnd w:id="446"/>
      <w:bookmarkEnd w:id="447"/>
    </w:p>
    <w:p>
      <w:pPr>
        <w:pStyle w:val="185"/>
        <w:adjustRightInd w:val="0"/>
        <w:snapToGrid w:val="0"/>
        <w:spacing w:line="440" w:lineRule="exact"/>
        <w:ind w:firstLine="480"/>
        <w:rPr>
          <w:rFonts w:ascii="Times New Roman" w:hAnsi="Times New Roman" w:cs="Times New Roman"/>
          <w:szCs w:val="24"/>
          <w:lang w:bidi="ar"/>
        </w:rPr>
      </w:pPr>
      <w:r>
        <w:rPr>
          <w:rFonts w:ascii="Times New Roman" w:hAnsi="Times New Roman" w:cs="Times New Roman"/>
        </w:rPr>
        <w:t>本次评价公众参与形式严格按照《环境影响评价公众参与暂行办法》中的规定开展，分两次进行：</w:t>
      </w:r>
      <w:r>
        <w:rPr>
          <w:rFonts w:ascii="Times New Roman" w:hAnsi="Times New Roman" w:cs="Times New Roman"/>
          <w:kern w:val="0"/>
        </w:rPr>
        <w:t>第一次是在接到规划环评报告书编制委托书后进行，采取在鄂尔多斯市能源局官网及微信公众号发布网络公告的形式；第二次是报告书基本编制完成后，在鄂尔多斯市能源局官网及微信公众号对项目进行公示，供公众浏览监督。并向</w:t>
      </w:r>
      <w:r>
        <w:rPr>
          <w:rFonts w:ascii="Times New Roman" w:hAnsi="Times New Roman" w:cs="Times New Roman"/>
          <w:szCs w:val="24"/>
          <w:lang w:bidi="ar"/>
        </w:rPr>
        <w:t>鄂尔多斯市生态环境局、伊金霍洛旗人民政府、杭锦旗人民政府等单位及矿区范围内涉及的部分居民发放公众参与调查表。</w:t>
      </w:r>
    </w:p>
    <w:p>
      <w:pPr>
        <w:spacing w:line="440" w:lineRule="exact"/>
        <w:ind w:firstLine="480" w:firstLineChars="200"/>
        <w:rPr>
          <w:rFonts w:ascii="Times New Roman" w:hAnsi="Times New Roman"/>
        </w:rPr>
      </w:pPr>
      <w:r>
        <w:rPr>
          <w:rFonts w:ascii="Times New Roman" w:hAnsi="Times New Roman"/>
        </w:rPr>
        <w:t>在本次公众参与调查过程中，收到了来自</w:t>
      </w:r>
      <w:r>
        <w:rPr>
          <w:rFonts w:ascii="Times New Roman" w:hAnsi="Times New Roman"/>
          <w:szCs w:val="24"/>
          <w:lang w:bidi="ar"/>
        </w:rPr>
        <w:t>鄂尔多斯市生态环境局、鄂尔多斯市水利局、鄂尔多斯市自然资源局、鄂尔多斯市林草局、鄂尔多斯市文旅局、伊金霍洛旗人民政府关于《鄂尔多斯市能源局关于征求纳林希里矿区总体规划意见的函》的复函，本次评价已根据上述各单位复函中提出的问题、意见等对报告书进行了相应的修改。</w:t>
      </w:r>
    </w:p>
    <w:p>
      <w:pPr>
        <w:pStyle w:val="4"/>
        <w:adjustRightInd w:val="0"/>
        <w:snapToGrid w:val="0"/>
        <w:spacing w:line="440" w:lineRule="exact"/>
        <w:ind w:firstLine="1124" w:firstLineChars="400"/>
        <w:jc w:val="left"/>
        <w:rPr>
          <w:rFonts w:ascii="Times New Roman" w:hAnsi="Times New Roman" w:eastAsia="宋体"/>
          <w:sz w:val="28"/>
        </w:rPr>
      </w:pPr>
      <w:bookmarkStart w:id="448" w:name="_Toc1842"/>
      <w:bookmarkStart w:id="449" w:name="_Toc18838507"/>
      <w:r>
        <w:rPr>
          <w:rFonts w:ascii="Times New Roman" w:hAnsi="Times New Roman" w:eastAsia="宋体"/>
          <w:sz w:val="28"/>
        </w:rPr>
        <w:t>12.7 综合结论</w:t>
      </w:r>
      <w:bookmarkEnd w:id="448"/>
      <w:bookmarkEnd w:id="449"/>
    </w:p>
    <w:p>
      <w:pPr>
        <w:adjustRightInd w:val="0"/>
        <w:spacing w:line="440" w:lineRule="exact"/>
        <w:ind w:firstLine="480" w:firstLineChars="200"/>
        <w:jc w:val="left"/>
        <w:rPr>
          <w:rFonts w:ascii="Times New Roman" w:hAnsi="Times New Roman"/>
          <w:color w:val="FF0000"/>
          <w:kern w:val="0"/>
        </w:rPr>
      </w:pPr>
      <w:r>
        <w:rPr>
          <w:rFonts w:ascii="Times New Roman" w:hAnsi="Times New Roman"/>
          <w:bCs/>
          <w:szCs w:val="24"/>
        </w:rPr>
        <w:t>纳林希里矿区属于国家大型煤炭基地-东胜</w:t>
      </w:r>
      <w:r>
        <w:rPr>
          <w:rFonts w:ascii="Times New Roman" w:hAnsi="Times New Roman"/>
          <w:szCs w:val="28"/>
        </w:rPr>
        <w:t>煤田神东煤炭基地西（深）部</w:t>
      </w:r>
      <w:r>
        <w:rPr>
          <w:rFonts w:ascii="Times New Roman" w:hAnsi="Times New Roman"/>
          <w:kern w:val="0"/>
          <w:szCs w:val="24"/>
        </w:rPr>
        <w:t>。矿区规划区</w:t>
      </w:r>
      <w:r>
        <w:rPr>
          <w:rFonts w:ascii="Times New Roman" w:hAnsi="Times New Roman"/>
          <w:szCs w:val="24"/>
        </w:rPr>
        <w:t>南北平均长38.1km，东西平均宽17.8km，矿区总面积708.16km</w:t>
      </w:r>
      <w:r>
        <w:rPr>
          <w:rFonts w:ascii="Times New Roman" w:hAnsi="Times New Roman"/>
          <w:szCs w:val="24"/>
          <w:vertAlign w:val="superscript"/>
        </w:rPr>
        <w:t>2</w:t>
      </w:r>
      <w:r>
        <w:rPr>
          <w:rFonts w:ascii="Times New Roman" w:hAnsi="Times New Roman"/>
          <w:szCs w:val="24"/>
        </w:rPr>
        <w:t>。</w:t>
      </w:r>
      <w:r>
        <w:rPr>
          <w:rFonts w:ascii="Times New Roman" w:hAnsi="Times New Roman"/>
          <w:bCs/>
          <w:snapToGrid w:val="0"/>
          <w:kern w:val="0"/>
          <w:szCs w:val="24"/>
          <w:lang w:val="zh-CN"/>
        </w:rPr>
        <w:t>矿区地质</w:t>
      </w:r>
      <w:r>
        <w:rPr>
          <w:rFonts w:ascii="Times New Roman" w:hAnsi="Times New Roman"/>
          <w:kern w:val="0"/>
          <w:szCs w:val="24"/>
        </w:rPr>
        <w:t>资源储量</w:t>
      </w:r>
      <w:r>
        <w:rPr>
          <w:rFonts w:ascii="Times New Roman" w:hAnsi="Times New Roman"/>
          <w:szCs w:val="24"/>
        </w:rPr>
        <w:t>13658.769Mt</w:t>
      </w:r>
      <w:r>
        <w:rPr>
          <w:rFonts w:ascii="Times New Roman" w:hAnsi="Times New Roman"/>
          <w:kern w:val="0"/>
          <w:szCs w:val="24"/>
        </w:rPr>
        <w:t>。矿区</w:t>
      </w:r>
      <w:r>
        <w:rPr>
          <w:rFonts w:ascii="Times New Roman" w:hAnsi="Times New Roman"/>
          <w:szCs w:val="24"/>
        </w:rPr>
        <w:t>4个井田（奎腾沟井田8.00Mt/a、苏布尔嘎井田8.00Mt/a、壕赖苏井田8.00Mt/a、纳林希里井田8.00Mt/a），矿区西部普查区划分为1个勘查区</w:t>
      </w:r>
      <w:r>
        <w:rPr>
          <w:rFonts w:ascii="Times New Roman" w:hAnsi="Times New Roman"/>
          <w:kern w:val="0"/>
          <w:szCs w:val="24"/>
        </w:rPr>
        <w:t>，4个矿井配套建设选煤厂。规划煤炭生产总规模</w:t>
      </w:r>
      <w:r>
        <w:rPr>
          <w:rFonts w:ascii="Times New Roman" w:hAnsi="Times New Roman"/>
          <w:szCs w:val="24"/>
        </w:rPr>
        <w:t>32.00Mt/a</w:t>
      </w:r>
      <w:r>
        <w:rPr>
          <w:rFonts w:ascii="Times New Roman" w:hAnsi="Times New Roman"/>
          <w:kern w:val="0"/>
          <w:szCs w:val="24"/>
        </w:rPr>
        <w:t>，</w:t>
      </w:r>
      <w:r>
        <w:rPr>
          <w:rFonts w:ascii="Times New Roman" w:hAnsi="Times New Roman"/>
          <w:color w:val="FF0000"/>
          <w:kern w:val="0"/>
          <w:szCs w:val="24"/>
        </w:rPr>
        <w:t>均衡服务年限67年。</w:t>
      </w:r>
    </w:p>
    <w:p>
      <w:pPr>
        <w:autoSpaceDE w:val="0"/>
        <w:autoSpaceDN w:val="0"/>
        <w:adjustRightInd w:val="0"/>
        <w:snapToGrid w:val="0"/>
        <w:spacing w:line="440" w:lineRule="exact"/>
        <w:ind w:firstLine="480" w:firstLineChars="200"/>
        <w:rPr>
          <w:rFonts w:ascii="Times New Roman" w:hAnsi="Times New Roman"/>
          <w:bCs/>
          <w:snapToGrid w:val="0"/>
          <w:kern w:val="0"/>
        </w:rPr>
      </w:pPr>
      <w:r>
        <w:rPr>
          <w:rFonts w:ascii="Times New Roman" w:hAnsi="Times New Roman"/>
        </w:rPr>
        <w:t>矿区总体规划以煤矿规划为重点，同时规划配套选煤项目，规划内容符合国家、地方相关产业政策，矿区规划的产业定位和产业结构基本合理，规划的实施对优化区域经济结构，促进地方经济发展，将资源优势转化为经济优势具有重要意义，经济效益和社会效益显著。</w:t>
      </w:r>
    </w:p>
    <w:p>
      <w:pPr>
        <w:pStyle w:val="430"/>
        <w:spacing w:line="440" w:lineRule="exact"/>
        <w:ind w:firstLine="480" w:firstLineChars="200"/>
        <w:rPr>
          <w:rFonts w:cs="Times New Roman"/>
          <w:kern w:val="2"/>
          <w:szCs w:val="20"/>
        </w:rPr>
      </w:pPr>
      <w:r>
        <w:rPr>
          <w:rFonts w:cs="Times New Roman"/>
          <w:kern w:val="2"/>
          <w:szCs w:val="20"/>
        </w:rPr>
        <w:t>矿区位于</w:t>
      </w:r>
      <w:r>
        <w:rPr>
          <w:rFonts w:cs="Times New Roman"/>
        </w:rPr>
        <w:t>鄂尔多斯高原典型草原沙漠化控制生态功能区，该区域的主要生态问题为过度放牧、草原开垦、水资源严重短缺与水资源过度开发导致植被退化、土地沙化、沙城暴等</w:t>
      </w:r>
      <w:r>
        <w:rPr>
          <w:rFonts w:cs="Times New Roman"/>
          <w:kern w:val="2"/>
          <w:szCs w:val="20"/>
        </w:rPr>
        <w:t>，生态环境较为脆弱。矿区煤炭开发可能对生态系统的稳定性造成扰动、增加区域风蚀强度。因此，矿区开发的环境目标是：“坚持生态优先、在保护中开发的原则，最大限度的减少煤炭开发对荒漠草原生态系统的扰动，维持区域生态系统的稳定性”。</w:t>
      </w:r>
    </w:p>
    <w:p>
      <w:pPr>
        <w:autoSpaceDE w:val="0"/>
        <w:autoSpaceDN w:val="0"/>
        <w:adjustRightInd w:val="0"/>
        <w:snapToGrid w:val="0"/>
        <w:spacing w:line="440" w:lineRule="exact"/>
        <w:ind w:firstLine="480" w:firstLineChars="200"/>
        <w:rPr>
          <w:rFonts w:ascii="Times New Roman" w:hAnsi="Times New Roman"/>
        </w:rPr>
      </w:pPr>
      <w:r>
        <w:rPr>
          <w:rFonts w:ascii="Times New Roman" w:hAnsi="Times New Roman"/>
        </w:rPr>
        <w:t>本评价对区域的水资源和生态承载力进行了深入的分析论证，重点开展规划方案实施后可能对各环境要素造成的环境影响，在广泛征询相关部门和当地公众意见的基础上，按照“保生态、优布局、调结构、建机制”的原则，提出了避免或减缓不良环境影响的对策措施。</w:t>
      </w:r>
    </w:p>
    <w:p>
      <w:pPr>
        <w:spacing w:line="440" w:lineRule="exact"/>
        <w:ind w:firstLine="482"/>
        <w:rPr>
          <w:rFonts w:ascii="Times New Roman" w:hAnsi="Times New Roman" w:eastAsiaTheme="minorEastAsia"/>
        </w:rPr>
      </w:pPr>
      <w:r>
        <w:rPr>
          <w:rFonts w:ascii="Times New Roman" w:hAnsi="Times New Roman"/>
          <w:szCs w:val="24"/>
        </w:rPr>
        <w:t>矿区开发不会改变矿区环境功能，对矿区环境质量的影响在容许范围内。</w:t>
      </w:r>
      <w:r>
        <w:rPr>
          <w:rFonts w:ascii="Times New Roman" w:hAnsi="Times New Roman"/>
        </w:rPr>
        <w:t>分析结果表明，矿区规划水源可满足矿区规划项目用水需求，区域水资源可以承载矿区开发建设需要。为促进地方社会经济与环境协调、可持续发展，减缓规划实施的环境影响，本次评价对矿区总体规划方案提出了相应的优化调整建议：</w:t>
      </w:r>
    </w:p>
    <w:p>
      <w:pPr>
        <w:adjustRightInd w:val="0"/>
        <w:snapToGrid w:val="0"/>
        <w:spacing w:line="440" w:lineRule="exact"/>
        <w:ind w:firstLine="482" w:firstLineChars="200"/>
        <w:rPr>
          <w:rFonts w:ascii="Times New Roman" w:hAnsi="Times New Roman"/>
          <w:b/>
          <w:bCs/>
          <w:szCs w:val="32"/>
        </w:rPr>
      </w:pPr>
      <w:r>
        <w:rPr>
          <w:rFonts w:ascii="Times New Roman" w:hAnsi="Times New Roman"/>
          <w:b/>
          <w:bCs/>
        </w:rPr>
        <w:t>（1）</w:t>
      </w:r>
      <w:r>
        <w:rPr>
          <w:rFonts w:ascii="Times New Roman" w:hAnsi="Times New Roman"/>
          <w:b/>
          <w:bCs/>
          <w:szCs w:val="32"/>
        </w:rPr>
        <w:t>进一步优化布局，减缓规划实施环境影响</w:t>
      </w:r>
    </w:p>
    <w:p>
      <w:pPr>
        <w:spacing w:line="440" w:lineRule="exact"/>
        <w:ind w:firstLine="480" w:firstLineChars="200"/>
        <w:rPr>
          <w:rFonts w:ascii="Times New Roman" w:hAnsi="Times New Roman"/>
          <w:szCs w:val="24"/>
        </w:rPr>
      </w:pPr>
      <w:r>
        <w:rPr>
          <w:rFonts w:ascii="Times New Roman" w:hAnsi="Times New Roman"/>
          <w:szCs w:val="24"/>
        </w:rPr>
        <w:t>为尽可能避免铁路专用线建设对周边居民的影响及占用基本农田，本次评价提出应进一步优化工业场地及铁路专用线选址选线，避开村庄及基本农田分布区，尽可能不占基本农田区或少占基本农田区。</w:t>
      </w:r>
    </w:p>
    <w:p>
      <w:pPr>
        <w:spacing w:line="440" w:lineRule="exact"/>
        <w:ind w:firstLine="480" w:firstLineChars="200"/>
        <w:rPr>
          <w:rFonts w:ascii="Times New Roman" w:hAnsi="Times New Roman"/>
          <w:szCs w:val="24"/>
        </w:rPr>
      </w:pPr>
      <w:r>
        <w:rPr>
          <w:rFonts w:ascii="Times New Roman" w:hAnsi="Times New Roman"/>
          <w:szCs w:val="24"/>
        </w:rPr>
        <w:t>矿区西部勘查区有约28.5km</w:t>
      </w:r>
      <w:r>
        <w:rPr>
          <w:rFonts w:ascii="Times New Roman" w:hAnsi="Times New Roman"/>
          <w:szCs w:val="24"/>
          <w:vertAlign w:val="superscript"/>
        </w:rPr>
        <w:t>2</w:t>
      </w:r>
      <w:r>
        <w:rPr>
          <w:rFonts w:ascii="Times New Roman" w:hAnsi="Times New Roman"/>
          <w:szCs w:val="24"/>
        </w:rPr>
        <w:t>的生态保护红线区，本次规划已剔除该红线区范围。本次评价提出，矿区勘查区在后续规划井田时应根据最终划定的生态保护红线区范围划分井田，避让生态保护红线区。</w:t>
      </w:r>
    </w:p>
    <w:p>
      <w:pPr>
        <w:spacing w:line="440" w:lineRule="exact"/>
        <w:ind w:firstLine="480" w:firstLineChars="200"/>
        <w:rPr>
          <w:rFonts w:ascii="Times New Roman" w:hAnsi="Times New Roman"/>
          <w:color w:val="FF0000"/>
          <w:szCs w:val="24"/>
        </w:rPr>
      </w:pPr>
      <w:r>
        <w:rPr>
          <w:rFonts w:hint="eastAsia" w:ascii="Times New Roman" w:hAnsi="Times New Roman"/>
          <w:color w:val="FF0000"/>
          <w:szCs w:val="24"/>
        </w:rPr>
        <w:t>鉴于奎腾沟矿井紧邻鄂尔多斯遗鸥国家级自然保护区且矿井北部区域位于自然保护区的汇水范围，本次评价提出对奎腾沟井田内汇水影响区域（面积约0.71km</w:t>
      </w:r>
      <w:r>
        <w:rPr>
          <w:rFonts w:hint="eastAsia" w:ascii="Times New Roman" w:hAnsi="Times New Roman"/>
          <w:color w:val="FF0000"/>
          <w:szCs w:val="24"/>
          <w:vertAlign w:val="superscript"/>
        </w:rPr>
        <w:t>2</w:t>
      </w:r>
      <w:r>
        <w:rPr>
          <w:rFonts w:hint="eastAsia" w:ascii="Times New Roman" w:hAnsi="Times New Roman"/>
          <w:color w:val="FF0000"/>
          <w:szCs w:val="24"/>
        </w:rPr>
        <w:t>）暂缓开发。</w:t>
      </w:r>
    </w:p>
    <w:p>
      <w:pPr>
        <w:spacing w:line="440" w:lineRule="exact"/>
        <w:ind w:firstLine="482" w:firstLineChars="200"/>
        <w:rPr>
          <w:rFonts w:ascii="Times New Roman" w:hAnsi="Times New Roman"/>
          <w:b/>
          <w:bCs/>
          <w:szCs w:val="24"/>
        </w:rPr>
      </w:pPr>
      <w:r>
        <w:rPr>
          <w:rFonts w:ascii="Times New Roman" w:hAnsi="Times New Roman"/>
          <w:b/>
          <w:bCs/>
          <w:szCs w:val="24"/>
        </w:rPr>
        <w:t>（2）优化矿区开发时序</w:t>
      </w:r>
    </w:p>
    <w:p>
      <w:pPr>
        <w:spacing w:line="440" w:lineRule="exact"/>
        <w:ind w:firstLine="480" w:firstLineChars="200"/>
        <w:rPr>
          <w:rFonts w:ascii="Times New Roman" w:hAnsi="Times New Roman"/>
          <w:szCs w:val="24"/>
        </w:rPr>
      </w:pPr>
      <w:r>
        <w:rPr>
          <w:rFonts w:ascii="Times New Roman" w:hAnsi="Times New Roman"/>
          <w:szCs w:val="24"/>
        </w:rPr>
        <w:t>结合规划项目前期工作推进情况，评价建议奎腾沟井田、苏布尔嘎井田、纳林希里井田先行开发，壕赖苏井田结合国家和地方能源和社会经济发展需求适时开发。</w:t>
      </w:r>
    </w:p>
    <w:p>
      <w:pPr>
        <w:spacing w:line="440" w:lineRule="exact"/>
        <w:ind w:firstLine="482" w:firstLineChars="200"/>
        <w:rPr>
          <w:rFonts w:ascii="Times New Roman" w:hAnsi="Times New Roman"/>
          <w:b/>
          <w:bCs/>
          <w:szCs w:val="24"/>
        </w:rPr>
      </w:pPr>
      <w:r>
        <w:rPr>
          <w:rFonts w:ascii="Times New Roman" w:hAnsi="Times New Roman"/>
          <w:b/>
          <w:bCs/>
          <w:szCs w:val="24"/>
        </w:rPr>
        <w:t>（3）优化矿区保护煤柱设计，加强对生态保护红线区的保护</w:t>
      </w:r>
    </w:p>
    <w:p>
      <w:pPr>
        <w:topLinePunct/>
        <w:adjustRightInd w:val="0"/>
        <w:snapToGrid w:val="0"/>
        <w:spacing w:line="440" w:lineRule="exact"/>
        <w:ind w:firstLine="480"/>
        <w:textAlignment w:val="baseline"/>
        <w:rPr>
          <w:rFonts w:ascii="Times New Roman" w:hAnsi="Times New Roman"/>
        </w:rPr>
      </w:pPr>
      <w:r>
        <w:rPr>
          <w:rFonts w:ascii="Times New Roman" w:hAnsi="Times New Roman"/>
          <w:szCs w:val="24"/>
        </w:rPr>
        <w:t>本次环评提出奎腾沟井田</w:t>
      </w:r>
      <w:r>
        <w:rPr>
          <w:rFonts w:ascii="Times New Roman" w:hAnsi="Times New Roman"/>
        </w:rPr>
        <w:t>下阶段设计及生产过程中，</w:t>
      </w:r>
      <w:r>
        <w:rPr>
          <w:rFonts w:ascii="Times New Roman" w:hAnsi="Times New Roman"/>
          <w:szCs w:val="24"/>
        </w:rPr>
        <w:t>应根据</w:t>
      </w:r>
      <w:r>
        <w:rPr>
          <w:rFonts w:ascii="Times New Roman" w:hAnsi="Times New Roman"/>
        </w:rPr>
        <w:t>本矿地表沉陷实际观测结果，优化对鄂尔多斯</w:t>
      </w:r>
      <w:r>
        <w:rPr>
          <w:rFonts w:ascii="Times New Roman" w:hAnsi="Times New Roman"/>
          <w:szCs w:val="24"/>
        </w:rPr>
        <w:t>遗鸥国家级自然保护区（</w:t>
      </w:r>
      <w:r>
        <w:rPr>
          <w:rFonts w:ascii="Times New Roman" w:hAnsi="Times New Roman"/>
        </w:rPr>
        <w:t>生态保护红线区）的保护煤柱设置，确保不受开采沉陷影响。</w:t>
      </w:r>
    </w:p>
    <w:p>
      <w:pPr>
        <w:spacing w:line="440" w:lineRule="exact"/>
        <w:ind w:firstLine="480" w:firstLineChars="200"/>
        <w:rPr>
          <w:rFonts w:ascii="Times New Roman" w:hAnsi="Times New Roman"/>
          <w:color w:val="FF0000"/>
        </w:rPr>
      </w:pPr>
      <w:r>
        <w:rPr>
          <w:rFonts w:hint="eastAsia" w:ascii="Times New Roman" w:hAnsi="Times New Roman"/>
          <w:color w:val="FF0000"/>
        </w:rPr>
        <w:t>矿区规划时对勘查区内生态保护红线区已与规划矿区铁路专用线一起留设了保护煤柱，本次环评提出苏布尔嘎井田下阶段设计及生产过程中，应根据本矿地表沉陷实际观测结果，优化对井田东、西部外生态保护红线区的保护煤柱设置，确保生态保护红线区不受开采沉陷影响。</w:t>
      </w:r>
    </w:p>
    <w:p>
      <w:pPr>
        <w:spacing w:line="440" w:lineRule="exact"/>
        <w:ind w:firstLine="480" w:firstLineChars="200"/>
        <w:rPr>
          <w:rFonts w:ascii="Times New Roman" w:hAnsi="Times New Roman"/>
        </w:rPr>
      </w:pPr>
      <w:r>
        <w:rPr>
          <w:rFonts w:ascii="Times New Roman" w:hAnsi="Times New Roman"/>
        </w:rPr>
        <w:t>纳林希里井田下阶段设计及生产过程中，</w:t>
      </w:r>
      <w:r>
        <w:rPr>
          <w:rFonts w:ascii="Times New Roman" w:hAnsi="Times New Roman"/>
          <w:szCs w:val="24"/>
        </w:rPr>
        <w:t>应根据</w:t>
      </w:r>
      <w:r>
        <w:rPr>
          <w:rFonts w:ascii="Times New Roman" w:hAnsi="Times New Roman"/>
        </w:rPr>
        <w:t>本矿地表沉陷实际观测结果，优化对红庆河镇规划区的保护煤柱设置，确保红庆河镇不受开采沉陷影响。</w:t>
      </w:r>
    </w:p>
    <w:p>
      <w:pPr>
        <w:spacing w:line="440" w:lineRule="exact"/>
        <w:ind w:firstLine="480" w:firstLineChars="200"/>
        <w:rPr>
          <w:rFonts w:ascii="Times New Roman" w:hAnsi="Times New Roman"/>
        </w:rPr>
      </w:pPr>
      <w:r>
        <w:rPr>
          <w:rFonts w:ascii="Times New Roman" w:hAnsi="Times New Roman"/>
        </w:rPr>
        <w:t>矿区纳林希里井田内西北部分布有哈达图水源地两口水源井，纳林希里井田内西北边界附近分布有乌兰淖尔水源地1口水源井，为保护水源井，本次评价</w:t>
      </w:r>
      <w:r>
        <w:rPr>
          <w:rFonts w:ascii="Times New Roman" w:hAnsi="Times New Roman"/>
          <w:szCs w:val="24"/>
        </w:rPr>
        <w:t>提出</w:t>
      </w:r>
      <w:r>
        <w:rPr>
          <w:rFonts w:ascii="Times New Roman" w:hAnsi="Times New Roman"/>
        </w:rPr>
        <w:t>纳林希里井田下阶段设计及生产过程中，</w:t>
      </w:r>
      <w:r>
        <w:rPr>
          <w:rFonts w:ascii="Times New Roman" w:hAnsi="Times New Roman"/>
          <w:szCs w:val="24"/>
        </w:rPr>
        <w:t>应根据</w:t>
      </w:r>
      <w:r>
        <w:rPr>
          <w:rFonts w:ascii="Times New Roman" w:hAnsi="Times New Roman"/>
        </w:rPr>
        <w:t>本矿地表沉陷实际观测结果，优化对哈达图水源地两口水源井的保护煤柱设置，确保水源井不受开采沉陷影响。</w:t>
      </w:r>
    </w:p>
    <w:p>
      <w:pPr>
        <w:spacing w:line="440" w:lineRule="exact"/>
        <w:ind w:firstLine="480" w:firstLineChars="200"/>
        <w:rPr>
          <w:rFonts w:ascii="Times New Roman" w:hAnsi="Times New Roman"/>
        </w:rPr>
      </w:pPr>
      <w:r>
        <w:rPr>
          <w:rFonts w:ascii="Times New Roman" w:hAnsi="Times New Roman"/>
        </w:rPr>
        <w:t>本矿区规划范围内涉及26处文物遗迹，其中乌兰敖包城址为市级重点文物保护单位，其余均为未定等级的文物。本次评价</w:t>
      </w:r>
      <w:r>
        <w:rPr>
          <w:rFonts w:ascii="Times New Roman" w:hAnsi="Times New Roman"/>
          <w:szCs w:val="24"/>
        </w:rPr>
        <w:t>提出</w:t>
      </w:r>
      <w:r>
        <w:rPr>
          <w:rFonts w:ascii="Times New Roman" w:hAnsi="Times New Roman"/>
        </w:rPr>
        <w:t>针对墓葬、遗址类文物可在文物保护部门的指导下进行考古发掘或异地搬迁的保护措施；对无法搬迁或容易在搬迁过程中受损坏的文物，进行原址保护（留设保护煤柱），具体留设宽度还须在项目环评阶段详细分析。</w:t>
      </w:r>
    </w:p>
    <w:p>
      <w:pPr>
        <w:spacing w:line="440" w:lineRule="exact"/>
        <w:ind w:firstLine="480" w:firstLineChars="200"/>
        <w:rPr>
          <w:rFonts w:ascii="Times New Roman" w:hAnsi="Times New Roman"/>
        </w:rPr>
      </w:pPr>
      <w:r>
        <w:rPr>
          <w:rFonts w:ascii="Times New Roman" w:hAnsi="Times New Roman"/>
        </w:rPr>
        <w:t>本次评价</w:t>
      </w:r>
      <w:r>
        <w:rPr>
          <w:rFonts w:ascii="Times New Roman" w:hAnsi="Times New Roman"/>
          <w:szCs w:val="24"/>
        </w:rPr>
        <w:t>提出奎腾沟井田、纳林希里井田</w:t>
      </w:r>
      <w:r>
        <w:rPr>
          <w:rFonts w:ascii="Times New Roman" w:hAnsi="Times New Roman"/>
        </w:rPr>
        <w:t>下阶段设计及生产过程中，</w:t>
      </w:r>
      <w:r>
        <w:rPr>
          <w:rFonts w:ascii="Times New Roman" w:hAnsi="Times New Roman"/>
          <w:szCs w:val="24"/>
        </w:rPr>
        <w:t>应根据</w:t>
      </w:r>
      <w:r>
        <w:rPr>
          <w:rFonts w:ascii="Times New Roman" w:hAnsi="Times New Roman"/>
        </w:rPr>
        <w:t>本矿地表沉陷实际观测结果，优化对</w:t>
      </w:r>
      <w:r>
        <w:rPr>
          <w:rFonts w:ascii="Times New Roman" w:hAnsi="Times New Roman"/>
          <w:szCs w:val="24"/>
        </w:rPr>
        <w:t>荣乌高速（G18）、东乌铁路以及长呼输气管线</w:t>
      </w:r>
      <w:r>
        <w:rPr>
          <w:rFonts w:ascii="Times New Roman" w:hAnsi="Times New Roman"/>
        </w:rPr>
        <w:t>的保护煤柱设置，确保</w:t>
      </w:r>
      <w:r>
        <w:rPr>
          <w:rFonts w:ascii="Times New Roman" w:hAnsi="Times New Roman"/>
          <w:szCs w:val="24"/>
        </w:rPr>
        <w:t>荣乌高速（G18）、东乌铁路以及长呼输气管线</w:t>
      </w:r>
      <w:r>
        <w:rPr>
          <w:rFonts w:ascii="Times New Roman" w:hAnsi="Times New Roman"/>
        </w:rPr>
        <w:t>不受开采沉陷影响。</w:t>
      </w:r>
    </w:p>
    <w:p>
      <w:pPr>
        <w:adjustRightInd w:val="0"/>
        <w:snapToGrid w:val="0"/>
        <w:spacing w:line="440" w:lineRule="exact"/>
        <w:ind w:firstLine="482" w:firstLineChars="200"/>
        <w:rPr>
          <w:rFonts w:ascii="Times New Roman" w:hAnsi="Times New Roman"/>
          <w:b/>
        </w:rPr>
      </w:pPr>
      <w:r>
        <w:rPr>
          <w:rFonts w:ascii="Times New Roman" w:hAnsi="Times New Roman"/>
          <w:b/>
        </w:rPr>
        <w:t>矿区在其开发过程中不可避免地会对环境，特别是对生态环境、地下水环境和大气环境产生一定的影响，在矿区切实严格落实本报告提出的矿区规划方案优化调整建议和环保要求、生态综合整治和环境保护措施后，矿区开发的污染影响和生态影响在当地环境可承受范围，矿区开发符合国家产业政策和环保政策要求，矿区开发不会改变矿区所属主体功能区划的主体功能，能够促进地方经济可持续发展，从环境保护的角度，纳林希里矿区总体规划方案环境可行。</w:t>
      </w:r>
    </w:p>
    <w:p>
      <w:pPr>
        <w:adjustRightInd w:val="0"/>
        <w:snapToGrid w:val="0"/>
        <w:spacing w:line="440" w:lineRule="exact"/>
        <w:ind w:firstLine="480" w:firstLineChars="200"/>
        <w:rPr>
          <w:rFonts w:ascii="Times New Roman" w:hAnsi="Times New Roman"/>
        </w:rPr>
        <w:sectPr>
          <w:headerReference r:id="rId38" w:type="default"/>
          <w:pgSz w:w="11906" w:h="16838"/>
          <w:pgMar w:top="1701" w:right="1418" w:bottom="1134" w:left="1418" w:header="1134" w:footer="851" w:gutter="0"/>
          <w:cols w:space="720" w:num="1"/>
          <w:docGrid w:linePitch="312" w:charSpace="0"/>
        </w:sectPr>
      </w:pPr>
    </w:p>
    <w:p>
      <w:pPr>
        <w:pStyle w:val="3"/>
        <w:adjustRightInd w:val="0"/>
        <w:snapToGrid w:val="0"/>
        <w:spacing w:before="360" w:after="360" w:line="440" w:lineRule="exact"/>
        <w:jc w:val="center"/>
        <w:rPr>
          <w:sz w:val="32"/>
          <w:szCs w:val="32"/>
        </w:rPr>
      </w:pPr>
      <w:bookmarkStart w:id="450" w:name="_Toc18838509"/>
      <w:bookmarkStart w:id="451" w:name="_Toc3986"/>
      <w:r>
        <w:rPr>
          <w:sz w:val="32"/>
          <w:szCs w:val="32"/>
        </w:rPr>
        <w:t>附 录</w:t>
      </w:r>
      <w:bookmarkEnd w:id="450"/>
      <w:bookmarkEnd w:id="451"/>
    </w:p>
    <w:bookmarkEnd w:id="432"/>
    <w:bookmarkEnd w:id="433"/>
    <w:bookmarkEnd w:id="434"/>
    <w:p>
      <w:pPr>
        <w:spacing w:line="440" w:lineRule="exact"/>
        <w:rPr>
          <w:rFonts w:ascii="Times New Roman" w:hAnsi="Times New Roman"/>
        </w:rPr>
      </w:pPr>
      <w:r>
        <w:rPr>
          <w:rFonts w:ascii="Times New Roman" w:hAnsi="Times New Roman"/>
        </w:rPr>
        <w:t>附录1：《鄂尔多斯市能源局关于委托编制纳林希里矿区总体规划和总体规划环境影响评价的函》鄂能局函[2021]462号；</w:t>
      </w:r>
    </w:p>
    <w:p>
      <w:pPr>
        <w:spacing w:before="120" w:beforeLines="50" w:after="120" w:afterLines="50" w:line="440" w:lineRule="exact"/>
        <w:rPr>
          <w:rFonts w:ascii="Times New Roman" w:hAnsi="Times New Roman"/>
        </w:rPr>
      </w:pPr>
      <w:r>
        <w:rPr>
          <w:rFonts w:ascii="Times New Roman" w:hAnsi="Times New Roman"/>
        </w:rPr>
        <w:t>附录2：《内蒙古自治区人民政府2013年第四次主席办公会议纪要》；</w:t>
      </w:r>
    </w:p>
    <w:p>
      <w:pPr>
        <w:spacing w:line="440" w:lineRule="exact"/>
        <w:rPr>
          <w:rFonts w:ascii="Times New Roman" w:hAnsi="Times New Roman"/>
        </w:rPr>
      </w:pPr>
      <w:r>
        <w:rPr>
          <w:rFonts w:ascii="Times New Roman" w:hAnsi="Times New Roman"/>
        </w:rPr>
        <w:t>附录3：《内蒙古自治区环保厅关于东胜煤田纳林希里煤炭矿区范围内自然保护区情况 的说明》；</w:t>
      </w:r>
    </w:p>
    <w:p>
      <w:pPr>
        <w:spacing w:before="120" w:beforeLines="50" w:after="120" w:afterLines="50" w:line="440" w:lineRule="exact"/>
        <w:rPr>
          <w:rFonts w:ascii="Times New Roman" w:hAnsi="Times New Roman"/>
        </w:rPr>
      </w:pPr>
      <w:r>
        <w:rPr>
          <w:rFonts w:ascii="Times New Roman" w:hAnsi="Times New Roman"/>
        </w:rPr>
        <w:t>附录4：公众参与调查表（团体、居民）。</w:t>
      </w:r>
    </w:p>
    <w:p>
      <w:pPr>
        <w:rPr>
          <w:rFonts w:ascii="Times New Roman" w:hAnsi="Times New Roman"/>
        </w:rPr>
      </w:pPr>
    </w:p>
    <w:sectPr>
      <w:headerReference r:id="rId39" w:type="default"/>
      <w:pgSz w:w="11906" w:h="16838"/>
      <w:pgMar w:top="1701" w:right="1418" w:bottom="1418" w:left="1418" w:header="1134" w:footer="851"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汉鼎简书宋">
    <w:altName w:val="微软雅黑"/>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华文细黑">
    <w:panose1 w:val="02010600040101010101"/>
    <w:charset w:val="86"/>
    <w:family w:val="auto"/>
    <w:pitch w:val="default"/>
    <w:sig w:usb0="00000287" w:usb1="080F0000" w:usb2="00000000" w:usb3="00000000" w:csb0="0004009F" w:csb1="DFD70000"/>
  </w:font>
  <w:font w:name="Times">
    <w:altName w:val="Times New Roman"/>
    <w:panose1 w:val="02020603050405020304"/>
    <w:charset w:val="00"/>
    <w:family w:val="roman"/>
    <w:pitch w:val="default"/>
    <w:sig w:usb0="00000000" w:usb1="00000000" w:usb2="00000009" w:usb3="00000000" w:csb0="000001FF" w:csb1="00000000"/>
  </w:font>
  <w:font w:name="Arial Unicode MS">
    <w:altName w:val="宋体"/>
    <w:panose1 w:val="020B0604020202020204"/>
    <w:charset w:val="86"/>
    <w:family w:val="swiss"/>
    <w:pitch w:val="default"/>
    <w:sig w:usb0="00000000" w:usb1="00000000" w:usb2="0000003F" w:usb3="00000000" w:csb0="003F01FF" w:csb1="00000000"/>
  </w:font>
  <w:font w:name="Roman PS">
    <w:altName w:val="Times New Roman"/>
    <w:panose1 w:val="00000000000000000000"/>
    <w:charset w:val="00"/>
    <w:family w:val="roman"/>
    <w:pitch w:val="default"/>
    <w:sig w:usb0="00000000" w:usb1="00000000" w:usb2="00000000" w:usb3="00000000" w:csb0="00000001" w:csb1="00000000"/>
  </w:font>
  <w:font w:name="Arial Narrow">
    <w:panose1 w:val="020B0606020202030204"/>
    <w:charset w:val="00"/>
    <w:family w:val="swiss"/>
    <w:pitch w:val="default"/>
    <w:sig w:usb0="00000287" w:usb1="00000800" w:usb2="00000000" w:usb3="00000000" w:csb0="2000009F" w:csb1="DFD70000"/>
  </w:font>
  <w:font w:name="Courier New">
    <w:panose1 w:val="02070309020205020404"/>
    <w:charset w:val="00"/>
    <w:family w:val="modern"/>
    <w:pitch w:val="default"/>
    <w:sig w:usb0="E0002EFF" w:usb1="C0007843" w:usb2="00000009" w:usb3="00000000" w:csb0="400001FF" w:csb1="FFFF0000"/>
  </w:font>
  <w:font w:name="隶书">
    <w:panose1 w:val="0201050906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创艺简楷体">
    <w:altName w:val="黑体"/>
    <w:panose1 w:val="00000000000000000000"/>
    <w:charset w:val="86"/>
    <w:family w:val="auto"/>
    <w:pitch w:val="default"/>
    <w:sig w:usb0="00000000" w:usb1="00000000" w:usb2="00000010" w:usb3="00000000" w:csb0="00040000" w:csb1="00000000"/>
  </w:font>
  <w:font w:name="Hbjr Songti">
    <w:altName w:val="Times New Roman"/>
    <w:panose1 w:val="00000000000000000000"/>
    <w:charset w:val="00"/>
    <w:family w:val="roman"/>
    <w:pitch w:val="default"/>
    <w:sig w:usb0="00000000" w:usb1="00000000" w:usb2="00000000" w:usb3="00000000" w:csb0="00040001" w:csb1="00000000"/>
  </w:font>
  <w:font w:name="新宋体">
    <w:panose1 w:val="02010609030101010101"/>
    <w:charset w:val="86"/>
    <w:family w:val="modern"/>
    <w:pitch w:val="default"/>
    <w:sig w:usb0="00000203" w:usb1="288F0000" w:usb2="00000006" w:usb3="00000000" w:csb0="00040001" w:csb1="00000000"/>
  </w:font>
  <w:font w:name="Microsoft YaHei UI">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Segoe UI Emoji">
    <w:panose1 w:val="020B0502040204020203"/>
    <w:charset w:val="00"/>
    <w:family w:val="swiss"/>
    <w:pitch w:val="default"/>
    <w:sig w:usb0="00000001" w:usb1="02000000" w:usb2="08000000" w:usb3="00000000" w:csb0="00000001"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roman"/>
    <w:pitch w:val="default"/>
    <w:sig w:usb0="E00006FF" w:usb1="420024FF" w:usb2="02000000" w:usb3="00000000" w:csb0="2000019F" w:csb1="00000000"/>
  </w:font>
  <w:font w:name="SSJ0+ZFWBhL-4">
    <w:altName w:val="黑体"/>
    <w:panose1 w:val="00000000000000000000"/>
    <w:charset w:val="86"/>
    <w:family w:val="auto"/>
    <w:pitch w:val="default"/>
    <w:sig w:usb0="00000000" w:usb1="00000000" w:usb2="00000010" w:usb3="00000000" w:csb0="00040000" w:csb1="00000000"/>
  </w:font>
  <w:font w:name="汉鼎简书">
    <w:altName w:val="微软雅黑"/>
    <w:panose1 w:val="00000000000000000000"/>
    <w:charset w:val="86"/>
    <w:family w:val="modern"/>
    <w:pitch w:val="default"/>
    <w:sig w:usb0="00000000" w:usb1="00000000" w:usb2="00000010" w:usb3="00000000" w:csb0="00040000" w:csb1="00000000"/>
  </w:font>
  <w:font w:name="MS Mincho">
    <w:altName w:val="Yu Gothic UI"/>
    <w:panose1 w:val="02020609040205080304"/>
    <w:charset w:val="80"/>
    <w:family w:val="modern"/>
    <w:pitch w:val="default"/>
    <w:sig w:usb0="00000000" w:usb1="00000000" w:usb2="08000012" w:usb3="00000000" w:csb0="0002009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9"/>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pPr>
                      <w:pStyle w:val="39"/>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9"/>
                          </w:pPr>
                          <w:r>
                            <w:fldChar w:fldCharType="begin"/>
                          </w:r>
                          <w:r>
                            <w:instrText xml:space="preserve"> PAGE  \* MERGEFORMAT </w:instrText>
                          </w:r>
                          <w:r>
                            <w:fldChar w:fldCharType="separate"/>
                          </w:r>
                          <w:r>
                            <w:t>116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pPr>
                      <w:pStyle w:val="39"/>
                    </w:pPr>
                    <w:r>
                      <w:fldChar w:fldCharType="begin"/>
                    </w:r>
                    <w:r>
                      <w:instrText xml:space="preserve"> PAGE  \* MERGEFORMAT </w:instrText>
                    </w:r>
                    <w:r>
                      <w:fldChar w:fldCharType="separate"/>
                    </w:r>
                    <w:r>
                      <w:t>116</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9"/>
                          </w:pPr>
                          <w:r>
                            <w:fldChar w:fldCharType="begin"/>
                          </w:r>
                          <w:r>
                            <w:instrText xml:space="preserve"> PAGE  \* MERGEFORMAT </w:instrText>
                          </w:r>
                          <w:r>
                            <w:fldChar w:fldCharType="separate"/>
                          </w:r>
                          <w:r>
                            <w:t>170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pPr>
                      <w:pStyle w:val="39"/>
                    </w:pPr>
                    <w:r>
                      <w:fldChar w:fldCharType="begin"/>
                    </w:r>
                    <w:r>
                      <w:instrText xml:space="preserve"> PAGE  \* MERGEFORMAT </w:instrText>
                    </w:r>
                    <w:r>
                      <w:fldChar w:fldCharType="separate"/>
                    </w:r>
                    <w:r>
                      <w:t>170</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9"/>
                          </w:pPr>
                          <w:r>
                            <w:fldChar w:fldCharType="begin"/>
                          </w:r>
                          <w:r>
                            <w:instrText xml:space="preserve"> PAGE  \* MERGEFORMAT </w:instrText>
                          </w:r>
                          <w:r>
                            <w:fldChar w:fldCharType="separate"/>
                          </w:r>
                          <w:r>
                            <w:t>199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pPr>
                      <w:pStyle w:val="39"/>
                    </w:pPr>
                    <w:r>
                      <w:fldChar w:fldCharType="begin"/>
                    </w:r>
                    <w:r>
                      <w:instrText xml:space="preserve"> PAGE  \* MERGEFORMAT </w:instrText>
                    </w:r>
                    <w:r>
                      <w:fldChar w:fldCharType="separate"/>
                    </w:r>
                    <w:r>
                      <w:t>199</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9"/>
                          </w:pPr>
                          <w:r>
                            <w:fldChar w:fldCharType="begin"/>
                          </w:r>
                          <w:r>
                            <w:instrText xml:space="preserve"> PAGE  \* MERGEFORMAT </w:instrText>
                          </w:r>
                          <w:r>
                            <w:fldChar w:fldCharType="separate"/>
                          </w:r>
                          <w:r>
                            <w:t>284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pPr>
                      <w:pStyle w:val="39"/>
                    </w:pPr>
                    <w:r>
                      <w:fldChar w:fldCharType="begin"/>
                    </w:r>
                    <w:r>
                      <w:instrText xml:space="preserve"> PAGE  \* MERGEFORMAT </w:instrText>
                    </w:r>
                    <w:r>
                      <w:fldChar w:fldCharType="separate"/>
                    </w:r>
                    <w:r>
                      <w:t>284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纳林希里矿区总体规划环境影响报告书</w:t>
    </w:r>
    <w:r>
      <w:rPr>
        <w:rFonts w:hint="eastAsia" w:ascii="华文新魏" w:eastAsia="华文新魏"/>
      </w:rPr>
      <w:tab/>
    </w:r>
    <w:r>
      <w:rPr>
        <w:rFonts w:hint="eastAsia" w:ascii="华文新魏" w:eastAsia="华文新魏"/>
      </w:rPr>
      <w:t>总则</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13515"/>
        <w:tab w:val="clear" w:pos="4153"/>
        <w:tab w:val="clear" w:pos="8306"/>
      </w:tabs>
      <w:rPr>
        <w:rFonts w:ascii="华文新魏" w:eastAsia="华文新魏"/>
      </w:rPr>
    </w:pPr>
    <w:r>
      <w:rPr>
        <w:rFonts w:hint="eastAsia" w:ascii="华文新魏" w:eastAsia="华文新魏"/>
      </w:rPr>
      <w:t>纳林希里矿区总体规划环境影响报告书</w:t>
    </w:r>
    <w:r>
      <w:rPr>
        <w:rFonts w:hint="eastAsia" w:ascii="华文新魏" w:eastAsia="华文新魏"/>
      </w:rPr>
      <w:tab/>
    </w:r>
    <w:r>
      <w:rPr>
        <w:rFonts w:hint="eastAsia" w:ascii="华文新魏" w:eastAsia="华文新魏"/>
      </w:rPr>
      <w:t>总则</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纳林希里矿区总体规划环境影响报告书</w:t>
    </w:r>
    <w:r>
      <w:rPr>
        <w:rFonts w:hint="eastAsia" w:ascii="华文新魏" w:eastAsia="华文新魏"/>
      </w:rPr>
      <w:tab/>
    </w:r>
    <w:r>
      <w:rPr>
        <w:rFonts w:hint="eastAsia" w:ascii="华文新魏" w:eastAsia="华文新魏"/>
      </w:rPr>
      <w:t>总则</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规划方案概述与分析</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规划方案概述与分析</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规划方案概述与分析</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规划方案概述与分析</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规划方案概述与分析</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区域自然环境和社会经济概况</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区域自然环境和社会经济概况</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区域自然环境和社会经济概况</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区域自然环境和社会经济概况</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区域自然环境和社会经济概况</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8655"/>
        <w:tab w:val="clear" w:pos="4153"/>
        <w:tab w:val="clear" w:pos="8306"/>
      </w:tabs>
      <w:rPr>
        <w:rFonts w:ascii="华文新魏" w:eastAsia="华文新魏"/>
      </w:rPr>
    </w:pPr>
    <w:r>
      <w:rPr>
        <w:rFonts w:hint="eastAsia" w:ascii="华文新魏" w:eastAsia="华文新魏"/>
      </w:rPr>
      <w:t>纳林希里矿区总体规划环境影响报告                                          区域自然环境和社会经济概况</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环境影响识别与评价指标体系</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420"/>
    </w:pPr>
    <w:r>
      <w:rPr>
        <w:rFonts w:hint="eastAsia" w:ascii="华文新魏" w:eastAsia="华文新魏"/>
        <w:sz w:val="21"/>
        <w:szCs w:val="21"/>
      </w:rPr>
      <w:t>杭锦旗聚能能源有限公司梵王寺矿井及选煤厂                             地表沉陷预测</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规划实施环境影响评价</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tabs>
        <w:tab w:val="left" w:pos="11850"/>
      </w:tabs>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ascii="华文新魏" w:eastAsia="华文新魏"/>
      </w:rPr>
      <w:tab/>
    </w:r>
    <w:r>
      <w:rPr>
        <w:rFonts w:hint="eastAsia" w:ascii="华文新魏" w:eastAsia="华文新魏"/>
      </w:rPr>
      <w:t>规划实施环境影响评价</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规划实施环境影响评价</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矿区资源、环境承载力分析</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规划方案综合论证与优化调整建议</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 xml:space="preserve">                                                       规划方案综合论证与优化调整建议</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规划方案综合论证与优化调整建议</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规划实施环境影响减缓措施</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矿区清洁生产与循环经济分析</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 xml:space="preserve">                   公众参与</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环境管理、监测计划与跟踪评价</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spacing w:line="240" w:lineRule="atLeast"/>
      <w:rPr>
        <w:rFonts w:ascii="华文新魏" w:eastAsia="华文新魏"/>
      </w:rPr>
    </w:pPr>
    <w:r>
      <w:rPr>
        <w:rFonts w:hint="eastAsia" w:ascii="华文新魏" w:eastAsia="华文新魏"/>
      </w:rPr>
      <w:t xml:space="preserve">纳林希里矿区总体规划环境影响报告书                        </w:t>
    </w:r>
    <w:r>
      <w:rPr>
        <w:rFonts w:ascii="华文新魏" w:eastAsia="华文新魏"/>
      </w:rPr>
      <w:t xml:space="preserve">                                </w:t>
    </w:r>
    <w:r>
      <w:rPr>
        <w:rFonts w:hint="eastAsia" w:ascii="华文新魏" w:eastAsia="华文新魏"/>
      </w:rPr>
      <w:t>结论与建议</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rPr>
        <w:rFonts w:ascii="华文新魏" w:eastAsia="华文新魏"/>
      </w:rPr>
    </w:pPr>
    <w:r>
      <w:rPr>
        <w:rFonts w:hint="eastAsia" w:ascii="华文新魏" w:hAnsi="华文仿宋" w:eastAsia="华文新魏"/>
      </w:rPr>
      <w:t xml:space="preserve">纳林希里矿区总体规划环境影响报告书                                                        </w:t>
    </w:r>
    <w:r>
      <w:rPr>
        <w:rFonts w:ascii="华文新魏" w:hAnsi="华文仿宋" w:eastAsia="华文新魏"/>
      </w:rPr>
      <w:t xml:space="preserve">    </w:t>
    </w:r>
    <w:r>
      <w:rPr>
        <w:rFonts w:hint="eastAsia" w:ascii="华文新魏" w:eastAsia="华文新魏"/>
      </w:rPr>
      <w:t xml:space="preserve"> 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B8C9C"/>
    <w:multiLevelType w:val="singleLevel"/>
    <w:tmpl w:val="941B8C9C"/>
    <w:lvl w:ilvl="0" w:tentative="0">
      <w:start w:val="1"/>
      <w:numFmt w:val="decimal"/>
      <w:suff w:val="nothing"/>
      <w:lvlText w:val="（%1）"/>
      <w:lvlJc w:val="left"/>
    </w:lvl>
  </w:abstractNum>
  <w:abstractNum w:abstractNumId="1">
    <w:nsid w:val="A7BE6F5E"/>
    <w:multiLevelType w:val="multilevel"/>
    <w:tmpl w:val="A7BE6F5E"/>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B9F61825"/>
    <w:multiLevelType w:val="singleLevel"/>
    <w:tmpl w:val="B9F61825"/>
    <w:lvl w:ilvl="0" w:tentative="0">
      <w:start w:val="1"/>
      <w:numFmt w:val="decimal"/>
      <w:suff w:val="nothing"/>
      <w:lvlText w:val="（%1）"/>
      <w:lvlJc w:val="left"/>
    </w:lvl>
  </w:abstractNum>
  <w:abstractNum w:abstractNumId="3">
    <w:nsid w:val="BBB8DEFA"/>
    <w:multiLevelType w:val="singleLevel"/>
    <w:tmpl w:val="BBB8DEFA"/>
    <w:lvl w:ilvl="0" w:tentative="0">
      <w:start w:val="1"/>
      <w:numFmt w:val="chineseCounting"/>
      <w:suff w:val="nothing"/>
      <w:lvlText w:val="（%1）"/>
      <w:lvlJc w:val="left"/>
      <w:rPr>
        <w:rFonts w:hint="eastAsia"/>
      </w:rPr>
    </w:lvl>
  </w:abstractNum>
  <w:abstractNum w:abstractNumId="4">
    <w:nsid w:val="CF719F36"/>
    <w:multiLevelType w:val="singleLevel"/>
    <w:tmpl w:val="CF719F36"/>
    <w:lvl w:ilvl="0" w:tentative="0">
      <w:start w:val="1"/>
      <w:numFmt w:val="decimal"/>
      <w:suff w:val="nothing"/>
      <w:lvlText w:val="（%1）"/>
      <w:lvlJc w:val="left"/>
    </w:lvl>
  </w:abstractNum>
  <w:abstractNum w:abstractNumId="5">
    <w:nsid w:val="E5F2A6E3"/>
    <w:multiLevelType w:val="singleLevel"/>
    <w:tmpl w:val="E5F2A6E3"/>
    <w:lvl w:ilvl="0" w:tentative="0">
      <w:start w:val="2"/>
      <w:numFmt w:val="decimal"/>
      <w:suff w:val="space"/>
      <w:lvlText w:val="%1)"/>
      <w:lvlJc w:val="left"/>
    </w:lvl>
  </w:abstractNum>
  <w:abstractNum w:abstractNumId="6">
    <w:nsid w:val="E62AC7B8"/>
    <w:multiLevelType w:val="singleLevel"/>
    <w:tmpl w:val="E62AC7B8"/>
    <w:lvl w:ilvl="0" w:tentative="0">
      <w:start w:val="1"/>
      <w:numFmt w:val="decimal"/>
      <w:suff w:val="nothing"/>
      <w:lvlText w:val="（%1）"/>
      <w:lvlJc w:val="left"/>
    </w:lvl>
  </w:abstractNum>
  <w:abstractNum w:abstractNumId="7">
    <w:nsid w:val="EAF0F9DF"/>
    <w:multiLevelType w:val="singleLevel"/>
    <w:tmpl w:val="EAF0F9DF"/>
    <w:lvl w:ilvl="0" w:tentative="0">
      <w:start w:val="1"/>
      <w:numFmt w:val="decimal"/>
      <w:suff w:val="nothing"/>
      <w:lvlText w:val="（%1）"/>
      <w:lvlJc w:val="left"/>
    </w:lvl>
  </w:abstractNum>
  <w:abstractNum w:abstractNumId="8">
    <w:nsid w:val="0000005D"/>
    <w:multiLevelType w:val="multilevel"/>
    <w:tmpl w:val="0000005D"/>
    <w:lvl w:ilvl="0" w:tentative="0">
      <w:start w:val="1"/>
      <w:numFmt w:val="decimal"/>
      <w:lvlText w:val="（%1）"/>
      <w:lvlJc w:val="left"/>
      <w:pPr>
        <w:tabs>
          <w:tab w:val="left" w:pos="1134"/>
        </w:tabs>
        <w:ind w:left="0" w:firstLine="567"/>
      </w:pPr>
      <w:rPr>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15B23DC"/>
    <w:multiLevelType w:val="multilevel"/>
    <w:tmpl w:val="015B23DC"/>
    <w:lvl w:ilvl="0" w:tentative="0">
      <w:start w:val="1"/>
      <w:numFmt w:val="decimal"/>
      <w:suff w:val="nothing"/>
      <w:lvlText w:val="（%1）"/>
      <w:lvlJc w:val="left"/>
      <w:pPr>
        <w:ind w:left="0" w:firstLine="397"/>
      </w:pPr>
      <w:rPr>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88AACD7"/>
    <w:multiLevelType w:val="singleLevel"/>
    <w:tmpl w:val="088AACD7"/>
    <w:lvl w:ilvl="0" w:tentative="0">
      <w:start w:val="2"/>
      <w:numFmt w:val="decimal"/>
      <w:suff w:val="nothing"/>
      <w:lvlText w:val="%1）"/>
      <w:lvlJc w:val="left"/>
    </w:lvl>
  </w:abstractNum>
  <w:abstractNum w:abstractNumId="11">
    <w:nsid w:val="0B173B05"/>
    <w:multiLevelType w:val="singleLevel"/>
    <w:tmpl w:val="0B173B05"/>
    <w:lvl w:ilvl="0" w:tentative="0">
      <w:start w:val="1"/>
      <w:numFmt w:val="decimal"/>
      <w:suff w:val="nothing"/>
      <w:lvlText w:val="（%1）"/>
      <w:lvlJc w:val="left"/>
    </w:lvl>
  </w:abstractNum>
  <w:abstractNum w:abstractNumId="12">
    <w:nsid w:val="0C72E40E"/>
    <w:multiLevelType w:val="singleLevel"/>
    <w:tmpl w:val="0C72E40E"/>
    <w:lvl w:ilvl="0" w:tentative="0">
      <w:start w:val="1"/>
      <w:numFmt w:val="decimal"/>
      <w:suff w:val="nothing"/>
      <w:lvlText w:val="（%1）"/>
      <w:lvlJc w:val="left"/>
    </w:lvl>
  </w:abstractNum>
  <w:abstractNum w:abstractNumId="13">
    <w:nsid w:val="0F0F7C92"/>
    <w:multiLevelType w:val="singleLevel"/>
    <w:tmpl w:val="0F0F7C92"/>
    <w:lvl w:ilvl="0" w:tentative="0">
      <w:start w:val="1"/>
      <w:numFmt w:val="decimal"/>
      <w:suff w:val="nothing"/>
      <w:lvlText w:val="（%1）"/>
      <w:lvlJc w:val="left"/>
    </w:lvl>
  </w:abstractNum>
  <w:abstractNum w:abstractNumId="14">
    <w:nsid w:val="10D14AAD"/>
    <w:multiLevelType w:val="multilevel"/>
    <w:tmpl w:val="10D14AAD"/>
    <w:lvl w:ilvl="0" w:tentative="0">
      <w:start w:val="1"/>
      <w:numFmt w:val="decimal"/>
      <w:lvlText w:val="（%1）"/>
      <w:lvlJc w:val="left"/>
      <w:pPr>
        <w:ind w:left="1202" w:hanging="7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5">
    <w:nsid w:val="1B7227C5"/>
    <w:multiLevelType w:val="multilevel"/>
    <w:tmpl w:val="1B7227C5"/>
    <w:lvl w:ilvl="0" w:tentative="0">
      <w:start w:val="1"/>
      <w:numFmt w:val="decimal"/>
      <w:lvlText w:val="（%1）"/>
      <w:lvlJc w:val="left"/>
      <w:pPr>
        <w:ind w:left="1307" w:hanging="720"/>
      </w:pPr>
      <w:rPr>
        <w:rFonts w:hint="default"/>
      </w:rPr>
    </w:lvl>
    <w:lvl w:ilvl="1" w:tentative="0">
      <w:start w:val="1"/>
      <w:numFmt w:val="lowerLetter"/>
      <w:lvlText w:val="%2)"/>
      <w:lvlJc w:val="left"/>
      <w:pPr>
        <w:ind w:left="1427" w:hanging="420"/>
      </w:pPr>
    </w:lvl>
    <w:lvl w:ilvl="2" w:tentative="0">
      <w:start w:val="1"/>
      <w:numFmt w:val="lowerRoman"/>
      <w:lvlText w:val="%3."/>
      <w:lvlJc w:val="right"/>
      <w:pPr>
        <w:ind w:left="1847" w:hanging="420"/>
      </w:pPr>
    </w:lvl>
    <w:lvl w:ilvl="3" w:tentative="0">
      <w:start w:val="1"/>
      <w:numFmt w:val="decimal"/>
      <w:lvlText w:val="%4."/>
      <w:lvlJc w:val="left"/>
      <w:pPr>
        <w:ind w:left="2267" w:hanging="420"/>
      </w:pPr>
    </w:lvl>
    <w:lvl w:ilvl="4" w:tentative="0">
      <w:start w:val="1"/>
      <w:numFmt w:val="lowerLetter"/>
      <w:lvlText w:val="%5)"/>
      <w:lvlJc w:val="left"/>
      <w:pPr>
        <w:ind w:left="2687" w:hanging="420"/>
      </w:pPr>
    </w:lvl>
    <w:lvl w:ilvl="5" w:tentative="0">
      <w:start w:val="1"/>
      <w:numFmt w:val="lowerRoman"/>
      <w:lvlText w:val="%6."/>
      <w:lvlJc w:val="right"/>
      <w:pPr>
        <w:ind w:left="3107" w:hanging="420"/>
      </w:pPr>
    </w:lvl>
    <w:lvl w:ilvl="6" w:tentative="0">
      <w:start w:val="1"/>
      <w:numFmt w:val="decimal"/>
      <w:lvlText w:val="%7."/>
      <w:lvlJc w:val="left"/>
      <w:pPr>
        <w:ind w:left="3527" w:hanging="420"/>
      </w:pPr>
    </w:lvl>
    <w:lvl w:ilvl="7" w:tentative="0">
      <w:start w:val="1"/>
      <w:numFmt w:val="lowerLetter"/>
      <w:lvlText w:val="%8)"/>
      <w:lvlJc w:val="left"/>
      <w:pPr>
        <w:ind w:left="3947" w:hanging="420"/>
      </w:pPr>
    </w:lvl>
    <w:lvl w:ilvl="8" w:tentative="0">
      <w:start w:val="1"/>
      <w:numFmt w:val="lowerRoman"/>
      <w:lvlText w:val="%9."/>
      <w:lvlJc w:val="right"/>
      <w:pPr>
        <w:ind w:left="4367" w:hanging="420"/>
      </w:pPr>
    </w:lvl>
  </w:abstractNum>
  <w:abstractNum w:abstractNumId="16">
    <w:nsid w:val="2CCC3E78"/>
    <w:multiLevelType w:val="multilevel"/>
    <w:tmpl w:val="2CCC3E78"/>
    <w:lvl w:ilvl="0" w:tentative="0">
      <w:start w:val="1"/>
      <w:numFmt w:val="decimal"/>
      <w:suff w:val="nothing"/>
      <w:lvlText w:val="（%1）"/>
      <w:lvlJc w:val="left"/>
      <w:pPr>
        <w:ind w:left="0" w:firstLine="397"/>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55024895"/>
    <w:multiLevelType w:val="singleLevel"/>
    <w:tmpl w:val="55024895"/>
    <w:lvl w:ilvl="0" w:tentative="0">
      <w:start w:val="4"/>
      <w:numFmt w:val="decimal"/>
      <w:suff w:val="nothing"/>
      <w:lvlText w:val="（%1）"/>
      <w:lvlJc w:val="left"/>
    </w:lvl>
  </w:abstractNum>
  <w:abstractNum w:abstractNumId="18">
    <w:nsid w:val="69B22870"/>
    <w:multiLevelType w:val="multilevel"/>
    <w:tmpl w:val="69B22870"/>
    <w:lvl w:ilvl="0" w:tentative="0">
      <w:start w:val="1"/>
      <w:numFmt w:val="decimal"/>
      <w:lvlText w:val="（%1）"/>
      <w:lvlJc w:val="left"/>
      <w:pPr>
        <w:ind w:left="1307" w:hanging="720"/>
      </w:pPr>
      <w:rPr>
        <w:rFonts w:hint="default"/>
      </w:rPr>
    </w:lvl>
    <w:lvl w:ilvl="1" w:tentative="0">
      <w:start w:val="1"/>
      <w:numFmt w:val="lowerLetter"/>
      <w:lvlText w:val="%2)"/>
      <w:lvlJc w:val="left"/>
      <w:pPr>
        <w:ind w:left="1427" w:hanging="420"/>
      </w:pPr>
    </w:lvl>
    <w:lvl w:ilvl="2" w:tentative="0">
      <w:start w:val="1"/>
      <w:numFmt w:val="lowerRoman"/>
      <w:lvlText w:val="%3."/>
      <w:lvlJc w:val="right"/>
      <w:pPr>
        <w:ind w:left="1847" w:hanging="420"/>
      </w:pPr>
    </w:lvl>
    <w:lvl w:ilvl="3" w:tentative="0">
      <w:start w:val="1"/>
      <w:numFmt w:val="decimal"/>
      <w:lvlText w:val="%4."/>
      <w:lvlJc w:val="left"/>
      <w:pPr>
        <w:ind w:left="2267" w:hanging="420"/>
      </w:pPr>
    </w:lvl>
    <w:lvl w:ilvl="4" w:tentative="0">
      <w:start w:val="1"/>
      <w:numFmt w:val="lowerLetter"/>
      <w:lvlText w:val="%5)"/>
      <w:lvlJc w:val="left"/>
      <w:pPr>
        <w:ind w:left="2687" w:hanging="420"/>
      </w:pPr>
    </w:lvl>
    <w:lvl w:ilvl="5" w:tentative="0">
      <w:start w:val="1"/>
      <w:numFmt w:val="lowerRoman"/>
      <w:lvlText w:val="%6."/>
      <w:lvlJc w:val="right"/>
      <w:pPr>
        <w:ind w:left="3107" w:hanging="420"/>
      </w:pPr>
    </w:lvl>
    <w:lvl w:ilvl="6" w:tentative="0">
      <w:start w:val="1"/>
      <w:numFmt w:val="decimal"/>
      <w:lvlText w:val="%7."/>
      <w:lvlJc w:val="left"/>
      <w:pPr>
        <w:ind w:left="3527" w:hanging="420"/>
      </w:pPr>
    </w:lvl>
    <w:lvl w:ilvl="7" w:tentative="0">
      <w:start w:val="1"/>
      <w:numFmt w:val="lowerLetter"/>
      <w:lvlText w:val="%8)"/>
      <w:lvlJc w:val="left"/>
      <w:pPr>
        <w:ind w:left="3947" w:hanging="420"/>
      </w:pPr>
    </w:lvl>
    <w:lvl w:ilvl="8" w:tentative="0">
      <w:start w:val="1"/>
      <w:numFmt w:val="lowerRoman"/>
      <w:lvlText w:val="%9."/>
      <w:lvlJc w:val="right"/>
      <w:pPr>
        <w:ind w:left="4367" w:hanging="420"/>
      </w:pPr>
    </w:lvl>
  </w:abstractNum>
  <w:abstractNum w:abstractNumId="19">
    <w:nsid w:val="70A5FBCD"/>
    <w:multiLevelType w:val="singleLevel"/>
    <w:tmpl w:val="70A5FBCD"/>
    <w:lvl w:ilvl="0" w:tentative="0">
      <w:start w:val="2"/>
      <w:numFmt w:val="decimal"/>
      <w:suff w:val="nothing"/>
      <w:lvlText w:val="%1）"/>
      <w:lvlJc w:val="left"/>
    </w:lvl>
  </w:abstractNum>
  <w:abstractNum w:abstractNumId="20">
    <w:nsid w:val="7AE621A0"/>
    <w:multiLevelType w:val="multilevel"/>
    <w:tmpl w:val="7AE621A0"/>
    <w:lvl w:ilvl="0" w:tentative="0">
      <w:start w:val="1"/>
      <w:numFmt w:val="decimal"/>
      <w:lvlText w:val="（%1）"/>
      <w:lvlJc w:val="left"/>
      <w:pPr>
        <w:ind w:left="8359"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1">
    <w:nsid w:val="7D9B7878"/>
    <w:multiLevelType w:val="singleLevel"/>
    <w:tmpl w:val="7D9B7878"/>
    <w:lvl w:ilvl="0" w:tentative="0">
      <w:start w:val="1"/>
      <w:numFmt w:val="decimal"/>
      <w:suff w:val="nothing"/>
      <w:lvlText w:val="（%1）"/>
      <w:lvlJc w:val="left"/>
      <w:pPr>
        <w:ind w:left="0" w:firstLine="0"/>
      </w:pPr>
    </w:lvl>
  </w:abstractNum>
  <w:num w:numId="1">
    <w:abstractNumId w:val="17"/>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9"/>
  </w:num>
  <w:num w:numId="8">
    <w:abstractNumId w:val="21"/>
    <w:lvlOverride w:ilvl="0">
      <w:startOverride w:val="1"/>
    </w:lvlOverride>
  </w:num>
  <w:num w:numId="9">
    <w:abstractNumId w:val="6"/>
  </w:num>
  <w:num w:numId="10">
    <w:abstractNumId w:val="2"/>
  </w:num>
  <w:num w:numId="11">
    <w:abstractNumId w:val="5"/>
  </w:num>
  <w:num w:numId="12">
    <w:abstractNumId w:val="0"/>
  </w:num>
  <w:num w:numId="13">
    <w:abstractNumId w:val="3"/>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1"/>
  </w:num>
  <w:num w:numId="17">
    <w:abstractNumId w:val="12"/>
  </w:num>
  <w:num w:numId="18">
    <w:abstractNumId w:val="15"/>
  </w:num>
  <w:num w:numId="19">
    <w:abstractNumId w:val="18"/>
  </w:num>
  <w:num w:numId="20">
    <w:abstractNumId w:val="11"/>
  </w:num>
  <w:num w:numId="21">
    <w:abstractNumId w:val="4"/>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xMDhhYTZiYTU5NmJmNjhiODBhNTE4N2M4Njc2YTIifQ=="/>
  </w:docVars>
  <w:rsids>
    <w:rsidRoot w:val="00172A27"/>
    <w:rsid w:val="00001E4D"/>
    <w:rsid w:val="0000269B"/>
    <w:rsid w:val="00003B16"/>
    <w:rsid w:val="00007143"/>
    <w:rsid w:val="00007B6C"/>
    <w:rsid w:val="00012489"/>
    <w:rsid w:val="00013CA2"/>
    <w:rsid w:val="00014DE1"/>
    <w:rsid w:val="0001543F"/>
    <w:rsid w:val="00023777"/>
    <w:rsid w:val="000332A9"/>
    <w:rsid w:val="00040293"/>
    <w:rsid w:val="000413E0"/>
    <w:rsid w:val="000438FF"/>
    <w:rsid w:val="00047BEF"/>
    <w:rsid w:val="00050115"/>
    <w:rsid w:val="000536CD"/>
    <w:rsid w:val="0005372A"/>
    <w:rsid w:val="000573B2"/>
    <w:rsid w:val="00067284"/>
    <w:rsid w:val="000709A6"/>
    <w:rsid w:val="00080A6E"/>
    <w:rsid w:val="00081643"/>
    <w:rsid w:val="000876F6"/>
    <w:rsid w:val="00091EA5"/>
    <w:rsid w:val="00092529"/>
    <w:rsid w:val="00094FC0"/>
    <w:rsid w:val="000A6EB4"/>
    <w:rsid w:val="000A783E"/>
    <w:rsid w:val="000B1B03"/>
    <w:rsid w:val="000B32E5"/>
    <w:rsid w:val="000B6BE1"/>
    <w:rsid w:val="000C0D67"/>
    <w:rsid w:val="000C27F9"/>
    <w:rsid w:val="000C5650"/>
    <w:rsid w:val="000C6C12"/>
    <w:rsid w:val="000D1EBA"/>
    <w:rsid w:val="000D39B0"/>
    <w:rsid w:val="000F199D"/>
    <w:rsid w:val="000F20CE"/>
    <w:rsid w:val="000F7989"/>
    <w:rsid w:val="001016C2"/>
    <w:rsid w:val="00102F48"/>
    <w:rsid w:val="001059F3"/>
    <w:rsid w:val="001138AF"/>
    <w:rsid w:val="001147D9"/>
    <w:rsid w:val="001166A4"/>
    <w:rsid w:val="0012332D"/>
    <w:rsid w:val="001303E1"/>
    <w:rsid w:val="00134623"/>
    <w:rsid w:val="00141281"/>
    <w:rsid w:val="00145CDA"/>
    <w:rsid w:val="00150F3A"/>
    <w:rsid w:val="00153650"/>
    <w:rsid w:val="00154745"/>
    <w:rsid w:val="0015592B"/>
    <w:rsid w:val="00166D92"/>
    <w:rsid w:val="00170FDD"/>
    <w:rsid w:val="00172A27"/>
    <w:rsid w:val="00172A5D"/>
    <w:rsid w:val="00176A75"/>
    <w:rsid w:val="00176E6F"/>
    <w:rsid w:val="0017727B"/>
    <w:rsid w:val="00181D00"/>
    <w:rsid w:val="001A162E"/>
    <w:rsid w:val="001A1E29"/>
    <w:rsid w:val="001A4F8C"/>
    <w:rsid w:val="001A7D33"/>
    <w:rsid w:val="001B628A"/>
    <w:rsid w:val="001C65EF"/>
    <w:rsid w:val="001D03D5"/>
    <w:rsid w:val="001D34C4"/>
    <w:rsid w:val="001D37F5"/>
    <w:rsid w:val="001D4680"/>
    <w:rsid w:val="001D4ACB"/>
    <w:rsid w:val="001D4F0D"/>
    <w:rsid w:val="001E0471"/>
    <w:rsid w:val="001E45E7"/>
    <w:rsid w:val="001E5A38"/>
    <w:rsid w:val="001E6E91"/>
    <w:rsid w:val="001F223A"/>
    <w:rsid w:val="001F2AED"/>
    <w:rsid w:val="001F3B62"/>
    <w:rsid w:val="001F43B8"/>
    <w:rsid w:val="00201D07"/>
    <w:rsid w:val="00205BC2"/>
    <w:rsid w:val="0022444C"/>
    <w:rsid w:val="002411B9"/>
    <w:rsid w:val="0024296C"/>
    <w:rsid w:val="00246C84"/>
    <w:rsid w:val="002530DA"/>
    <w:rsid w:val="00294954"/>
    <w:rsid w:val="002950B8"/>
    <w:rsid w:val="002959CF"/>
    <w:rsid w:val="002A1099"/>
    <w:rsid w:val="002A4DF5"/>
    <w:rsid w:val="002A741D"/>
    <w:rsid w:val="002B3999"/>
    <w:rsid w:val="002B3E04"/>
    <w:rsid w:val="002B6F34"/>
    <w:rsid w:val="002B7014"/>
    <w:rsid w:val="002C1983"/>
    <w:rsid w:val="002C537F"/>
    <w:rsid w:val="002D1034"/>
    <w:rsid w:val="002D282F"/>
    <w:rsid w:val="002D2917"/>
    <w:rsid w:val="002D32A3"/>
    <w:rsid w:val="002D4EE2"/>
    <w:rsid w:val="002D7B03"/>
    <w:rsid w:val="002F337A"/>
    <w:rsid w:val="002F5D14"/>
    <w:rsid w:val="002F7131"/>
    <w:rsid w:val="00303889"/>
    <w:rsid w:val="00320AE2"/>
    <w:rsid w:val="003221FE"/>
    <w:rsid w:val="003223D8"/>
    <w:rsid w:val="0032417B"/>
    <w:rsid w:val="0032478F"/>
    <w:rsid w:val="00324C49"/>
    <w:rsid w:val="00324D9C"/>
    <w:rsid w:val="00325714"/>
    <w:rsid w:val="00327F8C"/>
    <w:rsid w:val="003312F5"/>
    <w:rsid w:val="00342D15"/>
    <w:rsid w:val="003437A0"/>
    <w:rsid w:val="00344CFF"/>
    <w:rsid w:val="0035208E"/>
    <w:rsid w:val="00353707"/>
    <w:rsid w:val="00353766"/>
    <w:rsid w:val="0035501E"/>
    <w:rsid w:val="0035580E"/>
    <w:rsid w:val="00363BEF"/>
    <w:rsid w:val="00373D2D"/>
    <w:rsid w:val="00374351"/>
    <w:rsid w:val="00374670"/>
    <w:rsid w:val="00376A64"/>
    <w:rsid w:val="00381EF5"/>
    <w:rsid w:val="0038443C"/>
    <w:rsid w:val="00385F5E"/>
    <w:rsid w:val="00393FEB"/>
    <w:rsid w:val="0039775E"/>
    <w:rsid w:val="003A0749"/>
    <w:rsid w:val="003A2DBD"/>
    <w:rsid w:val="003A31B1"/>
    <w:rsid w:val="003B19FD"/>
    <w:rsid w:val="003B6FB1"/>
    <w:rsid w:val="003B70E4"/>
    <w:rsid w:val="003C07DA"/>
    <w:rsid w:val="003C1259"/>
    <w:rsid w:val="003C2A03"/>
    <w:rsid w:val="003C6FAF"/>
    <w:rsid w:val="003E3D79"/>
    <w:rsid w:val="003E5F29"/>
    <w:rsid w:val="003F0BF9"/>
    <w:rsid w:val="003F1893"/>
    <w:rsid w:val="003F3B6D"/>
    <w:rsid w:val="00400466"/>
    <w:rsid w:val="00401E1B"/>
    <w:rsid w:val="00402336"/>
    <w:rsid w:val="0040490B"/>
    <w:rsid w:val="00404ED9"/>
    <w:rsid w:val="004050C2"/>
    <w:rsid w:val="004060AE"/>
    <w:rsid w:val="00406299"/>
    <w:rsid w:val="0040697E"/>
    <w:rsid w:val="004079F0"/>
    <w:rsid w:val="004101D0"/>
    <w:rsid w:val="00410F40"/>
    <w:rsid w:val="00412D84"/>
    <w:rsid w:val="00417388"/>
    <w:rsid w:val="00422138"/>
    <w:rsid w:val="00425200"/>
    <w:rsid w:val="0043192A"/>
    <w:rsid w:val="00435A67"/>
    <w:rsid w:val="00435F7D"/>
    <w:rsid w:val="00441F21"/>
    <w:rsid w:val="00443F3D"/>
    <w:rsid w:val="004542C7"/>
    <w:rsid w:val="00456DA6"/>
    <w:rsid w:val="00463129"/>
    <w:rsid w:val="0046357A"/>
    <w:rsid w:val="00465177"/>
    <w:rsid w:val="00466B1B"/>
    <w:rsid w:val="004702F2"/>
    <w:rsid w:val="00474519"/>
    <w:rsid w:val="00474AF5"/>
    <w:rsid w:val="00477A89"/>
    <w:rsid w:val="00485BCF"/>
    <w:rsid w:val="00492175"/>
    <w:rsid w:val="00492811"/>
    <w:rsid w:val="004A2859"/>
    <w:rsid w:val="004B3706"/>
    <w:rsid w:val="004B77D0"/>
    <w:rsid w:val="004C1F27"/>
    <w:rsid w:val="004C2950"/>
    <w:rsid w:val="004C60B4"/>
    <w:rsid w:val="004C6CA3"/>
    <w:rsid w:val="004D55DD"/>
    <w:rsid w:val="004E198C"/>
    <w:rsid w:val="004E2CF3"/>
    <w:rsid w:val="004E3D34"/>
    <w:rsid w:val="004E5423"/>
    <w:rsid w:val="004E5FAF"/>
    <w:rsid w:val="004F170A"/>
    <w:rsid w:val="004F42E2"/>
    <w:rsid w:val="005026EE"/>
    <w:rsid w:val="00506A45"/>
    <w:rsid w:val="00513182"/>
    <w:rsid w:val="00516FD1"/>
    <w:rsid w:val="00521EBC"/>
    <w:rsid w:val="005262BA"/>
    <w:rsid w:val="00526F4F"/>
    <w:rsid w:val="00527590"/>
    <w:rsid w:val="005321FC"/>
    <w:rsid w:val="00532BB5"/>
    <w:rsid w:val="005341AA"/>
    <w:rsid w:val="0053757E"/>
    <w:rsid w:val="00556F0A"/>
    <w:rsid w:val="005612C9"/>
    <w:rsid w:val="0056225D"/>
    <w:rsid w:val="00562276"/>
    <w:rsid w:val="00565730"/>
    <w:rsid w:val="00566C36"/>
    <w:rsid w:val="00567044"/>
    <w:rsid w:val="00572F89"/>
    <w:rsid w:val="00582A70"/>
    <w:rsid w:val="00587F8B"/>
    <w:rsid w:val="00590DB6"/>
    <w:rsid w:val="005941AB"/>
    <w:rsid w:val="0059676D"/>
    <w:rsid w:val="005A0752"/>
    <w:rsid w:val="005A468E"/>
    <w:rsid w:val="005B36DC"/>
    <w:rsid w:val="005B588C"/>
    <w:rsid w:val="005B7CC7"/>
    <w:rsid w:val="005C745D"/>
    <w:rsid w:val="005D02DA"/>
    <w:rsid w:val="005D5104"/>
    <w:rsid w:val="005D7DF2"/>
    <w:rsid w:val="005E2572"/>
    <w:rsid w:val="005E36D9"/>
    <w:rsid w:val="005E4F36"/>
    <w:rsid w:val="005E72D1"/>
    <w:rsid w:val="005F2961"/>
    <w:rsid w:val="005F3D4B"/>
    <w:rsid w:val="0060130B"/>
    <w:rsid w:val="00602EF0"/>
    <w:rsid w:val="00605BE5"/>
    <w:rsid w:val="006111DF"/>
    <w:rsid w:val="0061518C"/>
    <w:rsid w:val="00617310"/>
    <w:rsid w:val="00621796"/>
    <w:rsid w:val="00622EFC"/>
    <w:rsid w:val="00632CAD"/>
    <w:rsid w:val="0063441F"/>
    <w:rsid w:val="00640065"/>
    <w:rsid w:val="00641A64"/>
    <w:rsid w:val="006474F3"/>
    <w:rsid w:val="00656D34"/>
    <w:rsid w:val="00660DB6"/>
    <w:rsid w:val="00663D47"/>
    <w:rsid w:val="00667354"/>
    <w:rsid w:val="006732FA"/>
    <w:rsid w:val="00673E13"/>
    <w:rsid w:val="00674ADD"/>
    <w:rsid w:val="00676629"/>
    <w:rsid w:val="00677A83"/>
    <w:rsid w:val="0068281C"/>
    <w:rsid w:val="00684378"/>
    <w:rsid w:val="0068512F"/>
    <w:rsid w:val="0068754F"/>
    <w:rsid w:val="00692D14"/>
    <w:rsid w:val="00696141"/>
    <w:rsid w:val="006B05CD"/>
    <w:rsid w:val="006B5952"/>
    <w:rsid w:val="006C21DF"/>
    <w:rsid w:val="006C27C9"/>
    <w:rsid w:val="006C2B5D"/>
    <w:rsid w:val="006C3565"/>
    <w:rsid w:val="006D5E85"/>
    <w:rsid w:val="006D7A92"/>
    <w:rsid w:val="006E1FA7"/>
    <w:rsid w:val="006E4114"/>
    <w:rsid w:val="006E6056"/>
    <w:rsid w:val="007059D5"/>
    <w:rsid w:val="0071662B"/>
    <w:rsid w:val="007226B9"/>
    <w:rsid w:val="007228A4"/>
    <w:rsid w:val="007332B6"/>
    <w:rsid w:val="00736896"/>
    <w:rsid w:val="00737FF3"/>
    <w:rsid w:val="00741532"/>
    <w:rsid w:val="007466A0"/>
    <w:rsid w:val="00747A9A"/>
    <w:rsid w:val="00747B6C"/>
    <w:rsid w:val="00754C7B"/>
    <w:rsid w:val="00755428"/>
    <w:rsid w:val="0075703A"/>
    <w:rsid w:val="00757D39"/>
    <w:rsid w:val="00765511"/>
    <w:rsid w:val="00765DE6"/>
    <w:rsid w:val="00777034"/>
    <w:rsid w:val="007800F0"/>
    <w:rsid w:val="00780200"/>
    <w:rsid w:val="007930EA"/>
    <w:rsid w:val="007933D1"/>
    <w:rsid w:val="00794433"/>
    <w:rsid w:val="007950B8"/>
    <w:rsid w:val="007A0179"/>
    <w:rsid w:val="007A67DF"/>
    <w:rsid w:val="007B439D"/>
    <w:rsid w:val="007C1FCC"/>
    <w:rsid w:val="007C74C4"/>
    <w:rsid w:val="007D332F"/>
    <w:rsid w:val="007D4C43"/>
    <w:rsid w:val="007D5E66"/>
    <w:rsid w:val="007E29C0"/>
    <w:rsid w:val="007F52C5"/>
    <w:rsid w:val="00803983"/>
    <w:rsid w:val="0080787A"/>
    <w:rsid w:val="008121D7"/>
    <w:rsid w:val="008142F1"/>
    <w:rsid w:val="00814ABE"/>
    <w:rsid w:val="00820495"/>
    <w:rsid w:val="00825ECB"/>
    <w:rsid w:val="00826702"/>
    <w:rsid w:val="00831343"/>
    <w:rsid w:val="0083287A"/>
    <w:rsid w:val="008338F0"/>
    <w:rsid w:val="008425AE"/>
    <w:rsid w:val="008459E7"/>
    <w:rsid w:val="00854CE8"/>
    <w:rsid w:val="0085791A"/>
    <w:rsid w:val="00860050"/>
    <w:rsid w:val="00862391"/>
    <w:rsid w:val="00864832"/>
    <w:rsid w:val="00867DAA"/>
    <w:rsid w:val="00873EBD"/>
    <w:rsid w:val="0087430B"/>
    <w:rsid w:val="008914F6"/>
    <w:rsid w:val="00892626"/>
    <w:rsid w:val="00897F38"/>
    <w:rsid w:val="008A014A"/>
    <w:rsid w:val="008A3234"/>
    <w:rsid w:val="008A7A05"/>
    <w:rsid w:val="008C5A7F"/>
    <w:rsid w:val="008D144E"/>
    <w:rsid w:val="008D4FB2"/>
    <w:rsid w:val="00903D8D"/>
    <w:rsid w:val="009052A6"/>
    <w:rsid w:val="00907F9B"/>
    <w:rsid w:val="009105AA"/>
    <w:rsid w:val="00911199"/>
    <w:rsid w:val="00911D39"/>
    <w:rsid w:val="009223C1"/>
    <w:rsid w:val="0093066F"/>
    <w:rsid w:val="0093344E"/>
    <w:rsid w:val="009373E4"/>
    <w:rsid w:val="00941B4F"/>
    <w:rsid w:val="00951608"/>
    <w:rsid w:val="009526DF"/>
    <w:rsid w:val="009527F8"/>
    <w:rsid w:val="00957B6E"/>
    <w:rsid w:val="00963B57"/>
    <w:rsid w:val="00965214"/>
    <w:rsid w:val="00965CF4"/>
    <w:rsid w:val="00966709"/>
    <w:rsid w:val="0097184A"/>
    <w:rsid w:val="00981870"/>
    <w:rsid w:val="00992EF4"/>
    <w:rsid w:val="00994031"/>
    <w:rsid w:val="009B3570"/>
    <w:rsid w:val="009B3A69"/>
    <w:rsid w:val="009B55F9"/>
    <w:rsid w:val="009B7508"/>
    <w:rsid w:val="009B764F"/>
    <w:rsid w:val="009C011E"/>
    <w:rsid w:val="009C06C2"/>
    <w:rsid w:val="009D7B41"/>
    <w:rsid w:val="009D7D3A"/>
    <w:rsid w:val="009E2D77"/>
    <w:rsid w:val="009F3479"/>
    <w:rsid w:val="00A01372"/>
    <w:rsid w:val="00A01651"/>
    <w:rsid w:val="00A108A7"/>
    <w:rsid w:val="00A112C7"/>
    <w:rsid w:val="00A12A3C"/>
    <w:rsid w:val="00A13B20"/>
    <w:rsid w:val="00A2082B"/>
    <w:rsid w:val="00A21F3C"/>
    <w:rsid w:val="00A30E71"/>
    <w:rsid w:val="00A36B88"/>
    <w:rsid w:val="00A4000B"/>
    <w:rsid w:val="00A406B5"/>
    <w:rsid w:val="00A4077C"/>
    <w:rsid w:val="00A42E43"/>
    <w:rsid w:val="00A436BC"/>
    <w:rsid w:val="00A43724"/>
    <w:rsid w:val="00A44200"/>
    <w:rsid w:val="00A447DF"/>
    <w:rsid w:val="00A52E06"/>
    <w:rsid w:val="00A54E3F"/>
    <w:rsid w:val="00A551B1"/>
    <w:rsid w:val="00A6417E"/>
    <w:rsid w:val="00A66BF4"/>
    <w:rsid w:val="00A7580D"/>
    <w:rsid w:val="00A82255"/>
    <w:rsid w:val="00A82BBB"/>
    <w:rsid w:val="00A8419C"/>
    <w:rsid w:val="00A85F1E"/>
    <w:rsid w:val="00A87AE6"/>
    <w:rsid w:val="00A91277"/>
    <w:rsid w:val="00A965DA"/>
    <w:rsid w:val="00A97DE8"/>
    <w:rsid w:val="00AB22B9"/>
    <w:rsid w:val="00AC2DDD"/>
    <w:rsid w:val="00AD3935"/>
    <w:rsid w:val="00AE3B8D"/>
    <w:rsid w:val="00AE7981"/>
    <w:rsid w:val="00B034E4"/>
    <w:rsid w:val="00B07FC0"/>
    <w:rsid w:val="00B16BFA"/>
    <w:rsid w:val="00B20413"/>
    <w:rsid w:val="00B23449"/>
    <w:rsid w:val="00B23F47"/>
    <w:rsid w:val="00B24C3F"/>
    <w:rsid w:val="00B27927"/>
    <w:rsid w:val="00B33E12"/>
    <w:rsid w:val="00B443E6"/>
    <w:rsid w:val="00B44EB4"/>
    <w:rsid w:val="00B46960"/>
    <w:rsid w:val="00B46D8B"/>
    <w:rsid w:val="00B621C2"/>
    <w:rsid w:val="00B63A9A"/>
    <w:rsid w:val="00B648F2"/>
    <w:rsid w:val="00B6657B"/>
    <w:rsid w:val="00B670F5"/>
    <w:rsid w:val="00B67DAB"/>
    <w:rsid w:val="00B71234"/>
    <w:rsid w:val="00B74321"/>
    <w:rsid w:val="00B74ED8"/>
    <w:rsid w:val="00B75868"/>
    <w:rsid w:val="00B77268"/>
    <w:rsid w:val="00B81EEA"/>
    <w:rsid w:val="00B838F6"/>
    <w:rsid w:val="00B954AB"/>
    <w:rsid w:val="00BA3C09"/>
    <w:rsid w:val="00BA54AD"/>
    <w:rsid w:val="00BB14EC"/>
    <w:rsid w:val="00BB18E1"/>
    <w:rsid w:val="00BB1F65"/>
    <w:rsid w:val="00BC3E68"/>
    <w:rsid w:val="00BC6B1D"/>
    <w:rsid w:val="00BC74CF"/>
    <w:rsid w:val="00BD3442"/>
    <w:rsid w:val="00BD3709"/>
    <w:rsid w:val="00BD6831"/>
    <w:rsid w:val="00BE4B4D"/>
    <w:rsid w:val="00BE6E29"/>
    <w:rsid w:val="00BF1AA4"/>
    <w:rsid w:val="00BF55BD"/>
    <w:rsid w:val="00C023B5"/>
    <w:rsid w:val="00C170AD"/>
    <w:rsid w:val="00C17A15"/>
    <w:rsid w:val="00C2301D"/>
    <w:rsid w:val="00C23695"/>
    <w:rsid w:val="00C256A2"/>
    <w:rsid w:val="00C2661F"/>
    <w:rsid w:val="00C32BE9"/>
    <w:rsid w:val="00C33CE0"/>
    <w:rsid w:val="00C375C6"/>
    <w:rsid w:val="00C40359"/>
    <w:rsid w:val="00C416EF"/>
    <w:rsid w:val="00C50AA5"/>
    <w:rsid w:val="00C531B3"/>
    <w:rsid w:val="00C535E7"/>
    <w:rsid w:val="00C638A9"/>
    <w:rsid w:val="00C702FC"/>
    <w:rsid w:val="00C70DF5"/>
    <w:rsid w:val="00C72C38"/>
    <w:rsid w:val="00C72E3F"/>
    <w:rsid w:val="00C7575B"/>
    <w:rsid w:val="00C765F9"/>
    <w:rsid w:val="00C8130B"/>
    <w:rsid w:val="00C815EC"/>
    <w:rsid w:val="00C8245D"/>
    <w:rsid w:val="00C82706"/>
    <w:rsid w:val="00C84C71"/>
    <w:rsid w:val="00C903BF"/>
    <w:rsid w:val="00C97606"/>
    <w:rsid w:val="00C97A07"/>
    <w:rsid w:val="00CA1067"/>
    <w:rsid w:val="00CB085D"/>
    <w:rsid w:val="00CB4D16"/>
    <w:rsid w:val="00CC143B"/>
    <w:rsid w:val="00CC4CCB"/>
    <w:rsid w:val="00CC768E"/>
    <w:rsid w:val="00CD4C3C"/>
    <w:rsid w:val="00CD6608"/>
    <w:rsid w:val="00CE0231"/>
    <w:rsid w:val="00CE1512"/>
    <w:rsid w:val="00CE1CA2"/>
    <w:rsid w:val="00CE228D"/>
    <w:rsid w:val="00CF04D7"/>
    <w:rsid w:val="00D01834"/>
    <w:rsid w:val="00D02795"/>
    <w:rsid w:val="00D046A0"/>
    <w:rsid w:val="00D058B9"/>
    <w:rsid w:val="00D1107A"/>
    <w:rsid w:val="00D12C16"/>
    <w:rsid w:val="00D15364"/>
    <w:rsid w:val="00D2273E"/>
    <w:rsid w:val="00D2511E"/>
    <w:rsid w:val="00D32673"/>
    <w:rsid w:val="00D32D4A"/>
    <w:rsid w:val="00D36036"/>
    <w:rsid w:val="00D37F21"/>
    <w:rsid w:val="00D402C1"/>
    <w:rsid w:val="00D422E1"/>
    <w:rsid w:val="00D43C38"/>
    <w:rsid w:val="00D43E26"/>
    <w:rsid w:val="00D53598"/>
    <w:rsid w:val="00D536EE"/>
    <w:rsid w:val="00D537AC"/>
    <w:rsid w:val="00D54198"/>
    <w:rsid w:val="00D65AC2"/>
    <w:rsid w:val="00D67A98"/>
    <w:rsid w:val="00D754A6"/>
    <w:rsid w:val="00D75A2C"/>
    <w:rsid w:val="00D75A5D"/>
    <w:rsid w:val="00D76DA1"/>
    <w:rsid w:val="00D76DF5"/>
    <w:rsid w:val="00D77AF2"/>
    <w:rsid w:val="00D840D1"/>
    <w:rsid w:val="00D87DCF"/>
    <w:rsid w:val="00DA13AB"/>
    <w:rsid w:val="00DA2520"/>
    <w:rsid w:val="00DB0500"/>
    <w:rsid w:val="00DB2BEB"/>
    <w:rsid w:val="00DB4DC2"/>
    <w:rsid w:val="00DB5EAD"/>
    <w:rsid w:val="00DC2246"/>
    <w:rsid w:val="00DC76B5"/>
    <w:rsid w:val="00DF1DF5"/>
    <w:rsid w:val="00E00307"/>
    <w:rsid w:val="00E035E2"/>
    <w:rsid w:val="00E0500C"/>
    <w:rsid w:val="00E2128B"/>
    <w:rsid w:val="00E220E6"/>
    <w:rsid w:val="00E431E4"/>
    <w:rsid w:val="00E43DA0"/>
    <w:rsid w:val="00E52341"/>
    <w:rsid w:val="00E555BE"/>
    <w:rsid w:val="00E63205"/>
    <w:rsid w:val="00E64262"/>
    <w:rsid w:val="00E64F8A"/>
    <w:rsid w:val="00E75671"/>
    <w:rsid w:val="00E7642F"/>
    <w:rsid w:val="00E77A0C"/>
    <w:rsid w:val="00E80BF8"/>
    <w:rsid w:val="00E84196"/>
    <w:rsid w:val="00E85200"/>
    <w:rsid w:val="00E873F3"/>
    <w:rsid w:val="00E87E6E"/>
    <w:rsid w:val="00E912EE"/>
    <w:rsid w:val="00E913E2"/>
    <w:rsid w:val="00E92CAB"/>
    <w:rsid w:val="00E93EC1"/>
    <w:rsid w:val="00E941D1"/>
    <w:rsid w:val="00EB3D47"/>
    <w:rsid w:val="00EC073F"/>
    <w:rsid w:val="00EC3EA6"/>
    <w:rsid w:val="00EC40F6"/>
    <w:rsid w:val="00EC6BD9"/>
    <w:rsid w:val="00EC7BE4"/>
    <w:rsid w:val="00ED48D5"/>
    <w:rsid w:val="00EE2E76"/>
    <w:rsid w:val="00EE6AD0"/>
    <w:rsid w:val="00EE7E19"/>
    <w:rsid w:val="00EF11B9"/>
    <w:rsid w:val="00F026BA"/>
    <w:rsid w:val="00F045D3"/>
    <w:rsid w:val="00F10E1F"/>
    <w:rsid w:val="00F344FC"/>
    <w:rsid w:val="00F363AE"/>
    <w:rsid w:val="00F368F2"/>
    <w:rsid w:val="00F40EA9"/>
    <w:rsid w:val="00F410E3"/>
    <w:rsid w:val="00F42208"/>
    <w:rsid w:val="00F43764"/>
    <w:rsid w:val="00F67EE8"/>
    <w:rsid w:val="00F7693C"/>
    <w:rsid w:val="00F76CB8"/>
    <w:rsid w:val="00F849BD"/>
    <w:rsid w:val="00FA011C"/>
    <w:rsid w:val="00FA1E20"/>
    <w:rsid w:val="00FB1F29"/>
    <w:rsid w:val="00FB1FEF"/>
    <w:rsid w:val="00FB3F3C"/>
    <w:rsid w:val="00FB5A97"/>
    <w:rsid w:val="00FC0D0C"/>
    <w:rsid w:val="00FC47DB"/>
    <w:rsid w:val="00FC5978"/>
    <w:rsid w:val="00FD168B"/>
    <w:rsid w:val="00FD543C"/>
    <w:rsid w:val="00FD5731"/>
    <w:rsid w:val="00FD78B4"/>
    <w:rsid w:val="00FE1DC3"/>
    <w:rsid w:val="00FE772A"/>
    <w:rsid w:val="00FE7F32"/>
    <w:rsid w:val="00FF4549"/>
    <w:rsid w:val="011F5F93"/>
    <w:rsid w:val="012A2F4D"/>
    <w:rsid w:val="01487061"/>
    <w:rsid w:val="01565F15"/>
    <w:rsid w:val="01572411"/>
    <w:rsid w:val="015B4082"/>
    <w:rsid w:val="016D389C"/>
    <w:rsid w:val="01793612"/>
    <w:rsid w:val="018332EF"/>
    <w:rsid w:val="01A0150A"/>
    <w:rsid w:val="01B93952"/>
    <w:rsid w:val="01E6469A"/>
    <w:rsid w:val="01E7371C"/>
    <w:rsid w:val="01E828A4"/>
    <w:rsid w:val="01F008FA"/>
    <w:rsid w:val="0214276D"/>
    <w:rsid w:val="022E0108"/>
    <w:rsid w:val="025A1D46"/>
    <w:rsid w:val="02AA73C3"/>
    <w:rsid w:val="02CF2CE4"/>
    <w:rsid w:val="031154EE"/>
    <w:rsid w:val="033F3831"/>
    <w:rsid w:val="0348159A"/>
    <w:rsid w:val="035241C7"/>
    <w:rsid w:val="03736A95"/>
    <w:rsid w:val="0375372F"/>
    <w:rsid w:val="037F5C0A"/>
    <w:rsid w:val="03964DC1"/>
    <w:rsid w:val="03AA7C4C"/>
    <w:rsid w:val="03AC3061"/>
    <w:rsid w:val="03CD5CC5"/>
    <w:rsid w:val="03F92623"/>
    <w:rsid w:val="04160E2F"/>
    <w:rsid w:val="043C4566"/>
    <w:rsid w:val="04491485"/>
    <w:rsid w:val="044A2628"/>
    <w:rsid w:val="044E784E"/>
    <w:rsid w:val="04A04E0D"/>
    <w:rsid w:val="04A3313D"/>
    <w:rsid w:val="04B97412"/>
    <w:rsid w:val="04C3467F"/>
    <w:rsid w:val="04DA316B"/>
    <w:rsid w:val="050B4B60"/>
    <w:rsid w:val="05106157"/>
    <w:rsid w:val="05176839"/>
    <w:rsid w:val="053607BE"/>
    <w:rsid w:val="054060E8"/>
    <w:rsid w:val="0546711B"/>
    <w:rsid w:val="0554696E"/>
    <w:rsid w:val="056D08A1"/>
    <w:rsid w:val="05760CE0"/>
    <w:rsid w:val="0592662B"/>
    <w:rsid w:val="05946FBB"/>
    <w:rsid w:val="05AB3D72"/>
    <w:rsid w:val="05AF414A"/>
    <w:rsid w:val="05BC5177"/>
    <w:rsid w:val="05C700FD"/>
    <w:rsid w:val="05D54721"/>
    <w:rsid w:val="05E627FE"/>
    <w:rsid w:val="060F1A56"/>
    <w:rsid w:val="061C3457"/>
    <w:rsid w:val="06296CEC"/>
    <w:rsid w:val="063E305F"/>
    <w:rsid w:val="063F3019"/>
    <w:rsid w:val="0659736B"/>
    <w:rsid w:val="068F2B3B"/>
    <w:rsid w:val="06910462"/>
    <w:rsid w:val="069D4B2D"/>
    <w:rsid w:val="06A05D2B"/>
    <w:rsid w:val="06B05882"/>
    <w:rsid w:val="06B64A6C"/>
    <w:rsid w:val="06C60D71"/>
    <w:rsid w:val="06D23E2A"/>
    <w:rsid w:val="072C4BFB"/>
    <w:rsid w:val="075C1F4D"/>
    <w:rsid w:val="07600AD8"/>
    <w:rsid w:val="07961991"/>
    <w:rsid w:val="07C07070"/>
    <w:rsid w:val="07E9378C"/>
    <w:rsid w:val="07ED44BE"/>
    <w:rsid w:val="081739B3"/>
    <w:rsid w:val="081D6BE1"/>
    <w:rsid w:val="08312087"/>
    <w:rsid w:val="08565026"/>
    <w:rsid w:val="08716B5D"/>
    <w:rsid w:val="08856D58"/>
    <w:rsid w:val="08866BE5"/>
    <w:rsid w:val="08962A9B"/>
    <w:rsid w:val="08AB660E"/>
    <w:rsid w:val="08DE4CB0"/>
    <w:rsid w:val="08F6606A"/>
    <w:rsid w:val="090708D1"/>
    <w:rsid w:val="092F6324"/>
    <w:rsid w:val="093C53C2"/>
    <w:rsid w:val="094A048C"/>
    <w:rsid w:val="094B67CB"/>
    <w:rsid w:val="09677C6D"/>
    <w:rsid w:val="097906FF"/>
    <w:rsid w:val="098D6910"/>
    <w:rsid w:val="09A3299A"/>
    <w:rsid w:val="09AE44E5"/>
    <w:rsid w:val="09F54CB8"/>
    <w:rsid w:val="09F670AC"/>
    <w:rsid w:val="0A0045DD"/>
    <w:rsid w:val="0A0260C0"/>
    <w:rsid w:val="0A1026E6"/>
    <w:rsid w:val="0A1A7E6B"/>
    <w:rsid w:val="0A536776"/>
    <w:rsid w:val="0A60366D"/>
    <w:rsid w:val="0A766306"/>
    <w:rsid w:val="0A7755B1"/>
    <w:rsid w:val="0AA71BEA"/>
    <w:rsid w:val="0AB05C7A"/>
    <w:rsid w:val="0AB45767"/>
    <w:rsid w:val="0AE81B89"/>
    <w:rsid w:val="0AFD7AC1"/>
    <w:rsid w:val="0B046EB9"/>
    <w:rsid w:val="0B257B6D"/>
    <w:rsid w:val="0B2B4310"/>
    <w:rsid w:val="0B380AAE"/>
    <w:rsid w:val="0B4237CF"/>
    <w:rsid w:val="0B5C3E34"/>
    <w:rsid w:val="0B8923D4"/>
    <w:rsid w:val="0B9D61FB"/>
    <w:rsid w:val="0BC02EAD"/>
    <w:rsid w:val="0BD30EB8"/>
    <w:rsid w:val="0BDC6D23"/>
    <w:rsid w:val="0BE1433A"/>
    <w:rsid w:val="0BE36945"/>
    <w:rsid w:val="0BEF7D9C"/>
    <w:rsid w:val="0C0C57C5"/>
    <w:rsid w:val="0C27711B"/>
    <w:rsid w:val="0C4A0131"/>
    <w:rsid w:val="0C696519"/>
    <w:rsid w:val="0C9444BD"/>
    <w:rsid w:val="0C9F6BC2"/>
    <w:rsid w:val="0CA23F05"/>
    <w:rsid w:val="0CA33F22"/>
    <w:rsid w:val="0CBE3D45"/>
    <w:rsid w:val="0CD9531C"/>
    <w:rsid w:val="0CDD022B"/>
    <w:rsid w:val="0CF1634F"/>
    <w:rsid w:val="0CF253FC"/>
    <w:rsid w:val="0CF36979"/>
    <w:rsid w:val="0CF376C4"/>
    <w:rsid w:val="0D0A0FB7"/>
    <w:rsid w:val="0D0C5461"/>
    <w:rsid w:val="0D0D1567"/>
    <w:rsid w:val="0D1521AF"/>
    <w:rsid w:val="0D195E44"/>
    <w:rsid w:val="0D3F2E12"/>
    <w:rsid w:val="0D4C0C55"/>
    <w:rsid w:val="0DAD1C87"/>
    <w:rsid w:val="0DAF3A70"/>
    <w:rsid w:val="0DB159B4"/>
    <w:rsid w:val="0DB6451C"/>
    <w:rsid w:val="0DBC447D"/>
    <w:rsid w:val="0DBE711A"/>
    <w:rsid w:val="0DC1056C"/>
    <w:rsid w:val="0E04203B"/>
    <w:rsid w:val="0E0A3908"/>
    <w:rsid w:val="0E1F5D64"/>
    <w:rsid w:val="0E421FB2"/>
    <w:rsid w:val="0E6551B1"/>
    <w:rsid w:val="0E7B1B6D"/>
    <w:rsid w:val="0E8122BC"/>
    <w:rsid w:val="0E986345"/>
    <w:rsid w:val="0EAC25D7"/>
    <w:rsid w:val="0EAC6AE1"/>
    <w:rsid w:val="0EB74789"/>
    <w:rsid w:val="0EB97BF2"/>
    <w:rsid w:val="0EC53C82"/>
    <w:rsid w:val="0EC847A4"/>
    <w:rsid w:val="0EE939C6"/>
    <w:rsid w:val="0EF800E8"/>
    <w:rsid w:val="0F237CDA"/>
    <w:rsid w:val="0F3E17C3"/>
    <w:rsid w:val="0F415857"/>
    <w:rsid w:val="0F521421"/>
    <w:rsid w:val="0F8B7312"/>
    <w:rsid w:val="0F930041"/>
    <w:rsid w:val="0FD1716B"/>
    <w:rsid w:val="0FD94E05"/>
    <w:rsid w:val="101822F4"/>
    <w:rsid w:val="101D6E93"/>
    <w:rsid w:val="104A6380"/>
    <w:rsid w:val="10505922"/>
    <w:rsid w:val="10524BAC"/>
    <w:rsid w:val="108C26DA"/>
    <w:rsid w:val="108F67D1"/>
    <w:rsid w:val="10DF0B6C"/>
    <w:rsid w:val="10FD3ABF"/>
    <w:rsid w:val="110C6C58"/>
    <w:rsid w:val="112046A4"/>
    <w:rsid w:val="114B0652"/>
    <w:rsid w:val="1182698E"/>
    <w:rsid w:val="11B31A20"/>
    <w:rsid w:val="11CA7923"/>
    <w:rsid w:val="11D0690B"/>
    <w:rsid w:val="11F06289"/>
    <w:rsid w:val="11FF1F5B"/>
    <w:rsid w:val="12625CD3"/>
    <w:rsid w:val="12834590"/>
    <w:rsid w:val="12CF4FB4"/>
    <w:rsid w:val="12D046D7"/>
    <w:rsid w:val="12D27701"/>
    <w:rsid w:val="13042F49"/>
    <w:rsid w:val="13076705"/>
    <w:rsid w:val="13107D95"/>
    <w:rsid w:val="13421507"/>
    <w:rsid w:val="13670663"/>
    <w:rsid w:val="13856AAF"/>
    <w:rsid w:val="1399374C"/>
    <w:rsid w:val="13AA4842"/>
    <w:rsid w:val="140C123C"/>
    <w:rsid w:val="140D1EC6"/>
    <w:rsid w:val="146A7D5C"/>
    <w:rsid w:val="14883EEC"/>
    <w:rsid w:val="14926C19"/>
    <w:rsid w:val="14955862"/>
    <w:rsid w:val="149A1BF8"/>
    <w:rsid w:val="14A45E2D"/>
    <w:rsid w:val="14C8357F"/>
    <w:rsid w:val="14F61533"/>
    <w:rsid w:val="150D49AE"/>
    <w:rsid w:val="15376784"/>
    <w:rsid w:val="15432607"/>
    <w:rsid w:val="1567218B"/>
    <w:rsid w:val="156D73D5"/>
    <w:rsid w:val="15743817"/>
    <w:rsid w:val="158E157F"/>
    <w:rsid w:val="15CC7E09"/>
    <w:rsid w:val="15DA0777"/>
    <w:rsid w:val="15E2006F"/>
    <w:rsid w:val="15F47039"/>
    <w:rsid w:val="16023CDB"/>
    <w:rsid w:val="1603737F"/>
    <w:rsid w:val="160425DF"/>
    <w:rsid w:val="16295BD5"/>
    <w:rsid w:val="16634442"/>
    <w:rsid w:val="16923882"/>
    <w:rsid w:val="16C14E0F"/>
    <w:rsid w:val="16C22658"/>
    <w:rsid w:val="16C555F8"/>
    <w:rsid w:val="16CD3374"/>
    <w:rsid w:val="16D50A51"/>
    <w:rsid w:val="16D75663"/>
    <w:rsid w:val="16DC2285"/>
    <w:rsid w:val="17101312"/>
    <w:rsid w:val="171A0AEA"/>
    <w:rsid w:val="171A4BA4"/>
    <w:rsid w:val="17547854"/>
    <w:rsid w:val="17612564"/>
    <w:rsid w:val="17626AEE"/>
    <w:rsid w:val="177C6FAD"/>
    <w:rsid w:val="178A3129"/>
    <w:rsid w:val="1799657F"/>
    <w:rsid w:val="17CA0F6A"/>
    <w:rsid w:val="17CE7669"/>
    <w:rsid w:val="17DE6A08"/>
    <w:rsid w:val="1818697D"/>
    <w:rsid w:val="1862469B"/>
    <w:rsid w:val="1874724F"/>
    <w:rsid w:val="18A21ECB"/>
    <w:rsid w:val="18C12900"/>
    <w:rsid w:val="18C21A5C"/>
    <w:rsid w:val="18C4126B"/>
    <w:rsid w:val="18E034F3"/>
    <w:rsid w:val="18E152E4"/>
    <w:rsid w:val="18EE43B6"/>
    <w:rsid w:val="18F7519C"/>
    <w:rsid w:val="18FB5F8F"/>
    <w:rsid w:val="19065418"/>
    <w:rsid w:val="190D7499"/>
    <w:rsid w:val="191479A9"/>
    <w:rsid w:val="191F2169"/>
    <w:rsid w:val="192F3E2C"/>
    <w:rsid w:val="193F7E4F"/>
    <w:rsid w:val="194C09FB"/>
    <w:rsid w:val="194F6D0A"/>
    <w:rsid w:val="19B512D5"/>
    <w:rsid w:val="19D454DE"/>
    <w:rsid w:val="19DD42D4"/>
    <w:rsid w:val="19EE0F46"/>
    <w:rsid w:val="19FE6342"/>
    <w:rsid w:val="1A0636D3"/>
    <w:rsid w:val="1A131308"/>
    <w:rsid w:val="1A1D7746"/>
    <w:rsid w:val="1A2954EF"/>
    <w:rsid w:val="1A4F4CD7"/>
    <w:rsid w:val="1A522B78"/>
    <w:rsid w:val="1A55495A"/>
    <w:rsid w:val="1A732F49"/>
    <w:rsid w:val="1A9326CB"/>
    <w:rsid w:val="1AA94BBC"/>
    <w:rsid w:val="1AB04774"/>
    <w:rsid w:val="1AB44746"/>
    <w:rsid w:val="1AB635FF"/>
    <w:rsid w:val="1AC34FF2"/>
    <w:rsid w:val="1B18764C"/>
    <w:rsid w:val="1B493790"/>
    <w:rsid w:val="1B5B7977"/>
    <w:rsid w:val="1B7B4F51"/>
    <w:rsid w:val="1B9A02DA"/>
    <w:rsid w:val="1BAA0BEC"/>
    <w:rsid w:val="1BBF7834"/>
    <w:rsid w:val="1BC27C05"/>
    <w:rsid w:val="1BF2410D"/>
    <w:rsid w:val="1C035AFA"/>
    <w:rsid w:val="1C8F3D28"/>
    <w:rsid w:val="1CA21B32"/>
    <w:rsid w:val="1CF6122E"/>
    <w:rsid w:val="1D236826"/>
    <w:rsid w:val="1D3342A4"/>
    <w:rsid w:val="1D4E327D"/>
    <w:rsid w:val="1D745C9D"/>
    <w:rsid w:val="1DA54558"/>
    <w:rsid w:val="1E03040C"/>
    <w:rsid w:val="1E056D2D"/>
    <w:rsid w:val="1E403142"/>
    <w:rsid w:val="1E4405C5"/>
    <w:rsid w:val="1E4C3458"/>
    <w:rsid w:val="1E4D571F"/>
    <w:rsid w:val="1E650DFA"/>
    <w:rsid w:val="1E6B6E07"/>
    <w:rsid w:val="1E6D14E7"/>
    <w:rsid w:val="1E825E9B"/>
    <w:rsid w:val="1EB31B66"/>
    <w:rsid w:val="1F131CFA"/>
    <w:rsid w:val="1F245D62"/>
    <w:rsid w:val="1F324EF4"/>
    <w:rsid w:val="1F381CF2"/>
    <w:rsid w:val="200648FC"/>
    <w:rsid w:val="203F27F1"/>
    <w:rsid w:val="2063611F"/>
    <w:rsid w:val="206E106F"/>
    <w:rsid w:val="207D0678"/>
    <w:rsid w:val="209C3B49"/>
    <w:rsid w:val="20C4190C"/>
    <w:rsid w:val="20C919B2"/>
    <w:rsid w:val="210759F5"/>
    <w:rsid w:val="212D04ED"/>
    <w:rsid w:val="215468D5"/>
    <w:rsid w:val="218C788D"/>
    <w:rsid w:val="21B6774E"/>
    <w:rsid w:val="21BD7BDF"/>
    <w:rsid w:val="220D400E"/>
    <w:rsid w:val="222258D2"/>
    <w:rsid w:val="22314766"/>
    <w:rsid w:val="224750ED"/>
    <w:rsid w:val="224B659F"/>
    <w:rsid w:val="224C4E03"/>
    <w:rsid w:val="224F44A7"/>
    <w:rsid w:val="225A6C88"/>
    <w:rsid w:val="22710763"/>
    <w:rsid w:val="22957AB0"/>
    <w:rsid w:val="22D53C65"/>
    <w:rsid w:val="236379F2"/>
    <w:rsid w:val="236E63B9"/>
    <w:rsid w:val="2385362D"/>
    <w:rsid w:val="23C432FC"/>
    <w:rsid w:val="23CD6D44"/>
    <w:rsid w:val="23F50C15"/>
    <w:rsid w:val="23F512D6"/>
    <w:rsid w:val="23F711AF"/>
    <w:rsid w:val="23FC48B9"/>
    <w:rsid w:val="240708CB"/>
    <w:rsid w:val="24161948"/>
    <w:rsid w:val="24370497"/>
    <w:rsid w:val="245F76C2"/>
    <w:rsid w:val="24681644"/>
    <w:rsid w:val="247E759A"/>
    <w:rsid w:val="2483540D"/>
    <w:rsid w:val="24A051F7"/>
    <w:rsid w:val="24A51F50"/>
    <w:rsid w:val="251B39AA"/>
    <w:rsid w:val="25665146"/>
    <w:rsid w:val="256718FC"/>
    <w:rsid w:val="25830358"/>
    <w:rsid w:val="25953540"/>
    <w:rsid w:val="25984CC4"/>
    <w:rsid w:val="25AE5C8C"/>
    <w:rsid w:val="25BA1629"/>
    <w:rsid w:val="25C53959"/>
    <w:rsid w:val="25CA7370"/>
    <w:rsid w:val="25CC1139"/>
    <w:rsid w:val="25E50FFD"/>
    <w:rsid w:val="260847E4"/>
    <w:rsid w:val="2622404D"/>
    <w:rsid w:val="262275D1"/>
    <w:rsid w:val="26230AB0"/>
    <w:rsid w:val="2651538B"/>
    <w:rsid w:val="26737DE9"/>
    <w:rsid w:val="26D5645F"/>
    <w:rsid w:val="26E7748F"/>
    <w:rsid w:val="26F16050"/>
    <w:rsid w:val="26FB33B2"/>
    <w:rsid w:val="271E1B45"/>
    <w:rsid w:val="27275B91"/>
    <w:rsid w:val="27474F5A"/>
    <w:rsid w:val="27552AE5"/>
    <w:rsid w:val="2756657F"/>
    <w:rsid w:val="276C6FAD"/>
    <w:rsid w:val="276F4A98"/>
    <w:rsid w:val="279E1C8A"/>
    <w:rsid w:val="27A03C20"/>
    <w:rsid w:val="27B35968"/>
    <w:rsid w:val="27EB427B"/>
    <w:rsid w:val="280600A9"/>
    <w:rsid w:val="28153891"/>
    <w:rsid w:val="28214EB0"/>
    <w:rsid w:val="28235802"/>
    <w:rsid w:val="28377874"/>
    <w:rsid w:val="284A6EF8"/>
    <w:rsid w:val="287A33CB"/>
    <w:rsid w:val="28815DAA"/>
    <w:rsid w:val="28ED17DF"/>
    <w:rsid w:val="28F40D4A"/>
    <w:rsid w:val="29384F77"/>
    <w:rsid w:val="29430837"/>
    <w:rsid w:val="297E48B0"/>
    <w:rsid w:val="298C36DF"/>
    <w:rsid w:val="29CA0D44"/>
    <w:rsid w:val="29D04348"/>
    <w:rsid w:val="29E22B3B"/>
    <w:rsid w:val="29FD435A"/>
    <w:rsid w:val="2A045E2A"/>
    <w:rsid w:val="2A0E2192"/>
    <w:rsid w:val="2A240ACF"/>
    <w:rsid w:val="2A501920"/>
    <w:rsid w:val="2A5047F5"/>
    <w:rsid w:val="2A577B44"/>
    <w:rsid w:val="2A5A67C9"/>
    <w:rsid w:val="2A9C211C"/>
    <w:rsid w:val="2AA64C74"/>
    <w:rsid w:val="2AE2454C"/>
    <w:rsid w:val="2B097B5D"/>
    <w:rsid w:val="2B145BAB"/>
    <w:rsid w:val="2B742DC8"/>
    <w:rsid w:val="2B8F74B6"/>
    <w:rsid w:val="2BA9559E"/>
    <w:rsid w:val="2BB21EEF"/>
    <w:rsid w:val="2BC21D9F"/>
    <w:rsid w:val="2BC3463E"/>
    <w:rsid w:val="2BCC38F4"/>
    <w:rsid w:val="2BE51166"/>
    <w:rsid w:val="2C0B5870"/>
    <w:rsid w:val="2C814F2C"/>
    <w:rsid w:val="2C955FDE"/>
    <w:rsid w:val="2C991250"/>
    <w:rsid w:val="2CBC281D"/>
    <w:rsid w:val="2CF358D9"/>
    <w:rsid w:val="2D2721BA"/>
    <w:rsid w:val="2D3D56AE"/>
    <w:rsid w:val="2D59581B"/>
    <w:rsid w:val="2D6D6120"/>
    <w:rsid w:val="2D8D3878"/>
    <w:rsid w:val="2DA222E6"/>
    <w:rsid w:val="2DB407A2"/>
    <w:rsid w:val="2DD33B91"/>
    <w:rsid w:val="2E061084"/>
    <w:rsid w:val="2E0A1E4D"/>
    <w:rsid w:val="2E0F5172"/>
    <w:rsid w:val="2E450300"/>
    <w:rsid w:val="2E60513A"/>
    <w:rsid w:val="2E683B34"/>
    <w:rsid w:val="2E7C7744"/>
    <w:rsid w:val="2E990FDD"/>
    <w:rsid w:val="2E9F735C"/>
    <w:rsid w:val="2EA3273E"/>
    <w:rsid w:val="2EA530A5"/>
    <w:rsid w:val="2EB05D4B"/>
    <w:rsid w:val="2EC10666"/>
    <w:rsid w:val="2ED727A8"/>
    <w:rsid w:val="2F285C58"/>
    <w:rsid w:val="2FB95FF2"/>
    <w:rsid w:val="2FC46D35"/>
    <w:rsid w:val="2FD25AA6"/>
    <w:rsid w:val="2FE37F00"/>
    <w:rsid w:val="2FF868DB"/>
    <w:rsid w:val="2FF920D5"/>
    <w:rsid w:val="3004759E"/>
    <w:rsid w:val="301C6BFA"/>
    <w:rsid w:val="302368A4"/>
    <w:rsid w:val="303F624A"/>
    <w:rsid w:val="30473245"/>
    <w:rsid w:val="30765EA6"/>
    <w:rsid w:val="309543CB"/>
    <w:rsid w:val="30A65434"/>
    <w:rsid w:val="30E903C1"/>
    <w:rsid w:val="30F315A4"/>
    <w:rsid w:val="30F366C1"/>
    <w:rsid w:val="313C11E7"/>
    <w:rsid w:val="315317F6"/>
    <w:rsid w:val="316818ED"/>
    <w:rsid w:val="316A3BF0"/>
    <w:rsid w:val="316F5706"/>
    <w:rsid w:val="317B7DF5"/>
    <w:rsid w:val="31886E77"/>
    <w:rsid w:val="31931586"/>
    <w:rsid w:val="31957A45"/>
    <w:rsid w:val="319E5C92"/>
    <w:rsid w:val="31B06309"/>
    <w:rsid w:val="31B83215"/>
    <w:rsid w:val="31CC58EE"/>
    <w:rsid w:val="31D00AF9"/>
    <w:rsid w:val="31D12301"/>
    <w:rsid w:val="31ED0D23"/>
    <w:rsid w:val="32086BB0"/>
    <w:rsid w:val="321D0275"/>
    <w:rsid w:val="325A09B7"/>
    <w:rsid w:val="3268280F"/>
    <w:rsid w:val="327C5534"/>
    <w:rsid w:val="32903108"/>
    <w:rsid w:val="32DB1DDB"/>
    <w:rsid w:val="32E063AB"/>
    <w:rsid w:val="32F07148"/>
    <w:rsid w:val="32F60E38"/>
    <w:rsid w:val="33023282"/>
    <w:rsid w:val="3306034E"/>
    <w:rsid w:val="332070FC"/>
    <w:rsid w:val="33264AEA"/>
    <w:rsid w:val="33382A78"/>
    <w:rsid w:val="334A358C"/>
    <w:rsid w:val="33753436"/>
    <w:rsid w:val="338349E5"/>
    <w:rsid w:val="33864868"/>
    <w:rsid w:val="33BA7A68"/>
    <w:rsid w:val="33C7189D"/>
    <w:rsid w:val="33D95A56"/>
    <w:rsid w:val="33F83D09"/>
    <w:rsid w:val="34031395"/>
    <w:rsid w:val="340605D0"/>
    <w:rsid w:val="3407443E"/>
    <w:rsid w:val="340F6079"/>
    <w:rsid w:val="34126F23"/>
    <w:rsid w:val="342D00F7"/>
    <w:rsid w:val="343C1BC8"/>
    <w:rsid w:val="34490F70"/>
    <w:rsid w:val="34646DB4"/>
    <w:rsid w:val="348206F7"/>
    <w:rsid w:val="34881471"/>
    <w:rsid w:val="348B6A69"/>
    <w:rsid w:val="34E5599A"/>
    <w:rsid w:val="34F176E0"/>
    <w:rsid w:val="34F84FB4"/>
    <w:rsid w:val="353E2A37"/>
    <w:rsid w:val="357904F6"/>
    <w:rsid w:val="358D5CDD"/>
    <w:rsid w:val="35A44AEB"/>
    <w:rsid w:val="35F5317F"/>
    <w:rsid w:val="360A6CAB"/>
    <w:rsid w:val="363727B1"/>
    <w:rsid w:val="364F255D"/>
    <w:rsid w:val="36653C36"/>
    <w:rsid w:val="368F480F"/>
    <w:rsid w:val="36976A9B"/>
    <w:rsid w:val="36A20BCD"/>
    <w:rsid w:val="36B2204D"/>
    <w:rsid w:val="36DF0E3D"/>
    <w:rsid w:val="36E507A5"/>
    <w:rsid w:val="36F823B4"/>
    <w:rsid w:val="3700413D"/>
    <w:rsid w:val="3770242D"/>
    <w:rsid w:val="379E0849"/>
    <w:rsid w:val="37BC08B3"/>
    <w:rsid w:val="38176E9C"/>
    <w:rsid w:val="3825174F"/>
    <w:rsid w:val="383751F5"/>
    <w:rsid w:val="386E2BCF"/>
    <w:rsid w:val="38791BC6"/>
    <w:rsid w:val="388008B3"/>
    <w:rsid w:val="38897C77"/>
    <w:rsid w:val="38904486"/>
    <w:rsid w:val="38941535"/>
    <w:rsid w:val="38D67916"/>
    <w:rsid w:val="38DB27E9"/>
    <w:rsid w:val="38E773B9"/>
    <w:rsid w:val="38EF2D6C"/>
    <w:rsid w:val="38EF3415"/>
    <w:rsid w:val="39231592"/>
    <w:rsid w:val="39334EBC"/>
    <w:rsid w:val="393D49B1"/>
    <w:rsid w:val="39567978"/>
    <w:rsid w:val="3965181D"/>
    <w:rsid w:val="397B74F7"/>
    <w:rsid w:val="39870C53"/>
    <w:rsid w:val="39C13EB8"/>
    <w:rsid w:val="39CC01FA"/>
    <w:rsid w:val="39E44058"/>
    <w:rsid w:val="39EB6EE1"/>
    <w:rsid w:val="39F11844"/>
    <w:rsid w:val="3A1F234D"/>
    <w:rsid w:val="3A2A396D"/>
    <w:rsid w:val="3A3226F4"/>
    <w:rsid w:val="3A521C82"/>
    <w:rsid w:val="3A7D55AC"/>
    <w:rsid w:val="3A7E52C6"/>
    <w:rsid w:val="3A8C5580"/>
    <w:rsid w:val="3AA30498"/>
    <w:rsid w:val="3AB5763C"/>
    <w:rsid w:val="3AB82799"/>
    <w:rsid w:val="3ACA13FC"/>
    <w:rsid w:val="3ACB675D"/>
    <w:rsid w:val="3AD2209A"/>
    <w:rsid w:val="3AD65E98"/>
    <w:rsid w:val="3AD73782"/>
    <w:rsid w:val="3AE702E1"/>
    <w:rsid w:val="3AF17BDE"/>
    <w:rsid w:val="3B025D4D"/>
    <w:rsid w:val="3B0A2DA4"/>
    <w:rsid w:val="3B5411B0"/>
    <w:rsid w:val="3B723D2A"/>
    <w:rsid w:val="3B873505"/>
    <w:rsid w:val="3BEA6C00"/>
    <w:rsid w:val="3C123D4E"/>
    <w:rsid w:val="3C1C4B44"/>
    <w:rsid w:val="3C243C4B"/>
    <w:rsid w:val="3C5348F0"/>
    <w:rsid w:val="3C5B4F9F"/>
    <w:rsid w:val="3C7B0847"/>
    <w:rsid w:val="3CC67462"/>
    <w:rsid w:val="3CCD42E3"/>
    <w:rsid w:val="3CDE5651"/>
    <w:rsid w:val="3CEF5D36"/>
    <w:rsid w:val="3CF5137D"/>
    <w:rsid w:val="3D09356D"/>
    <w:rsid w:val="3D09523D"/>
    <w:rsid w:val="3D0A7EEA"/>
    <w:rsid w:val="3D0D0DE1"/>
    <w:rsid w:val="3D11068D"/>
    <w:rsid w:val="3D327842"/>
    <w:rsid w:val="3D8D16F8"/>
    <w:rsid w:val="3D9354D8"/>
    <w:rsid w:val="3DB949E3"/>
    <w:rsid w:val="3DDB27A9"/>
    <w:rsid w:val="3DF25C94"/>
    <w:rsid w:val="3DFF671E"/>
    <w:rsid w:val="3E140C4C"/>
    <w:rsid w:val="3E296522"/>
    <w:rsid w:val="3E3E7246"/>
    <w:rsid w:val="3E571872"/>
    <w:rsid w:val="3E6402DF"/>
    <w:rsid w:val="3E6A5A26"/>
    <w:rsid w:val="3ED920C7"/>
    <w:rsid w:val="3EDB2CE7"/>
    <w:rsid w:val="3EEA54ED"/>
    <w:rsid w:val="3EEB5495"/>
    <w:rsid w:val="3EEE6466"/>
    <w:rsid w:val="3EF17F90"/>
    <w:rsid w:val="3EF73899"/>
    <w:rsid w:val="3F053D47"/>
    <w:rsid w:val="3F1960EF"/>
    <w:rsid w:val="3F237C24"/>
    <w:rsid w:val="3F29696E"/>
    <w:rsid w:val="3F5B6282"/>
    <w:rsid w:val="3F79161C"/>
    <w:rsid w:val="3F872FF3"/>
    <w:rsid w:val="3F875E24"/>
    <w:rsid w:val="3FA96209"/>
    <w:rsid w:val="3FAF7723"/>
    <w:rsid w:val="3FB50AF8"/>
    <w:rsid w:val="3FEC1955"/>
    <w:rsid w:val="3FFA53EF"/>
    <w:rsid w:val="40060D04"/>
    <w:rsid w:val="40235A9F"/>
    <w:rsid w:val="40712762"/>
    <w:rsid w:val="407D5FB7"/>
    <w:rsid w:val="408C14A9"/>
    <w:rsid w:val="408E3936"/>
    <w:rsid w:val="409C1370"/>
    <w:rsid w:val="40A01BC9"/>
    <w:rsid w:val="40A42771"/>
    <w:rsid w:val="40B815B6"/>
    <w:rsid w:val="40C87E13"/>
    <w:rsid w:val="40D14025"/>
    <w:rsid w:val="40DE261A"/>
    <w:rsid w:val="410C0B0A"/>
    <w:rsid w:val="416655A4"/>
    <w:rsid w:val="41A5358E"/>
    <w:rsid w:val="41CC41F8"/>
    <w:rsid w:val="41E418B4"/>
    <w:rsid w:val="41E56C99"/>
    <w:rsid w:val="41EC222F"/>
    <w:rsid w:val="422C21D0"/>
    <w:rsid w:val="42380D30"/>
    <w:rsid w:val="42707CCA"/>
    <w:rsid w:val="429B4420"/>
    <w:rsid w:val="42A17094"/>
    <w:rsid w:val="42A649C7"/>
    <w:rsid w:val="42D504D5"/>
    <w:rsid w:val="42E51DCE"/>
    <w:rsid w:val="42F03E7A"/>
    <w:rsid w:val="43021AB6"/>
    <w:rsid w:val="43060959"/>
    <w:rsid w:val="430B16C1"/>
    <w:rsid w:val="431433E5"/>
    <w:rsid w:val="432D23CE"/>
    <w:rsid w:val="435E0FBE"/>
    <w:rsid w:val="43804ABA"/>
    <w:rsid w:val="43913915"/>
    <w:rsid w:val="43A53580"/>
    <w:rsid w:val="43CC2394"/>
    <w:rsid w:val="43D035EB"/>
    <w:rsid w:val="43DC3DF7"/>
    <w:rsid w:val="43FC42BB"/>
    <w:rsid w:val="4417559C"/>
    <w:rsid w:val="441C0EEB"/>
    <w:rsid w:val="4435044F"/>
    <w:rsid w:val="448070AF"/>
    <w:rsid w:val="44841AEB"/>
    <w:rsid w:val="448A7ED6"/>
    <w:rsid w:val="44B32193"/>
    <w:rsid w:val="44C94DA0"/>
    <w:rsid w:val="44CB0834"/>
    <w:rsid w:val="44DD3EDB"/>
    <w:rsid w:val="451C4461"/>
    <w:rsid w:val="451C47A1"/>
    <w:rsid w:val="457F2241"/>
    <w:rsid w:val="458C4D3B"/>
    <w:rsid w:val="458D460F"/>
    <w:rsid w:val="45956D2B"/>
    <w:rsid w:val="45A007E6"/>
    <w:rsid w:val="45D243EA"/>
    <w:rsid w:val="45E060CE"/>
    <w:rsid w:val="45E70A3B"/>
    <w:rsid w:val="45E713E5"/>
    <w:rsid w:val="45EB46A0"/>
    <w:rsid w:val="45ED4100"/>
    <w:rsid w:val="460A5C60"/>
    <w:rsid w:val="46494D28"/>
    <w:rsid w:val="4651388E"/>
    <w:rsid w:val="46520CB2"/>
    <w:rsid w:val="467902CD"/>
    <w:rsid w:val="467E6CA7"/>
    <w:rsid w:val="468D0621"/>
    <w:rsid w:val="469721CB"/>
    <w:rsid w:val="469F0A9E"/>
    <w:rsid w:val="46A0666F"/>
    <w:rsid w:val="46A978FA"/>
    <w:rsid w:val="46B07D71"/>
    <w:rsid w:val="46D874C0"/>
    <w:rsid w:val="46EA4DF5"/>
    <w:rsid w:val="47242D51"/>
    <w:rsid w:val="47301A2A"/>
    <w:rsid w:val="47374797"/>
    <w:rsid w:val="47396557"/>
    <w:rsid w:val="47483DF0"/>
    <w:rsid w:val="474B0581"/>
    <w:rsid w:val="474C001A"/>
    <w:rsid w:val="475C7266"/>
    <w:rsid w:val="47660812"/>
    <w:rsid w:val="476A3114"/>
    <w:rsid w:val="478F204D"/>
    <w:rsid w:val="47D429C9"/>
    <w:rsid w:val="47FD3D78"/>
    <w:rsid w:val="483F77CF"/>
    <w:rsid w:val="484C701C"/>
    <w:rsid w:val="485A39C5"/>
    <w:rsid w:val="48682164"/>
    <w:rsid w:val="48702171"/>
    <w:rsid w:val="48AD6263"/>
    <w:rsid w:val="48AF5949"/>
    <w:rsid w:val="48D76C8B"/>
    <w:rsid w:val="48E42798"/>
    <w:rsid w:val="490A25DE"/>
    <w:rsid w:val="4919651B"/>
    <w:rsid w:val="49A90C7E"/>
    <w:rsid w:val="49DB1F32"/>
    <w:rsid w:val="49F94CA0"/>
    <w:rsid w:val="4A096230"/>
    <w:rsid w:val="4A423812"/>
    <w:rsid w:val="4A466325"/>
    <w:rsid w:val="4A4B1F70"/>
    <w:rsid w:val="4A617B6A"/>
    <w:rsid w:val="4AA33D1C"/>
    <w:rsid w:val="4ABB5EB7"/>
    <w:rsid w:val="4AC61864"/>
    <w:rsid w:val="4AC8449F"/>
    <w:rsid w:val="4AE66A31"/>
    <w:rsid w:val="4AEA3FC4"/>
    <w:rsid w:val="4AEE0F9C"/>
    <w:rsid w:val="4AF53DEF"/>
    <w:rsid w:val="4B045027"/>
    <w:rsid w:val="4B272029"/>
    <w:rsid w:val="4B2C35C0"/>
    <w:rsid w:val="4B4164B8"/>
    <w:rsid w:val="4B472051"/>
    <w:rsid w:val="4B521CF2"/>
    <w:rsid w:val="4B630774"/>
    <w:rsid w:val="4B79325E"/>
    <w:rsid w:val="4B81166B"/>
    <w:rsid w:val="4B961D65"/>
    <w:rsid w:val="4B9B3798"/>
    <w:rsid w:val="4B9E1324"/>
    <w:rsid w:val="4BA65589"/>
    <w:rsid w:val="4BB04581"/>
    <w:rsid w:val="4BD27BA6"/>
    <w:rsid w:val="4C044CA2"/>
    <w:rsid w:val="4C04625C"/>
    <w:rsid w:val="4C651005"/>
    <w:rsid w:val="4C885B30"/>
    <w:rsid w:val="4C885D12"/>
    <w:rsid w:val="4CA867C7"/>
    <w:rsid w:val="4CC663BC"/>
    <w:rsid w:val="4CD75F81"/>
    <w:rsid w:val="4CEC3A26"/>
    <w:rsid w:val="4D1063CC"/>
    <w:rsid w:val="4D116B64"/>
    <w:rsid w:val="4D2C788A"/>
    <w:rsid w:val="4D390EF7"/>
    <w:rsid w:val="4D4A4FD0"/>
    <w:rsid w:val="4D561271"/>
    <w:rsid w:val="4D5661DC"/>
    <w:rsid w:val="4D6550F2"/>
    <w:rsid w:val="4E0A7CB6"/>
    <w:rsid w:val="4E287F5D"/>
    <w:rsid w:val="4E2D700A"/>
    <w:rsid w:val="4E4B634C"/>
    <w:rsid w:val="4E742C71"/>
    <w:rsid w:val="4E781E0B"/>
    <w:rsid w:val="4E877E92"/>
    <w:rsid w:val="4E90604F"/>
    <w:rsid w:val="4EC0682D"/>
    <w:rsid w:val="4EC47057"/>
    <w:rsid w:val="4ED12893"/>
    <w:rsid w:val="4EFE7073"/>
    <w:rsid w:val="4F1E03ED"/>
    <w:rsid w:val="4F1F0ED9"/>
    <w:rsid w:val="4F362913"/>
    <w:rsid w:val="4F7510BD"/>
    <w:rsid w:val="4F7F5150"/>
    <w:rsid w:val="4F8A5CFA"/>
    <w:rsid w:val="4F9B1345"/>
    <w:rsid w:val="4FA5065F"/>
    <w:rsid w:val="4FF736F9"/>
    <w:rsid w:val="50055E16"/>
    <w:rsid w:val="501F49FD"/>
    <w:rsid w:val="502536BF"/>
    <w:rsid w:val="50272F78"/>
    <w:rsid w:val="503B63E9"/>
    <w:rsid w:val="50412BC6"/>
    <w:rsid w:val="506E2937"/>
    <w:rsid w:val="50833503"/>
    <w:rsid w:val="508376D1"/>
    <w:rsid w:val="508D3A02"/>
    <w:rsid w:val="50BB6EDE"/>
    <w:rsid w:val="50D202FB"/>
    <w:rsid w:val="50D5414F"/>
    <w:rsid w:val="512F48B9"/>
    <w:rsid w:val="514C2E40"/>
    <w:rsid w:val="515B3813"/>
    <w:rsid w:val="518E5B38"/>
    <w:rsid w:val="51C976B5"/>
    <w:rsid w:val="51ED5DCB"/>
    <w:rsid w:val="51F46469"/>
    <w:rsid w:val="52143581"/>
    <w:rsid w:val="52225874"/>
    <w:rsid w:val="52486261"/>
    <w:rsid w:val="52492CD0"/>
    <w:rsid w:val="52561442"/>
    <w:rsid w:val="52694EC1"/>
    <w:rsid w:val="526F0B78"/>
    <w:rsid w:val="52BA2CFF"/>
    <w:rsid w:val="52D95AE4"/>
    <w:rsid w:val="52DF6073"/>
    <w:rsid w:val="52F86D2D"/>
    <w:rsid w:val="53141C5C"/>
    <w:rsid w:val="531D4CD7"/>
    <w:rsid w:val="531D70B1"/>
    <w:rsid w:val="53312516"/>
    <w:rsid w:val="53774E1D"/>
    <w:rsid w:val="538652A0"/>
    <w:rsid w:val="53A94D0A"/>
    <w:rsid w:val="53CA6476"/>
    <w:rsid w:val="54760F61"/>
    <w:rsid w:val="548670BA"/>
    <w:rsid w:val="548766E5"/>
    <w:rsid w:val="54A029B9"/>
    <w:rsid w:val="54A719A2"/>
    <w:rsid w:val="54A92F14"/>
    <w:rsid w:val="54B6770A"/>
    <w:rsid w:val="550A7BCD"/>
    <w:rsid w:val="55123978"/>
    <w:rsid w:val="55192377"/>
    <w:rsid w:val="55504418"/>
    <w:rsid w:val="55587102"/>
    <w:rsid w:val="55773CB8"/>
    <w:rsid w:val="557B242A"/>
    <w:rsid w:val="55801A9A"/>
    <w:rsid w:val="55955E01"/>
    <w:rsid w:val="55DA5C87"/>
    <w:rsid w:val="55E622DD"/>
    <w:rsid w:val="55F24C3D"/>
    <w:rsid w:val="561D3BBE"/>
    <w:rsid w:val="561E6D72"/>
    <w:rsid w:val="56211229"/>
    <w:rsid w:val="5623229D"/>
    <w:rsid w:val="56A074CB"/>
    <w:rsid w:val="56B3396E"/>
    <w:rsid w:val="56CE7FDB"/>
    <w:rsid w:val="56E7199A"/>
    <w:rsid w:val="56F20976"/>
    <w:rsid w:val="56F62D1A"/>
    <w:rsid w:val="570301DF"/>
    <w:rsid w:val="572F46B3"/>
    <w:rsid w:val="57427B3F"/>
    <w:rsid w:val="574314FF"/>
    <w:rsid w:val="574D418B"/>
    <w:rsid w:val="57517108"/>
    <w:rsid w:val="577D347F"/>
    <w:rsid w:val="579E0DDE"/>
    <w:rsid w:val="57A26705"/>
    <w:rsid w:val="57BC551A"/>
    <w:rsid w:val="57DE7CD4"/>
    <w:rsid w:val="57ED6958"/>
    <w:rsid w:val="57FB6D3C"/>
    <w:rsid w:val="580B716F"/>
    <w:rsid w:val="581642BC"/>
    <w:rsid w:val="58325A61"/>
    <w:rsid w:val="58381727"/>
    <w:rsid w:val="584943F5"/>
    <w:rsid w:val="58724AB2"/>
    <w:rsid w:val="58745E47"/>
    <w:rsid w:val="58795DFB"/>
    <w:rsid w:val="589F6DE1"/>
    <w:rsid w:val="58F062C9"/>
    <w:rsid w:val="590649AC"/>
    <w:rsid w:val="5915214E"/>
    <w:rsid w:val="59317DCD"/>
    <w:rsid w:val="594433C5"/>
    <w:rsid w:val="595219A0"/>
    <w:rsid w:val="59746511"/>
    <w:rsid w:val="597D1327"/>
    <w:rsid w:val="598B6F53"/>
    <w:rsid w:val="598F279B"/>
    <w:rsid w:val="599E6993"/>
    <w:rsid w:val="59A05359"/>
    <w:rsid w:val="59AA002F"/>
    <w:rsid w:val="59D1263F"/>
    <w:rsid w:val="59F10C40"/>
    <w:rsid w:val="5A350439"/>
    <w:rsid w:val="5A3B29BF"/>
    <w:rsid w:val="5A41113C"/>
    <w:rsid w:val="5A43459B"/>
    <w:rsid w:val="5A5E3BE6"/>
    <w:rsid w:val="5A956801"/>
    <w:rsid w:val="5AAB26AB"/>
    <w:rsid w:val="5AC94382"/>
    <w:rsid w:val="5ACD0075"/>
    <w:rsid w:val="5B0472AF"/>
    <w:rsid w:val="5B1E7F14"/>
    <w:rsid w:val="5B240F85"/>
    <w:rsid w:val="5B244A4B"/>
    <w:rsid w:val="5B3B1C0F"/>
    <w:rsid w:val="5B6153A8"/>
    <w:rsid w:val="5B8E4348"/>
    <w:rsid w:val="5BAF206B"/>
    <w:rsid w:val="5BE42ECF"/>
    <w:rsid w:val="5BF214C9"/>
    <w:rsid w:val="5C0760F7"/>
    <w:rsid w:val="5C343481"/>
    <w:rsid w:val="5C577C44"/>
    <w:rsid w:val="5C6E52CD"/>
    <w:rsid w:val="5C7857C1"/>
    <w:rsid w:val="5CBF0982"/>
    <w:rsid w:val="5CDE649C"/>
    <w:rsid w:val="5CDF354A"/>
    <w:rsid w:val="5CEC28D1"/>
    <w:rsid w:val="5CFF3AD5"/>
    <w:rsid w:val="5D1A717C"/>
    <w:rsid w:val="5D3E47DA"/>
    <w:rsid w:val="5D464A57"/>
    <w:rsid w:val="5D642E32"/>
    <w:rsid w:val="5D7A4D17"/>
    <w:rsid w:val="5D90121F"/>
    <w:rsid w:val="5D991881"/>
    <w:rsid w:val="5DA30A1C"/>
    <w:rsid w:val="5DB44B4E"/>
    <w:rsid w:val="5DBF05AF"/>
    <w:rsid w:val="5DC36225"/>
    <w:rsid w:val="5DD10394"/>
    <w:rsid w:val="5DF165A4"/>
    <w:rsid w:val="5E1647E3"/>
    <w:rsid w:val="5E223D7E"/>
    <w:rsid w:val="5E46298C"/>
    <w:rsid w:val="5E604042"/>
    <w:rsid w:val="5E8B19D7"/>
    <w:rsid w:val="5E8F7B8F"/>
    <w:rsid w:val="5EA52572"/>
    <w:rsid w:val="5EF31A87"/>
    <w:rsid w:val="5F167528"/>
    <w:rsid w:val="5F2668D6"/>
    <w:rsid w:val="5F2A3452"/>
    <w:rsid w:val="5F8F0E30"/>
    <w:rsid w:val="5F9936CA"/>
    <w:rsid w:val="5FD753D1"/>
    <w:rsid w:val="5FE22AD1"/>
    <w:rsid w:val="60141E79"/>
    <w:rsid w:val="601538F4"/>
    <w:rsid w:val="603E722E"/>
    <w:rsid w:val="604E7391"/>
    <w:rsid w:val="605372B6"/>
    <w:rsid w:val="605920A9"/>
    <w:rsid w:val="60770760"/>
    <w:rsid w:val="608E4C39"/>
    <w:rsid w:val="60A13E44"/>
    <w:rsid w:val="60A32AE1"/>
    <w:rsid w:val="60A96306"/>
    <w:rsid w:val="60AA5EB4"/>
    <w:rsid w:val="60B66CB8"/>
    <w:rsid w:val="60BF234B"/>
    <w:rsid w:val="60F54B36"/>
    <w:rsid w:val="60F7598D"/>
    <w:rsid w:val="6109622A"/>
    <w:rsid w:val="61416C6B"/>
    <w:rsid w:val="61460354"/>
    <w:rsid w:val="61461DEA"/>
    <w:rsid w:val="614A4DE8"/>
    <w:rsid w:val="61530AC0"/>
    <w:rsid w:val="61626B01"/>
    <w:rsid w:val="617C465C"/>
    <w:rsid w:val="618429EE"/>
    <w:rsid w:val="61AD5E45"/>
    <w:rsid w:val="61C13B56"/>
    <w:rsid w:val="61F24A60"/>
    <w:rsid w:val="62355C89"/>
    <w:rsid w:val="62497244"/>
    <w:rsid w:val="62534AEF"/>
    <w:rsid w:val="625D652F"/>
    <w:rsid w:val="627E701A"/>
    <w:rsid w:val="62917C38"/>
    <w:rsid w:val="629532F6"/>
    <w:rsid w:val="62A91AAB"/>
    <w:rsid w:val="62AF39BF"/>
    <w:rsid w:val="62B64678"/>
    <w:rsid w:val="62F6774C"/>
    <w:rsid w:val="630112EA"/>
    <w:rsid w:val="6320600A"/>
    <w:rsid w:val="63444F99"/>
    <w:rsid w:val="634D4FF2"/>
    <w:rsid w:val="63600908"/>
    <w:rsid w:val="636A1B1E"/>
    <w:rsid w:val="63907D73"/>
    <w:rsid w:val="639E1822"/>
    <w:rsid w:val="63AF736F"/>
    <w:rsid w:val="63B05890"/>
    <w:rsid w:val="63D556A7"/>
    <w:rsid w:val="63EA0168"/>
    <w:rsid w:val="644762AE"/>
    <w:rsid w:val="645111D2"/>
    <w:rsid w:val="646E6907"/>
    <w:rsid w:val="64A31CD7"/>
    <w:rsid w:val="64F47002"/>
    <w:rsid w:val="65202C43"/>
    <w:rsid w:val="653371AB"/>
    <w:rsid w:val="65363DAD"/>
    <w:rsid w:val="6540083B"/>
    <w:rsid w:val="654D5EF5"/>
    <w:rsid w:val="65632EC3"/>
    <w:rsid w:val="657323A6"/>
    <w:rsid w:val="65866442"/>
    <w:rsid w:val="65AB3C04"/>
    <w:rsid w:val="65B34FF0"/>
    <w:rsid w:val="65B51984"/>
    <w:rsid w:val="65D60202"/>
    <w:rsid w:val="65ED16C1"/>
    <w:rsid w:val="65FF42E5"/>
    <w:rsid w:val="66124991"/>
    <w:rsid w:val="662D0643"/>
    <w:rsid w:val="665A1E94"/>
    <w:rsid w:val="666E34D6"/>
    <w:rsid w:val="669222A9"/>
    <w:rsid w:val="66C10AA8"/>
    <w:rsid w:val="66C87364"/>
    <w:rsid w:val="66D17451"/>
    <w:rsid w:val="66E361E2"/>
    <w:rsid w:val="66EB493F"/>
    <w:rsid w:val="672E5AE7"/>
    <w:rsid w:val="6731797F"/>
    <w:rsid w:val="676B07FC"/>
    <w:rsid w:val="677246AC"/>
    <w:rsid w:val="678A406A"/>
    <w:rsid w:val="67915A26"/>
    <w:rsid w:val="67A83946"/>
    <w:rsid w:val="67C63175"/>
    <w:rsid w:val="67DC1C11"/>
    <w:rsid w:val="67DE3413"/>
    <w:rsid w:val="68341F30"/>
    <w:rsid w:val="68392A5B"/>
    <w:rsid w:val="683B3D94"/>
    <w:rsid w:val="685E1171"/>
    <w:rsid w:val="686A437D"/>
    <w:rsid w:val="68812796"/>
    <w:rsid w:val="68821D88"/>
    <w:rsid w:val="689B564B"/>
    <w:rsid w:val="68A53856"/>
    <w:rsid w:val="68CF79B2"/>
    <w:rsid w:val="68D445AC"/>
    <w:rsid w:val="690C1CCE"/>
    <w:rsid w:val="691B612E"/>
    <w:rsid w:val="694E7EF1"/>
    <w:rsid w:val="697D4481"/>
    <w:rsid w:val="69836837"/>
    <w:rsid w:val="698A4BED"/>
    <w:rsid w:val="69B004D8"/>
    <w:rsid w:val="69C06822"/>
    <w:rsid w:val="69F62624"/>
    <w:rsid w:val="6A0D682D"/>
    <w:rsid w:val="6A4766A6"/>
    <w:rsid w:val="6A631CFF"/>
    <w:rsid w:val="6A971708"/>
    <w:rsid w:val="6A9F5109"/>
    <w:rsid w:val="6AB778B5"/>
    <w:rsid w:val="6ABA44B5"/>
    <w:rsid w:val="6AD003E8"/>
    <w:rsid w:val="6AD34DCB"/>
    <w:rsid w:val="6AEF613E"/>
    <w:rsid w:val="6B056AC1"/>
    <w:rsid w:val="6B382215"/>
    <w:rsid w:val="6B391E78"/>
    <w:rsid w:val="6B3A124E"/>
    <w:rsid w:val="6BCF1F4D"/>
    <w:rsid w:val="6BD14835"/>
    <w:rsid w:val="6BD2003C"/>
    <w:rsid w:val="6C0022F1"/>
    <w:rsid w:val="6C2F4890"/>
    <w:rsid w:val="6C3F4CFA"/>
    <w:rsid w:val="6C5507AA"/>
    <w:rsid w:val="6C7677CE"/>
    <w:rsid w:val="6C867EA1"/>
    <w:rsid w:val="6C980D55"/>
    <w:rsid w:val="6CA4030D"/>
    <w:rsid w:val="6CCC6012"/>
    <w:rsid w:val="6CD34CCC"/>
    <w:rsid w:val="6CEB1CF9"/>
    <w:rsid w:val="6CF172CA"/>
    <w:rsid w:val="6CF23B45"/>
    <w:rsid w:val="6CF47131"/>
    <w:rsid w:val="6D0E770B"/>
    <w:rsid w:val="6D130EB1"/>
    <w:rsid w:val="6D2F2FDA"/>
    <w:rsid w:val="6D555CE3"/>
    <w:rsid w:val="6D7023B0"/>
    <w:rsid w:val="6D7764EC"/>
    <w:rsid w:val="6DB51939"/>
    <w:rsid w:val="6DCA2756"/>
    <w:rsid w:val="6DDD765C"/>
    <w:rsid w:val="6DF574C3"/>
    <w:rsid w:val="6DFA14BE"/>
    <w:rsid w:val="6E0B44F0"/>
    <w:rsid w:val="6E150BF5"/>
    <w:rsid w:val="6E1A66A8"/>
    <w:rsid w:val="6E255747"/>
    <w:rsid w:val="6E391FE6"/>
    <w:rsid w:val="6E562BB6"/>
    <w:rsid w:val="6E5F204B"/>
    <w:rsid w:val="6E7C3B99"/>
    <w:rsid w:val="6E8E03F4"/>
    <w:rsid w:val="6EA31A57"/>
    <w:rsid w:val="6EAD6C25"/>
    <w:rsid w:val="6EB04D47"/>
    <w:rsid w:val="6EBE55D7"/>
    <w:rsid w:val="6EC4195D"/>
    <w:rsid w:val="6EC9179A"/>
    <w:rsid w:val="6EDE0DB6"/>
    <w:rsid w:val="6EE6596D"/>
    <w:rsid w:val="6EE82BB1"/>
    <w:rsid w:val="6EF72976"/>
    <w:rsid w:val="6F034D02"/>
    <w:rsid w:val="6F0B0ADC"/>
    <w:rsid w:val="6F2C1A4C"/>
    <w:rsid w:val="6F836D56"/>
    <w:rsid w:val="6F8B086E"/>
    <w:rsid w:val="6F9E7B00"/>
    <w:rsid w:val="6FAE7661"/>
    <w:rsid w:val="6FBA29CB"/>
    <w:rsid w:val="6FBA35C6"/>
    <w:rsid w:val="6FC52922"/>
    <w:rsid w:val="6FCF5FBA"/>
    <w:rsid w:val="6FD44FD0"/>
    <w:rsid w:val="6FE45A89"/>
    <w:rsid w:val="6FF0497A"/>
    <w:rsid w:val="702E686B"/>
    <w:rsid w:val="705F0CD4"/>
    <w:rsid w:val="70AD1BC6"/>
    <w:rsid w:val="70B7799E"/>
    <w:rsid w:val="70BD794F"/>
    <w:rsid w:val="70C3471E"/>
    <w:rsid w:val="70C44F71"/>
    <w:rsid w:val="70E60E46"/>
    <w:rsid w:val="70F84AF2"/>
    <w:rsid w:val="70FB5B91"/>
    <w:rsid w:val="71010052"/>
    <w:rsid w:val="7103527D"/>
    <w:rsid w:val="71090C20"/>
    <w:rsid w:val="711710AD"/>
    <w:rsid w:val="712E37D0"/>
    <w:rsid w:val="71632544"/>
    <w:rsid w:val="7199170F"/>
    <w:rsid w:val="71C835BC"/>
    <w:rsid w:val="71F27A49"/>
    <w:rsid w:val="72422A2E"/>
    <w:rsid w:val="7246770B"/>
    <w:rsid w:val="72744408"/>
    <w:rsid w:val="728F3B09"/>
    <w:rsid w:val="729329B5"/>
    <w:rsid w:val="72973828"/>
    <w:rsid w:val="72A86EC2"/>
    <w:rsid w:val="72AA117C"/>
    <w:rsid w:val="72F106E9"/>
    <w:rsid w:val="72F30322"/>
    <w:rsid w:val="73052D9D"/>
    <w:rsid w:val="730754D7"/>
    <w:rsid w:val="7362311E"/>
    <w:rsid w:val="73685B31"/>
    <w:rsid w:val="736C65D5"/>
    <w:rsid w:val="73B50761"/>
    <w:rsid w:val="73C947C6"/>
    <w:rsid w:val="73F333B7"/>
    <w:rsid w:val="7427707A"/>
    <w:rsid w:val="74582108"/>
    <w:rsid w:val="746729B7"/>
    <w:rsid w:val="749007FB"/>
    <w:rsid w:val="74960AA5"/>
    <w:rsid w:val="74A977C0"/>
    <w:rsid w:val="74B21FF1"/>
    <w:rsid w:val="74CC647F"/>
    <w:rsid w:val="74E362B3"/>
    <w:rsid w:val="74E41A45"/>
    <w:rsid w:val="75077468"/>
    <w:rsid w:val="75150A84"/>
    <w:rsid w:val="754029F5"/>
    <w:rsid w:val="755367CE"/>
    <w:rsid w:val="75687752"/>
    <w:rsid w:val="7569018F"/>
    <w:rsid w:val="75786D04"/>
    <w:rsid w:val="757E038B"/>
    <w:rsid w:val="75834FE9"/>
    <w:rsid w:val="75857C4B"/>
    <w:rsid w:val="75B3495C"/>
    <w:rsid w:val="75CD2682"/>
    <w:rsid w:val="75DC2076"/>
    <w:rsid w:val="75E9426B"/>
    <w:rsid w:val="75EE7CB2"/>
    <w:rsid w:val="76043818"/>
    <w:rsid w:val="760D0873"/>
    <w:rsid w:val="762264EB"/>
    <w:rsid w:val="764C1D9D"/>
    <w:rsid w:val="76647C5E"/>
    <w:rsid w:val="768B7D6E"/>
    <w:rsid w:val="76A56CAF"/>
    <w:rsid w:val="76A90EC2"/>
    <w:rsid w:val="76BB3A39"/>
    <w:rsid w:val="76D12670"/>
    <w:rsid w:val="76E54B23"/>
    <w:rsid w:val="7704042B"/>
    <w:rsid w:val="77185809"/>
    <w:rsid w:val="775761EA"/>
    <w:rsid w:val="777A56C0"/>
    <w:rsid w:val="778B1D2B"/>
    <w:rsid w:val="778E6669"/>
    <w:rsid w:val="779E1447"/>
    <w:rsid w:val="77B42A38"/>
    <w:rsid w:val="77C27E25"/>
    <w:rsid w:val="78015559"/>
    <w:rsid w:val="78137375"/>
    <w:rsid w:val="78450C6F"/>
    <w:rsid w:val="78485FF0"/>
    <w:rsid w:val="784F7BFD"/>
    <w:rsid w:val="784F7F46"/>
    <w:rsid w:val="78554D40"/>
    <w:rsid w:val="78572735"/>
    <w:rsid w:val="785E3369"/>
    <w:rsid w:val="78BA6071"/>
    <w:rsid w:val="78FB1584"/>
    <w:rsid w:val="79222CE5"/>
    <w:rsid w:val="792E41F0"/>
    <w:rsid w:val="794D5193"/>
    <w:rsid w:val="7970279D"/>
    <w:rsid w:val="797445D0"/>
    <w:rsid w:val="797E39E0"/>
    <w:rsid w:val="797F7AA1"/>
    <w:rsid w:val="79802ABF"/>
    <w:rsid w:val="79A636F0"/>
    <w:rsid w:val="79EB757B"/>
    <w:rsid w:val="79ED4F6F"/>
    <w:rsid w:val="7A113BE2"/>
    <w:rsid w:val="7A647FC7"/>
    <w:rsid w:val="7A80220F"/>
    <w:rsid w:val="7A8669F8"/>
    <w:rsid w:val="7AA65EBC"/>
    <w:rsid w:val="7AB55CA4"/>
    <w:rsid w:val="7ABF07EF"/>
    <w:rsid w:val="7AF90AB9"/>
    <w:rsid w:val="7AFF748A"/>
    <w:rsid w:val="7B0A246E"/>
    <w:rsid w:val="7B1C6AB3"/>
    <w:rsid w:val="7B356567"/>
    <w:rsid w:val="7B61287D"/>
    <w:rsid w:val="7BB81AFB"/>
    <w:rsid w:val="7BBF0C27"/>
    <w:rsid w:val="7BC906F7"/>
    <w:rsid w:val="7BD007D6"/>
    <w:rsid w:val="7BDA201F"/>
    <w:rsid w:val="7BDC5F55"/>
    <w:rsid w:val="7BEC26CD"/>
    <w:rsid w:val="7BEC2D12"/>
    <w:rsid w:val="7BFC000F"/>
    <w:rsid w:val="7C4C49C6"/>
    <w:rsid w:val="7C5C22E4"/>
    <w:rsid w:val="7C7A544E"/>
    <w:rsid w:val="7C807630"/>
    <w:rsid w:val="7CD74EE6"/>
    <w:rsid w:val="7CF6469F"/>
    <w:rsid w:val="7CFF71F9"/>
    <w:rsid w:val="7D057654"/>
    <w:rsid w:val="7D5A0C67"/>
    <w:rsid w:val="7D60455E"/>
    <w:rsid w:val="7D742143"/>
    <w:rsid w:val="7D8010CC"/>
    <w:rsid w:val="7DC853E1"/>
    <w:rsid w:val="7DD7372B"/>
    <w:rsid w:val="7DEE13E8"/>
    <w:rsid w:val="7DF026CD"/>
    <w:rsid w:val="7E0662FF"/>
    <w:rsid w:val="7E2A3E74"/>
    <w:rsid w:val="7E713D60"/>
    <w:rsid w:val="7E8B120F"/>
    <w:rsid w:val="7E9134FF"/>
    <w:rsid w:val="7ECE54B6"/>
    <w:rsid w:val="7EDB7552"/>
    <w:rsid w:val="7EE178B9"/>
    <w:rsid w:val="7F432097"/>
    <w:rsid w:val="7F46639D"/>
    <w:rsid w:val="7F6C2F9B"/>
    <w:rsid w:val="7F804021"/>
    <w:rsid w:val="7F804F58"/>
    <w:rsid w:val="7F9D1317"/>
    <w:rsid w:val="7FA107C8"/>
    <w:rsid w:val="7FBF3670"/>
    <w:rsid w:val="7FE334BB"/>
    <w:rsid w:val="7FF23E40"/>
    <w:rsid w:val="7FFC2F9B"/>
    <w:rsid w:val="7FFD5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99" w:name="heading 7"/>
    <w:lsdException w:qFormat="1" w:uiPriority="99" w:name="heading 8"/>
    <w:lsdException w:qFormat="1" w:uiPriority="99" w:name="heading 9"/>
    <w:lsdException w:qFormat="1" w:uiPriority="99" w:name="index 1"/>
    <w:lsdException w:uiPriority="99" w:name="index 2"/>
    <w:lsdException w:uiPriority="99" w:name="index 3"/>
    <w:lsdException w:uiPriority="99" w:name="index 4"/>
    <w:lsdException w:uiPriority="99" w:name="index 5"/>
    <w:lsdException w:qFormat="1"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semiHidden="0" w:name="Normal Indent"/>
    <w:lsdException w:qFormat="1" w:uiPriority="99" w:name="footnote text"/>
    <w:lsdException w:qFormat="1" w:uiPriority="99" w:name="annotation text"/>
    <w:lsdException w:qFormat="1" w:uiPriority="99" w:semiHidden="0" w:name="header"/>
    <w:lsdException w:qFormat="1" w:uiPriority="99" w:semiHidden="0" w:name="footer"/>
    <w:lsdException w:qFormat="1" w:uiPriority="99" w:name="index heading"/>
    <w:lsdException w:qFormat="1" w:uiPriority="99" w:name="caption"/>
    <w:lsdException w:qFormat="1" w:uiPriority="99" w:name="table of figures"/>
    <w:lsdException w:uiPriority="99" w:name="envelope address"/>
    <w:lsdException w:qFormat="1" w:uiPriority="99" w:name="envelope return"/>
    <w:lsdException w:uiPriority="99" w:name="footnote reference"/>
    <w:lsdException w:qFormat="1" w:uiPriority="0" w:name="annotation reference"/>
    <w:lsdException w:uiPriority="99" w:name="line number"/>
    <w:lsdException w:qFormat="1" w:unhideWhenUsed="0" w:uiPriority="0" w:semiHidden="0" w:name="page number"/>
    <w:lsdException w:qFormat="1" w:uiPriority="0" w:name="endnote reference"/>
    <w:lsdException w:qFormat="1" w:uiPriority="99" w:name="endnote text"/>
    <w:lsdException w:qFormat="1" w:uiPriority="99" w:name="table of authorities"/>
    <w:lsdException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uiPriority="99" w:name="List 3"/>
    <w:lsdException w:uiPriority="99" w:name="List 4"/>
    <w:lsdException w:uiPriority="99" w:name="List 5"/>
    <w:lsdException w:qFormat="1" w:uiPriority="99" w:name="List Bullet 2"/>
    <w:lsdException w:uiPriority="99" w:name="List Bullet 3"/>
    <w:lsdException w:uiPriority="99" w:name="List Bullet 4"/>
    <w:lsdException w:qFormat="1"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qFormat="1" w:uiPriority="99" w:name="Date"/>
    <w:lsdException w:qFormat="1" w:uiPriority="0" w:name="Body Text First Indent"/>
    <w:lsdException w:qFormat="1" w:uiPriority="0"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name="Hyperlink"/>
    <w:lsdException w:qFormat="1" w:uiPriority="99" w:name="FollowedHyperlink"/>
    <w:lsdException w:qFormat="1" w:unhideWhenUsed="0" w:uiPriority="0" w:semiHidden="0" w:name="Strong"/>
    <w:lsdException w:qFormat="1" w:unhideWhenUsed="0" w:uiPriority="0" w:semiHidden="0" w:name="Emphasis"/>
    <w:lsdException w:qFormat="1" w:uiPriority="99" w:name="Document Map"/>
    <w:lsdException w:qFormat="1"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qFormat="1" w:uiPriority="0" w:name="HTML Typewriter"/>
    <w:lsdException w:uiPriority="99" w:name="HTML Variable"/>
    <w:lsdException w:uiPriority="99" w:name="Normal Table"/>
    <w:lsdException w:qFormat="1" w:uiPriority="99" w:name="annotation subject"/>
    <w:lsdException w:qFormat="1" w:uiPriority="0" w:name="Table Simple 1"/>
    <w:lsdException w:uiPriority="99" w:name="Table Simple 2"/>
    <w:lsdException w:uiPriority="99" w:name="Table Simple 3"/>
    <w:lsdException w:qFormat="1" w:uiPriority="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iPriority="0"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qFormat="1" w:uiPriority="0"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qFormat="1" w:uiPriority="0" w:semiHidden="0" w:name="Table Theme"/>
    <w:lsdException w:qFormat="1" w:unhideWhenUsed="0" w:uiPriority="0" w:name="Placeholder Text"/>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宋体" w:hAnsi="宋体" w:eastAsia="宋体" w:cs="Times New Roman"/>
      <w:kern w:val="2"/>
      <w:sz w:val="24"/>
      <w:lang w:val="en-US" w:eastAsia="zh-CN" w:bidi="ar-SA"/>
    </w:rPr>
  </w:style>
  <w:style w:type="paragraph" w:styleId="3">
    <w:name w:val="heading 1"/>
    <w:basedOn w:val="1"/>
    <w:next w:val="1"/>
    <w:link w:val="793"/>
    <w:qFormat/>
    <w:uiPriority w:val="9"/>
    <w:pPr>
      <w:keepNext/>
      <w:keepLines/>
      <w:spacing w:before="340" w:after="330" w:line="576" w:lineRule="auto"/>
      <w:outlineLvl w:val="0"/>
    </w:pPr>
    <w:rPr>
      <w:rFonts w:ascii="Times New Roman" w:hAnsi="Times New Roman"/>
      <w:b/>
      <w:kern w:val="44"/>
      <w:sz w:val="44"/>
    </w:rPr>
  </w:style>
  <w:style w:type="paragraph" w:styleId="4">
    <w:name w:val="heading 2"/>
    <w:basedOn w:val="1"/>
    <w:next w:val="1"/>
    <w:link w:val="828"/>
    <w:semiHidden/>
    <w:unhideWhenUsed/>
    <w:qFormat/>
    <w:uiPriority w:val="0"/>
    <w:pPr>
      <w:keepNext/>
      <w:keepLines/>
      <w:spacing w:before="260" w:after="260" w:line="412" w:lineRule="auto"/>
      <w:outlineLvl w:val="1"/>
    </w:pPr>
    <w:rPr>
      <w:rFonts w:ascii="Arial" w:hAnsi="Arial" w:eastAsia="黑体"/>
      <w:b/>
      <w:sz w:val="32"/>
    </w:rPr>
  </w:style>
  <w:style w:type="paragraph" w:styleId="5">
    <w:name w:val="heading 3"/>
    <w:basedOn w:val="1"/>
    <w:next w:val="1"/>
    <w:link w:val="809"/>
    <w:unhideWhenUsed/>
    <w:qFormat/>
    <w:uiPriority w:val="0"/>
    <w:pPr>
      <w:keepNext/>
      <w:keepLines/>
      <w:spacing w:before="260" w:after="260" w:line="412" w:lineRule="auto"/>
      <w:outlineLvl w:val="2"/>
    </w:pPr>
    <w:rPr>
      <w:rFonts w:ascii="Times New Roman" w:hAnsi="Times New Roman"/>
      <w:b/>
      <w:sz w:val="32"/>
    </w:rPr>
  </w:style>
  <w:style w:type="paragraph" w:styleId="6">
    <w:name w:val="heading 4"/>
    <w:basedOn w:val="1"/>
    <w:next w:val="1"/>
    <w:link w:val="735"/>
    <w:semiHidden/>
    <w:unhideWhenUsed/>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link w:val="832"/>
    <w:semiHidden/>
    <w:unhideWhenUsed/>
    <w:qFormat/>
    <w:uiPriority w:val="0"/>
    <w:pPr>
      <w:keepNext/>
      <w:keepLines/>
      <w:tabs>
        <w:tab w:val="left" w:pos="1008"/>
      </w:tabs>
      <w:spacing w:before="280" w:after="290" w:line="372" w:lineRule="auto"/>
      <w:ind w:left="1008" w:hanging="1008"/>
      <w:outlineLvl w:val="4"/>
    </w:pPr>
    <w:rPr>
      <w:rFonts w:ascii="Times New Roman" w:hAnsi="Times New Roman"/>
      <w:b/>
      <w:sz w:val="28"/>
    </w:rPr>
  </w:style>
  <w:style w:type="paragraph" w:styleId="8">
    <w:name w:val="heading 6"/>
    <w:basedOn w:val="1"/>
    <w:next w:val="1"/>
    <w:link w:val="683"/>
    <w:semiHidden/>
    <w:unhideWhenUsed/>
    <w:qFormat/>
    <w:uiPriority w:val="0"/>
    <w:pPr>
      <w:keepNext/>
      <w:keepLines/>
      <w:tabs>
        <w:tab w:val="left" w:pos="1152"/>
      </w:tabs>
      <w:spacing w:before="240" w:after="64" w:line="316" w:lineRule="auto"/>
      <w:ind w:left="1152" w:hanging="1152"/>
      <w:outlineLvl w:val="5"/>
    </w:pPr>
    <w:rPr>
      <w:rFonts w:ascii="Arial" w:hAnsi="Arial" w:eastAsia="黑体"/>
      <w:b/>
    </w:rPr>
  </w:style>
  <w:style w:type="paragraph" w:styleId="9">
    <w:name w:val="heading 7"/>
    <w:basedOn w:val="1"/>
    <w:next w:val="1"/>
    <w:link w:val="814"/>
    <w:semiHidden/>
    <w:unhideWhenUsed/>
    <w:qFormat/>
    <w:uiPriority w:val="99"/>
    <w:pPr>
      <w:keepNext/>
      <w:keepLines/>
      <w:tabs>
        <w:tab w:val="left" w:pos="1296"/>
      </w:tabs>
      <w:spacing w:before="240" w:after="64" w:line="316" w:lineRule="auto"/>
      <w:ind w:left="1296" w:hanging="1296"/>
      <w:outlineLvl w:val="6"/>
    </w:pPr>
    <w:rPr>
      <w:rFonts w:ascii="Times New Roman" w:hAnsi="Times New Roman"/>
      <w:b/>
    </w:rPr>
  </w:style>
  <w:style w:type="paragraph" w:styleId="10">
    <w:name w:val="heading 8"/>
    <w:basedOn w:val="1"/>
    <w:next w:val="1"/>
    <w:link w:val="682"/>
    <w:semiHidden/>
    <w:unhideWhenUsed/>
    <w:qFormat/>
    <w:uiPriority w:val="99"/>
    <w:pPr>
      <w:keepNext/>
      <w:keepLines/>
      <w:tabs>
        <w:tab w:val="left" w:pos="1440"/>
      </w:tabs>
      <w:spacing w:before="240" w:after="64" w:line="316" w:lineRule="auto"/>
      <w:ind w:left="1440" w:hanging="1440"/>
      <w:outlineLvl w:val="7"/>
    </w:pPr>
    <w:rPr>
      <w:rFonts w:ascii="Arial" w:hAnsi="Arial" w:eastAsia="黑体"/>
    </w:rPr>
  </w:style>
  <w:style w:type="paragraph" w:styleId="11">
    <w:name w:val="heading 9"/>
    <w:basedOn w:val="1"/>
    <w:next w:val="1"/>
    <w:link w:val="833"/>
    <w:semiHidden/>
    <w:unhideWhenUsed/>
    <w:qFormat/>
    <w:uiPriority w:val="99"/>
    <w:pPr>
      <w:keepNext/>
      <w:keepLines/>
      <w:tabs>
        <w:tab w:val="left" w:pos="1584"/>
      </w:tabs>
      <w:spacing w:before="240" w:after="64" w:line="316" w:lineRule="auto"/>
      <w:ind w:left="1584" w:hanging="1584"/>
      <w:outlineLvl w:val="8"/>
    </w:pPr>
    <w:rPr>
      <w:rFonts w:ascii="Arial" w:hAnsi="Arial" w:eastAsia="黑体"/>
      <w:sz w:val="21"/>
    </w:rPr>
  </w:style>
  <w:style w:type="character" w:default="1" w:styleId="66">
    <w:name w:val="Default Paragraph Font"/>
    <w:semiHidden/>
    <w:unhideWhenUsed/>
    <w:uiPriority w:val="1"/>
  </w:style>
  <w:style w:type="table" w:default="1" w:styleId="59">
    <w:name w:val="Normal Table"/>
    <w:semiHidden/>
    <w:unhideWhenUsed/>
    <w:uiPriority w:val="99"/>
    <w:tblPr>
      <w:tblCellMar>
        <w:top w:w="0" w:type="dxa"/>
        <w:left w:w="108" w:type="dxa"/>
        <w:bottom w:w="0" w:type="dxa"/>
        <w:right w:w="108" w:type="dxa"/>
      </w:tblCellMar>
    </w:tblPr>
  </w:style>
  <w:style w:type="paragraph" w:customStyle="1" w:styleId="2">
    <w:name w:val="Default"/>
    <w:qFormat/>
    <w:uiPriority w:val="99"/>
    <w:pPr>
      <w:widowControl w:val="0"/>
      <w:autoSpaceDE w:val="0"/>
      <w:autoSpaceDN w:val="0"/>
      <w:adjustRightInd w:val="0"/>
    </w:pPr>
    <w:rPr>
      <w:rFonts w:ascii="仿宋_GB2312" w:hAnsi="Times New Roman" w:eastAsia="仿宋_GB2312" w:cs="Times New Roman"/>
      <w:color w:val="000000"/>
      <w:sz w:val="24"/>
      <w:lang w:val="en-US" w:eastAsia="zh-CN" w:bidi="ar-SA"/>
    </w:rPr>
  </w:style>
  <w:style w:type="paragraph" w:styleId="12">
    <w:name w:val="toc 7"/>
    <w:basedOn w:val="1"/>
    <w:next w:val="1"/>
    <w:semiHidden/>
    <w:unhideWhenUsed/>
    <w:qFormat/>
    <w:uiPriority w:val="39"/>
    <w:pPr>
      <w:ind w:left="1440"/>
      <w:jc w:val="left"/>
    </w:pPr>
    <w:rPr>
      <w:rFonts w:ascii="Calibri" w:hAnsi="Calibri" w:cs="Calibri"/>
      <w:sz w:val="18"/>
      <w:szCs w:val="18"/>
    </w:rPr>
  </w:style>
  <w:style w:type="paragraph" w:styleId="13">
    <w:name w:val="table of authorities"/>
    <w:basedOn w:val="1"/>
    <w:next w:val="1"/>
    <w:semiHidden/>
    <w:unhideWhenUsed/>
    <w:qFormat/>
    <w:uiPriority w:val="99"/>
    <w:pPr>
      <w:spacing w:line="529" w:lineRule="exact"/>
      <w:ind w:left="420" w:leftChars="200"/>
    </w:pPr>
    <w:rPr>
      <w:rFonts w:ascii="Times New Roman" w:hAnsi="Times New Roman"/>
      <w:szCs w:val="24"/>
    </w:rPr>
  </w:style>
  <w:style w:type="paragraph" w:styleId="14">
    <w:name w:val="Note Heading"/>
    <w:basedOn w:val="1"/>
    <w:next w:val="1"/>
    <w:link w:val="101"/>
    <w:semiHidden/>
    <w:unhideWhenUsed/>
    <w:qFormat/>
    <w:uiPriority w:val="99"/>
    <w:pPr>
      <w:adjustRightInd w:val="0"/>
      <w:spacing w:line="529" w:lineRule="exact"/>
      <w:ind w:firstLine="200"/>
    </w:pPr>
    <w:rPr>
      <w:rFonts w:eastAsia="汉鼎简书宋"/>
      <w:kern w:val="0"/>
    </w:rPr>
  </w:style>
  <w:style w:type="paragraph" w:styleId="15">
    <w:name w:val="List Number"/>
    <w:basedOn w:val="1"/>
    <w:semiHidden/>
    <w:unhideWhenUsed/>
    <w:qFormat/>
    <w:uiPriority w:val="99"/>
    <w:pPr>
      <w:tabs>
        <w:tab w:val="left" w:pos="1047"/>
      </w:tabs>
      <w:spacing w:line="529" w:lineRule="exact"/>
      <w:ind w:left="877" w:hanging="113"/>
    </w:pPr>
    <w:rPr>
      <w:rFonts w:eastAsia="汉鼎简书宋"/>
    </w:rPr>
  </w:style>
  <w:style w:type="paragraph" w:styleId="16">
    <w:name w:val="Normal Indent"/>
    <w:basedOn w:val="1"/>
    <w:link w:val="85"/>
    <w:unhideWhenUsed/>
    <w:qFormat/>
    <w:uiPriority w:val="99"/>
    <w:pPr>
      <w:adjustRightInd w:val="0"/>
      <w:snapToGrid w:val="0"/>
      <w:spacing w:line="460" w:lineRule="exact"/>
      <w:ind w:firstLine="560" w:firstLineChars="200"/>
    </w:pPr>
    <w:rPr>
      <w:rFonts w:cstheme="minorBidi"/>
      <w:sz w:val="28"/>
      <w:szCs w:val="22"/>
    </w:rPr>
  </w:style>
  <w:style w:type="paragraph" w:styleId="17">
    <w:name w:val="caption"/>
    <w:basedOn w:val="1"/>
    <w:next w:val="1"/>
    <w:semiHidden/>
    <w:unhideWhenUsed/>
    <w:qFormat/>
    <w:uiPriority w:val="99"/>
    <w:rPr>
      <w:rFonts w:ascii="Arial" w:hAnsi="Arial" w:eastAsia="黑体"/>
      <w:sz w:val="20"/>
    </w:rPr>
  </w:style>
  <w:style w:type="paragraph" w:styleId="18">
    <w:name w:val="List Bullet"/>
    <w:basedOn w:val="19"/>
    <w:semiHidden/>
    <w:unhideWhenUsed/>
    <w:qFormat/>
    <w:uiPriority w:val="99"/>
    <w:pPr>
      <w:widowControl/>
      <w:spacing w:line="529" w:lineRule="exact"/>
      <w:ind w:left="1800" w:hanging="360" w:firstLineChars="0"/>
    </w:pPr>
    <w:rPr>
      <w:rFonts w:ascii="Verdana" w:hAnsi="Verdana" w:eastAsia="汉鼎简书宋"/>
      <w:kern w:val="0"/>
    </w:rPr>
  </w:style>
  <w:style w:type="paragraph" w:styleId="19">
    <w:name w:val="List"/>
    <w:basedOn w:val="1"/>
    <w:semiHidden/>
    <w:unhideWhenUsed/>
    <w:qFormat/>
    <w:uiPriority w:val="99"/>
    <w:pPr>
      <w:ind w:left="200" w:hanging="200" w:hangingChars="200"/>
    </w:pPr>
  </w:style>
  <w:style w:type="paragraph" w:styleId="20">
    <w:name w:val="Document Map"/>
    <w:basedOn w:val="1"/>
    <w:link w:val="106"/>
    <w:semiHidden/>
    <w:unhideWhenUsed/>
    <w:qFormat/>
    <w:uiPriority w:val="99"/>
    <w:pPr>
      <w:shd w:val="clear" w:color="auto" w:fill="000080"/>
    </w:pPr>
    <w:rPr>
      <w:rFonts w:ascii="Times New Roman" w:hAnsi="Times New Roman"/>
      <w:sz w:val="21"/>
    </w:rPr>
  </w:style>
  <w:style w:type="paragraph" w:styleId="21">
    <w:name w:val="toa heading"/>
    <w:basedOn w:val="1"/>
    <w:next w:val="1"/>
    <w:semiHidden/>
    <w:unhideWhenUsed/>
    <w:qFormat/>
    <w:uiPriority w:val="99"/>
    <w:pPr>
      <w:spacing w:before="120"/>
    </w:pPr>
    <w:rPr>
      <w:rFonts w:ascii="Arial" w:hAnsi="Arial"/>
    </w:rPr>
  </w:style>
  <w:style w:type="paragraph" w:styleId="22">
    <w:name w:val="annotation text"/>
    <w:basedOn w:val="1"/>
    <w:link w:val="87"/>
    <w:semiHidden/>
    <w:unhideWhenUsed/>
    <w:qFormat/>
    <w:uiPriority w:val="99"/>
    <w:pPr>
      <w:jc w:val="left"/>
    </w:pPr>
  </w:style>
  <w:style w:type="paragraph" w:styleId="23">
    <w:name w:val="index 6"/>
    <w:basedOn w:val="1"/>
    <w:next w:val="1"/>
    <w:semiHidden/>
    <w:unhideWhenUsed/>
    <w:qFormat/>
    <w:uiPriority w:val="99"/>
    <w:pPr>
      <w:ind w:left="1000" w:leftChars="1000"/>
    </w:pPr>
  </w:style>
  <w:style w:type="paragraph" w:styleId="24">
    <w:name w:val="Body Text 3"/>
    <w:basedOn w:val="1"/>
    <w:link w:val="103"/>
    <w:semiHidden/>
    <w:unhideWhenUsed/>
    <w:qFormat/>
    <w:uiPriority w:val="99"/>
    <w:pPr>
      <w:spacing w:after="120"/>
    </w:pPr>
    <w:rPr>
      <w:sz w:val="16"/>
    </w:rPr>
  </w:style>
  <w:style w:type="paragraph" w:styleId="25">
    <w:name w:val="Body Text"/>
    <w:basedOn w:val="1"/>
    <w:link w:val="93"/>
    <w:semiHidden/>
    <w:unhideWhenUsed/>
    <w:qFormat/>
    <w:uiPriority w:val="99"/>
    <w:pPr>
      <w:adjustRightInd w:val="0"/>
      <w:snapToGrid w:val="0"/>
    </w:pPr>
    <w:rPr>
      <w:rFonts w:ascii="仿宋_GB2312" w:hAnsi="Times New Roman" w:eastAsia="仿宋_GB2312"/>
      <w:color w:val="000000"/>
      <w:sz w:val="21"/>
    </w:rPr>
  </w:style>
  <w:style w:type="paragraph" w:styleId="26">
    <w:name w:val="Body Text Indent"/>
    <w:basedOn w:val="1"/>
    <w:link w:val="94"/>
    <w:unhideWhenUsed/>
    <w:qFormat/>
    <w:uiPriority w:val="99"/>
    <w:pPr>
      <w:spacing w:after="120"/>
      <w:ind w:left="420" w:leftChars="200"/>
    </w:pPr>
  </w:style>
  <w:style w:type="paragraph" w:styleId="27">
    <w:name w:val="List 2"/>
    <w:basedOn w:val="1"/>
    <w:semiHidden/>
    <w:unhideWhenUsed/>
    <w:qFormat/>
    <w:uiPriority w:val="99"/>
    <w:pPr>
      <w:widowControl/>
      <w:suppressAutoHyphens/>
      <w:wordWrap w:val="0"/>
      <w:topLinePunct/>
      <w:adjustRightInd w:val="0"/>
      <w:snapToGrid w:val="0"/>
      <w:jc w:val="left"/>
    </w:pPr>
    <w:rPr>
      <w:rFonts w:cs="宋体"/>
      <w:kern w:val="0"/>
      <w:szCs w:val="24"/>
    </w:rPr>
  </w:style>
  <w:style w:type="paragraph" w:styleId="28">
    <w:name w:val="Block Text"/>
    <w:basedOn w:val="1"/>
    <w:semiHidden/>
    <w:unhideWhenUsed/>
    <w:qFormat/>
    <w:uiPriority w:val="99"/>
    <w:pPr>
      <w:tabs>
        <w:tab w:val="left" w:pos="210"/>
        <w:tab w:val="left" w:pos="1050"/>
        <w:tab w:val="left" w:pos="1155"/>
        <w:tab w:val="left" w:pos="1365"/>
      </w:tabs>
      <w:ind w:left="210" w:firstLine="525"/>
    </w:pPr>
    <w:rPr>
      <w:sz w:val="32"/>
    </w:rPr>
  </w:style>
  <w:style w:type="paragraph" w:styleId="29">
    <w:name w:val="List Bullet 2"/>
    <w:basedOn w:val="18"/>
    <w:semiHidden/>
    <w:unhideWhenUsed/>
    <w:qFormat/>
    <w:uiPriority w:val="99"/>
    <w:pPr>
      <w:ind w:left="2160"/>
    </w:pPr>
  </w:style>
  <w:style w:type="paragraph" w:styleId="30">
    <w:name w:val="toc 5"/>
    <w:basedOn w:val="1"/>
    <w:next w:val="1"/>
    <w:semiHidden/>
    <w:unhideWhenUsed/>
    <w:qFormat/>
    <w:uiPriority w:val="39"/>
    <w:pPr>
      <w:ind w:left="960"/>
      <w:jc w:val="left"/>
    </w:pPr>
    <w:rPr>
      <w:rFonts w:ascii="Calibri" w:hAnsi="Calibri" w:cs="Calibri"/>
      <w:sz w:val="18"/>
      <w:szCs w:val="18"/>
    </w:rPr>
  </w:style>
  <w:style w:type="paragraph" w:styleId="31">
    <w:name w:val="toc 3"/>
    <w:basedOn w:val="1"/>
    <w:next w:val="1"/>
    <w:semiHidden/>
    <w:unhideWhenUsed/>
    <w:qFormat/>
    <w:uiPriority w:val="39"/>
    <w:pPr>
      <w:ind w:left="480"/>
      <w:jc w:val="left"/>
    </w:pPr>
    <w:rPr>
      <w:rFonts w:ascii="Calibri" w:hAnsi="Calibri" w:cs="Calibri"/>
      <w:i/>
      <w:iCs/>
      <w:sz w:val="20"/>
    </w:rPr>
  </w:style>
  <w:style w:type="paragraph" w:styleId="32">
    <w:name w:val="Plain Text"/>
    <w:basedOn w:val="1"/>
    <w:link w:val="108"/>
    <w:unhideWhenUsed/>
    <w:qFormat/>
    <w:uiPriority w:val="0"/>
    <w:pPr>
      <w:spacing w:line="360" w:lineRule="auto"/>
      <w:ind w:firstLine="200" w:firstLineChars="200"/>
    </w:pPr>
  </w:style>
  <w:style w:type="paragraph" w:styleId="33">
    <w:name w:val="List Bullet 5"/>
    <w:basedOn w:val="1"/>
    <w:semiHidden/>
    <w:unhideWhenUsed/>
    <w:qFormat/>
    <w:uiPriority w:val="99"/>
    <w:pPr>
      <w:tabs>
        <w:tab w:val="left" w:pos="2040"/>
      </w:tabs>
      <w:ind w:left="2040" w:leftChars="800" w:hanging="360" w:hangingChars="200"/>
    </w:pPr>
  </w:style>
  <w:style w:type="paragraph" w:styleId="34">
    <w:name w:val="toc 8"/>
    <w:basedOn w:val="1"/>
    <w:next w:val="1"/>
    <w:semiHidden/>
    <w:unhideWhenUsed/>
    <w:qFormat/>
    <w:uiPriority w:val="39"/>
    <w:pPr>
      <w:ind w:left="1680"/>
      <w:jc w:val="left"/>
    </w:pPr>
    <w:rPr>
      <w:rFonts w:ascii="Calibri" w:hAnsi="Calibri" w:cs="Calibri"/>
      <w:sz w:val="18"/>
      <w:szCs w:val="18"/>
    </w:rPr>
  </w:style>
  <w:style w:type="paragraph" w:styleId="35">
    <w:name w:val="Date"/>
    <w:basedOn w:val="1"/>
    <w:next w:val="1"/>
    <w:link w:val="96"/>
    <w:semiHidden/>
    <w:unhideWhenUsed/>
    <w:qFormat/>
    <w:uiPriority w:val="99"/>
    <w:pPr>
      <w:ind w:left="100" w:leftChars="2500"/>
    </w:pPr>
    <w:rPr>
      <w:rFonts w:ascii="Times New Roman" w:hAnsi="Times New Roman"/>
      <w:sz w:val="21"/>
    </w:rPr>
  </w:style>
  <w:style w:type="paragraph" w:styleId="36">
    <w:name w:val="Body Text Indent 2"/>
    <w:basedOn w:val="1"/>
    <w:link w:val="104"/>
    <w:semiHidden/>
    <w:unhideWhenUsed/>
    <w:qFormat/>
    <w:uiPriority w:val="99"/>
    <w:pPr>
      <w:spacing w:after="120" w:line="480" w:lineRule="auto"/>
      <w:ind w:left="420" w:leftChars="200"/>
    </w:pPr>
    <w:rPr>
      <w:rFonts w:ascii="Times New Roman" w:hAnsi="Times New Roman"/>
      <w:sz w:val="21"/>
    </w:rPr>
  </w:style>
  <w:style w:type="paragraph" w:styleId="37">
    <w:name w:val="endnote text"/>
    <w:basedOn w:val="1"/>
    <w:link w:val="91"/>
    <w:semiHidden/>
    <w:unhideWhenUsed/>
    <w:qFormat/>
    <w:uiPriority w:val="99"/>
    <w:pPr>
      <w:snapToGrid w:val="0"/>
      <w:jc w:val="left"/>
    </w:pPr>
    <w:rPr>
      <w:rFonts w:ascii="Times New Roman" w:hAnsi="Times New Roman"/>
      <w:sz w:val="21"/>
      <w:szCs w:val="24"/>
    </w:rPr>
  </w:style>
  <w:style w:type="paragraph" w:styleId="38">
    <w:name w:val="Balloon Text"/>
    <w:basedOn w:val="1"/>
    <w:link w:val="110"/>
    <w:semiHidden/>
    <w:unhideWhenUsed/>
    <w:qFormat/>
    <w:uiPriority w:val="99"/>
    <w:rPr>
      <w:sz w:val="18"/>
    </w:rPr>
  </w:style>
  <w:style w:type="paragraph" w:styleId="39">
    <w:name w:val="footer"/>
    <w:basedOn w:val="1"/>
    <w:link w:val="90"/>
    <w:unhideWhenUsed/>
    <w:qFormat/>
    <w:uiPriority w:val="99"/>
    <w:pPr>
      <w:tabs>
        <w:tab w:val="center" w:pos="4153"/>
        <w:tab w:val="right" w:pos="8306"/>
      </w:tabs>
      <w:snapToGrid w:val="0"/>
    </w:pPr>
    <w:rPr>
      <w:rFonts w:ascii="Times New Roman" w:hAnsi="Times New Roman"/>
      <w:sz w:val="18"/>
    </w:rPr>
  </w:style>
  <w:style w:type="paragraph" w:styleId="40">
    <w:name w:val="envelope return"/>
    <w:basedOn w:val="1"/>
    <w:semiHidden/>
    <w:unhideWhenUsed/>
    <w:qFormat/>
    <w:uiPriority w:val="99"/>
    <w:pPr>
      <w:snapToGrid w:val="0"/>
      <w:spacing w:line="529" w:lineRule="exact"/>
      <w:ind w:firstLine="482"/>
    </w:pPr>
    <w:rPr>
      <w:rFonts w:ascii="Arial" w:hAnsi="Arial"/>
    </w:rPr>
  </w:style>
  <w:style w:type="paragraph" w:styleId="41">
    <w:name w:val="header"/>
    <w:basedOn w:val="1"/>
    <w:link w:val="88"/>
    <w:unhideWhenUsed/>
    <w:qFormat/>
    <w:uiPriority w:val="99"/>
    <w:pPr>
      <w:pBdr>
        <w:bottom w:val="single" w:color="auto" w:sz="6" w:space="1"/>
      </w:pBdr>
      <w:tabs>
        <w:tab w:val="center" w:pos="4153"/>
        <w:tab w:val="right" w:pos="8306"/>
      </w:tabs>
      <w:snapToGrid w:val="0"/>
    </w:pPr>
    <w:rPr>
      <w:rFonts w:asciiTheme="minorHAnsi" w:hAnsiTheme="minorHAnsi" w:eastAsiaTheme="minorEastAsia" w:cstheme="minorBidi"/>
      <w:sz w:val="18"/>
      <w:szCs w:val="22"/>
    </w:rPr>
  </w:style>
  <w:style w:type="paragraph" w:styleId="42">
    <w:name w:val="toc 1"/>
    <w:basedOn w:val="1"/>
    <w:next w:val="1"/>
    <w:semiHidden/>
    <w:unhideWhenUsed/>
    <w:qFormat/>
    <w:uiPriority w:val="39"/>
    <w:pPr>
      <w:spacing w:before="120" w:after="120"/>
      <w:jc w:val="left"/>
    </w:pPr>
    <w:rPr>
      <w:rFonts w:ascii="Calibri" w:hAnsi="Calibri" w:cs="Calibri"/>
      <w:b/>
      <w:bCs/>
      <w:caps/>
      <w:sz w:val="20"/>
    </w:rPr>
  </w:style>
  <w:style w:type="paragraph" w:styleId="43">
    <w:name w:val="toc 4"/>
    <w:basedOn w:val="1"/>
    <w:next w:val="1"/>
    <w:semiHidden/>
    <w:unhideWhenUsed/>
    <w:qFormat/>
    <w:uiPriority w:val="39"/>
    <w:pPr>
      <w:ind w:left="720"/>
      <w:jc w:val="left"/>
    </w:pPr>
    <w:rPr>
      <w:rFonts w:ascii="Calibri" w:hAnsi="Calibri" w:cs="Calibri"/>
      <w:sz w:val="18"/>
      <w:szCs w:val="18"/>
    </w:rPr>
  </w:style>
  <w:style w:type="paragraph" w:styleId="44">
    <w:name w:val="index heading"/>
    <w:basedOn w:val="1"/>
    <w:next w:val="45"/>
    <w:semiHidden/>
    <w:unhideWhenUsed/>
    <w:qFormat/>
    <w:uiPriority w:val="99"/>
    <w:rPr>
      <w:rFonts w:ascii="Times New Roman" w:hAnsi="Times New Roman"/>
      <w:sz w:val="21"/>
    </w:rPr>
  </w:style>
  <w:style w:type="paragraph" w:styleId="45">
    <w:name w:val="index 1"/>
    <w:basedOn w:val="1"/>
    <w:next w:val="1"/>
    <w:semiHidden/>
    <w:unhideWhenUsed/>
    <w:qFormat/>
    <w:uiPriority w:val="99"/>
    <w:pPr>
      <w:spacing w:line="529" w:lineRule="exact"/>
      <w:ind w:firstLine="420"/>
    </w:pPr>
    <w:rPr>
      <w:rFonts w:eastAsia="汉鼎简书宋"/>
    </w:rPr>
  </w:style>
  <w:style w:type="paragraph" w:styleId="46">
    <w:name w:val="Subtitle"/>
    <w:basedOn w:val="1"/>
    <w:next w:val="1"/>
    <w:link w:val="95"/>
    <w:qFormat/>
    <w:uiPriority w:val="99"/>
    <w:pPr>
      <w:topLinePunct/>
      <w:spacing w:line="529" w:lineRule="exact"/>
      <w:ind w:firstLine="200" w:firstLineChars="200"/>
    </w:pPr>
    <w:rPr>
      <w:rFonts w:ascii="Arial" w:hAnsi="Arial" w:eastAsia="黑体"/>
      <w:b/>
      <w:kern w:val="0"/>
      <w:sz w:val="28"/>
    </w:rPr>
  </w:style>
  <w:style w:type="paragraph" w:styleId="47">
    <w:name w:val="footnote text"/>
    <w:basedOn w:val="1"/>
    <w:link w:val="86"/>
    <w:semiHidden/>
    <w:unhideWhenUsed/>
    <w:qFormat/>
    <w:uiPriority w:val="99"/>
    <w:pPr>
      <w:snapToGrid w:val="0"/>
    </w:pPr>
    <w:rPr>
      <w:sz w:val="18"/>
    </w:rPr>
  </w:style>
  <w:style w:type="paragraph" w:styleId="48">
    <w:name w:val="toc 6"/>
    <w:basedOn w:val="1"/>
    <w:next w:val="1"/>
    <w:semiHidden/>
    <w:unhideWhenUsed/>
    <w:qFormat/>
    <w:uiPriority w:val="39"/>
    <w:pPr>
      <w:ind w:left="1200"/>
      <w:jc w:val="left"/>
    </w:pPr>
    <w:rPr>
      <w:rFonts w:ascii="Calibri" w:hAnsi="Calibri" w:cs="Calibri"/>
      <w:sz w:val="18"/>
      <w:szCs w:val="18"/>
    </w:rPr>
  </w:style>
  <w:style w:type="paragraph" w:styleId="49">
    <w:name w:val="Body Text Indent 3"/>
    <w:basedOn w:val="1"/>
    <w:link w:val="105"/>
    <w:semiHidden/>
    <w:unhideWhenUsed/>
    <w:qFormat/>
    <w:uiPriority w:val="99"/>
    <w:pPr>
      <w:spacing w:after="120"/>
      <w:ind w:left="420" w:leftChars="200"/>
    </w:pPr>
    <w:rPr>
      <w:rFonts w:ascii="Times New Roman" w:hAnsi="Times New Roman"/>
      <w:sz w:val="16"/>
    </w:rPr>
  </w:style>
  <w:style w:type="paragraph" w:styleId="50">
    <w:name w:val="table of figures"/>
    <w:basedOn w:val="1"/>
    <w:next w:val="1"/>
    <w:semiHidden/>
    <w:unhideWhenUsed/>
    <w:qFormat/>
    <w:uiPriority w:val="99"/>
    <w:pPr>
      <w:adjustRightInd w:val="0"/>
      <w:spacing w:line="529" w:lineRule="exact"/>
      <w:ind w:left="200" w:leftChars="200" w:hanging="200" w:hangingChars="200"/>
    </w:pPr>
    <w:rPr>
      <w:rFonts w:eastAsia="汉鼎简书宋"/>
      <w:kern w:val="0"/>
    </w:rPr>
  </w:style>
  <w:style w:type="paragraph" w:styleId="51">
    <w:name w:val="toc 2"/>
    <w:basedOn w:val="1"/>
    <w:next w:val="1"/>
    <w:semiHidden/>
    <w:unhideWhenUsed/>
    <w:qFormat/>
    <w:uiPriority w:val="39"/>
    <w:pPr>
      <w:ind w:left="240"/>
      <w:jc w:val="left"/>
    </w:pPr>
    <w:rPr>
      <w:rFonts w:ascii="Calibri" w:hAnsi="Calibri" w:cs="Calibri"/>
      <w:smallCaps/>
      <w:sz w:val="20"/>
    </w:rPr>
  </w:style>
  <w:style w:type="paragraph" w:styleId="52">
    <w:name w:val="toc 9"/>
    <w:basedOn w:val="1"/>
    <w:next w:val="1"/>
    <w:semiHidden/>
    <w:unhideWhenUsed/>
    <w:qFormat/>
    <w:uiPriority w:val="39"/>
    <w:pPr>
      <w:ind w:left="1920"/>
      <w:jc w:val="left"/>
    </w:pPr>
    <w:rPr>
      <w:rFonts w:ascii="Calibri" w:hAnsi="Calibri" w:cs="Calibri"/>
      <w:sz w:val="18"/>
      <w:szCs w:val="18"/>
    </w:rPr>
  </w:style>
  <w:style w:type="paragraph" w:styleId="53">
    <w:name w:val="Body Text 2"/>
    <w:basedOn w:val="1"/>
    <w:link w:val="102"/>
    <w:semiHidden/>
    <w:unhideWhenUsed/>
    <w:qFormat/>
    <w:uiPriority w:val="99"/>
    <w:pPr>
      <w:spacing w:after="120" w:line="480" w:lineRule="auto"/>
    </w:pPr>
  </w:style>
  <w:style w:type="paragraph" w:styleId="54">
    <w:name w:val="Normal (Web)"/>
    <w:basedOn w:val="1"/>
    <w:semiHidden/>
    <w:unhideWhenUsed/>
    <w:qFormat/>
    <w:uiPriority w:val="99"/>
    <w:pPr>
      <w:widowControl/>
      <w:spacing w:before="100" w:beforeAutospacing="1" w:after="100" w:afterAutospacing="1"/>
    </w:pPr>
    <w:rPr>
      <w:color w:val="000000"/>
      <w:kern w:val="0"/>
    </w:rPr>
  </w:style>
  <w:style w:type="paragraph" w:styleId="55">
    <w:name w:val="Title"/>
    <w:basedOn w:val="1"/>
    <w:link w:val="92"/>
    <w:qFormat/>
    <w:uiPriority w:val="99"/>
    <w:pPr>
      <w:spacing w:before="240" w:after="60" w:line="500" w:lineRule="exact"/>
      <w:ind w:firstLine="200" w:firstLineChars="200"/>
      <w:outlineLvl w:val="0"/>
    </w:pPr>
    <w:rPr>
      <w:rFonts w:ascii="Arial" w:hAnsi="Arial" w:eastAsia="汉鼎简书宋"/>
      <w:b/>
      <w:sz w:val="32"/>
    </w:rPr>
  </w:style>
  <w:style w:type="paragraph" w:styleId="56">
    <w:name w:val="annotation subject"/>
    <w:basedOn w:val="22"/>
    <w:next w:val="22"/>
    <w:link w:val="109"/>
    <w:semiHidden/>
    <w:unhideWhenUsed/>
    <w:qFormat/>
    <w:uiPriority w:val="99"/>
    <w:pPr>
      <w:spacing w:line="529" w:lineRule="exact"/>
      <w:ind w:firstLine="200" w:firstLineChars="200"/>
      <w:jc w:val="both"/>
    </w:pPr>
    <w:rPr>
      <w:b/>
    </w:rPr>
  </w:style>
  <w:style w:type="paragraph" w:styleId="57">
    <w:name w:val="Body Text First Indent"/>
    <w:basedOn w:val="25"/>
    <w:link w:val="97"/>
    <w:semiHidden/>
    <w:unhideWhenUsed/>
    <w:qFormat/>
    <w:uiPriority w:val="0"/>
    <w:pPr>
      <w:adjustRightInd/>
      <w:snapToGrid/>
      <w:spacing w:after="120"/>
      <w:ind w:firstLine="420" w:firstLineChars="100"/>
    </w:pPr>
  </w:style>
  <w:style w:type="paragraph" w:styleId="58">
    <w:name w:val="Body Text First Indent 2"/>
    <w:basedOn w:val="26"/>
    <w:link w:val="99"/>
    <w:semiHidden/>
    <w:unhideWhenUsed/>
    <w:qFormat/>
    <w:uiPriority w:val="0"/>
    <w:pPr>
      <w:spacing w:line="529" w:lineRule="exact"/>
      <w:ind w:firstLine="482" w:firstLineChars="200"/>
    </w:pPr>
    <w:rPr>
      <w:rFonts w:asciiTheme="minorHAnsi" w:hAnsiTheme="minorHAnsi" w:eastAsiaTheme="minorEastAsia" w:cstheme="minorBidi"/>
      <w:szCs w:val="22"/>
    </w:rPr>
  </w:style>
  <w:style w:type="table" w:styleId="60">
    <w:name w:val="Table Grid"/>
    <w:basedOn w:val="5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1">
    <w:name w:val="Table Theme"/>
    <w:basedOn w:val="59"/>
    <w:unhideWhenUsed/>
    <w:qFormat/>
    <w:uiPriority w:val="0"/>
    <w:pPr>
      <w:widowControl w:val="0"/>
      <w:spacing w:line="529"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2">
    <w:name w:val="Table Classic 1"/>
    <w:basedOn w:val="59"/>
    <w:semiHidden/>
    <w:unhideWhenUsed/>
    <w:qFormat/>
    <w:uiPriority w:val="0"/>
    <w:pPr>
      <w:widowControl w:val="0"/>
      <w:jc w:val="both"/>
    </w:pPr>
    <w:tblPr>
      <w:tblBorders>
        <w:top w:val="single" w:color="000000" w:sz="12" w:space="0"/>
        <w:bottom w:val="single" w:color="000000" w:sz="12" w:space="0"/>
      </w:tblBorders>
    </w:tbl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63">
    <w:name w:val="Table Simple 1"/>
    <w:basedOn w:val="59"/>
    <w:semiHidden/>
    <w:unhideWhenUsed/>
    <w:qFormat/>
    <w:uiPriority w:val="0"/>
    <w:pPr>
      <w:widowControl w:val="0"/>
      <w:jc w:val="both"/>
    </w:pPr>
    <w:tblPr>
      <w:tblBorders>
        <w:top w:val="single" w:color="008000" w:sz="12" w:space="0"/>
        <w:bottom w:val="single" w:color="008000" w:sz="12" w:space="0"/>
      </w:tblBorders>
    </w:tbl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64">
    <w:name w:val="Table Subtle 1"/>
    <w:basedOn w:val="59"/>
    <w:semiHidden/>
    <w:unhideWhenUsed/>
    <w:qFormat/>
    <w:uiPriority w:val="0"/>
    <w:pPr>
      <w:widowControl w:val="0"/>
      <w:topLinePunct/>
      <w:spacing w:line="529" w:lineRule="exact"/>
      <w:ind w:firstLine="480" w:firstLineChars="20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65">
    <w:name w:val="Table Grid 1"/>
    <w:basedOn w:val="59"/>
    <w:semiHidden/>
    <w:unhideWhenUsed/>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67">
    <w:name w:val="Strong"/>
    <w:qFormat/>
    <w:uiPriority w:val="0"/>
    <w:rPr>
      <w:b/>
    </w:rPr>
  </w:style>
  <w:style w:type="character" w:styleId="68">
    <w:name w:val="endnote reference"/>
    <w:semiHidden/>
    <w:unhideWhenUsed/>
    <w:qFormat/>
    <w:uiPriority w:val="0"/>
    <w:rPr>
      <w:vertAlign w:val="superscript"/>
    </w:rPr>
  </w:style>
  <w:style w:type="character" w:styleId="69">
    <w:name w:val="page number"/>
    <w:basedOn w:val="66"/>
    <w:qFormat/>
    <w:uiPriority w:val="0"/>
  </w:style>
  <w:style w:type="character" w:styleId="70">
    <w:name w:val="FollowedHyperlink"/>
    <w:semiHidden/>
    <w:unhideWhenUsed/>
    <w:qFormat/>
    <w:uiPriority w:val="99"/>
    <w:rPr>
      <w:color w:val="800080"/>
      <w:u w:val="single"/>
    </w:rPr>
  </w:style>
  <w:style w:type="character" w:styleId="71">
    <w:name w:val="Emphasis"/>
    <w:qFormat/>
    <w:uiPriority w:val="0"/>
    <w:rPr>
      <w:i/>
    </w:rPr>
  </w:style>
  <w:style w:type="character" w:styleId="72">
    <w:name w:val="HTML Typewriter"/>
    <w:semiHidden/>
    <w:unhideWhenUsed/>
    <w:qFormat/>
    <w:uiPriority w:val="0"/>
    <w:rPr>
      <w:rFonts w:hint="eastAsia" w:ascii="宋体" w:hAnsi="宋体" w:eastAsia="宋体" w:cs="宋体"/>
      <w:sz w:val="24"/>
      <w:szCs w:val="24"/>
    </w:rPr>
  </w:style>
  <w:style w:type="character" w:styleId="73">
    <w:name w:val="Hyperlink"/>
    <w:semiHidden/>
    <w:unhideWhenUsed/>
    <w:qFormat/>
    <w:uiPriority w:val="99"/>
    <w:rPr>
      <w:color w:val="0000FF"/>
      <w:u w:val="single"/>
    </w:rPr>
  </w:style>
  <w:style w:type="character" w:styleId="74">
    <w:name w:val="annotation reference"/>
    <w:semiHidden/>
    <w:unhideWhenUsed/>
    <w:qFormat/>
    <w:uiPriority w:val="0"/>
    <w:rPr>
      <w:sz w:val="21"/>
    </w:rPr>
  </w:style>
  <w:style w:type="character" w:customStyle="1" w:styleId="75">
    <w:name w:val="标题 1 字符"/>
    <w:basedOn w:val="66"/>
    <w:qFormat/>
    <w:uiPriority w:val="9"/>
    <w:rPr>
      <w:rFonts w:ascii="宋体" w:hAnsi="宋体" w:eastAsia="宋体" w:cs="Times New Roman"/>
      <w:b/>
      <w:bCs/>
      <w:kern w:val="44"/>
      <w:sz w:val="44"/>
      <w:szCs w:val="44"/>
    </w:rPr>
  </w:style>
  <w:style w:type="character" w:customStyle="1" w:styleId="76">
    <w:name w:val="标题 2 字符"/>
    <w:basedOn w:val="66"/>
    <w:semiHidden/>
    <w:qFormat/>
    <w:uiPriority w:val="9"/>
    <w:rPr>
      <w:rFonts w:asciiTheme="majorHAnsi" w:hAnsiTheme="majorHAnsi" w:eastAsiaTheme="majorEastAsia" w:cstheme="majorBidi"/>
      <w:b/>
      <w:bCs/>
      <w:sz w:val="32"/>
      <w:szCs w:val="32"/>
    </w:rPr>
  </w:style>
  <w:style w:type="character" w:customStyle="1" w:styleId="77">
    <w:name w:val="标题 3 字符"/>
    <w:basedOn w:val="66"/>
    <w:semiHidden/>
    <w:qFormat/>
    <w:uiPriority w:val="0"/>
    <w:rPr>
      <w:rFonts w:ascii="宋体" w:hAnsi="宋体" w:eastAsia="宋体" w:cs="Times New Roman"/>
      <w:b/>
      <w:bCs/>
      <w:sz w:val="32"/>
      <w:szCs w:val="32"/>
    </w:rPr>
  </w:style>
  <w:style w:type="character" w:customStyle="1" w:styleId="78">
    <w:name w:val="标题 4 字符"/>
    <w:basedOn w:val="66"/>
    <w:semiHidden/>
    <w:qFormat/>
    <w:uiPriority w:val="9"/>
    <w:rPr>
      <w:rFonts w:asciiTheme="majorHAnsi" w:hAnsiTheme="majorHAnsi" w:eastAsiaTheme="majorEastAsia" w:cstheme="majorBidi"/>
      <w:b/>
      <w:bCs/>
      <w:sz w:val="28"/>
      <w:szCs w:val="28"/>
    </w:rPr>
  </w:style>
  <w:style w:type="character" w:customStyle="1" w:styleId="79">
    <w:name w:val="标题 5 字符"/>
    <w:basedOn w:val="66"/>
    <w:semiHidden/>
    <w:qFormat/>
    <w:uiPriority w:val="9"/>
    <w:rPr>
      <w:rFonts w:ascii="宋体" w:hAnsi="宋体" w:eastAsia="宋体" w:cs="Times New Roman"/>
      <w:b/>
      <w:bCs/>
      <w:sz w:val="28"/>
      <w:szCs w:val="28"/>
    </w:rPr>
  </w:style>
  <w:style w:type="character" w:customStyle="1" w:styleId="80">
    <w:name w:val="标题 6 字符"/>
    <w:basedOn w:val="66"/>
    <w:semiHidden/>
    <w:qFormat/>
    <w:uiPriority w:val="9"/>
    <w:rPr>
      <w:rFonts w:asciiTheme="majorHAnsi" w:hAnsiTheme="majorHAnsi" w:eastAsiaTheme="majorEastAsia" w:cstheme="majorBidi"/>
      <w:b/>
      <w:bCs/>
      <w:sz w:val="24"/>
      <w:szCs w:val="24"/>
    </w:rPr>
  </w:style>
  <w:style w:type="character" w:customStyle="1" w:styleId="81">
    <w:name w:val="标题 7 字符"/>
    <w:basedOn w:val="66"/>
    <w:semiHidden/>
    <w:qFormat/>
    <w:uiPriority w:val="9"/>
    <w:rPr>
      <w:rFonts w:ascii="宋体" w:hAnsi="宋体" w:eastAsia="宋体" w:cs="Times New Roman"/>
      <w:b/>
      <w:bCs/>
      <w:sz w:val="24"/>
      <w:szCs w:val="24"/>
    </w:rPr>
  </w:style>
  <w:style w:type="character" w:customStyle="1" w:styleId="82">
    <w:name w:val="标题 8 字符"/>
    <w:basedOn w:val="66"/>
    <w:semiHidden/>
    <w:qFormat/>
    <w:uiPriority w:val="9"/>
    <w:rPr>
      <w:rFonts w:asciiTheme="majorHAnsi" w:hAnsiTheme="majorHAnsi" w:eastAsiaTheme="majorEastAsia" w:cstheme="majorBidi"/>
      <w:sz w:val="24"/>
      <w:szCs w:val="24"/>
    </w:rPr>
  </w:style>
  <w:style w:type="character" w:customStyle="1" w:styleId="83">
    <w:name w:val="标题 9 字符"/>
    <w:basedOn w:val="66"/>
    <w:semiHidden/>
    <w:qFormat/>
    <w:uiPriority w:val="9"/>
    <w:rPr>
      <w:rFonts w:asciiTheme="majorHAnsi" w:hAnsiTheme="majorHAnsi" w:eastAsiaTheme="majorEastAsia" w:cstheme="majorBidi"/>
      <w:szCs w:val="21"/>
    </w:rPr>
  </w:style>
  <w:style w:type="paragraph" w:customStyle="1" w:styleId="84">
    <w:name w:val="msonormal"/>
    <w:basedOn w:val="1"/>
    <w:qFormat/>
    <w:uiPriority w:val="0"/>
    <w:pPr>
      <w:widowControl/>
      <w:spacing w:before="100" w:beforeAutospacing="1" w:after="100" w:afterAutospacing="1"/>
    </w:pPr>
    <w:rPr>
      <w:color w:val="000000"/>
      <w:kern w:val="0"/>
    </w:rPr>
  </w:style>
  <w:style w:type="character" w:customStyle="1" w:styleId="85">
    <w:name w:val="正文缩进 字符"/>
    <w:link w:val="16"/>
    <w:semiHidden/>
    <w:qFormat/>
    <w:locked/>
    <w:uiPriority w:val="0"/>
    <w:rPr>
      <w:rFonts w:ascii="宋体" w:hAnsi="宋体" w:eastAsia="宋体"/>
      <w:sz w:val="28"/>
    </w:rPr>
  </w:style>
  <w:style w:type="character" w:customStyle="1" w:styleId="86">
    <w:name w:val="脚注文本 字符"/>
    <w:basedOn w:val="66"/>
    <w:link w:val="47"/>
    <w:semiHidden/>
    <w:qFormat/>
    <w:uiPriority w:val="99"/>
    <w:rPr>
      <w:rFonts w:ascii="宋体" w:hAnsi="宋体" w:eastAsia="宋体" w:cs="Times New Roman"/>
      <w:sz w:val="18"/>
      <w:szCs w:val="20"/>
    </w:rPr>
  </w:style>
  <w:style w:type="character" w:customStyle="1" w:styleId="87">
    <w:name w:val="批注文字 字符"/>
    <w:basedOn w:val="66"/>
    <w:link w:val="22"/>
    <w:semiHidden/>
    <w:qFormat/>
    <w:uiPriority w:val="99"/>
    <w:rPr>
      <w:rFonts w:ascii="宋体" w:hAnsi="宋体" w:eastAsia="宋体" w:cs="Times New Roman"/>
      <w:sz w:val="24"/>
      <w:szCs w:val="20"/>
    </w:rPr>
  </w:style>
  <w:style w:type="character" w:customStyle="1" w:styleId="88">
    <w:name w:val="页眉 字符1"/>
    <w:link w:val="41"/>
    <w:qFormat/>
    <w:locked/>
    <w:uiPriority w:val="99"/>
    <w:rPr>
      <w:sz w:val="18"/>
    </w:rPr>
  </w:style>
  <w:style w:type="character" w:customStyle="1" w:styleId="89">
    <w:name w:val="页眉 字符"/>
    <w:basedOn w:val="66"/>
    <w:semiHidden/>
    <w:qFormat/>
    <w:uiPriority w:val="99"/>
    <w:rPr>
      <w:rFonts w:ascii="宋体" w:hAnsi="宋体" w:eastAsia="宋体" w:cs="Times New Roman"/>
      <w:sz w:val="18"/>
      <w:szCs w:val="18"/>
    </w:rPr>
  </w:style>
  <w:style w:type="character" w:customStyle="1" w:styleId="90">
    <w:name w:val="页脚 字符"/>
    <w:basedOn w:val="66"/>
    <w:link w:val="39"/>
    <w:qFormat/>
    <w:uiPriority w:val="99"/>
    <w:rPr>
      <w:rFonts w:ascii="Times New Roman" w:hAnsi="Times New Roman" w:eastAsia="宋体" w:cs="Times New Roman"/>
      <w:sz w:val="18"/>
      <w:szCs w:val="20"/>
    </w:rPr>
  </w:style>
  <w:style w:type="character" w:customStyle="1" w:styleId="91">
    <w:name w:val="尾注文本 字符"/>
    <w:basedOn w:val="66"/>
    <w:link w:val="37"/>
    <w:semiHidden/>
    <w:qFormat/>
    <w:uiPriority w:val="99"/>
    <w:rPr>
      <w:rFonts w:ascii="Times New Roman" w:hAnsi="Times New Roman" w:eastAsia="宋体" w:cs="Times New Roman"/>
      <w:szCs w:val="24"/>
    </w:rPr>
  </w:style>
  <w:style w:type="character" w:customStyle="1" w:styleId="92">
    <w:name w:val="标题 字符"/>
    <w:basedOn w:val="66"/>
    <w:link w:val="55"/>
    <w:qFormat/>
    <w:uiPriority w:val="99"/>
    <w:rPr>
      <w:rFonts w:ascii="Arial" w:hAnsi="Arial" w:eastAsia="汉鼎简书宋" w:cs="Times New Roman"/>
      <w:b/>
      <w:sz w:val="32"/>
      <w:szCs w:val="20"/>
    </w:rPr>
  </w:style>
  <w:style w:type="character" w:customStyle="1" w:styleId="93">
    <w:name w:val="正文文本 字符"/>
    <w:basedOn w:val="66"/>
    <w:link w:val="25"/>
    <w:semiHidden/>
    <w:qFormat/>
    <w:uiPriority w:val="99"/>
    <w:rPr>
      <w:rFonts w:ascii="仿宋_GB2312" w:hAnsi="Times New Roman" w:eastAsia="仿宋_GB2312" w:cs="Times New Roman"/>
      <w:color w:val="000000"/>
      <w:szCs w:val="20"/>
    </w:rPr>
  </w:style>
  <w:style w:type="character" w:customStyle="1" w:styleId="94">
    <w:name w:val="正文文本缩进 字符"/>
    <w:basedOn w:val="66"/>
    <w:link w:val="26"/>
    <w:qFormat/>
    <w:uiPriority w:val="99"/>
    <w:rPr>
      <w:rFonts w:ascii="宋体" w:hAnsi="宋体" w:eastAsia="宋体" w:cs="Times New Roman"/>
      <w:sz w:val="24"/>
      <w:szCs w:val="20"/>
    </w:rPr>
  </w:style>
  <w:style w:type="character" w:customStyle="1" w:styleId="95">
    <w:name w:val="副标题 字符"/>
    <w:basedOn w:val="66"/>
    <w:link w:val="46"/>
    <w:qFormat/>
    <w:uiPriority w:val="99"/>
    <w:rPr>
      <w:rFonts w:ascii="Arial" w:hAnsi="Arial" w:eastAsia="黑体" w:cs="Times New Roman"/>
      <w:b/>
      <w:kern w:val="0"/>
      <w:sz w:val="28"/>
      <w:szCs w:val="20"/>
    </w:rPr>
  </w:style>
  <w:style w:type="character" w:customStyle="1" w:styleId="96">
    <w:name w:val="日期 字符"/>
    <w:basedOn w:val="66"/>
    <w:link w:val="35"/>
    <w:semiHidden/>
    <w:qFormat/>
    <w:uiPriority w:val="99"/>
    <w:rPr>
      <w:rFonts w:ascii="Times New Roman" w:hAnsi="Times New Roman" w:eastAsia="宋体" w:cs="Times New Roman"/>
      <w:szCs w:val="20"/>
    </w:rPr>
  </w:style>
  <w:style w:type="character" w:customStyle="1" w:styleId="97">
    <w:name w:val="正文文本首行缩进 字符"/>
    <w:basedOn w:val="93"/>
    <w:link w:val="57"/>
    <w:semiHidden/>
    <w:qFormat/>
    <w:locked/>
    <w:uiPriority w:val="0"/>
    <w:rPr>
      <w:rFonts w:ascii="仿宋_GB2312" w:hAnsi="Times New Roman" w:eastAsia="仿宋_GB2312" w:cs="Times New Roman"/>
      <w:color w:val="000000"/>
      <w:szCs w:val="20"/>
    </w:rPr>
  </w:style>
  <w:style w:type="character" w:customStyle="1" w:styleId="98">
    <w:name w:val="正文文本首行缩进 字符1"/>
    <w:basedOn w:val="93"/>
    <w:semiHidden/>
    <w:qFormat/>
    <w:uiPriority w:val="0"/>
    <w:rPr>
      <w:rFonts w:ascii="仿宋_GB2312" w:hAnsi="Times New Roman" w:eastAsia="仿宋_GB2312" w:cs="Times New Roman"/>
      <w:color w:val="000000"/>
      <w:szCs w:val="20"/>
    </w:rPr>
  </w:style>
  <w:style w:type="character" w:customStyle="1" w:styleId="99">
    <w:name w:val="正文文本首行缩进 2 字符1"/>
    <w:link w:val="58"/>
    <w:semiHidden/>
    <w:qFormat/>
    <w:locked/>
    <w:uiPriority w:val="0"/>
    <w:rPr>
      <w:sz w:val="24"/>
    </w:rPr>
  </w:style>
  <w:style w:type="character" w:customStyle="1" w:styleId="100">
    <w:name w:val="正文文本首行缩进 2 字符"/>
    <w:basedOn w:val="94"/>
    <w:semiHidden/>
    <w:qFormat/>
    <w:uiPriority w:val="99"/>
    <w:rPr>
      <w:rFonts w:ascii="宋体" w:hAnsi="宋体" w:eastAsia="宋体" w:cs="Times New Roman"/>
      <w:sz w:val="24"/>
      <w:szCs w:val="20"/>
    </w:rPr>
  </w:style>
  <w:style w:type="character" w:customStyle="1" w:styleId="101">
    <w:name w:val="注释标题 字符"/>
    <w:basedOn w:val="66"/>
    <w:link w:val="14"/>
    <w:semiHidden/>
    <w:qFormat/>
    <w:uiPriority w:val="99"/>
    <w:rPr>
      <w:rFonts w:ascii="宋体" w:hAnsi="宋体" w:eastAsia="汉鼎简书宋" w:cs="Times New Roman"/>
      <w:kern w:val="0"/>
      <w:sz w:val="24"/>
      <w:szCs w:val="20"/>
    </w:rPr>
  </w:style>
  <w:style w:type="character" w:customStyle="1" w:styleId="102">
    <w:name w:val="正文文本 2 字符"/>
    <w:basedOn w:val="66"/>
    <w:link w:val="53"/>
    <w:semiHidden/>
    <w:qFormat/>
    <w:uiPriority w:val="99"/>
    <w:rPr>
      <w:rFonts w:ascii="宋体" w:hAnsi="宋体" w:eastAsia="宋体" w:cs="Times New Roman"/>
      <w:sz w:val="24"/>
      <w:szCs w:val="20"/>
    </w:rPr>
  </w:style>
  <w:style w:type="character" w:customStyle="1" w:styleId="103">
    <w:name w:val="正文文本 3 字符"/>
    <w:basedOn w:val="66"/>
    <w:link w:val="24"/>
    <w:semiHidden/>
    <w:qFormat/>
    <w:uiPriority w:val="99"/>
    <w:rPr>
      <w:rFonts w:ascii="宋体" w:hAnsi="宋体" w:eastAsia="宋体" w:cs="Times New Roman"/>
      <w:sz w:val="16"/>
      <w:szCs w:val="20"/>
    </w:rPr>
  </w:style>
  <w:style w:type="character" w:customStyle="1" w:styleId="104">
    <w:name w:val="正文文本缩进 2 字符"/>
    <w:basedOn w:val="66"/>
    <w:link w:val="36"/>
    <w:semiHidden/>
    <w:qFormat/>
    <w:uiPriority w:val="99"/>
    <w:rPr>
      <w:rFonts w:ascii="Times New Roman" w:hAnsi="Times New Roman" w:eastAsia="宋体" w:cs="Times New Roman"/>
      <w:szCs w:val="20"/>
    </w:rPr>
  </w:style>
  <w:style w:type="character" w:customStyle="1" w:styleId="105">
    <w:name w:val="正文文本缩进 3 字符"/>
    <w:basedOn w:val="66"/>
    <w:link w:val="49"/>
    <w:semiHidden/>
    <w:qFormat/>
    <w:uiPriority w:val="99"/>
    <w:rPr>
      <w:rFonts w:ascii="Times New Roman" w:hAnsi="Times New Roman" w:eastAsia="宋体" w:cs="Times New Roman"/>
      <w:sz w:val="16"/>
      <w:szCs w:val="20"/>
    </w:rPr>
  </w:style>
  <w:style w:type="character" w:customStyle="1" w:styleId="106">
    <w:name w:val="文档结构图 字符"/>
    <w:basedOn w:val="66"/>
    <w:link w:val="20"/>
    <w:semiHidden/>
    <w:qFormat/>
    <w:uiPriority w:val="99"/>
    <w:rPr>
      <w:rFonts w:ascii="Times New Roman" w:hAnsi="Times New Roman" w:eastAsia="宋体" w:cs="Times New Roman"/>
      <w:szCs w:val="20"/>
      <w:shd w:val="clear" w:color="auto" w:fill="000080"/>
    </w:rPr>
  </w:style>
  <w:style w:type="character" w:customStyle="1" w:styleId="107">
    <w:name w:val="纯文本 字符1"/>
    <w:basedOn w:val="66"/>
    <w:qFormat/>
    <w:uiPriority w:val="0"/>
  </w:style>
  <w:style w:type="character" w:customStyle="1" w:styleId="108">
    <w:name w:val="纯文本 字符"/>
    <w:basedOn w:val="66"/>
    <w:link w:val="32"/>
    <w:qFormat/>
    <w:uiPriority w:val="0"/>
    <w:rPr>
      <w:rFonts w:ascii="宋体" w:hAnsi="宋体" w:eastAsia="宋体" w:cs="Times New Roman"/>
      <w:sz w:val="24"/>
      <w:szCs w:val="20"/>
    </w:rPr>
  </w:style>
  <w:style w:type="character" w:customStyle="1" w:styleId="109">
    <w:name w:val="批注主题 字符"/>
    <w:basedOn w:val="87"/>
    <w:link w:val="56"/>
    <w:semiHidden/>
    <w:qFormat/>
    <w:uiPriority w:val="99"/>
    <w:rPr>
      <w:rFonts w:ascii="宋体" w:hAnsi="宋体" w:eastAsia="宋体" w:cs="Times New Roman"/>
      <w:b/>
      <w:sz w:val="24"/>
      <w:szCs w:val="20"/>
    </w:rPr>
  </w:style>
  <w:style w:type="character" w:customStyle="1" w:styleId="110">
    <w:name w:val="批注框文本 字符"/>
    <w:basedOn w:val="66"/>
    <w:link w:val="38"/>
    <w:semiHidden/>
    <w:qFormat/>
    <w:uiPriority w:val="99"/>
    <w:rPr>
      <w:rFonts w:ascii="宋体" w:hAnsi="宋体" w:eastAsia="宋体" w:cs="Times New Roman"/>
      <w:sz w:val="18"/>
      <w:szCs w:val="20"/>
    </w:rPr>
  </w:style>
  <w:style w:type="paragraph" w:styleId="111">
    <w:name w:val="No Spacing"/>
    <w:qFormat/>
    <w:uiPriority w:val="99"/>
    <w:rPr>
      <w:rFonts w:ascii="Calibri" w:hAnsi="Calibri" w:eastAsia="宋体" w:cs="Times New Roman"/>
      <w:sz w:val="22"/>
      <w:lang w:val="en-US" w:eastAsia="en-US" w:bidi="ar-SA"/>
    </w:rPr>
  </w:style>
  <w:style w:type="paragraph" w:customStyle="1" w:styleId="112">
    <w:name w:val="修订1"/>
    <w:semiHidden/>
    <w:qFormat/>
    <w:uiPriority w:val="99"/>
    <w:rPr>
      <w:rFonts w:ascii="宋体" w:hAnsi="宋体" w:eastAsia="宋体" w:cs="Times New Roman"/>
      <w:kern w:val="2"/>
      <w:sz w:val="24"/>
      <w:lang w:val="en-US" w:eastAsia="zh-CN" w:bidi="ar-SA"/>
    </w:rPr>
  </w:style>
  <w:style w:type="paragraph" w:styleId="113">
    <w:name w:val="List Paragraph"/>
    <w:basedOn w:val="1"/>
    <w:qFormat/>
    <w:uiPriority w:val="99"/>
    <w:pPr>
      <w:ind w:firstLine="420" w:firstLineChars="200"/>
    </w:pPr>
    <w:rPr>
      <w:sz w:val="21"/>
    </w:rPr>
  </w:style>
  <w:style w:type="paragraph" w:styleId="114">
    <w:name w:val="Quote"/>
    <w:basedOn w:val="1"/>
    <w:next w:val="1"/>
    <w:link w:val="115"/>
    <w:qFormat/>
    <w:uiPriority w:val="99"/>
    <w:pPr>
      <w:topLinePunct/>
      <w:spacing w:line="529" w:lineRule="exact"/>
      <w:ind w:firstLine="200" w:firstLineChars="200"/>
    </w:pPr>
    <w:rPr>
      <w:rFonts w:ascii="Times New Roman" w:hAnsi="Times New Roman" w:eastAsia="汉鼎简书宋"/>
      <w:i/>
      <w:color w:val="000000"/>
    </w:rPr>
  </w:style>
  <w:style w:type="character" w:customStyle="1" w:styleId="115">
    <w:name w:val="引用 字符"/>
    <w:basedOn w:val="66"/>
    <w:link w:val="114"/>
    <w:qFormat/>
    <w:uiPriority w:val="99"/>
    <w:rPr>
      <w:rFonts w:ascii="Times New Roman" w:hAnsi="Times New Roman" w:eastAsia="汉鼎简书宋" w:cs="Times New Roman"/>
      <w:i/>
      <w:color w:val="000000"/>
      <w:sz w:val="24"/>
      <w:szCs w:val="20"/>
    </w:rPr>
  </w:style>
  <w:style w:type="paragraph" w:styleId="116">
    <w:name w:val="Intense Quote"/>
    <w:basedOn w:val="1"/>
    <w:next w:val="1"/>
    <w:link w:val="117"/>
    <w:qFormat/>
    <w:uiPriority w:val="99"/>
    <w:pPr>
      <w:pBdr>
        <w:bottom w:val="single" w:color="4F81BD" w:sz="4" w:space="4"/>
      </w:pBdr>
      <w:topLinePunct/>
      <w:spacing w:before="200" w:after="280" w:line="529" w:lineRule="exact"/>
      <w:ind w:left="936" w:firstLine="200" w:firstLineChars="200"/>
    </w:pPr>
    <w:rPr>
      <w:rFonts w:ascii="Times New Roman" w:hAnsi="Times New Roman" w:eastAsia="汉鼎简书宋"/>
      <w:b/>
      <w:i/>
      <w:color w:val="4F81BD"/>
    </w:rPr>
  </w:style>
  <w:style w:type="character" w:customStyle="1" w:styleId="117">
    <w:name w:val="明显引用 字符"/>
    <w:basedOn w:val="66"/>
    <w:link w:val="116"/>
    <w:qFormat/>
    <w:uiPriority w:val="99"/>
    <w:rPr>
      <w:rFonts w:ascii="Times New Roman" w:hAnsi="Times New Roman" w:eastAsia="汉鼎简书宋" w:cs="Times New Roman"/>
      <w:b/>
      <w:i/>
      <w:color w:val="4F81BD"/>
      <w:sz w:val="24"/>
      <w:szCs w:val="20"/>
    </w:rPr>
  </w:style>
  <w:style w:type="paragraph" w:customStyle="1" w:styleId="118">
    <w:name w:val="TOC 标题1"/>
    <w:basedOn w:val="3"/>
    <w:next w:val="1"/>
    <w:semiHidden/>
    <w:unhideWhenUsed/>
    <w:qFormat/>
    <w:uiPriority w:val="99"/>
    <w:pPr>
      <w:topLinePunct/>
      <w:spacing w:before="480" w:after="0" w:line="529" w:lineRule="exact"/>
      <w:ind w:firstLine="200" w:firstLineChars="200"/>
      <w:outlineLvl w:val="9"/>
    </w:pPr>
    <w:rPr>
      <w:rFonts w:ascii="Cambria" w:hAnsi="Cambria"/>
      <w:color w:val="365F91"/>
      <w:kern w:val="2"/>
      <w:sz w:val="28"/>
    </w:rPr>
  </w:style>
  <w:style w:type="paragraph" w:customStyle="1" w:styleId="119">
    <w:name w:val="表1"/>
    <w:next w:val="1"/>
    <w:qFormat/>
    <w:uiPriority w:val="99"/>
    <w:pPr>
      <w:adjustRightInd w:val="0"/>
      <w:snapToGrid w:val="0"/>
      <w:jc w:val="center"/>
    </w:pPr>
    <w:rPr>
      <w:rFonts w:ascii="宋体" w:hAnsi="Times New Roman" w:eastAsia="宋体" w:cs="Times New Roman"/>
      <w:sz w:val="21"/>
      <w:lang w:val="en-US" w:eastAsia="zh-CN" w:bidi="ar-SA"/>
    </w:rPr>
  </w:style>
  <w:style w:type="paragraph" w:customStyle="1" w:styleId="120">
    <w:name w:val="注释标题1"/>
    <w:basedOn w:val="16"/>
    <w:next w:val="16"/>
    <w:qFormat/>
    <w:uiPriority w:val="99"/>
    <w:pPr>
      <w:tabs>
        <w:tab w:val="left" w:pos="420"/>
      </w:tabs>
      <w:adjustRightInd/>
      <w:snapToGrid/>
      <w:spacing w:line="360" w:lineRule="auto"/>
      <w:ind w:left="420" w:hanging="420"/>
    </w:pPr>
    <w:rPr>
      <w:rFonts w:ascii="Times New Roman" w:hAnsi="Times New Roman"/>
      <w:color w:val="000000"/>
      <w:sz w:val="24"/>
      <w:szCs w:val="18"/>
    </w:rPr>
  </w:style>
  <w:style w:type="paragraph" w:customStyle="1" w:styleId="121">
    <w:name w:val="目录1"/>
    <w:basedOn w:val="1"/>
    <w:next w:val="1"/>
    <w:qFormat/>
    <w:uiPriority w:val="99"/>
    <w:pPr>
      <w:widowControl/>
      <w:tabs>
        <w:tab w:val="left" w:leader="dot" w:pos="8503"/>
      </w:tabs>
      <w:spacing w:after="102" w:line="215" w:lineRule="atLeast"/>
      <w:ind w:firstLine="419"/>
      <w:jc w:val="left"/>
    </w:pPr>
    <w:rPr>
      <w:color w:val="000000"/>
      <w:kern w:val="0"/>
      <w:sz w:val="21"/>
      <w:u w:color="000000"/>
    </w:rPr>
  </w:style>
  <w:style w:type="paragraph" w:customStyle="1" w:styleId="122">
    <w:name w:val="WPS Plain"/>
    <w:semiHidden/>
    <w:qFormat/>
    <w:uiPriority w:val="99"/>
    <w:rPr>
      <w:rFonts w:ascii="Times New Roman" w:hAnsi="Times New Roman" w:eastAsia="宋体" w:cs="Times New Roman"/>
      <w:sz w:val="24"/>
      <w:szCs w:val="24"/>
      <w:lang w:val="en-US" w:eastAsia="zh-CN" w:bidi="ar-SA"/>
    </w:rPr>
  </w:style>
  <w:style w:type="paragraph" w:customStyle="1" w:styleId="123">
    <w:name w:val="Char41"/>
    <w:basedOn w:val="1"/>
    <w:qFormat/>
    <w:uiPriority w:val="99"/>
    <w:pPr>
      <w:spacing w:line="360" w:lineRule="auto"/>
      <w:ind w:firstLine="200" w:firstLineChars="200"/>
    </w:pPr>
    <w:rPr>
      <w:rFonts w:cs="宋体"/>
      <w:szCs w:val="24"/>
    </w:rPr>
  </w:style>
  <w:style w:type="paragraph" w:customStyle="1" w:styleId="124">
    <w:name w:val="样式 一号 加粗 居中 行距: 固定值 36 磅"/>
    <w:basedOn w:val="1"/>
    <w:qFormat/>
    <w:uiPriority w:val="99"/>
    <w:pPr>
      <w:spacing w:line="720" w:lineRule="exact"/>
      <w:ind w:firstLine="420"/>
    </w:pPr>
    <w:rPr>
      <w:rFonts w:eastAsia="汉鼎简书宋"/>
      <w:b/>
      <w:kern w:val="0"/>
      <w:sz w:val="48"/>
    </w:rPr>
  </w:style>
  <w:style w:type="paragraph" w:customStyle="1" w:styleId="125">
    <w:name w:val="xl40"/>
    <w:basedOn w:val="1"/>
    <w:qFormat/>
    <w:uiPriority w:val="99"/>
    <w:pPr>
      <w:widowControl/>
      <w:spacing w:before="100" w:beforeAutospacing="1" w:after="100" w:afterAutospacing="1"/>
    </w:pPr>
    <w:rPr>
      <w:kern w:val="0"/>
    </w:rPr>
  </w:style>
  <w:style w:type="paragraph" w:customStyle="1" w:styleId="126">
    <w:name w:val="xl32"/>
    <w:basedOn w:val="1"/>
    <w:qFormat/>
    <w:uiPriority w:val="99"/>
    <w:pPr>
      <w:widowControl/>
      <w:pBdr>
        <w:top w:val="single" w:color="auto" w:sz="8"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b/>
      <w:kern w:val="0"/>
      <w:sz w:val="20"/>
    </w:rPr>
  </w:style>
  <w:style w:type="paragraph" w:customStyle="1" w:styleId="127">
    <w:name w:val="reader-word-layer"/>
    <w:basedOn w:val="1"/>
    <w:qFormat/>
    <w:uiPriority w:val="99"/>
    <w:pPr>
      <w:widowControl/>
      <w:spacing w:before="100" w:beforeAutospacing="1" w:after="100" w:afterAutospacing="1"/>
      <w:jc w:val="left"/>
    </w:pPr>
    <w:rPr>
      <w:rFonts w:cs="宋体"/>
      <w:kern w:val="0"/>
      <w:szCs w:val="24"/>
    </w:rPr>
  </w:style>
  <w:style w:type="paragraph" w:customStyle="1" w:styleId="128">
    <w:name w:val="样式 标题 3 + 段前: 1 行 行距: 单倍行距"/>
    <w:basedOn w:val="5"/>
    <w:qFormat/>
    <w:uiPriority w:val="99"/>
    <w:pPr>
      <w:keepNext w:val="0"/>
      <w:keepLines w:val="0"/>
      <w:tabs>
        <w:tab w:val="left" w:pos="1080"/>
      </w:tabs>
      <w:autoSpaceDE w:val="0"/>
      <w:autoSpaceDN w:val="0"/>
      <w:adjustRightInd w:val="0"/>
      <w:snapToGrid w:val="0"/>
      <w:spacing w:before="0" w:beforeLines="100" w:after="0" w:line="360" w:lineRule="auto"/>
      <w:ind w:left="227" w:hanging="227" w:firstLineChars="200"/>
    </w:pPr>
    <w:rPr>
      <w:rFonts w:eastAsia="黑体"/>
      <w:b w:val="0"/>
      <w:kern w:val="0"/>
      <w:sz w:val="30"/>
    </w:rPr>
  </w:style>
  <w:style w:type="paragraph" w:customStyle="1" w:styleId="129">
    <w:name w:val="xl78"/>
    <w:basedOn w:val="1"/>
    <w:qFormat/>
    <w:uiPriority w:val="99"/>
    <w:pPr>
      <w:widowControl/>
      <w:pBdr>
        <w:right w:val="single" w:color="auto" w:sz="8" w:space="0"/>
      </w:pBdr>
      <w:spacing w:before="100" w:beforeAutospacing="1" w:after="100" w:afterAutospacing="1"/>
      <w:jc w:val="center"/>
    </w:pPr>
    <w:rPr>
      <w:rFonts w:cs="宋体"/>
      <w:color w:val="0000FF"/>
      <w:kern w:val="0"/>
      <w:szCs w:val="24"/>
      <w:u w:val="single"/>
    </w:rPr>
  </w:style>
  <w:style w:type="paragraph" w:customStyle="1" w:styleId="130">
    <w:name w:val="xl74"/>
    <w:basedOn w:val="1"/>
    <w:qFormat/>
    <w:uiPriority w:val="99"/>
    <w:pPr>
      <w:widowControl/>
      <w:pBdr>
        <w:bottom w:val="single" w:color="auto" w:sz="8" w:space="0"/>
        <w:right w:val="single" w:color="auto" w:sz="8" w:space="0"/>
      </w:pBdr>
      <w:spacing w:before="100" w:beforeAutospacing="1" w:after="100" w:afterAutospacing="1"/>
      <w:jc w:val="center"/>
    </w:pPr>
    <w:rPr>
      <w:rFonts w:cs="宋体"/>
      <w:kern w:val="0"/>
      <w:szCs w:val="24"/>
    </w:rPr>
  </w:style>
  <w:style w:type="paragraph" w:customStyle="1" w:styleId="131">
    <w:name w:val="表"/>
    <w:basedOn w:val="1"/>
    <w:next w:val="1"/>
    <w:qFormat/>
    <w:uiPriority w:val="99"/>
    <w:pPr>
      <w:adjustRightInd w:val="0"/>
      <w:spacing w:before="120"/>
    </w:pPr>
    <w:rPr>
      <w:kern w:val="0"/>
    </w:rPr>
  </w:style>
  <w:style w:type="paragraph" w:customStyle="1" w:styleId="132">
    <w:name w:val="样式 标题 3 + 段前: 0.5 行"/>
    <w:basedOn w:val="5"/>
    <w:qFormat/>
    <w:uiPriority w:val="99"/>
    <w:pPr>
      <w:keepNext w:val="0"/>
      <w:keepLines w:val="0"/>
      <w:tabs>
        <w:tab w:val="left" w:pos="1080"/>
      </w:tabs>
      <w:autoSpaceDE w:val="0"/>
      <w:autoSpaceDN w:val="0"/>
      <w:adjustRightInd w:val="0"/>
      <w:snapToGrid w:val="0"/>
      <w:spacing w:before="0" w:beforeLines="100" w:after="0" w:line="360" w:lineRule="auto"/>
      <w:ind w:left="227" w:hanging="227" w:firstLineChars="200"/>
    </w:pPr>
    <w:rPr>
      <w:rFonts w:eastAsia="黑体"/>
      <w:b w:val="0"/>
      <w:kern w:val="0"/>
      <w:sz w:val="30"/>
    </w:rPr>
  </w:style>
  <w:style w:type="character" w:customStyle="1" w:styleId="133">
    <w:name w:val="这是文本 Char"/>
    <w:link w:val="134"/>
    <w:qFormat/>
    <w:locked/>
    <w:uiPriority w:val="0"/>
    <w:rPr>
      <w:sz w:val="24"/>
      <w:szCs w:val="24"/>
    </w:rPr>
  </w:style>
  <w:style w:type="paragraph" w:customStyle="1" w:styleId="134">
    <w:name w:val="这是文本"/>
    <w:basedOn w:val="1"/>
    <w:link w:val="133"/>
    <w:qFormat/>
    <w:uiPriority w:val="0"/>
    <w:pPr>
      <w:spacing w:line="529" w:lineRule="exact"/>
      <w:ind w:firstLine="482"/>
    </w:pPr>
    <w:rPr>
      <w:rFonts w:asciiTheme="minorHAnsi" w:hAnsiTheme="minorHAnsi" w:eastAsiaTheme="minorEastAsia" w:cstheme="minorBidi"/>
      <w:szCs w:val="24"/>
    </w:rPr>
  </w:style>
  <w:style w:type="character" w:customStyle="1" w:styleId="135">
    <w:name w:val="1.1.1标题 Char"/>
    <w:link w:val="136"/>
    <w:qFormat/>
    <w:locked/>
    <w:uiPriority w:val="0"/>
    <w:rPr>
      <w:rFonts w:ascii="黑体" w:hAnsi="黑体" w:eastAsia="黑体"/>
      <w:b/>
      <w:sz w:val="24"/>
      <w:szCs w:val="30"/>
    </w:rPr>
  </w:style>
  <w:style w:type="paragraph" w:customStyle="1" w:styleId="136">
    <w:name w:val="1.1.1标题"/>
    <w:basedOn w:val="1"/>
    <w:link w:val="135"/>
    <w:qFormat/>
    <w:uiPriority w:val="0"/>
    <w:pPr>
      <w:spacing w:beforeLines="50"/>
      <w:outlineLvl w:val="2"/>
    </w:pPr>
    <w:rPr>
      <w:rFonts w:ascii="黑体" w:hAnsi="黑体" w:eastAsia="黑体" w:cstheme="minorBidi"/>
      <w:b/>
      <w:szCs w:val="30"/>
    </w:rPr>
  </w:style>
  <w:style w:type="paragraph" w:customStyle="1" w:styleId="137">
    <w:name w:val="et7"/>
    <w:basedOn w:val="1"/>
    <w:qFormat/>
    <w:uiPriority w:val="99"/>
    <w:pPr>
      <w:widowControl/>
      <w:pBdr>
        <w:top w:val="single" w:color="000000" w:sz="4" w:space="0"/>
        <w:left w:val="single" w:color="000000" w:sz="4" w:space="0"/>
      </w:pBdr>
      <w:spacing w:before="100" w:beforeAutospacing="1" w:after="100" w:afterAutospacing="1"/>
      <w:jc w:val="left"/>
    </w:pPr>
    <w:rPr>
      <w:rFonts w:cs="宋体"/>
      <w:color w:val="0000FF"/>
      <w:kern w:val="0"/>
      <w:sz w:val="20"/>
    </w:rPr>
  </w:style>
  <w:style w:type="paragraph" w:customStyle="1" w:styleId="138">
    <w:name w:val="0"/>
    <w:basedOn w:val="1"/>
    <w:qFormat/>
    <w:uiPriority w:val="99"/>
    <w:pPr>
      <w:widowControl/>
      <w:snapToGrid w:val="0"/>
    </w:pPr>
    <w:rPr>
      <w:rFonts w:ascii="Times New Roman" w:hAnsi="Times New Roman"/>
      <w:kern w:val="0"/>
      <w:sz w:val="21"/>
      <w:szCs w:val="21"/>
    </w:rPr>
  </w:style>
  <w:style w:type="paragraph" w:customStyle="1" w:styleId="139">
    <w:name w:val="Char153"/>
    <w:basedOn w:val="1"/>
    <w:qFormat/>
    <w:uiPriority w:val="99"/>
    <w:pPr>
      <w:spacing w:line="560" w:lineRule="exact"/>
      <w:ind w:firstLine="200" w:firstLineChars="200"/>
    </w:pPr>
    <w:rPr>
      <w:rFonts w:ascii="Times New Roman" w:hAnsi="Times New Roman"/>
      <w:sz w:val="21"/>
    </w:rPr>
  </w:style>
  <w:style w:type="paragraph" w:customStyle="1" w:styleId="140">
    <w:name w:val="样式"/>
    <w:basedOn w:val="1"/>
    <w:next w:val="49"/>
    <w:qFormat/>
    <w:uiPriority w:val="99"/>
    <w:pPr>
      <w:tabs>
        <w:tab w:val="left" w:pos="6720"/>
      </w:tabs>
      <w:spacing w:line="360" w:lineRule="auto"/>
      <w:ind w:firstLine="480" w:firstLineChars="200"/>
    </w:pPr>
    <w:rPr>
      <w:rFonts w:ascii="楷体_GB2312" w:hAnsi="Times New Roman" w:eastAsia="楷体_GB2312"/>
      <w:szCs w:val="24"/>
    </w:rPr>
  </w:style>
  <w:style w:type="paragraph" w:customStyle="1" w:styleId="141">
    <w:name w:val="表格，五宋"/>
    <w:qFormat/>
    <w:uiPriority w:val="99"/>
    <w:pPr>
      <w:adjustRightInd w:val="0"/>
      <w:spacing w:line="360" w:lineRule="exact"/>
      <w:jc w:val="center"/>
    </w:pPr>
    <w:rPr>
      <w:rFonts w:ascii="Times New Roman" w:hAnsi="Times New Roman" w:eastAsia="宋体" w:cs="Times New Roman"/>
      <w:sz w:val="21"/>
      <w:lang w:val="en-US" w:eastAsia="zh-CN" w:bidi="ar-SA"/>
    </w:rPr>
  </w:style>
  <w:style w:type="paragraph" w:customStyle="1" w:styleId="142">
    <w:name w:val="正文居中"/>
    <w:basedOn w:val="57"/>
    <w:qFormat/>
    <w:uiPriority w:val="99"/>
    <w:pPr>
      <w:adjustRightInd w:val="0"/>
      <w:snapToGrid w:val="0"/>
      <w:spacing w:after="0" w:line="312" w:lineRule="auto"/>
      <w:ind w:firstLine="0" w:firstLineChars="0"/>
    </w:pPr>
    <w:rPr>
      <w:rFonts w:ascii="Arial" w:hAnsi="Arial" w:eastAsia="黑体"/>
      <w:spacing w:val="6"/>
      <w:kern w:val="0"/>
      <w:sz w:val="28"/>
      <w:u w:val="double"/>
      <w:lang w:val="zh-CN"/>
    </w:rPr>
  </w:style>
  <w:style w:type="paragraph" w:customStyle="1" w:styleId="143">
    <w:name w:val="二级标题"/>
    <w:basedOn w:val="1"/>
    <w:next w:val="1"/>
    <w:qFormat/>
    <w:uiPriority w:val="99"/>
    <w:pPr>
      <w:spacing w:line="360" w:lineRule="auto"/>
      <w:ind w:firstLine="200" w:firstLineChars="200"/>
    </w:pPr>
  </w:style>
  <w:style w:type="paragraph" w:customStyle="1" w:styleId="144">
    <w:name w:val="自正文"/>
    <w:basedOn w:val="1"/>
    <w:qFormat/>
    <w:uiPriority w:val="99"/>
    <w:pPr>
      <w:spacing w:line="500" w:lineRule="exact"/>
      <w:ind w:firstLine="200" w:firstLineChars="200"/>
    </w:pPr>
    <w:rPr>
      <w:rFonts w:ascii="Times New Roman" w:hAnsi="Times New Roman"/>
      <w:kern w:val="0"/>
    </w:rPr>
  </w:style>
  <w:style w:type="paragraph" w:customStyle="1" w:styleId="145">
    <w:name w:val="注×："/>
    <w:qFormat/>
    <w:uiPriority w:val="99"/>
    <w:pPr>
      <w:widowControl w:val="0"/>
      <w:tabs>
        <w:tab w:val="left" w:pos="630"/>
      </w:tabs>
      <w:autoSpaceDE w:val="0"/>
      <w:autoSpaceDN w:val="0"/>
      <w:jc w:val="both"/>
    </w:pPr>
    <w:rPr>
      <w:rFonts w:ascii="宋体" w:hAnsi="Times New Roman" w:eastAsia="宋体" w:cs="Times New Roman"/>
      <w:sz w:val="18"/>
      <w:lang w:val="en-US" w:eastAsia="zh-CN" w:bidi="ar-SA"/>
    </w:rPr>
  </w:style>
  <w:style w:type="paragraph" w:customStyle="1" w:styleId="146">
    <w:name w:val="et11"/>
    <w:basedOn w:val="1"/>
    <w:qFormat/>
    <w:uiPriority w:val="99"/>
    <w:pPr>
      <w:widowControl/>
      <w:pBdr>
        <w:top w:val="single" w:color="000000" w:sz="4" w:space="0"/>
        <w:left w:val="single" w:color="000000" w:sz="4" w:space="0"/>
      </w:pBdr>
      <w:spacing w:before="100" w:beforeAutospacing="1" w:after="100" w:afterAutospacing="1"/>
      <w:jc w:val="center"/>
    </w:pPr>
    <w:rPr>
      <w:rFonts w:cs="宋体"/>
      <w:color w:val="000000"/>
      <w:kern w:val="0"/>
      <w:sz w:val="20"/>
    </w:rPr>
  </w:style>
  <w:style w:type="paragraph" w:customStyle="1" w:styleId="147">
    <w:name w:val="小标题"/>
    <w:basedOn w:val="1"/>
    <w:qFormat/>
    <w:uiPriority w:val="99"/>
    <w:pPr>
      <w:adjustRightInd w:val="0"/>
      <w:spacing w:before="40" w:after="40" w:line="400" w:lineRule="atLeast"/>
      <w:ind w:firstLine="510"/>
    </w:pPr>
    <w:rPr>
      <w:rFonts w:eastAsia="楷体_GB2312"/>
      <w:b/>
      <w:kern w:val="0"/>
    </w:rPr>
  </w:style>
  <w:style w:type="paragraph" w:customStyle="1" w:styleId="148">
    <w:name w:val="目录3"/>
    <w:basedOn w:val="1"/>
    <w:next w:val="1"/>
    <w:qFormat/>
    <w:uiPriority w:val="99"/>
    <w:pPr>
      <w:widowControl/>
      <w:tabs>
        <w:tab w:val="left" w:leader="dot" w:pos="8503"/>
      </w:tabs>
      <w:spacing w:line="317" w:lineRule="atLeast"/>
      <w:ind w:firstLine="419"/>
    </w:pPr>
    <w:rPr>
      <w:color w:val="000000"/>
      <w:kern w:val="0"/>
      <w:u w:color="000000"/>
    </w:rPr>
  </w:style>
  <w:style w:type="paragraph" w:customStyle="1" w:styleId="149">
    <w:name w:val="font9"/>
    <w:basedOn w:val="1"/>
    <w:qFormat/>
    <w:uiPriority w:val="99"/>
    <w:pPr>
      <w:widowControl/>
      <w:spacing w:before="100" w:beforeAutospacing="1" w:after="100" w:afterAutospacing="1"/>
    </w:pPr>
    <w:rPr>
      <w:rFonts w:ascii="华文细黑" w:hAnsi="华文细黑" w:eastAsia="华文细黑"/>
      <w:kern w:val="0"/>
      <w:sz w:val="28"/>
    </w:rPr>
  </w:style>
  <w:style w:type="character" w:customStyle="1" w:styleId="150">
    <w:name w:val="首行缩进 Char"/>
    <w:link w:val="151"/>
    <w:qFormat/>
    <w:locked/>
    <w:uiPriority w:val="0"/>
    <w:rPr>
      <w:rFonts w:ascii="宋体" w:hAnsi="Times" w:eastAsia="宋体"/>
      <w:kern w:val="44"/>
      <w:sz w:val="24"/>
    </w:rPr>
  </w:style>
  <w:style w:type="paragraph" w:customStyle="1" w:styleId="151">
    <w:name w:val="首行缩进"/>
    <w:basedOn w:val="1"/>
    <w:link w:val="150"/>
    <w:qFormat/>
    <w:uiPriority w:val="0"/>
    <w:pPr>
      <w:adjustRightInd w:val="0"/>
      <w:spacing w:line="529" w:lineRule="exact"/>
      <w:ind w:firstLine="200" w:firstLineChars="200"/>
    </w:pPr>
    <w:rPr>
      <w:rFonts w:hAnsi="Times" w:cstheme="minorBidi"/>
      <w:kern w:val="44"/>
      <w:szCs w:val="22"/>
    </w:rPr>
  </w:style>
  <w:style w:type="paragraph" w:customStyle="1" w:styleId="152">
    <w:name w:val="xl44"/>
    <w:basedOn w:val="1"/>
    <w:qFormat/>
    <w:uiPriority w:val="99"/>
    <w:pPr>
      <w:widowControl/>
      <w:pBdr>
        <w:top w:val="single" w:color="auto" w:sz="4" w:space="0"/>
        <w:left w:val="single" w:color="auto" w:sz="4" w:space="0"/>
        <w:bottom w:val="single" w:color="auto" w:sz="4" w:space="0"/>
        <w:right w:val="single" w:color="auto" w:sz="8" w:space="0"/>
      </w:pBdr>
      <w:spacing w:before="100" w:beforeAutospacing="1" w:after="100" w:afterAutospacing="1" w:line="529" w:lineRule="exact"/>
      <w:ind w:firstLine="200" w:firstLineChars="200"/>
    </w:pPr>
    <w:rPr>
      <w:rFonts w:eastAsia="汉鼎简书宋"/>
      <w:kern w:val="0"/>
      <w:sz w:val="20"/>
    </w:rPr>
  </w:style>
  <w:style w:type="paragraph" w:customStyle="1" w:styleId="153">
    <w:name w:val="xl72"/>
    <w:basedOn w:val="1"/>
    <w:qFormat/>
    <w:uiPriority w:val="99"/>
    <w:pPr>
      <w:widowControl/>
      <w:spacing w:before="100" w:beforeAutospacing="1" w:after="100" w:afterAutospacing="1"/>
      <w:jc w:val="center"/>
    </w:pPr>
    <w:rPr>
      <w:b/>
      <w:bCs/>
      <w:kern w:val="0"/>
      <w:szCs w:val="24"/>
    </w:rPr>
  </w:style>
  <w:style w:type="paragraph" w:customStyle="1" w:styleId="154">
    <w:name w:val="文章副标题"/>
    <w:basedOn w:val="1"/>
    <w:next w:val="3"/>
    <w:qFormat/>
    <w:uiPriority w:val="99"/>
    <w:pPr>
      <w:widowControl/>
      <w:spacing w:before="187" w:after="175" w:line="374" w:lineRule="atLeast"/>
      <w:jc w:val="center"/>
    </w:pPr>
    <w:rPr>
      <w:color w:val="000000"/>
      <w:kern w:val="0"/>
      <w:sz w:val="36"/>
      <w:u w:color="000000"/>
    </w:rPr>
  </w:style>
  <w:style w:type="paragraph" w:customStyle="1" w:styleId="155">
    <w:name w:val="Char Char Char Char Char Char Char Char Char Char"/>
    <w:basedOn w:val="1"/>
    <w:qFormat/>
    <w:uiPriority w:val="99"/>
  </w:style>
  <w:style w:type="paragraph" w:customStyle="1" w:styleId="156">
    <w:name w:val="Char4"/>
    <w:basedOn w:val="1"/>
    <w:qFormat/>
    <w:uiPriority w:val="99"/>
    <w:pPr>
      <w:spacing w:line="360" w:lineRule="auto"/>
      <w:ind w:firstLine="200" w:firstLineChars="200"/>
    </w:pPr>
  </w:style>
  <w:style w:type="paragraph" w:customStyle="1" w:styleId="157">
    <w:name w:val="Char3"/>
    <w:basedOn w:val="1"/>
    <w:next w:val="1"/>
    <w:qFormat/>
    <w:uiPriority w:val="99"/>
    <w:pPr>
      <w:spacing w:line="360" w:lineRule="auto"/>
      <w:ind w:firstLine="200" w:firstLineChars="200"/>
    </w:pPr>
  </w:style>
  <w:style w:type="paragraph" w:customStyle="1" w:styleId="158">
    <w:name w:val="1.3行"/>
    <w:basedOn w:val="1"/>
    <w:qFormat/>
    <w:uiPriority w:val="99"/>
    <w:pPr>
      <w:adjustRightInd w:val="0"/>
      <w:snapToGrid w:val="0"/>
      <w:spacing w:line="312" w:lineRule="auto"/>
      <w:ind w:firstLine="200" w:firstLineChars="200"/>
    </w:pPr>
    <w:rPr>
      <w:rFonts w:hAnsi="Times New Roman"/>
      <w:bCs/>
      <w:kern w:val="0"/>
      <w:sz w:val="28"/>
      <w:szCs w:val="28"/>
    </w:rPr>
  </w:style>
  <w:style w:type="paragraph" w:customStyle="1" w:styleId="159">
    <w:name w:val="三级标题"/>
    <w:basedOn w:val="1"/>
    <w:semiHidden/>
    <w:qFormat/>
    <w:uiPriority w:val="99"/>
    <w:rPr>
      <w:rFonts w:ascii="Times New Roman" w:hAnsi="Times New Roman" w:eastAsia="黑体"/>
      <w:bCs/>
      <w:sz w:val="28"/>
      <w:szCs w:val="24"/>
    </w:rPr>
  </w:style>
  <w:style w:type="paragraph" w:customStyle="1" w:styleId="160">
    <w:name w:val="p0"/>
    <w:basedOn w:val="1"/>
    <w:qFormat/>
    <w:uiPriority w:val="99"/>
    <w:pPr>
      <w:widowControl/>
      <w:spacing w:before="100" w:beforeAutospacing="1" w:after="100" w:afterAutospacing="1"/>
      <w:jc w:val="left"/>
    </w:pPr>
    <w:rPr>
      <w:rFonts w:cs="宋体"/>
      <w:kern w:val="0"/>
      <w:szCs w:val="24"/>
    </w:rPr>
  </w:style>
  <w:style w:type="paragraph" w:customStyle="1" w:styleId="161">
    <w:name w:val="xl86"/>
    <w:basedOn w:val="1"/>
    <w:qFormat/>
    <w:uiPriority w:val="99"/>
    <w:pPr>
      <w:widowControl/>
      <w:pBdr>
        <w:left w:val="single" w:color="auto" w:sz="8" w:space="0"/>
        <w:bottom w:val="single" w:color="auto" w:sz="8" w:space="0"/>
        <w:right w:val="single" w:color="auto" w:sz="8" w:space="0"/>
      </w:pBdr>
      <w:spacing w:before="100" w:beforeAutospacing="1" w:after="100" w:afterAutospacing="1"/>
      <w:jc w:val="center"/>
    </w:pPr>
    <w:rPr>
      <w:rFonts w:cs="宋体"/>
      <w:color w:val="0000FF"/>
      <w:kern w:val="0"/>
      <w:szCs w:val="24"/>
      <w:u w:val="single"/>
    </w:rPr>
  </w:style>
  <w:style w:type="character" w:customStyle="1" w:styleId="162">
    <w:name w:val="hp2 Char"/>
    <w:link w:val="163"/>
    <w:qFormat/>
    <w:locked/>
    <w:uiPriority w:val="0"/>
    <w:rPr>
      <w:rFonts w:ascii="宋体" w:hAnsi="宋体" w:eastAsia="汉鼎简书宋"/>
      <w:b/>
      <w:sz w:val="32"/>
    </w:rPr>
  </w:style>
  <w:style w:type="paragraph" w:customStyle="1" w:styleId="163">
    <w:name w:val="hp2"/>
    <w:basedOn w:val="4"/>
    <w:link w:val="162"/>
    <w:qFormat/>
    <w:uiPriority w:val="0"/>
    <w:pPr>
      <w:spacing w:line="500" w:lineRule="exact"/>
    </w:pPr>
    <w:rPr>
      <w:rFonts w:ascii="宋体" w:hAnsi="宋体" w:eastAsia="汉鼎简书宋" w:cstheme="minorBidi"/>
      <w:szCs w:val="22"/>
    </w:rPr>
  </w:style>
  <w:style w:type="paragraph" w:customStyle="1" w:styleId="164">
    <w:name w:val="xl58"/>
    <w:basedOn w:val="1"/>
    <w:qFormat/>
    <w:uiPriority w:val="99"/>
    <w:pPr>
      <w:pBdr>
        <w:left w:val="single" w:color="auto" w:sz="4" w:space="0"/>
        <w:bottom w:val="single" w:color="000000" w:sz="4" w:space="0"/>
        <w:right w:val="single" w:color="auto" w:sz="4" w:space="0"/>
      </w:pBdr>
      <w:spacing w:before="100" w:beforeAutospacing="1" w:after="100" w:afterAutospacing="1"/>
    </w:pPr>
    <w:rPr>
      <w:rFonts w:ascii="Arial Unicode MS" w:hAnsi="Arial Unicode MS" w:eastAsia="Arial Unicode MS"/>
    </w:rPr>
  </w:style>
  <w:style w:type="paragraph" w:customStyle="1" w:styleId="165">
    <w:name w:val="xl97"/>
    <w:basedOn w:val="1"/>
    <w:qFormat/>
    <w:uiPriority w:val="99"/>
    <w:pPr>
      <w:widowControl/>
      <w:spacing w:before="100" w:beforeAutospacing="1" w:after="100" w:afterAutospacing="1"/>
      <w:jc w:val="left"/>
    </w:pPr>
    <w:rPr>
      <w:rFonts w:cs="宋体"/>
      <w:color w:val="C00000"/>
      <w:kern w:val="0"/>
      <w:szCs w:val="24"/>
    </w:rPr>
  </w:style>
  <w:style w:type="character" w:customStyle="1" w:styleId="166">
    <w:name w:val="於正文 Char"/>
    <w:link w:val="167"/>
    <w:qFormat/>
    <w:locked/>
    <w:uiPriority w:val="0"/>
    <w:rPr>
      <w:rFonts w:ascii="仿宋_GB2312" w:hAnsi="仿宋_GB2312" w:eastAsia="仿宋_GB2312"/>
      <w:color w:val="0000FF"/>
      <w:sz w:val="30"/>
      <w:szCs w:val="24"/>
    </w:rPr>
  </w:style>
  <w:style w:type="paragraph" w:customStyle="1" w:styleId="167">
    <w:name w:val="於正文"/>
    <w:basedOn w:val="1"/>
    <w:link w:val="166"/>
    <w:qFormat/>
    <w:uiPriority w:val="0"/>
    <w:pPr>
      <w:spacing w:line="360" w:lineRule="auto"/>
      <w:ind w:firstLine="200" w:firstLineChars="200"/>
    </w:pPr>
    <w:rPr>
      <w:rFonts w:ascii="仿宋_GB2312" w:hAnsi="仿宋_GB2312" w:eastAsia="仿宋_GB2312" w:cstheme="minorBidi"/>
      <w:color w:val="0000FF"/>
      <w:sz w:val="30"/>
      <w:szCs w:val="24"/>
    </w:rPr>
  </w:style>
  <w:style w:type="paragraph" w:customStyle="1" w:styleId="168">
    <w:name w:val="Char Char Char Char Char Char Char Char Char1"/>
    <w:basedOn w:val="1"/>
    <w:next w:val="1"/>
    <w:qFormat/>
    <w:uiPriority w:val="99"/>
    <w:pPr>
      <w:spacing w:line="360" w:lineRule="auto"/>
      <w:ind w:firstLine="200" w:firstLineChars="200"/>
    </w:pPr>
    <w:rPr>
      <w:rFonts w:ascii="Times New Roman" w:hAnsi="Times New Roman" w:eastAsia="Times New Roman" w:cs="宋体"/>
      <w:szCs w:val="24"/>
    </w:rPr>
  </w:style>
  <w:style w:type="paragraph" w:customStyle="1" w:styleId="169">
    <w:name w:val="二级标题 Char Char Char"/>
    <w:basedOn w:val="1"/>
    <w:next w:val="1"/>
    <w:qFormat/>
    <w:uiPriority w:val="99"/>
    <w:pPr>
      <w:ind w:firstLine="200" w:firstLineChars="200"/>
    </w:pPr>
  </w:style>
  <w:style w:type="paragraph" w:customStyle="1" w:styleId="170">
    <w:name w:val="3"/>
    <w:basedOn w:val="1"/>
    <w:next w:val="53"/>
    <w:qFormat/>
    <w:uiPriority w:val="99"/>
    <w:pPr>
      <w:adjustRightInd w:val="0"/>
      <w:spacing w:line="529" w:lineRule="exact"/>
      <w:ind w:right="-16" w:firstLine="200" w:firstLineChars="200"/>
      <w:jc w:val="left"/>
    </w:pPr>
    <w:rPr>
      <w:rFonts w:ascii="Times New Roman" w:hAnsi="Times New Roman" w:eastAsia="汉鼎简书宋"/>
      <w:kern w:val="0"/>
      <w:szCs w:val="24"/>
    </w:rPr>
  </w:style>
  <w:style w:type="paragraph" w:customStyle="1" w:styleId="171">
    <w:name w:val="xl54"/>
    <w:basedOn w:val="1"/>
    <w:qFormat/>
    <w:uiPriority w:val="99"/>
    <w:pPr>
      <w:widowControl/>
      <w:pBdr>
        <w:bottom w:val="single" w:color="auto" w:sz="8" w:space="0"/>
      </w:pBdr>
      <w:spacing w:before="100" w:beforeAutospacing="1" w:after="100" w:afterAutospacing="1" w:line="529" w:lineRule="exact"/>
      <w:ind w:firstLine="200" w:firstLineChars="200"/>
    </w:pPr>
    <w:rPr>
      <w:rFonts w:eastAsia="汉鼎简书宋"/>
      <w:b/>
      <w:kern w:val="0"/>
      <w:sz w:val="28"/>
    </w:rPr>
  </w:style>
  <w:style w:type="character" w:customStyle="1" w:styleId="172">
    <w:name w:val="表标号 Char"/>
    <w:link w:val="173"/>
    <w:qFormat/>
    <w:locked/>
    <w:uiPriority w:val="0"/>
    <w:rPr>
      <w:rFonts w:ascii="黑体" w:hAnsi="黑体" w:eastAsia="黑体"/>
      <w:b/>
      <w:sz w:val="24"/>
    </w:rPr>
  </w:style>
  <w:style w:type="paragraph" w:customStyle="1" w:styleId="173">
    <w:name w:val="表标号"/>
    <w:link w:val="172"/>
    <w:qFormat/>
    <w:uiPriority w:val="0"/>
    <w:pPr>
      <w:adjustRightInd w:val="0"/>
      <w:snapToGrid w:val="0"/>
      <w:ind w:left="3060"/>
      <w:jc w:val="center"/>
    </w:pPr>
    <w:rPr>
      <w:rFonts w:ascii="黑体" w:hAnsi="黑体" w:eastAsia="黑体" w:cstheme="minorBidi"/>
      <w:b/>
      <w:kern w:val="2"/>
      <w:sz w:val="24"/>
      <w:szCs w:val="22"/>
      <w:lang w:val="en-US" w:eastAsia="zh-CN" w:bidi="ar-SA"/>
    </w:rPr>
  </w:style>
  <w:style w:type="paragraph" w:customStyle="1" w:styleId="174">
    <w:name w:val="标准"/>
    <w:basedOn w:val="1"/>
    <w:qFormat/>
    <w:uiPriority w:val="99"/>
    <w:pPr>
      <w:adjustRightInd w:val="0"/>
      <w:spacing w:line="360" w:lineRule="atLeast"/>
      <w:jc w:val="center"/>
    </w:pPr>
    <w:rPr>
      <w:rFonts w:hAnsi="Roman PS"/>
      <w:kern w:val="0"/>
    </w:rPr>
  </w:style>
  <w:style w:type="paragraph" w:customStyle="1" w:styleId="175">
    <w:name w:val="Char21"/>
    <w:basedOn w:val="1"/>
    <w:qFormat/>
    <w:uiPriority w:val="99"/>
    <w:rPr>
      <w:rFonts w:ascii="Times New Roman" w:hAnsi="Times New Roman"/>
      <w:sz w:val="21"/>
    </w:rPr>
  </w:style>
  <w:style w:type="paragraph" w:customStyle="1" w:styleId="176">
    <w:name w:val="xl98"/>
    <w:basedOn w:val="1"/>
    <w:qFormat/>
    <w:uiPriority w:val="99"/>
    <w:pPr>
      <w:widowControl/>
      <w:spacing w:before="100" w:beforeAutospacing="1" w:after="100" w:afterAutospacing="1"/>
      <w:jc w:val="center"/>
    </w:pPr>
    <w:rPr>
      <w:rFonts w:cs="宋体"/>
      <w:color w:val="000000"/>
      <w:kern w:val="0"/>
      <w:szCs w:val="24"/>
    </w:rPr>
  </w:style>
  <w:style w:type="paragraph" w:customStyle="1" w:styleId="177">
    <w:name w:val="Char33"/>
    <w:basedOn w:val="1"/>
    <w:next w:val="1"/>
    <w:qFormat/>
    <w:uiPriority w:val="99"/>
    <w:pPr>
      <w:spacing w:line="360" w:lineRule="auto"/>
      <w:ind w:firstLine="200" w:firstLineChars="200"/>
    </w:pPr>
  </w:style>
  <w:style w:type="paragraph" w:customStyle="1" w:styleId="178">
    <w:name w:val="02"/>
    <w:basedOn w:val="1"/>
    <w:qFormat/>
    <w:uiPriority w:val="99"/>
    <w:pPr>
      <w:keepNext/>
      <w:keepLines/>
      <w:spacing w:before="100" w:line="360" w:lineRule="auto"/>
      <w:outlineLvl w:val="0"/>
    </w:pPr>
    <w:rPr>
      <w:rFonts w:ascii="Times New Roman" w:hAnsi="Times New Roman" w:eastAsia="黑体"/>
      <w:color w:val="333333"/>
    </w:rPr>
  </w:style>
  <w:style w:type="paragraph" w:customStyle="1" w:styleId="179">
    <w:name w:val="表格内文字"/>
    <w:basedOn w:val="1"/>
    <w:qFormat/>
    <w:uiPriority w:val="99"/>
    <w:pPr>
      <w:tabs>
        <w:tab w:val="left" w:pos="3780"/>
      </w:tabs>
      <w:adjustRightInd w:val="0"/>
      <w:spacing w:before="60" w:after="60"/>
      <w:ind w:firstLine="200" w:firstLineChars="200"/>
    </w:pPr>
    <w:rPr>
      <w:color w:val="000000"/>
      <w:spacing w:val="8"/>
    </w:rPr>
  </w:style>
  <w:style w:type="paragraph" w:customStyle="1" w:styleId="180">
    <w:name w:val="样式 hb3 + 加粗 两端对齐"/>
    <w:basedOn w:val="5"/>
    <w:next w:val="5"/>
    <w:qFormat/>
    <w:uiPriority w:val="99"/>
    <w:pPr>
      <w:adjustRightInd w:val="0"/>
      <w:spacing w:before="360" w:after="360" w:line="240" w:lineRule="auto"/>
      <w:outlineLvl w:val="0"/>
    </w:pPr>
    <w:rPr>
      <w:rFonts w:ascii="Arial Narrow" w:hAnsi="Arial Narrow" w:eastAsia="汉鼎简书宋"/>
      <w:b w:val="0"/>
      <w:kern w:val="0"/>
      <w:sz w:val="24"/>
    </w:rPr>
  </w:style>
  <w:style w:type="paragraph" w:customStyle="1" w:styleId="181">
    <w:name w:val="正文dh"/>
    <w:basedOn w:val="1"/>
    <w:qFormat/>
    <w:uiPriority w:val="99"/>
    <w:pPr>
      <w:spacing w:line="520" w:lineRule="exact"/>
      <w:ind w:firstLine="482" w:firstLineChars="200"/>
    </w:pPr>
  </w:style>
  <w:style w:type="paragraph" w:customStyle="1" w:styleId="182">
    <w:name w:val="xl31"/>
    <w:basedOn w:val="1"/>
    <w:qFormat/>
    <w:uiPriority w:val="99"/>
    <w:pPr>
      <w:widowControl/>
      <w:pBdr>
        <w:bottom w:val="single" w:color="auto" w:sz="4" w:space="0"/>
        <w:right w:val="single" w:color="auto" w:sz="4" w:space="0"/>
      </w:pBdr>
      <w:spacing w:before="100" w:beforeAutospacing="1" w:after="100" w:afterAutospacing="1" w:line="529" w:lineRule="exact"/>
      <w:ind w:firstLine="200" w:firstLineChars="200"/>
    </w:pPr>
    <w:rPr>
      <w:rFonts w:ascii="Arial Unicode MS" w:hAnsi="Arial Unicode MS" w:eastAsia="Arial Unicode MS"/>
      <w:kern w:val="0"/>
    </w:rPr>
  </w:style>
  <w:style w:type="paragraph" w:customStyle="1" w:styleId="183">
    <w:name w:val="样式2"/>
    <w:basedOn w:val="1"/>
    <w:qFormat/>
    <w:uiPriority w:val="99"/>
    <w:rPr>
      <w:rFonts w:eastAsia="仿宋_GB2312"/>
    </w:rPr>
  </w:style>
  <w:style w:type="character" w:customStyle="1" w:styleId="184">
    <w:name w:val="Char Char6"/>
    <w:link w:val="185"/>
    <w:qFormat/>
    <w:locked/>
    <w:uiPriority w:val="0"/>
    <w:rPr>
      <w:rFonts w:ascii="宋体" w:hAnsi="宋体" w:eastAsia="宋体"/>
      <w:sz w:val="24"/>
    </w:rPr>
  </w:style>
  <w:style w:type="paragraph" w:customStyle="1" w:styleId="185">
    <w:name w:val="正文3"/>
    <w:basedOn w:val="1"/>
    <w:next w:val="1"/>
    <w:link w:val="184"/>
    <w:qFormat/>
    <w:uiPriority w:val="0"/>
    <w:pPr>
      <w:spacing w:line="529" w:lineRule="exact"/>
      <w:ind w:firstLine="420" w:firstLineChars="200"/>
    </w:pPr>
    <w:rPr>
      <w:rFonts w:cstheme="minorBidi"/>
      <w:szCs w:val="22"/>
    </w:rPr>
  </w:style>
  <w:style w:type="paragraph" w:customStyle="1" w:styleId="186">
    <w:name w:val="样式 标题 2 + 段前: 0.5 行 行距: 单倍行距1"/>
    <w:basedOn w:val="4"/>
    <w:qFormat/>
    <w:uiPriority w:val="99"/>
    <w:pPr>
      <w:keepNext w:val="0"/>
      <w:keepLines w:val="0"/>
      <w:tabs>
        <w:tab w:val="left" w:pos="964"/>
      </w:tabs>
      <w:autoSpaceDE w:val="0"/>
      <w:autoSpaceDN w:val="0"/>
      <w:adjustRightInd w:val="0"/>
      <w:snapToGrid w:val="0"/>
      <w:spacing w:before="0" w:beforeLines="100" w:after="0" w:afterLines="50" w:line="240" w:lineRule="auto"/>
      <w:ind w:left="964" w:hanging="737" w:firstLineChars="200"/>
    </w:pPr>
    <w:rPr>
      <w:rFonts w:ascii="Times New Roman" w:hAnsi="Times New Roman"/>
      <w:b w:val="0"/>
      <w:kern w:val="0"/>
    </w:rPr>
  </w:style>
  <w:style w:type="paragraph" w:customStyle="1" w:styleId="187">
    <w:name w:val="样式B"/>
    <w:basedOn w:val="1"/>
    <w:qFormat/>
    <w:uiPriority w:val="99"/>
    <w:pPr>
      <w:adjustRightInd w:val="0"/>
      <w:ind w:firstLine="624"/>
    </w:pPr>
    <w:rPr>
      <w:rFonts w:eastAsia="仿宋_GB2312"/>
      <w:sz w:val="32"/>
    </w:rPr>
  </w:style>
  <w:style w:type="character" w:customStyle="1" w:styleId="188">
    <w:name w:val="大强正文段落格式 Char"/>
    <w:link w:val="189"/>
    <w:qFormat/>
    <w:locked/>
    <w:uiPriority w:val="0"/>
    <w:rPr>
      <w:rFonts w:ascii="Arial Narrow" w:hAnsi="Arial Narrow" w:cs="宋体"/>
      <w:kern w:val="24"/>
      <w:sz w:val="24"/>
      <w:szCs w:val="24"/>
    </w:rPr>
  </w:style>
  <w:style w:type="paragraph" w:customStyle="1" w:styleId="189">
    <w:name w:val="大强正文段落格式"/>
    <w:basedOn w:val="190"/>
    <w:link w:val="188"/>
    <w:qFormat/>
    <w:uiPriority w:val="0"/>
    <w:pPr>
      <w:adjustRightInd w:val="0"/>
      <w:snapToGrid w:val="0"/>
      <w:spacing w:line="440" w:lineRule="exact"/>
      <w:ind w:firstLine="200"/>
      <w:jc w:val="left"/>
    </w:pPr>
    <w:rPr>
      <w:rFonts w:ascii="Arial Narrow" w:hAnsi="Arial Narrow" w:cs="宋体" w:eastAsiaTheme="minorEastAsia"/>
      <w:kern w:val="24"/>
      <w:szCs w:val="24"/>
    </w:rPr>
  </w:style>
  <w:style w:type="paragraph" w:customStyle="1" w:styleId="190">
    <w:name w:val="zhengwen"/>
    <w:basedOn w:val="1"/>
    <w:qFormat/>
    <w:uiPriority w:val="0"/>
    <w:pPr>
      <w:spacing w:line="400" w:lineRule="exact"/>
      <w:ind w:firstLine="480" w:firstLineChars="200"/>
    </w:pPr>
    <w:rPr>
      <w:rFonts w:ascii="Times New Roman" w:hAnsi="Times New Roman"/>
    </w:rPr>
  </w:style>
  <w:style w:type="paragraph" w:customStyle="1" w:styleId="191">
    <w:name w:val="xl57"/>
    <w:basedOn w:val="1"/>
    <w:qFormat/>
    <w:uiPriority w:val="99"/>
    <w:pPr>
      <w:widowControl/>
      <w:pBdr>
        <w:top w:val="single" w:color="auto" w:sz="4" w:space="0"/>
        <w:left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FF0000"/>
      <w:kern w:val="0"/>
      <w:sz w:val="16"/>
      <w:szCs w:val="16"/>
    </w:rPr>
  </w:style>
  <w:style w:type="paragraph" w:customStyle="1" w:styleId="192">
    <w:name w:val="新环保正文"/>
    <w:basedOn w:val="1"/>
    <w:qFormat/>
    <w:uiPriority w:val="99"/>
    <w:pPr>
      <w:snapToGrid w:val="0"/>
      <w:spacing w:line="440" w:lineRule="exact"/>
      <w:ind w:firstLine="480" w:firstLineChars="200"/>
      <w:jc w:val="left"/>
    </w:pPr>
    <w:rPr>
      <w:rFonts w:ascii="Times New Roman" w:hAnsi="Times New Roman" w:cs="宋体"/>
    </w:rPr>
  </w:style>
  <w:style w:type="paragraph" w:customStyle="1" w:styleId="193">
    <w:name w:val="样式 首行缩进:  0.85 厘米 行距: 固定值 26 磅"/>
    <w:basedOn w:val="1"/>
    <w:qFormat/>
    <w:uiPriority w:val="99"/>
    <w:pPr>
      <w:widowControl/>
      <w:spacing w:line="530" w:lineRule="exact"/>
      <w:ind w:firstLine="482"/>
    </w:pPr>
    <w:rPr>
      <w:kern w:val="0"/>
    </w:rPr>
  </w:style>
  <w:style w:type="paragraph" w:customStyle="1" w:styleId="194">
    <w:name w:val="自正文1"/>
    <w:basedOn w:val="1"/>
    <w:qFormat/>
    <w:uiPriority w:val="99"/>
    <w:pPr>
      <w:tabs>
        <w:tab w:val="left" w:pos="0"/>
      </w:tabs>
      <w:adjustRightInd w:val="0"/>
      <w:snapToGrid w:val="0"/>
      <w:spacing w:line="400" w:lineRule="exact"/>
      <w:ind w:firstLine="480"/>
      <w:jc w:val="left"/>
    </w:pPr>
    <w:rPr>
      <w:rFonts w:hAnsi="Times New Roman"/>
      <w:b/>
      <w:kern w:val="24"/>
    </w:rPr>
  </w:style>
  <w:style w:type="paragraph" w:customStyle="1" w:styleId="195">
    <w:name w:val="标注"/>
    <w:next w:val="1"/>
    <w:qFormat/>
    <w:uiPriority w:val="99"/>
    <w:pPr>
      <w:spacing w:before="120" w:after="120"/>
    </w:pPr>
    <w:rPr>
      <w:rFonts w:ascii="Times New Roman" w:hAnsi="Times New Roman" w:eastAsia="宋体" w:cs="Times New Roman"/>
      <w:kern w:val="2"/>
      <w:sz w:val="21"/>
      <w:szCs w:val="24"/>
      <w:lang w:val="en-US" w:eastAsia="zh-CN" w:bidi="ar-SA"/>
    </w:rPr>
  </w:style>
  <w:style w:type="paragraph" w:customStyle="1" w:styleId="196">
    <w:name w:val="Char6"/>
    <w:basedOn w:val="1"/>
    <w:qFormat/>
    <w:uiPriority w:val="99"/>
    <w:pPr>
      <w:spacing w:line="360" w:lineRule="auto"/>
      <w:ind w:firstLine="200" w:firstLineChars="200"/>
    </w:pPr>
    <w:rPr>
      <w:rFonts w:cs="宋体"/>
      <w:szCs w:val="24"/>
    </w:rPr>
  </w:style>
  <w:style w:type="paragraph" w:customStyle="1" w:styleId="197">
    <w:name w:val="样式 首行缩进:  2 字符1"/>
    <w:basedOn w:val="1"/>
    <w:qFormat/>
    <w:uiPriority w:val="99"/>
    <w:pPr>
      <w:topLinePunct/>
      <w:spacing w:line="529" w:lineRule="exact"/>
      <w:ind w:firstLine="480" w:firstLineChars="200"/>
    </w:pPr>
    <w:rPr>
      <w:rFonts w:ascii="Times New Roman" w:hAnsi="Times New Roman" w:cs="宋体"/>
      <w:szCs w:val="24"/>
    </w:rPr>
  </w:style>
  <w:style w:type="character" w:customStyle="1" w:styleId="198">
    <w:name w:val="HP3 Char"/>
    <w:link w:val="199"/>
    <w:qFormat/>
    <w:locked/>
    <w:uiPriority w:val="0"/>
    <w:rPr>
      <w:rFonts w:ascii="黑体" w:hAnsi="宋体" w:eastAsia="黑体"/>
      <w:sz w:val="28"/>
    </w:rPr>
  </w:style>
  <w:style w:type="paragraph" w:customStyle="1" w:styleId="199">
    <w:name w:val="HP3"/>
    <w:basedOn w:val="5"/>
    <w:link w:val="198"/>
    <w:qFormat/>
    <w:uiPriority w:val="0"/>
    <w:pPr>
      <w:spacing w:line="360" w:lineRule="exact"/>
    </w:pPr>
    <w:rPr>
      <w:rFonts w:ascii="黑体" w:hAnsi="宋体" w:eastAsia="黑体" w:cstheme="minorBidi"/>
      <w:b w:val="0"/>
      <w:sz w:val="28"/>
      <w:szCs w:val="22"/>
    </w:rPr>
  </w:style>
  <w:style w:type="paragraph" w:customStyle="1" w:styleId="200">
    <w:name w:val="样式 标题 2 + 段前: 0.5 行 行距: 单倍行距"/>
    <w:basedOn w:val="4"/>
    <w:qFormat/>
    <w:uiPriority w:val="99"/>
    <w:pPr>
      <w:keepNext w:val="0"/>
      <w:keepLines w:val="0"/>
      <w:tabs>
        <w:tab w:val="left" w:pos="964"/>
      </w:tabs>
      <w:autoSpaceDE w:val="0"/>
      <w:autoSpaceDN w:val="0"/>
      <w:adjustRightInd w:val="0"/>
      <w:snapToGrid w:val="0"/>
      <w:spacing w:before="0" w:beforeLines="100" w:after="0" w:line="360" w:lineRule="auto"/>
      <w:ind w:left="964" w:hanging="737" w:firstLineChars="200"/>
    </w:pPr>
    <w:rPr>
      <w:rFonts w:ascii="Times New Roman" w:hAnsi="Times New Roman"/>
      <w:b w:val="0"/>
      <w:kern w:val="44"/>
    </w:rPr>
  </w:style>
  <w:style w:type="paragraph" w:customStyle="1" w:styleId="201">
    <w:name w:val="文本框文字"/>
    <w:basedOn w:val="32"/>
    <w:qFormat/>
    <w:uiPriority w:val="99"/>
    <w:pPr>
      <w:spacing w:line="240" w:lineRule="auto"/>
      <w:ind w:firstLine="0" w:firstLineChars="0"/>
    </w:pPr>
    <w:rPr>
      <w:rFonts w:ascii="Times New Roman" w:hAnsi="Times New Roman"/>
      <w:spacing w:val="10"/>
      <w:sz w:val="21"/>
    </w:rPr>
  </w:style>
  <w:style w:type="paragraph" w:customStyle="1" w:styleId="202">
    <w:name w:val="样式6"/>
    <w:basedOn w:val="8"/>
    <w:qFormat/>
    <w:uiPriority w:val="99"/>
    <w:pPr>
      <w:tabs>
        <w:tab w:val="left" w:pos="1247"/>
        <w:tab w:val="clear" w:pos="1152"/>
      </w:tabs>
      <w:spacing w:before="0" w:after="0" w:line="360" w:lineRule="auto"/>
      <w:ind w:left="0" w:firstLine="420"/>
    </w:pPr>
    <w:rPr>
      <w:rFonts w:eastAsia="宋体"/>
      <w:color w:val="000000"/>
      <w:sz w:val="28"/>
    </w:rPr>
  </w:style>
  <w:style w:type="paragraph" w:customStyle="1" w:styleId="203">
    <w:name w:val="列出段落1"/>
    <w:basedOn w:val="1"/>
    <w:qFormat/>
    <w:uiPriority w:val="99"/>
    <w:pPr>
      <w:topLinePunct/>
      <w:spacing w:line="529" w:lineRule="exact"/>
      <w:ind w:left="720" w:firstLine="200" w:firstLineChars="200"/>
    </w:pPr>
    <w:rPr>
      <w:rFonts w:eastAsia="汉鼎简书宋"/>
    </w:rPr>
  </w:style>
  <w:style w:type="paragraph" w:customStyle="1" w:styleId="204">
    <w:name w:val="font0"/>
    <w:basedOn w:val="1"/>
    <w:qFormat/>
    <w:uiPriority w:val="99"/>
    <w:pPr>
      <w:widowControl/>
      <w:spacing w:before="100" w:beforeAutospacing="1" w:after="100" w:afterAutospacing="1" w:line="529" w:lineRule="exact"/>
      <w:ind w:firstLine="482"/>
    </w:pPr>
    <w:rPr>
      <w:kern w:val="0"/>
    </w:rPr>
  </w:style>
  <w:style w:type="paragraph" w:customStyle="1" w:styleId="205">
    <w:name w:val="表格样式"/>
    <w:basedOn w:val="1"/>
    <w:qFormat/>
    <w:uiPriority w:val="99"/>
    <w:pPr>
      <w:spacing w:line="360" w:lineRule="exact"/>
      <w:jc w:val="center"/>
    </w:pPr>
    <w:rPr>
      <w:sz w:val="21"/>
      <w:szCs w:val="24"/>
    </w:rPr>
  </w:style>
  <w:style w:type="paragraph" w:customStyle="1" w:styleId="206">
    <w:name w:val="正文文本缩进 32"/>
    <w:basedOn w:val="1"/>
    <w:qFormat/>
    <w:uiPriority w:val="99"/>
    <w:pPr>
      <w:adjustRightInd w:val="0"/>
      <w:ind w:firstLine="560"/>
    </w:pPr>
    <w:rPr>
      <w:sz w:val="28"/>
    </w:rPr>
  </w:style>
  <w:style w:type="paragraph" w:customStyle="1" w:styleId="207">
    <w:name w:val="表内文字"/>
    <w:basedOn w:val="1"/>
    <w:qFormat/>
    <w:uiPriority w:val="99"/>
    <w:rPr>
      <w:rFonts w:ascii="Times New Roman" w:hAnsi="Times New Roman" w:eastAsia="仿宋_GB2312"/>
      <w:sz w:val="21"/>
      <w:szCs w:val="24"/>
    </w:rPr>
  </w:style>
  <w:style w:type="paragraph" w:customStyle="1" w:styleId="208">
    <w:name w:val="Char15"/>
    <w:basedOn w:val="1"/>
    <w:qFormat/>
    <w:uiPriority w:val="99"/>
    <w:pPr>
      <w:spacing w:line="560" w:lineRule="exact"/>
      <w:ind w:firstLine="200" w:firstLineChars="200"/>
    </w:pPr>
    <w:rPr>
      <w:rFonts w:cs="宋体"/>
      <w:szCs w:val="24"/>
    </w:rPr>
  </w:style>
  <w:style w:type="paragraph" w:customStyle="1" w:styleId="209">
    <w:name w:val="样式 样式 表文字 + 左  4 字符 + 左  4 字符"/>
    <w:basedOn w:val="1"/>
    <w:qFormat/>
    <w:uiPriority w:val="99"/>
    <w:pPr>
      <w:topLinePunct/>
      <w:adjustRightInd w:val="0"/>
      <w:spacing w:line="240" w:lineRule="exact"/>
    </w:pPr>
  </w:style>
  <w:style w:type="paragraph" w:customStyle="1" w:styleId="210">
    <w:name w:val="Char Char Char2 Char Char Char Char1"/>
    <w:basedOn w:val="1"/>
    <w:qFormat/>
    <w:uiPriority w:val="99"/>
    <w:pPr>
      <w:spacing w:line="360" w:lineRule="auto"/>
      <w:ind w:firstLine="200" w:firstLineChars="200"/>
    </w:pPr>
    <w:rPr>
      <w:rFonts w:cs="宋体"/>
      <w:szCs w:val="24"/>
    </w:rPr>
  </w:style>
  <w:style w:type="paragraph" w:customStyle="1" w:styleId="211">
    <w:name w:val="xl81"/>
    <w:basedOn w:val="1"/>
    <w:qFormat/>
    <w:uiPriority w:val="99"/>
    <w:pPr>
      <w:widowControl/>
      <w:pBdr>
        <w:right w:val="single" w:color="auto" w:sz="8" w:space="0"/>
      </w:pBdr>
      <w:spacing w:before="100" w:beforeAutospacing="1" w:after="100" w:afterAutospacing="1"/>
      <w:jc w:val="center"/>
    </w:pPr>
    <w:rPr>
      <w:rFonts w:ascii="Times New Roman" w:hAnsi="Times New Roman"/>
      <w:kern w:val="0"/>
      <w:szCs w:val="24"/>
    </w:rPr>
  </w:style>
  <w:style w:type="paragraph" w:customStyle="1" w:styleId="212">
    <w:name w:val="et17"/>
    <w:basedOn w:val="1"/>
    <w:qFormat/>
    <w:uiPriority w:val="99"/>
    <w:pPr>
      <w:widowControl/>
      <w:pBdr>
        <w:top w:val="single" w:color="000000" w:sz="4" w:space="0"/>
        <w:left w:val="single" w:color="000000" w:sz="4" w:space="0"/>
        <w:bottom w:val="single" w:color="000000" w:sz="4" w:space="0"/>
      </w:pBdr>
      <w:spacing w:before="100" w:beforeAutospacing="1" w:after="100" w:afterAutospacing="1"/>
      <w:jc w:val="center"/>
    </w:pPr>
    <w:rPr>
      <w:rFonts w:cs="宋体"/>
      <w:color w:val="000000"/>
      <w:kern w:val="0"/>
      <w:sz w:val="20"/>
    </w:rPr>
  </w:style>
  <w:style w:type="paragraph" w:customStyle="1" w:styleId="213">
    <w:name w:val="7"/>
    <w:qFormat/>
    <w:uiPriority w:val="99"/>
    <w:pPr>
      <w:widowControl w:val="0"/>
      <w:jc w:val="both"/>
    </w:pPr>
    <w:rPr>
      <w:rFonts w:ascii="宋体" w:hAnsi="宋体" w:eastAsia="宋体" w:cs="Times New Roman"/>
      <w:kern w:val="2"/>
      <w:sz w:val="24"/>
      <w:lang w:val="en-US" w:eastAsia="zh-CN" w:bidi="ar-SA"/>
    </w:rPr>
  </w:style>
  <w:style w:type="character" w:customStyle="1" w:styleId="214">
    <w:name w:val="008 Char"/>
    <w:link w:val="215"/>
    <w:qFormat/>
    <w:locked/>
    <w:uiPriority w:val="0"/>
    <w:rPr>
      <w:rFonts w:ascii="宋体" w:hAnsi="宋体" w:eastAsia="宋体"/>
      <w:sz w:val="28"/>
      <w:szCs w:val="28"/>
    </w:rPr>
  </w:style>
  <w:style w:type="paragraph" w:customStyle="1" w:styleId="215">
    <w:name w:val="008"/>
    <w:basedOn w:val="1"/>
    <w:link w:val="214"/>
    <w:qFormat/>
    <w:uiPriority w:val="0"/>
    <w:pPr>
      <w:adjustRightInd w:val="0"/>
      <w:ind w:firstLine="200" w:firstLineChars="200"/>
    </w:pPr>
    <w:rPr>
      <w:rFonts w:cstheme="minorBidi"/>
      <w:sz w:val="28"/>
      <w:szCs w:val="28"/>
    </w:rPr>
  </w:style>
  <w:style w:type="paragraph" w:customStyle="1" w:styleId="216">
    <w:name w:val="样式 标题 3 + 段前: 1 行 行距: 单倍行距1"/>
    <w:basedOn w:val="5"/>
    <w:qFormat/>
    <w:uiPriority w:val="99"/>
    <w:pPr>
      <w:keepNext w:val="0"/>
      <w:keepLines w:val="0"/>
      <w:tabs>
        <w:tab w:val="left" w:pos="1080"/>
      </w:tabs>
      <w:autoSpaceDE w:val="0"/>
      <w:autoSpaceDN w:val="0"/>
      <w:adjustRightInd w:val="0"/>
      <w:snapToGrid w:val="0"/>
      <w:spacing w:before="0" w:beforeLines="100" w:after="0" w:line="360" w:lineRule="auto"/>
      <w:ind w:left="227" w:hanging="227" w:firstLineChars="200"/>
    </w:pPr>
    <w:rPr>
      <w:rFonts w:eastAsia="黑体"/>
      <w:b w:val="0"/>
      <w:kern w:val="0"/>
      <w:sz w:val="30"/>
    </w:rPr>
  </w:style>
  <w:style w:type="paragraph" w:customStyle="1" w:styleId="217">
    <w:name w:val="样式 首行缩进:  2 字符 行距: 固定值 25 磅"/>
    <w:basedOn w:val="1"/>
    <w:next w:val="1"/>
    <w:qFormat/>
    <w:uiPriority w:val="99"/>
    <w:pPr>
      <w:topLinePunct/>
      <w:spacing w:line="529" w:lineRule="exact"/>
      <w:ind w:firstLine="200" w:firstLineChars="200"/>
    </w:pPr>
    <w:rPr>
      <w:rFonts w:eastAsia="汉鼎简书宋"/>
    </w:rPr>
  </w:style>
  <w:style w:type="paragraph" w:customStyle="1" w:styleId="218">
    <w:name w:val="样式 标题 3 + 段前: 1 行2"/>
    <w:basedOn w:val="5"/>
    <w:qFormat/>
    <w:uiPriority w:val="99"/>
    <w:pPr>
      <w:keepNext w:val="0"/>
      <w:keepLines w:val="0"/>
      <w:tabs>
        <w:tab w:val="left" w:pos="1080"/>
      </w:tabs>
      <w:autoSpaceDE w:val="0"/>
      <w:autoSpaceDN w:val="0"/>
      <w:adjustRightInd w:val="0"/>
      <w:snapToGrid w:val="0"/>
      <w:spacing w:before="0" w:beforeLines="50" w:after="0" w:line="300" w:lineRule="auto"/>
      <w:ind w:left="227" w:hanging="227" w:firstLineChars="200"/>
    </w:pPr>
    <w:rPr>
      <w:rFonts w:eastAsia="黑体"/>
      <w:b w:val="0"/>
      <w:spacing w:val="10"/>
      <w:kern w:val="0"/>
      <w:sz w:val="30"/>
    </w:rPr>
  </w:style>
  <w:style w:type="paragraph" w:customStyle="1" w:styleId="219">
    <w:name w:val="样式 首行缩进:  2 字符 行距: 1.5 倍行距"/>
    <w:basedOn w:val="1"/>
    <w:qFormat/>
    <w:uiPriority w:val="99"/>
    <w:pPr>
      <w:spacing w:line="360" w:lineRule="auto"/>
      <w:ind w:firstLine="520" w:firstLineChars="200"/>
    </w:pPr>
    <w:rPr>
      <w:kern w:val="0"/>
    </w:rPr>
  </w:style>
  <w:style w:type="paragraph" w:customStyle="1" w:styleId="220">
    <w:name w:val="text"/>
    <w:basedOn w:val="1"/>
    <w:qFormat/>
    <w:uiPriority w:val="99"/>
    <w:pPr>
      <w:widowControl/>
      <w:spacing w:before="100" w:beforeAutospacing="1" w:after="100" w:afterAutospacing="1"/>
      <w:jc w:val="left"/>
    </w:pPr>
    <w:rPr>
      <w:kern w:val="0"/>
      <w:sz w:val="17"/>
      <w:szCs w:val="17"/>
    </w:rPr>
  </w:style>
  <w:style w:type="paragraph" w:customStyle="1" w:styleId="221">
    <w:name w:val="xl65"/>
    <w:basedOn w:val="1"/>
    <w:qFormat/>
    <w:uiPriority w:val="0"/>
    <w:pPr>
      <w:widowControl/>
      <w:pBdr>
        <w:left w:val="single" w:color="auto" w:sz="4" w:space="0"/>
      </w:pBdr>
      <w:spacing w:before="100" w:beforeAutospacing="1" w:after="100" w:afterAutospacing="1"/>
    </w:pPr>
    <w:rPr>
      <w:rFonts w:ascii="Arial Unicode MS" w:hAnsi="Arial Unicode MS" w:eastAsia="Arial Unicode MS"/>
      <w:kern w:val="0"/>
    </w:rPr>
  </w:style>
  <w:style w:type="paragraph" w:customStyle="1" w:styleId="222">
    <w:name w:val="默认段落字体 Para Char Char Char Char Char Char Char Char Char Char"/>
    <w:basedOn w:val="5"/>
    <w:qFormat/>
    <w:uiPriority w:val="99"/>
    <w:pPr>
      <w:tabs>
        <w:tab w:val="left" w:pos="360"/>
        <w:tab w:val="left" w:pos="900"/>
      </w:tabs>
      <w:snapToGrid w:val="0"/>
      <w:spacing w:before="120" w:after="120" w:line="360" w:lineRule="auto"/>
      <w:ind w:left="542" w:leftChars="-12" w:firstLine="200" w:firstLineChars="200"/>
      <w:jc w:val="left"/>
    </w:pPr>
    <w:rPr>
      <w:spacing w:val="5"/>
    </w:rPr>
  </w:style>
  <w:style w:type="paragraph" w:customStyle="1" w:styleId="223">
    <w:name w:val="hp1"/>
    <w:basedOn w:val="3"/>
    <w:qFormat/>
    <w:uiPriority w:val="99"/>
    <w:pPr>
      <w:adjustRightInd w:val="0"/>
      <w:spacing w:line="578" w:lineRule="atLeast"/>
      <w:ind w:firstLine="200" w:firstLineChars="200"/>
    </w:pPr>
    <w:rPr>
      <w:rFonts w:ascii="黑体" w:hAnsi="宋体" w:eastAsia="黑体"/>
      <w:sz w:val="32"/>
    </w:rPr>
  </w:style>
  <w:style w:type="paragraph" w:customStyle="1" w:styleId="224">
    <w:name w:val="HP-3"/>
    <w:basedOn w:val="1"/>
    <w:next w:val="4"/>
    <w:qFormat/>
    <w:uiPriority w:val="99"/>
    <w:pPr>
      <w:widowControl/>
      <w:spacing w:before="100" w:beforeAutospacing="1" w:after="100" w:afterAutospacing="1" w:line="530" w:lineRule="exact"/>
      <w:outlineLvl w:val="0"/>
    </w:pPr>
    <w:rPr>
      <w:b/>
      <w:sz w:val="30"/>
    </w:rPr>
  </w:style>
  <w:style w:type="paragraph" w:customStyle="1" w:styleId="225">
    <w:name w:val="xl24"/>
    <w:basedOn w:val="1"/>
    <w:qFormat/>
    <w:uiPriority w:val="99"/>
    <w:pPr>
      <w:widowControl/>
      <w:pBdr>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Arial Unicode MS"/>
      <w:kern w:val="0"/>
    </w:rPr>
  </w:style>
  <w:style w:type="paragraph" w:customStyle="1" w:styleId="226">
    <w:name w:val="Char4 Char Char Char"/>
    <w:basedOn w:val="1"/>
    <w:qFormat/>
    <w:uiPriority w:val="99"/>
    <w:pPr>
      <w:adjustRightInd w:val="0"/>
      <w:snapToGrid w:val="0"/>
      <w:spacing w:beforeLines="100" w:line="440" w:lineRule="exact"/>
      <w:ind w:firstLine="200" w:firstLineChars="200"/>
    </w:pPr>
    <w:rPr>
      <w:rFonts w:ascii="Times New Roman" w:hAnsi="Times New Roman"/>
      <w:bCs/>
      <w:color w:val="008000"/>
      <w:sz w:val="21"/>
    </w:rPr>
  </w:style>
  <w:style w:type="character" w:customStyle="1" w:styleId="227">
    <w:name w:val="first Char"/>
    <w:link w:val="228"/>
    <w:qFormat/>
    <w:locked/>
    <w:uiPriority w:val="0"/>
    <w:rPr>
      <w:b/>
      <w:kern w:val="44"/>
      <w:sz w:val="36"/>
    </w:rPr>
  </w:style>
  <w:style w:type="paragraph" w:customStyle="1" w:styleId="228">
    <w:name w:val="first"/>
    <w:basedOn w:val="3"/>
    <w:link w:val="227"/>
    <w:qFormat/>
    <w:uiPriority w:val="0"/>
    <w:pPr>
      <w:spacing w:before="100" w:beforeAutospacing="1" w:after="100" w:afterAutospacing="1" w:line="578" w:lineRule="exact"/>
      <w:jc w:val="center"/>
    </w:pPr>
    <w:rPr>
      <w:rFonts w:asciiTheme="minorHAnsi" w:hAnsiTheme="minorHAnsi" w:eastAsiaTheme="minorEastAsia" w:cstheme="minorBidi"/>
      <w:sz w:val="36"/>
      <w:szCs w:val="22"/>
    </w:rPr>
  </w:style>
  <w:style w:type="paragraph" w:customStyle="1" w:styleId="229">
    <w:name w:val="Char Char Char1 Char"/>
    <w:basedOn w:val="1"/>
    <w:next w:val="1"/>
    <w:qFormat/>
    <w:uiPriority w:val="99"/>
    <w:pPr>
      <w:spacing w:line="360" w:lineRule="auto"/>
      <w:ind w:firstLine="200" w:firstLineChars="200"/>
    </w:pPr>
  </w:style>
  <w:style w:type="paragraph" w:customStyle="1" w:styleId="230">
    <w:name w:val="图标号"/>
    <w:basedOn w:val="1"/>
    <w:qFormat/>
    <w:uiPriority w:val="99"/>
    <w:pPr>
      <w:tabs>
        <w:tab w:val="left" w:pos="0"/>
      </w:tabs>
      <w:spacing w:afterLines="50"/>
      <w:ind w:firstLine="288"/>
    </w:pPr>
    <w:rPr>
      <w:rFonts w:eastAsia="仿宋_GB2312"/>
      <w:b/>
    </w:rPr>
  </w:style>
  <w:style w:type="paragraph" w:customStyle="1" w:styleId="231">
    <w:name w:val="样式 题注 + 居中"/>
    <w:basedOn w:val="17"/>
    <w:next w:val="1"/>
    <w:qFormat/>
    <w:uiPriority w:val="99"/>
    <w:pPr>
      <w:spacing w:before="120" w:after="120"/>
    </w:pPr>
    <w:rPr>
      <w:rFonts w:eastAsia="楷体_GB2312"/>
      <w:b/>
      <w:sz w:val="24"/>
    </w:rPr>
  </w:style>
  <w:style w:type="paragraph" w:customStyle="1" w:styleId="232">
    <w:name w:val="样式 标题 1 + 段前: 8.25 磅"/>
    <w:basedOn w:val="3"/>
    <w:qFormat/>
    <w:uiPriority w:val="99"/>
    <w:pPr>
      <w:pageBreakBefore/>
      <w:autoSpaceDE w:val="0"/>
      <w:autoSpaceDN w:val="0"/>
      <w:adjustRightInd w:val="0"/>
      <w:spacing w:before="0" w:beforeLines="100" w:after="240" w:line="360" w:lineRule="auto"/>
      <w:ind w:left="567" w:hanging="567"/>
    </w:pPr>
    <w:rPr>
      <w:rFonts w:eastAsia="黑体"/>
      <w:b w:val="0"/>
      <w:spacing w:val="10"/>
      <w:sz w:val="36"/>
    </w:rPr>
  </w:style>
  <w:style w:type="paragraph" w:customStyle="1" w:styleId="233">
    <w:name w:val="xl71"/>
    <w:basedOn w:val="1"/>
    <w:qFormat/>
    <w:uiPriority w:val="99"/>
    <w:pPr>
      <w:widowControl/>
      <w:pBdr>
        <w:right w:val="single" w:color="auto" w:sz="8" w:space="0"/>
      </w:pBdr>
      <w:spacing w:before="100" w:beforeAutospacing="1" w:after="100" w:afterAutospacing="1"/>
    </w:pPr>
    <w:rPr>
      <w:rFonts w:cs="宋体"/>
      <w:kern w:val="0"/>
      <w:szCs w:val="24"/>
    </w:rPr>
  </w:style>
  <w:style w:type="paragraph" w:customStyle="1" w:styleId="234">
    <w:name w:val="Char Char Char Char"/>
    <w:basedOn w:val="1"/>
    <w:next w:val="1"/>
    <w:qFormat/>
    <w:uiPriority w:val="99"/>
    <w:pPr>
      <w:spacing w:line="360" w:lineRule="auto"/>
      <w:ind w:firstLine="200" w:firstLineChars="200"/>
    </w:pPr>
  </w:style>
  <w:style w:type="character" w:customStyle="1" w:styleId="235">
    <w:name w:val="图号 Char"/>
    <w:link w:val="236"/>
    <w:qFormat/>
    <w:locked/>
    <w:uiPriority w:val="0"/>
    <w:rPr>
      <w:b/>
      <w:kern w:val="32"/>
      <w:sz w:val="24"/>
    </w:rPr>
  </w:style>
  <w:style w:type="paragraph" w:customStyle="1" w:styleId="236">
    <w:name w:val="图号"/>
    <w:basedOn w:val="7"/>
    <w:link w:val="235"/>
    <w:qFormat/>
    <w:uiPriority w:val="0"/>
    <w:pPr>
      <w:adjustRightInd w:val="0"/>
      <w:spacing w:line="240" w:lineRule="auto"/>
      <w:ind w:left="0" w:firstLine="420"/>
    </w:pPr>
    <w:rPr>
      <w:rFonts w:asciiTheme="minorHAnsi" w:hAnsiTheme="minorHAnsi" w:eastAsiaTheme="minorEastAsia" w:cstheme="minorBidi"/>
      <w:kern w:val="32"/>
      <w:sz w:val="24"/>
      <w:szCs w:val="22"/>
    </w:rPr>
  </w:style>
  <w:style w:type="paragraph" w:customStyle="1" w:styleId="237">
    <w:name w:val="样式 样式 样式 标题4 + 段前: 0.5 行 + 段前: 0.5 行 + 段前: 0.5 行"/>
    <w:basedOn w:val="1"/>
    <w:qFormat/>
    <w:uiPriority w:val="99"/>
    <w:pPr>
      <w:tabs>
        <w:tab w:val="left" w:pos="1080"/>
        <w:tab w:val="left" w:pos="3450"/>
      </w:tabs>
      <w:autoSpaceDE w:val="0"/>
      <w:autoSpaceDN w:val="0"/>
      <w:adjustRightInd w:val="0"/>
      <w:snapToGrid w:val="0"/>
      <w:spacing w:beforeLines="50" w:line="360" w:lineRule="auto"/>
      <w:ind w:left="170" w:hanging="1405"/>
      <w:outlineLvl w:val="3"/>
    </w:pPr>
    <w:rPr>
      <w:rFonts w:eastAsia="黑体"/>
      <w:kern w:val="0"/>
      <w:sz w:val="28"/>
    </w:rPr>
  </w:style>
  <w:style w:type="paragraph" w:customStyle="1" w:styleId="238">
    <w:name w:val="样式8"/>
    <w:basedOn w:val="1"/>
    <w:qFormat/>
    <w:uiPriority w:val="99"/>
    <w:pPr>
      <w:spacing w:line="529" w:lineRule="exact"/>
      <w:ind w:firstLine="499"/>
    </w:pPr>
    <w:rPr>
      <w:rFonts w:eastAsia="汉鼎简书宋"/>
      <w:sz w:val="28"/>
    </w:rPr>
  </w:style>
  <w:style w:type="character" w:customStyle="1" w:styleId="239">
    <w:name w:val="於正文 Char Char Char"/>
    <w:link w:val="240"/>
    <w:qFormat/>
    <w:locked/>
    <w:uiPriority w:val="0"/>
    <w:rPr>
      <w:rFonts w:ascii="仿宋_GB2312" w:hAnsi="仿宋_GB2312" w:eastAsia="仿宋_GB2312"/>
      <w:color w:val="0000FF"/>
      <w:sz w:val="30"/>
      <w:szCs w:val="24"/>
    </w:rPr>
  </w:style>
  <w:style w:type="paragraph" w:customStyle="1" w:styleId="240">
    <w:name w:val="於正文 Char Char"/>
    <w:basedOn w:val="1"/>
    <w:link w:val="239"/>
    <w:qFormat/>
    <w:uiPriority w:val="0"/>
    <w:pPr>
      <w:spacing w:line="360" w:lineRule="auto"/>
      <w:ind w:firstLine="200" w:firstLineChars="200"/>
    </w:pPr>
    <w:rPr>
      <w:rFonts w:ascii="仿宋_GB2312" w:hAnsi="仿宋_GB2312" w:eastAsia="仿宋_GB2312" w:cstheme="minorBidi"/>
      <w:color w:val="0000FF"/>
      <w:sz w:val="30"/>
      <w:szCs w:val="24"/>
    </w:rPr>
  </w:style>
  <w:style w:type="character" w:customStyle="1" w:styleId="241">
    <w:name w:val="正文文本缩进 Char"/>
    <w:link w:val="242"/>
    <w:qFormat/>
    <w:locked/>
    <w:uiPriority w:val="0"/>
    <w:rPr>
      <w:sz w:val="24"/>
    </w:rPr>
  </w:style>
  <w:style w:type="paragraph" w:customStyle="1" w:styleId="242">
    <w:name w:val="正文文本缩进1"/>
    <w:basedOn w:val="1"/>
    <w:link w:val="241"/>
    <w:qFormat/>
    <w:uiPriority w:val="0"/>
    <w:pPr>
      <w:spacing w:after="120"/>
      <w:ind w:left="420" w:leftChars="200"/>
    </w:pPr>
    <w:rPr>
      <w:rFonts w:asciiTheme="minorHAnsi" w:hAnsiTheme="minorHAnsi" w:eastAsiaTheme="minorEastAsia" w:cstheme="minorBidi"/>
      <w:szCs w:val="22"/>
    </w:rPr>
  </w:style>
  <w:style w:type="paragraph" w:customStyle="1" w:styleId="243">
    <w:name w:val="xl82"/>
    <w:basedOn w:val="1"/>
    <w:qFormat/>
    <w:uiPriority w:val="99"/>
    <w:pPr>
      <w:widowControl/>
      <w:pBdr>
        <w:bottom w:val="single" w:color="auto" w:sz="8" w:space="0"/>
        <w:right w:val="single" w:color="auto" w:sz="8" w:space="0"/>
      </w:pBdr>
      <w:spacing w:before="100" w:beforeAutospacing="1" w:after="100" w:afterAutospacing="1"/>
      <w:jc w:val="left"/>
    </w:pPr>
    <w:rPr>
      <w:rFonts w:cs="宋体"/>
      <w:kern w:val="0"/>
      <w:szCs w:val="24"/>
    </w:rPr>
  </w:style>
  <w:style w:type="paragraph" w:customStyle="1" w:styleId="244">
    <w:name w:val="xl2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cs="宋体"/>
      <w:kern w:val="0"/>
      <w:sz w:val="20"/>
    </w:rPr>
  </w:style>
  <w:style w:type="paragraph" w:customStyle="1" w:styleId="245">
    <w:name w:val="样式10"/>
    <w:basedOn w:val="32"/>
    <w:qFormat/>
    <w:uiPriority w:val="99"/>
    <w:pPr>
      <w:topLinePunct/>
      <w:spacing w:line="500" w:lineRule="exact"/>
      <w:ind w:firstLine="480"/>
    </w:pPr>
    <w:rPr>
      <w:rFonts w:hAnsi="Courier New" w:eastAsia="汉鼎简书宋"/>
      <w:b/>
      <w:sz w:val="28"/>
    </w:rPr>
  </w:style>
  <w:style w:type="paragraph" w:customStyle="1" w:styleId="246">
    <w:name w:val="样式 kk5 + 段前: 0.4 行 段后: 0.4 行"/>
    <w:basedOn w:val="1"/>
    <w:qFormat/>
    <w:uiPriority w:val="99"/>
    <w:pPr>
      <w:keepNext/>
      <w:keepLines/>
      <w:spacing w:line="500" w:lineRule="exact"/>
      <w:ind w:firstLine="200" w:firstLineChars="200"/>
      <w:outlineLvl w:val="4"/>
    </w:pPr>
  </w:style>
  <w:style w:type="paragraph" w:customStyle="1" w:styleId="247">
    <w:name w:val="样式 hb1 + 宋体"/>
    <w:basedOn w:val="3"/>
    <w:qFormat/>
    <w:uiPriority w:val="99"/>
    <w:pPr>
      <w:adjustRightInd w:val="0"/>
      <w:spacing w:line="578" w:lineRule="atLeast"/>
    </w:pPr>
    <w:rPr>
      <w:sz w:val="28"/>
    </w:rPr>
  </w:style>
  <w:style w:type="paragraph" w:customStyle="1" w:styleId="248">
    <w:name w:val="表格"/>
    <w:basedOn w:val="1"/>
    <w:qFormat/>
    <w:uiPriority w:val="99"/>
    <w:pPr>
      <w:snapToGrid w:val="0"/>
      <w:spacing w:line="240" w:lineRule="atLeast"/>
    </w:pPr>
  </w:style>
  <w:style w:type="paragraph" w:customStyle="1" w:styleId="249">
    <w:name w:val="font8"/>
    <w:basedOn w:val="1"/>
    <w:qFormat/>
    <w:uiPriority w:val="99"/>
    <w:pPr>
      <w:widowControl/>
      <w:spacing w:before="100" w:beforeAutospacing="1" w:after="100" w:afterAutospacing="1"/>
    </w:pPr>
    <w:rPr>
      <w:rFonts w:eastAsia="Arial Unicode MS"/>
      <w:kern w:val="0"/>
      <w:sz w:val="28"/>
    </w:rPr>
  </w:style>
  <w:style w:type="character" w:customStyle="1" w:styleId="250">
    <w:name w:val="样式 hb2 + 黑体 Char"/>
    <w:link w:val="251"/>
    <w:qFormat/>
    <w:locked/>
    <w:uiPriority w:val="0"/>
    <w:rPr>
      <w:rFonts w:ascii="黑体" w:hAnsi="黑体" w:eastAsia="黑体"/>
      <w:b/>
      <w:sz w:val="28"/>
    </w:rPr>
  </w:style>
  <w:style w:type="paragraph" w:customStyle="1" w:styleId="251">
    <w:name w:val="样式 hb2 + 黑体"/>
    <w:basedOn w:val="4"/>
    <w:link w:val="250"/>
    <w:qFormat/>
    <w:uiPriority w:val="0"/>
    <w:pPr>
      <w:widowControl/>
      <w:adjustRightInd w:val="0"/>
      <w:spacing w:before="360" w:after="480" w:line="416" w:lineRule="atLeast"/>
    </w:pPr>
    <w:rPr>
      <w:rFonts w:ascii="黑体" w:hAnsi="黑体" w:cstheme="minorBidi"/>
      <w:sz w:val="28"/>
      <w:szCs w:val="22"/>
    </w:rPr>
  </w:style>
  <w:style w:type="paragraph" w:customStyle="1" w:styleId="252">
    <w:name w:val="xl27"/>
    <w:basedOn w:val="1"/>
    <w:qFormat/>
    <w:uiPriority w:val="99"/>
    <w:pPr>
      <w:widowControl/>
      <w:pBdr>
        <w:bottom w:val="single" w:color="auto" w:sz="4" w:space="0"/>
      </w:pBdr>
      <w:spacing w:before="100" w:beforeAutospacing="1" w:after="100" w:afterAutospacing="1" w:line="529" w:lineRule="exact"/>
      <w:ind w:firstLine="420"/>
    </w:pPr>
    <w:rPr>
      <w:rFonts w:eastAsia="汉鼎简书宋"/>
      <w:b/>
      <w:kern w:val="0"/>
    </w:rPr>
  </w:style>
  <w:style w:type="paragraph" w:customStyle="1" w:styleId="253">
    <w:name w:val="Char Char Char2 Char Char Char Char"/>
    <w:basedOn w:val="1"/>
    <w:qFormat/>
    <w:uiPriority w:val="99"/>
    <w:pPr>
      <w:spacing w:line="360" w:lineRule="auto"/>
      <w:ind w:firstLine="200" w:firstLineChars="200"/>
    </w:pPr>
    <w:rPr>
      <w:rFonts w:cs="宋体"/>
      <w:szCs w:val="24"/>
    </w:rPr>
  </w:style>
  <w:style w:type="paragraph" w:customStyle="1" w:styleId="254">
    <w:name w:val="样式 标题 3 + 段前: 0.5 行 行距: 1.5 倍行距"/>
    <w:basedOn w:val="5"/>
    <w:qFormat/>
    <w:uiPriority w:val="99"/>
    <w:pPr>
      <w:keepNext w:val="0"/>
      <w:keepLines w:val="0"/>
      <w:tabs>
        <w:tab w:val="left" w:pos="1080"/>
      </w:tabs>
      <w:autoSpaceDE w:val="0"/>
      <w:autoSpaceDN w:val="0"/>
      <w:adjustRightInd w:val="0"/>
      <w:snapToGrid w:val="0"/>
      <w:spacing w:before="0" w:beforeLines="100" w:after="0" w:line="360" w:lineRule="auto"/>
      <w:ind w:left="227" w:hanging="227" w:firstLineChars="200"/>
    </w:pPr>
    <w:rPr>
      <w:rFonts w:eastAsia="黑体"/>
      <w:b w:val="0"/>
      <w:kern w:val="0"/>
      <w:sz w:val="30"/>
    </w:rPr>
  </w:style>
  <w:style w:type="paragraph" w:customStyle="1" w:styleId="255">
    <w:name w:val="xl50"/>
    <w:basedOn w:val="1"/>
    <w:qFormat/>
    <w:uiPriority w:val="99"/>
    <w:pPr>
      <w:widowControl/>
      <w:pBdr>
        <w:top w:val="single" w:color="auto" w:sz="4" w:space="0"/>
        <w:left w:val="single" w:color="auto" w:sz="4" w:space="0"/>
        <w:bottom w:val="single" w:color="auto" w:sz="8"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256">
    <w:name w:val="xl22"/>
    <w:basedOn w:val="1"/>
    <w:qFormat/>
    <w:uiPriority w:val="99"/>
    <w:pPr>
      <w:widowControl/>
      <w:pBdr>
        <w:right w:val="single" w:color="auto" w:sz="4" w:space="0"/>
      </w:pBdr>
      <w:spacing w:before="100" w:beforeAutospacing="1" w:after="100" w:afterAutospacing="1" w:line="529" w:lineRule="exact"/>
      <w:ind w:firstLine="200" w:firstLineChars="200"/>
    </w:pPr>
    <w:rPr>
      <w:rFonts w:ascii="Arial Unicode MS" w:hAnsi="Arial Unicode MS" w:eastAsia="Arial Unicode MS"/>
      <w:kern w:val="0"/>
    </w:rPr>
  </w:style>
  <w:style w:type="paragraph" w:customStyle="1" w:styleId="257">
    <w:name w:val="样式 hb2 + 首行缩进:  2 字符"/>
    <w:basedOn w:val="4"/>
    <w:qFormat/>
    <w:uiPriority w:val="99"/>
    <w:pPr>
      <w:widowControl/>
      <w:adjustRightInd w:val="0"/>
      <w:spacing w:before="360" w:after="480" w:line="416" w:lineRule="atLeast"/>
    </w:pPr>
    <w:rPr>
      <w:rFonts w:ascii="Times New Roman" w:hAnsi="Times New Roman" w:eastAsia="宋体"/>
      <w:kern w:val="0"/>
      <w:sz w:val="28"/>
    </w:rPr>
  </w:style>
  <w:style w:type="paragraph" w:customStyle="1" w:styleId="258">
    <w:name w:val="样式 正文格式 + 首行缩进:  2 字符 右侧:  0.15 厘米 行距: 固定值 22 磅"/>
    <w:basedOn w:val="1"/>
    <w:qFormat/>
    <w:uiPriority w:val="99"/>
    <w:pPr>
      <w:spacing w:line="440" w:lineRule="exact"/>
      <w:ind w:firstLine="560" w:firstLineChars="200"/>
    </w:pPr>
  </w:style>
  <w:style w:type="paragraph" w:customStyle="1" w:styleId="259">
    <w:name w:val="样式 样式 样式 样式5 + 首行缩进:  2 字符 + 首行缩进:  2 字符 + 小四 行距: 1.5 倍行距"/>
    <w:basedOn w:val="1"/>
    <w:qFormat/>
    <w:uiPriority w:val="99"/>
    <w:pPr>
      <w:spacing w:line="360" w:lineRule="auto"/>
      <w:ind w:firstLine="480" w:firstLineChars="200"/>
    </w:pPr>
    <w:rPr>
      <w:rFonts w:cs="宋体"/>
    </w:rPr>
  </w:style>
  <w:style w:type="paragraph" w:customStyle="1" w:styleId="260">
    <w:name w:val="Char Char Char Char Char Char Char Char Char Char Char Char Char Char Char Char2"/>
    <w:basedOn w:val="1"/>
    <w:qFormat/>
    <w:uiPriority w:val="99"/>
    <w:rPr>
      <w:rFonts w:ascii="Times New Roman" w:hAnsi="Times New Roman"/>
      <w:sz w:val="21"/>
      <w:szCs w:val="21"/>
    </w:rPr>
  </w:style>
  <w:style w:type="paragraph" w:customStyle="1" w:styleId="261">
    <w:name w:val="正文文本格式 Char Char"/>
    <w:basedOn w:val="1"/>
    <w:qFormat/>
    <w:uiPriority w:val="99"/>
    <w:pPr>
      <w:snapToGrid w:val="0"/>
      <w:spacing w:line="360" w:lineRule="auto"/>
      <w:ind w:firstLine="200" w:firstLineChars="200"/>
    </w:pPr>
    <w:rPr>
      <w:spacing w:val="10"/>
    </w:rPr>
  </w:style>
  <w:style w:type="paragraph" w:customStyle="1" w:styleId="262">
    <w:name w:val="Char1 Char Char Char3"/>
    <w:basedOn w:val="1"/>
    <w:qFormat/>
    <w:uiPriority w:val="99"/>
    <w:rPr>
      <w:rFonts w:ascii="Times New Roman" w:hAnsi="Times New Roman"/>
      <w:sz w:val="21"/>
      <w:szCs w:val="24"/>
    </w:rPr>
  </w:style>
  <w:style w:type="paragraph" w:customStyle="1" w:styleId="263">
    <w:name w:val="ALT+Z"/>
    <w:basedOn w:val="1"/>
    <w:qFormat/>
    <w:uiPriority w:val="99"/>
    <w:pPr>
      <w:spacing w:line="500" w:lineRule="exact"/>
      <w:ind w:firstLine="200" w:firstLineChars="200"/>
    </w:pPr>
    <w:rPr>
      <w:rFonts w:ascii="Times New Roman" w:hAnsi="Times New Roman"/>
      <w:szCs w:val="24"/>
    </w:rPr>
  </w:style>
  <w:style w:type="paragraph" w:customStyle="1" w:styleId="264">
    <w:name w:val="xl69"/>
    <w:basedOn w:val="1"/>
    <w:qFormat/>
    <w:uiPriority w:val="99"/>
    <w:pPr>
      <w:widowControl/>
      <w:pBdr>
        <w:right w:val="single" w:color="auto" w:sz="8" w:space="0"/>
      </w:pBdr>
      <w:spacing w:before="100" w:beforeAutospacing="1" w:after="100" w:afterAutospacing="1"/>
      <w:jc w:val="center"/>
    </w:pPr>
    <w:rPr>
      <w:rFonts w:cs="宋体"/>
      <w:kern w:val="0"/>
      <w:szCs w:val="24"/>
    </w:rPr>
  </w:style>
  <w:style w:type="paragraph" w:customStyle="1" w:styleId="265">
    <w:name w:val="Char5"/>
    <w:basedOn w:val="1"/>
    <w:qFormat/>
    <w:uiPriority w:val="99"/>
    <w:pPr>
      <w:spacing w:line="360" w:lineRule="auto"/>
      <w:ind w:firstLine="200" w:firstLineChars="200"/>
    </w:pPr>
    <w:rPr>
      <w:rFonts w:cs="宋体"/>
      <w:szCs w:val="24"/>
    </w:rPr>
  </w:style>
  <w:style w:type="paragraph" w:customStyle="1" w:styleId="266">
    <w:name w:val="xl4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267">
    <w:name w:val="图的标题"/>
    <w:basedOn w:val="1"/>
    <w:qFormat/>
    <w:uiPriority w:val="99"/>
    <w:pPr>
      <w:jc w:val="center"/>
    </w:pPr>
    <w:rPr>
      <w:rFonts w:ascii="Times New Roman" w:hAnsi="Times New Roman" w:eastAsia="仿宋_GB2312"/>
      <w:sz w:val="18"/>
      <w:szCs w:val="24"/>
    </w:rPr>
  </w:style>
  <w:style w:type="paragraph" w:customStyle="1" w:styleId="268">
    <w:name w:val="样式4"/>
    <w:basedOn w:val="6"/>
    <w:qFormat/>
    <w:uiPriority w:val="99"/>
    <w:pPr>
      <w:tabs>
        <w:tab w:val="left" w:pos="1134"/>
        <w:tab w:val="left" w:pos="1440"/>
      </w:tabs>
      <w:spacing w:before="0" w:after="0" w:line="360" w:lineRule="auto"/>
      <w:ind w:left="1021" w:hanging="1021"/>
    </w:pPr>
    <w:rPr>
      <w:rFonts w:eastAsia="宋体"/>
    </w:rPr>
  </w:style>
  <w:style w:type="paragraph" w:customStyle="1" w:styleId="269">
    <w:name w:val="Char Char Char Char Char Char Char Char Char Char Char Char Char Char Char Char Char Char Char Char Char1"/>
    <w:basedOn w:val="1"/>
    <w:qFormat/>
    <w:uiPriority w:val="99"/>
    <w:rPr>
      <w:rFonts w:ascii="Times New Roman" w:hAnsi="Times New Roman"/>
      <w:sz w:val="21"/>
      <w:szCs w:val="24"/>
    </w:rPr>
  </w:style>
  <w:style w:type="paragraph" w:customStyle="1" w:styleId="270">
    <w:name w:val="title4"/>
    <w:basedOn w:val="1"/>
    <w:qFormat/>
    <w:uiPriority w:val="99"/>
    <w:pPr>
      <w:spacing w:beforeLines="50" w:line="480" w:lineRule="atLeast"/>
    </w:pPr>
    <w:rPr>
      <w:rFonts w:ascii="Times New Roman" w:hAnsi="Times New Roman"/>
      <w:b/>
      <w:sz w:val="28"/>
      <w:szCs w:val="24"/>
    </w:rPr>
  </w:style>
  <w:style w:type="paragraph" w:customStyle="1" w:styleId="271">
    <w:name w:val="et21"/>
    <w:basedOn w:val="1"/>
    <w:qFormat/>
    <w:uiPriority w:val="99"/>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cs="宋体"/>
      <w:color w:val="000000"/>
      <w:kern w:val="0"/>
      <w:sz w:val="20"/>
    </w:rPr>
  </w:style>
  <w:style w:type="paragraph" w:customStyle="1" w:styleId="272">
    <w:name w:val="xl55"/>
    <w:basedOn w:val="1"/>
    <w:qFormat/>
    <w:uiPriority w:val="99"/>
    <w:pPr>
      <w:widowControl/>
      <w:spacing w:before="100" w:beforeAutospacing="1" w:after="100" w:afterAutospacing="1"/>
      <w:jc w:val="center"/>
    </w:pPr>
    <w:rPr>
      <w:rFonts w:ascii="Arial Unicode MS" w:hAnsi="Arial Unicode MS" w:eastAsia="Arial Unicode MS" w:cs="Arial Unicode MS"/>
      <w:color w:val="FF0000"/>
      <w:kern w:val="0"/>
      <w:szCs w:val="24"/>
    </w:rPr>
  </w:style>
  <w:style w:type="paragraph" w:customStyle="1" w:styleId="273">
    <w:name w:val="xl9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cs="宋体"/>
      <w:kern w:val="0"/>
      <w:sz w:val="20"/>
    </w:rPr>
  </w:style>
  <w:style w:type="paragraph" w:customStyle="1" w:styleId="274">
    <w:name w:val="样式 (西文) 宋体 首行缩进:  2 字符 加宽量  0.1 磅 行距: 固定值 25 磅"/>
    <w:basedOn w:val="1"/>
    <w:qFormat/>
    <w:uiPriority w:val="99"/>
    <w:pPr>
      <w:topLinePunct/>
      <w:spacing w:line="529" w:lineRule="exact"/>
      <w:ind w:firstLine="488" w:firstLineChars="200"/>
    </w:pPr>
    <w:rPr>
      <w:rFonts w:eastAsia="汉鼎简书宋"/>
      <w:spacing w:val="2"/>
    </w:rPr>
  </w:style>
  <w:style w:type="paragraph" w:customStyle="1" w:styleId="275">
    <w:name w:val="Char11"/>
    <w:basedOn w:val="1"/>
    <w:next w:val="1"/>
    <w:qFormat/>
    <w:uiPriority w:val="99"/>
    <w:pPr>
      <w:spacing w:line="529" w:lineRule="exact"/>
      <w:ind w:firstLine="200" w:firstLineChars="200"/>
    </w:pPr>
    <w:rPr>
      <w:rFonts w:cs="宋体"/>
      <w:szCs w:val="24"/>
    </w:rPr>
  </w:style>
  <w:style w:type="paragraph" w:customStyle="1" w:styleId="276">
    <w:name w:val="hb3新"/>
    <w:basedOn w:val="5"/>
    <w:qFormat/>
    <w:uiPriority w:val="99"/>
    <w:pPr>
      <w:topLinePunct/>
      <w:adjustRightInd w:val="0"/>
      <w:spacing w:line="240" w:lineRule="auto"/>
      <w:ind w:firstLine="200" w:firstLineChars="200"/>
    </w:pPr>
    <w:rPr>
      <w:rFonts w:ascii="宋体" w:hAnsi="宋体"/>
      <w:kern w:val="0"/>
      <w:sz w:val="24"/>
    </w:rPr>
  </w:style>
  <w:style w:type="paragraph" w:customStyle="1" w:styleId="277">
    <w:name w:val="et5"/>
    <w:basedOn w:val="1"/>
    <w:qFormat/>
    <w:uiPriority w:val="99"/>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cs="宋体"/>
      <w:color w:val="000000"/>
      <w:kern w:val="0"/>
      <w:sz w:val="20"/>
    </w:rPr>
  </w:style>
  <w:style w:type="character" w:customStyle="1" w:styleId="278">
    <w:name w:val="报告文字:2 字符 Char"/>
    <w:link w:val="279"/>
    <w:qFormat/>
    <w:locked/>
    <w:uiPriority w:val="0"/>
    <w:rPr>
      <w:rFonts w:ascii="仿宋_GB2312" w:eastAsia="仿宋_GB2312"/>
      <w:sz w:val="28"/>
    </w:rPr>
  </w:style>
  <w:style w:type="paragraph" w:customStyle="1" w:styleId="279">
    <w:name w:val="报告文字:2 字符"/>
    <w:basedOn w:val="1"/>
    <w:link w:val="278"/>
    <w:qFormat/>
    <w:uiPriority w:val="0"/>
    <w:pPr>
      <w:adjustRightInd w:val="0"/>
      <w:snapToGrid w:val="0"/>
      <w:spacing w:line="529" w:lineRule="exact"/>
      <w:ind w:firstLine="200" w:firstLineChars="200"/>
    </w:pPr>
    <w:rPr>
      <w:rFonts w:ascii="仿宋_GB2312" w:eastAsia="仿宋_GB2312" w:hAnsiTheme="minorHAnsi" w:cstheme="minorBidi"/>
      <w:sz w:val="28"/>
      <w:szCs w:val="22"/>
    </w:rPr>
  </w:style>
  <w:style w:type="character" w:customStyle="1" w:styleId="280">
    <w:name w:val="样式 (报告) 仿宋_GB2312 (中文) 仿宋_GB2312 四号 行距: 1.5 倍行距 Char"/>
    <w:link w:val="281"/>
    <w:qFormat/>
    <w:locked/>
    <w:uiPriority w:val="0"/>
    <w:rPr>
      <w:rFonts w:ascii="仿宋_GB2312" w:hAnsi="仿宋_GB2312" w:eastAsia="仿宋_GB2312"/>
      <w:color w:val="000000"/>
      <w:sz w:val="28"/>
    </w:rPr>
  </w:style>
  <w:style w:type="paragraph" w:customStyle="1" w:styleId="281">
    <w:name w:val="样式 (报告) 仿宋_GB2312 (中文) 仿宋_GB2312 四号 行距: 1.5 倍行距"/>
    <w:basedOn w:val="1"/>
    <w:link w:val="280"/>
    <w:qFormat/>
    <w:uiPriority w:val="0"/>
    <w:pPr>
      <w:adjustRightInd w:val="0"/>
      <w:snapToGrid w:val="0"/>
      <w:spacing w:line="529" w:lineRule="exact"/>
      <w:ind w:firstLine="200" w:firstLineChars="200"/>
    </w:pPr>
    <w:rPr>
      <w:rFonts w:ascii="仿宋_GB2312" w:hAnsi="仿宋_GB2312" w:eastAsia="仿宋_GB2312" w:cstheme="minorBidi"/>
      <w:color w:val="000000"/>
      <w:sz w:val="28"/>
      <w:szCs w:val="22"/>
    </w:rPr>
  </w:style>
  <w:style w:type="paragraph" w:customStyle="1" w:styleId="282">
    <w:name w:val="正文1 Char Char Char"/>
    <w:basedOn w:val="1"/>
    <w:qFormat/>
    <w:uiPriority w:val="99"/>
    <w:pPr>
      <w:spacing w:line="560" w:lineRule="exact"/>
      <w:ind w:firstLine="200" w:firstLineChars="200"/>
    </w:pPr>
  </w:style>
  <w:style w:type="paragraph" w:customStyle="1" w:styleId="283">
    <w:name w:val="正文页脚"/>
    <w:basedOn w:val="39"/>
    <w:qFormat/>
    <w:uiPriority w:val="99"/>
    <w:pPr>
      <w:pBdr>
        <w:top w:val="single" w:color="auto" w:sz="6" w:space="1"/>
      </w:pBdr>
      <w:jc w:val="left"/>
    </w:pPr>
    <w:rPr>
      <w:rFonts w:ascii="隶书" w:hAnsi="华文中宋" w:eastAsia="隶书"/>
      <w:sz w:val="21"/>
      <w:szCs w:val="21"/>
    </w:rPr>
  </w:style>
  <w:style w:type="paragraph" w:customStyle="1" w:styleId="284">
    <w:name w:val="序号"/>
    <w:basedOn w:val="25"/>
    <w:qFormat/>
    <w:uiPriority w:val="99"/>
    <w:pPr>
      <w:tabs>
        <w:tab w:val="left" w:pos="902"/>
      </w:tabs>
      <w:adjustRightInd/>
      <w:snapToGrid/>
      <w:ind w:firstLine="900"/>
    </w:pPr>
    <w:rPr>
      <w:rFonts w:ascii="宋体" w:hAnsi="宋体" w:eastAsia="宋体"/>
      <w:color w:val="auto"/>
    </w:rPr>
  </w:style>
  <w:style w:type="paragraph" w:customStyle="1" w:styleId="285">
    <w:name w:val="xl79"/>
    <w:basedOn w:val="1"/>
    <w:qFormat/>
    <w:uiPriority w:val="99"/>
    <w:pPr>
      <w:widowControl/>
      <w:pBdr>
        <w:left w:val="single" w:color="auto" w:sz="8" w:space="0"/>
        <w:right w:val="single" w:color="auto" w:sz="8" w:space="0"/>
      </w:pBdr>
      <w:spacing w:before="100" w:beforeAutospacing="1" w:after="100" w:afterAutospacing="1"/>
      <w:jc w:val="center"/>
    </w:pPr>
    <w:rPr>
      <w:rFonts w:ascii="Times New Roman" w:hAnsi="Times New Roman"/>
      <w:kern w:val="0"/>
      <w:szCs w:val="24"/>
    </w:rPr>
  </w:style>
  <w:style w:type="paragraph" w:customStyle="1" w:styleId="286">
    <w:name w:val="Char1 Char Char Char2"/>
    <w:basedOn w:val="1"/>
    <w:next w:val="1"/>
    <w:qFormat/>
    <w:uiPriority w:val="99"/>
    <w:pPr>
      <w:spacing w:line="360" w:lineRule="auto"/>
      <w:ind w:firstLine="200" w:firstLineChars="200"/>
    </w:pPr>
  </w:style>
  <w:style w:type="paragraph" w:customStyle="1" w:styleId="287">
    <w:name w:val="文档结构图3"/>
    <w:basedOn w:val="1"/>
    <w:qFormat/>
    <w:uiPriority w:val="99"/>
    <w:pPr>
      <w:shd w:val="clear" w:color="auto" w:fill="000080"/>
      <w:tabs>
        <w:tab w:val="left" w:pos="480"/>
        <w:tab w:val="left" w:pos="1680"/>
        <w:tab w:val="left" w:pos="3960"/>
        <w:tab w:val="left" w:pos="5400"/>
        <w:tab w:val="left" w:pos="6840"/>
      </w:tabs>
      <w:adjustRightInd w:val="0"/>
      <w:spacing w:line="240" w:lineRule="atLeast"/>
      <w:ind w:firstLine="482"/>
      <w:jc w:val="left"/>
    </w:pPr>
    <w:rPr>
      <w:rFonts w:ascii="Times New Roman" w:hAnsi="Times New Roman" w:eastAsia="创艺简楷体"/>
      <w:kern w:val="0"/>
      <w:sz w:val="28"/>
    </w:rPr>
  </w:style>
  <w:style w:type="paragraph" w:customStyle="1" w:styleId="288">
    <w:name w:val="样式 样式 标题 1 + 首行缩进:  2 字符 + 首行缩进:  0 字符"/>
    <w:basedOn w:val="1"/>
    <w:qFormat/>
    <w:uiPriority w:val="99"/>
    <w:pPr>
      <w:keepNext/>
      <w:keepLines/>
      <w:spacing w:before="340" w:after="330" w:line="576" w:lineRule="auto"/>
      <w:outlineLvl w:val="0"/>
    </w:pPr>
    <w:rPr>
      <w:rFonts w:eastAsia="楷体_GB2312"/>
      <w:b/>
      <w:kern w:val="44"/>
      <w:sz w:val="32"/>
    </w:rPr>
  </w:style>
  <w:style w:type="character" w:customStyle="1" w:styleId="289">
    <w:name w:val="样式 标题 1 + Char"/>
    <w:link w:val="290"/>
    <w:qFormat/>
    <w:locked/>
    <w:uiPriority w:val="0"/>
    <w:rPr>
      <w:b/>
      <w:bCs/>
      <w:sz w:val="36"/>
      <w:szCs w:val="36"/>
    </w:rPr>
  </w:style>
  <w:style w:type="paragraph" w:customStyle="1" w:styleId="290">
    <w:name w:val="样式 标题 1 +"/>
    <w:basedOn w:val="3"/>
    <w:link w:val="289"/>
    <w:qFormat/>
    <w:uiPriority w:val="0"/>
    <w:pPr>
      <w:adjustRightInd w:val="0"/>
      <w:snapToGrid w:val="0"/>
      <w:spacing w:before="720" w:after="0" w:line="360" w:lineRule="auto"/>
      <w:ind w:left="210" w:leftChars="100" w:right="210" w:rightChars="100"/>
      <w:jc w:val="center"/>
    </w:pPr>
    <w:rPr>
      <w:rFonts w:asciiTheme="minorHAnsi" w:hAnsiTheme="minorHAnsi" w:eastAsiaTheme="minorEastAsia" w:cstheme="minorBidi"/>
      <w:bCs/>
      <w:kern w:val="2"/>
      <w:sz w:val="36"/>
      <w:szCs w:val="36"/>
    </w:rPr>
  </w:style>
  <w:style w:type="paragraph" w:customStyle="1" w:styleId="291">
    <w:name w:val="正文样式一"/>
    <w:basedOn w:val="1"/>
    <w:qFormat/>
    <w:uiPriority w:val="99"/>
    <w:pPr>
      <w:adjustRightInd w:val="0"/>
      <w:spacing w:line="400" w:lineRule="atLeast"/>
      <w:ind w:firstLine="510"/>
    </w:pPr>
    <w:rPr>
      <w:rFonts w:ascii="Times New Roman" w:hAnsi="Times New Roman"/>
      <w:kern w:val="0"/>
    </w:rPr>
  </w:style>
  <w:style w:type="paragraph" w:customStyle="1" w:styleId="292">
    <w:name w:val="第X节"/>
    <w:basedOn w:val="1"/>
    <w:next w:val="4"/>
    <w:qFormat/>
    <w:uiPriority w:val="99"/>
    <w:pPr>
      <w:tabs>
        <w:tab w:val="left" w:pos="1080"/>
        <w:tab w:val="left" w:pos="1130"/>
      </w:tabs>
      <w:spacing w:line="360" w:lineRule="auto"/>
      <w:ind w:left="1130" w:firstLine="200"/>
      <w:jc w:val="center"/>
    </w:pPr>
    <w:rPr>
      <w:b/>
      <w:sz w:val="28"/>
    </w:rPr>
  </w:style>
  <w:style w:type="paragraph" w:customStyle="1" w:styleId="293">
    <w:name w:val="表题"/>
    <w:basedOn w:val="1"/>
    <w:qFormat/>
    <w:uiPriority w:val="99"/>
    <w:pPr>
      <w:autoSpaceDE w:val="0"/>
      <w:autoSpaceDN w:val="0"/>
      <w:adjustRightInd w:val="0"/>
      <w:spacing w:line="480" w:lineRule="atLeast"/>
      <w:ind w:firstLine="420"/>
    </w:pPr>
    <w:rPr>
      <w:rFonts w:ascii="黑体" w:eastAsia="黑体"/>
      <w:kern w:val="16"/>
    </w:rPr>
  </w:style>
  <w:style w:type="character" w:customStyle="1" w:styleId="294">
    <w:name w:val="表内容 Char"/>
    <w:link w:val="295"/>
    <w:qFormat/>
    <w:locked/>
    <w:uiPriority w:val="0"/>
    <w:rPr>
      <w:rFonts w:ascii="宋体" w:hAnsi="宋体" w:eastAsia="宋体"/>
      <w:sz w:val="24"/>
    </w:rPr>
  </w:style>
  <w:style w:type="paragraph" w:customStyle="1" w:styleId="295">
    <w:name w:val="表内容"/>
    <w:basedOn w:val="1"/>
    <w:link w:val="294"/>
    <w:qFormat/>
    <w:uiPriority w:val="0"/>
    <w:rPr>
      <w:rFonts w:cstheme="minorBidi"/>
      <w:szCs w:val="22"/>
    </w:rPr>
  </w:style>
  <w:style w:type="character" w:customStyle="1" w:styleId="296">
    <w:name w:val="hb2 Char1"/>
    <w:link w:val="297"/>
    <w:qFormat/>
    <w:locked/>
    <w:uiPriority w:val="0"/>
    <w:rPr>
      <w:rFonts w:ascii="宋体" w:hAnsi="宋体" w:eastAsia="宋体"/>
      <w:b/>
      <w:sz w:val="28"/>
    </w:rPr>
  </w:style>
  <w:style w:type="paragraph" w:customStyle="1" w:styleId="297">
    <w:name w:val="hb2"/>
    <w:basedOn w:val="4"/>
    <w:link w:val="296"/>
    <w:qFormat/>
    <w:uiPriority w:val="0"/>
    <w:pPr>
      <w:adjustRightInd w:val="0"/>
      <w:spacing w:before="0" w:beforeLines="50" w:after="0" w:afterLines="50" w:line="360" w:lineRule="auto"/>
      <w:jc w:val="left"/>
    </w:pPr>
    <w:rPr>
      <w:rFonts w:ascii="宋体" w:hAnsi="宋体" w:eastAsia="宋体" w:cstheme="minorBidi"/>
      <w:sz w:val="28"/>
      <w:szCs w:val="22"/>
    </w:rPr>
  </w:style>
  <w:style w:type="paragraph" w:customStyle="1" w:styleId="298">
    <w:name w:val="默认段落字体 Para Char"/>
    <w:basedOn w:val="1"/>
    <w:next w:val="1"/>
    <w:qFormat/>
    <w:uiPriority w:val="99"/>
    <w:pPr>
      <w:spacing w:line="360" w:lineRule="auto"/>
      <w:ind w:firstLine="200" w:firstLineChars="200"/>
    </w:pPr>
    <w:rPr>
      <w:rFonts w:eastAsia="汉鼎简书宋"/>
    </w:rPr>
  </w:style>
  <w:style w:type="paragraph" w:customStyle="1" w:styleId="299">
    <w:name w:val="一级"/>
    <w:basedOn w:val="1"/>
    <w:qFormat/>
    <w:uiPriority w:val="99"/>
    <w:pPr>
      <w:snapToGrid w:val="0"/>
      <w:spacing w:line="360" w:lineRule="auto"/>
      <w:ind w:firstLine="200" w:firstLineChars="200"/>
    </w:pPr>
    <w:rPr>
      <w:rFonts w:ascii="Times New Roman" w:hAnsi="Times New Roman" w:eastAsia="黑体"/>
      <w:sz w:val="32"/>
      <w:szCs w:val="24"/>
    </w:rPr>
  </w:style>
  <w:style w:type="paragraph" w:customStyle="1" w:styleId="300">
    <w:name w:val="xl59"/>
    <w:basedOn w:val="1"/>
    <w:qFormat/>
    <w:uiPriority w:val="99"/>
    <w:pPr>
      <w:widowControl/>
      <w:pBdr>
        <w:top w:val="single" w:color="auto" w:sz="4" w:space="0"/>
        <w:bottom w:val="single" w:color="auto" w:sz="4" w:space="0"/>
        <w:right w:val="single" w:color="auto" w:sz="4" w:space="0"/>
      </w:pBdr>
      <w:shd w:val="clear" w:color="auto" w:fill="C0C0C0"/>
      <w:spacing w:before="100" w:beforeAutospacing="1" w:after="100" w:afterAutospacing="1"/>
      <w:jc w:val="left"/>
    </w:pPr>
    <w:rPr>
      <w:rFonts w:ascii="Arial Unicode MS" w:hAnsi="Arial Unicode MS" w:eastAsia="Arial Unicode MS"/>
      <w:color w:val="800080"/>
      <w:kern w:val="0"/>
    </w:rPr>
  </w:style>
  <w:style w:type="paragraph" w:customStyle="1" w:styleId="301">
    <w:name w:val="样式 正文 + 左侧:  0 厘米 悬挂缩进: 14.4 字符"/>
    <w:basedOn w:val="1"/>
    <w:qFormat/>
    <w:uiPriority w:val="99"/>
    <w:pPr>
      <w:widowControl/>
      <w:spacing w:line="529" w:lineRule="exact"/>
      <w:ind w:firstLine="200" w:firstLineChars="200"/>
    </w:pPr>
  </w:style>
  <w:style w:type="paragraph" w:customStyle="1" w:styleId="302">
    <w:name w:val="标题样式2"/>
    <w:basedOn w:val="4"/>
    <w:qFormat/>
    <w:uiPriority w:val="99"/>
    <w:pPr>
      <w:adjustRightInd w:val="0"/>
      <w:spacing w:before="0" w:after="0" w:line="360" w:lineRule="auto"/>
    </w:pPr>
    <w:rPr>
      <w:rFonts w:ascii="黑体"/>
      <w:kern w:val="0"/>
      <w:sz w:val="24"/>
    </w:rPr>
  </w:style>
  <w:style w:type="paragraph" w:customStyle="1" w:styleId="303">
    <w:name w:val="dandan6-13正文"/>
    <w:basedOn w:val="1"/>
    <w:next w:val="1"/>
    <w:qFormat/>
    <w:uiPriority w:val="99"/>
    <w:pPr>
      <w:keepNext/>
      <w:keepLines/>
      <w:widowControl/>
      <w:adjustRightInd w:val="0"/>
      <w:spacing w:before="40" w:after="40" w:line="360" w:lineRule="auto"/>
      <w:ind w:firstLine="200" w:firstLineChars="200"/>
    </w:pPr>
    <w:rPr>
      <w:rFonts w:ascii="Times New Roman" w:hAnsi="Times New Roman" w:cs="宋体"/>
      <w:kern w:val="0"/>
      <w:szCs w:val="28"/>
    </w:rPr>
  </w:style>
  <w:style w:type="paragraph" w:customStyle="1" w:styleId="304">
    <w:name w:val="XF项目建议书表内文字"/>
    <w:basedOn w:val="1"/>
    <w:qFormat/>
    <w:uiPriority w:val="99"/>
    <w:pPr>
      <w:spacing w:line="420" w:lineRule="exact"/>
      <w:ind w:left="-50" w:leftChars="-50" w:right="-50" w:rightChars="-50"/>
      <w:jc w:val="center"/>
    </w:pPr>
    <w:rPr>
      <w:rFonts w:ascii="Times New Roman" w:hAnsi="Times New Roman" w:eastAsia="仿宋_GB2312"/>
      <w:szCs w:val="24"/>
    </w:rPr>
  </w:style>
  <w:style w:type="paragraph" w:customStyle="1" w:styleId="305">
    <w:name w:val="xl53"/>
    <w:basedOn w:val="1"/>
    <w:qFormat/>
    <w:uiPriority w:val="99"/>
    <w:pPr>
      <w:widowControl/>
      <w:pBdr>
        <w:top w:val="single" w:color="auto" w:sz="4" w:space="0"/>
        <w:left w:val="single" w:color="auto" w:sz="4" w:space="0"/>
        <w:bottom w:val="single" w:color="auto" w:sz="8" w:space="0"/>
        <w:right w:val="single" w:color="auto" w:sz="8" w:space="0"/>
      </w:pBdr>
      <w:spacing w:before="100" w:beforeAutospacing="1" w:after="100" w:afterAutospacing="1" w:line="529" w:lineRule="exact"/>
      <w:ind w:firstLine="200" w:firstLineChars="200"/>
    </w:pPr>
    <w:rPr>
      <w:rFonts w:eastAsia="汉鼎简书宋"/>
      <w:kern w:val="0"/>
      <w:sz w:val="20"/>
    </w:rPr>
  </w:style>
  <w:style w:type="character" w:customStyle="1" w:styleId="306">
    <w:name w:val="样式1 Char"/>
    <w:link w:val="307"/>
    <w:qFormat/>
    <w:locked/>
    <w:uiPriority w:val="0"/>
    <w:rPr>
      <w:rFonts w:ascii="黑体" w:hAnsi="宋体" w:eastAsia="黑体"/>
      <w:sz w:val="28"/>
    </w:rPr>
  </w:style>
  <w:style w:type="paragraph" w:customStyle="1" w:styleId="307">
    <w:name w:val="样式1"/>
    <w:basedOn w:val="1"/>
    <w:link w:val="306"/>
    <w:qFormat/>
    <w:uiPriority w:val="0"/>
    <w:pPr>
      <w:adjustRightInd w:val="0"/>
      <w:snapToGrid w:val="0"/>
      <w:spacing w:afterLines="50" w:line="558" w:lineRule="exact"/>
      <w:ind w:firstLine="540"/>
    </w:pPr>
    <w:rPr>
      <w:rFonts w:ascii="黑体" w:eastAsia="黑体" w:cstheme="minorBidi"/>
      <w:sz w:val="28"/>
      <w:szCs w:val="22"/>
    </w:rPr>
  </w:style>
  <w:style w:type="paragraph" w:customStyle="1" w:styleId="308">
    <w:name w:val="文档结构图2"/>
    <w:basedOn w:val="1"/>
    <w:qFormat/>
    <w:uiPriority w:val="99"/>
    <w:pPr>
      <w:shd w:val="clear" w:color="auto" w:fill="000080"/>
      <w:tabs>
        <w:tab w:val="left" w:pos="480"/>
        <w:tab w:val="left" w:pos="1680"/>
        <w:tab w:val="left" w:pos="3960"/>
        <w:tab w:val="left" w:pos="5400"/>
        <w:tab w:val="left" w:pos="6840"/>
      </w:tabs>
      <w:adjustRightInd w:val="0"/>
      <w:spacing w:line="240" w:lineRule="atLeast"/>
      <w:ind w:firstLine="482"/>
      <w:jc w:val="left"/>
    </w:pPr>
    <w:rPr>
      <w:rFonts w:ascii="Times New Roman" w:hAnsi="Times New Roman" w:eastAsia="创艺简楷体"/>
      <w:kern w:val="0"/>
      <w:sz w:val="28"/>
    </w:rPr>
  </w:style>
  <w:style w:type="paragraph" w:customStyle="1" w:styleId="309">
    <w:name w:val="样式11"/>
    <w:basedOn w:val="32"/>
    <w:qFormat/>
    <w:uiPriority w:val="99"/>
    <w:pPr>
      <w:adjustRightInd w:val="0"/>
      <w:snapToGrid w:val="0"/>
      <w:spacing w:line="500" w:lineRule="exact"/>
      <w:ind w:firstLine="480"/>
    </w:pPr>
    <w:rPr>
      <w:rFonts w:ascii="黑体" w:hAnsi="Courier New" w:eastAsia="黑体"/>
      <w:b/>
      <w:sz w:val="32"/>
    </w:rPr>
  </w:style>
  <w:style w:type="paragraph" w:customStyle="1" w:styleId="310">
    <w:name w:val="xl4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311">
    <w:name w:val="日期3"/>
    <w:basedOn w:val="1"/>
    <w:next w:val="1"/>
    <w:qFormat/>
    <w:uiPriority w:val="99"/>
    <w:pPr>
      <w:adjustRightInd w:val="0"/>
      <w:spacing w:line="529" w:lineRule="exact"/>
      <w:ind w:firstLine="420"/>
    </w:pPr>
    <w:rPr>
      <w:rFonts w:hAnsi="Times New Roman" w:eastAsia="汉鼎简书宋"/>
      <w:b/>
      <w:kern w:val="0"/>
      <w:sz w:val="28"/>
    </w:rPr>
  </w:style>
  <w:style w:type="character" w:customStyle="1" w:styleId="312">
    <w:name w:val="样式 首行缩进:  2 字符 Char"/>
    <w:link w:val="313"/>
    <w:qFormat/>
    <w:locked/>
    <w:uiPriority w:val="0"/>
    <w:rPr>
      <w:sz w:val="24"/>
    </w:rPr>
  </w:style>
  <w:style w:type="paragraph" w:customStyle="1" w:styleId="313">
    <w:name w:val="样式 首行缩进:  2 字符"/>
    <w:basedOn w:val="1"/>
    <w:link w:val="312"/>
    <w:qFormat/>
    <w:uiPriority w:val="0"/>
    <w:pPr>
      <w:widowControl/>
      <w:spacing w:line="529" w:lineRule="exact"/>
      <w:ind w:firstLine="482"/>
    </w:pPr>
    <w:rPr>
      <w:rFonts w:asciiTheme="minorHAnsi" w:hAnsiTheme="minorHAnsi" w:eastAsiaTheme="minorEastAsia" w:cstheme="minorBidi"/>
      <w:szCs w:val="22"/>
    </w:rPr>
  </w:style>
  <w:style w:type="paragraph" w:customStyle="1" w:styleId="314">
    <w:name w:val="gchh"/>
    <w:qFormat/>
    <w:uiPriority w:val="99"/>
    <w:pPr>
      <w:jc w:val="both"/>
    </w:pPr>
    <w:rPr>
      <w:rFonts w:ascii="宋体" w:hAnsi="宋体" w:eastAsia="宋体" w:cs="Times New Roman"/>
      <w:b/>
      <w:sz w:val="28"/>
      <w:lang w:val="en-US" w:eastAsia="zh-CN" w:bidi="ar-SA"/>
    </w:rPr>
  </w:style>
  <w:style w:type="character" w:customStyle="1" w:styleId="315">
    <w:name w:val="正文 仿宋_GB2312 四号 行距: 1.5 倍 Char"/>
    <w:link w:val="316"/>
    <w:qFormat/>
    <w:locked/>
    <w:uiPriority w:val="0"/>
    <w:rPr>
      <w:rFonts w:ascii="仿宋_GB2312" w:eastAsia="仿宋_GB2312" w:cs="宋体"/>
      <w:sz w:val="28"/>
    </w:rPr>
  </w:style>
  <w:style w:type="paragraph" w:customStyle="1" w:styleId="316">
    <w:name w:val="正文 仿宋_GB2312 四号 行距: 1.5 倍"/>
    <w:basedOn w:val="1"/>
    <w:link w:val="315"/>
    <w:qFormat/>
    <w:uiPriority w:val="0"/>
    <w:pPr>
      <w:spacing w:line="360" w:lineRule="auto"/>
      <w:ind w:firstLine="560" w:firstLineChars="200"/>
    </w:pPr>
    <w:rPr>
      <w:rFonts w:ascii="仿宋_GB2312" w:eastAsia="仿宋_GB2312" w:cs="宋体" w:hAnsiTheme="minorHAnsi"/>
      <w:sz w:val="28"/>
      <w:szCs w:val="22"/>
    </w:rPr>
  </w:style>
  <w:style w:type="paragraph" w:customStyle="1" w:styleId="317">
    <w:name w:val="xl85"/>
    <w:basedOn w:val="1"/>
    <w:qFormat/>
    <w:uiPriority w:val="99"/>
    <w:pPr>
      <w:widowControl/>
      <w:pBdr>
        <w:top w:val="single" w:color="auto" w:sz="8" w:space="0"/>
        <w:left w:val="single" w:color="auto" w:sz="8" w:space="0"/>
        <w:right w:val="single" w:color="auto" w:sz="8" w:space="0"/>
      </w:pBdr>
      <w:spacing w:before="100" w:beforeAutospacing="1" w:after="100" w:afterAutospacing="1"/>
      <w:jc w:val="center"/>
    </w:pPr>
    <w:rPr>
      <w:rFonts w:cs="宋体"/>
      <w:color w:val="0000FF"/>
      <w:kern w:val="0"/>
      <w:szCs w:val="24"/>
      <w:u w:val="single"/>
    </w:rPr>
  </w:style>
  <w:style w:type="paragraph" w:customStyle="1" w:styleId="318">
    <w:name w:val="et12"/>
    <w:basedOn w:val="1"/>
    <w:qFormat/>
    <w:uiPriority w:val="99"/>
    <w:pPr>
      <w:widowControl/>
      <w:pBdr>
        <w:left w:val="single" w:color="000000" w:sz="4" w:space="0"/>
      </w:pBdr>
      <w:spacing w:before="100" w:beforeAutospacing="1" w:after="100" w:afterAutospacing="1"/>
      <w:jc w:val="center"/>
    </w:pPr>
    <w:rPr>
      <w:rFonts w:cs="宋体"/>
      <w:color w:val="000000"/>
      <w:kern w:val="0"/>
      <w:sz w:val="21"/>
      <w:szCs w:val="21"/>
    </w:rPr>
  </w:style>
  <w:style w:type="paragraph" w:customStyle="1" w:styleId="319">
    <w:name w:val="xl84"/>
    <w:basedOn w:val="1"/>
    <w:qFormat/>
    <w:uiPriority w:val="99"/>
    <w:pPr>
      <w:widowControl/>
      <w:pBdr>
        <w:top w:val="single" w:color="auto" w:sz="8" w:space="0"/>
        <w:left w:val="single" w:color="auto" w:sz="8" w:space="0"/>
        <w:right w:val="single" w:color="auto" w:sz="8" w:space="0"/>
      </w:pBdr>
      <w:spacing w:before="100" w:beforeAutospacing="1" w:after="100" w:afterAutospacing="1"/>
      <w:jc w:val="center"/>
    </w:pPr>
    <w:rPr>
      <w:rFonts w:ascii="Times New Roman" w:hAnsi="Times New Roman"/>
      <w:kern w:val="0"/>
      <w:szCs w:val="24"/>
    </w:rPr>
  </w:style>
  <w:style w:type="paragraph" w:customStyle="1" w:styleId="320">
    <w:name w:val="段落"/>
    <w:basedOn w:val="1"/>
    <w:qFormat/>
    <w:uiPriority w:val="99"/>
    <w:pPr>
      <w:ind w:firstLine="560" w:firstLineChars="200"/>
    </w:pPr>
    <w:rPr>
      <w:rFonts w:ascii="Times New Roman" w:hAnsi="Times New Roman"/>
      <w:sz w:val="28"/>
      <w:szCs w:val="24"/>
    </w:rPr>
  </w:style>
  <w:style w:type="paragraph" w:customStyle="1" w:styleId="321">
    <w:name w:val="样式 行距: 最小值 20 磅"/>
    <w:basedOn w:val="1"/>
    <w:next w:val="1"/>
    <w:qFormat/>
    <w:uiPriority w:val="99"/>
    <w:pPr>
      <w:adjustRightInd w:val="0"/>
      <w:spacing w:line="400" w:lineRule="atLeast"/>
      <w:ind w:firstLine="200" w:firstLineChars="200"/>
    </w:pPr>
    <w:rPr>
      <w:rFonts w:eastAsia="汉鼎简书宋"/>
      <w:kern w:val="0"/>
    </w:rPr>
  </w:style>
  <w:style w:type="character" w:customStyle="1" w:styleId="322">
    <w:name w:val="正文(首行缩进) Char1"/>
    <w:link w:val="323"/>
    <w:qFormat/>
    <w:locked/>
    <w:uiPriority w:val="0"/>
    <w:rPr>
      <w:color w:val="000000"/>
      <w:sz w:val="24"/>
    </w:rPr>
  </w:style>
  <w:style w:type="paragraph" w:customStyle="1" w:styleId="323">
    <w:name w:val="正文(首行缩进)"/>
    <w:basedOn w:val="1"/>
    <w:link w:val="322"/>
    <w:qFormat/>
    <w:uiPriority w:val="0"/>
    <w:pPr>
      <w:spacing w:line="360" w:lineRule="auto"/>
      <w:ind w:firstLine="540" w:firstLineChars="225"/>
    </w:pPr>
    <w:rPr>
      <w:rFonts w:asciiTheme="minorHAnsi" w:hAnsiTheme="minorHAnsi" w:eastAsiaTheme="minorEastAsia" w:cstheme="minorBidi"/>
      <w:color w:val="000000"/>
      <w:szCs w:val="22"/>
    </w:rPr>
  </w:style>
  <w:style w:type="paragraph" w:customStyle="1" w:styleId="324">
    <w:name w:val="正文hb"/>
    <w:basedOn w:val="1"/>
    <w:qFormat/>
    <w:uiPriority w:val="99"/>
    <w:pPr>
      <w:spacing w:line="500" w:lineRule="exact"/>
      <w:ind w:firstLine="200" w:firstLineChars="200"/>
    </w:pPr>
  </w:style>
  <w:style w:type="paragraph" w:customStyle="1" w:styleId="325">
    <w:name w:val="样式 hb3 + 首行缩进:  2 字符"/>
    <w:basedOn w:val="5"/>
    <w:qFormat/>
    <w:uiPriority w:val="99"/>
    <w:pPr>
      <w:adjustRightInd w:val="0"/>
      <w:spacing w:before="360" w:after="360" w:line="240" w:lineRule="auto"/>
      <w:jc w:val="left"/>
    </w:pPr>
    <w:rPr>
      <w:rFonts w:cs="宋体"/>
      <w:bCs/>
      <w:kern w:val="0"/>
      <w:sz w:val="24"/>
    </w:rPr>
  </w:style>
  <w:style w:type="paragraph" w:customStyle="1" w:styleId="326">
    <w:name w:val="文档结构图1"/>
    <w:basedOn w:val="1"/>
    <w:qFormat/>
    <w:uiPriority w:val="99"/>
    <w:pPr>
      <w:shd w:val="clear" w:color="auto" w:fill="000080"/>
      <w:tabs>
        <w:tab w:val="left" w:pos="480"/>
        <w:tab w:val="left" w:pos="1680"/>
        <w:tab w:val="left" w:pos="3960"/>
        <w:tab w:val="left" w:pos="5400"/>
        <w:tab w:val="left" w:pos="6840"/>
      </w:tabs>
      <w:adjustRightInd w:val="0"/>
      <w:spacing w:line="240" w:lineRule="atLeast"/>
      <w:ind w:firstLine="482"/>
    </w:pPr>
    <w:rPr>
      <w:rFonts w:eastAsia="创艺简楷体"/>
      <w:kern w:val="0"/>
      <w:sz w:val="28"/>
    </w:rPr>
  </w:style>
  <w:style w:type="paragraph" w:customStyle="1" w:styleId="327">
    <w:name w:val="Char Char Char Char Char Char Char1"/>
    <w:basedOn w:val="1"/>
    <w:qFormat/>
    <w:uiPriority w:val="99"/>
    <w:pPr>
      <w:spacing w:line="500" w:lineRule="exact"/>
    </w:pPr>
    <w:rPr>
      <w:rFonts w:ascii="Arial Narrow" w:hAnsi="Arial Narrow" w:eastAsia="汉鼎简书宋"/>
    </w:rPr>
  </w:style>
  <w:style w:type="paragraph" w:customStyle="1" w:styleId="328">
    <w:name w:val="xl4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329">
    <w:name w:val="xl9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cs="宋体"/>
      <w:color w:val="000000"/>
      <w:kern w:val="0"/>
      <w:sz w:val="18"/>
      <w:szCs w:val="18"/>
    </w:rPr>
  </w:style>
  <w:style w:type="character" w:customStyle="1" w:styleId="330">
    <w:name w:val="表号 Char2"/>
    <w:link w:val="331"/>
    <w:qFormat/>
    <w:locked/>
    <w:uiPriority w:val="0"/>
    <w:rPr>
      <w:rFonts w:ascii="宋体" w:hAnsi="宋体" w:eastAsia="宋体"/>
      <w:sz w:val="24"/>
    </w:rPr>
  </w:style>
  <w:style w:type="paragraph" w:customStyle="1" w:styleId="331">
    <w:name w:val="表号"/>
    <w:link w:val="330"/>
    <w:qFormat/>
    <w:uiPriority w:val="0"/>
    <w:pPr>
      <w:adjustRightInd w:val="0"/>
      <w:snapToGrid w:val="0"/>
      <w:spacing w:line="240" w:lineRule="atLeast"/>
      <w:jc w:val="both"/>
      <w:outlineLvl w:val="4"/>
    </w:pPr>
    <w:rPr>
      <w:rFonts w:ascii="宋体" w:hAnsi="宋体" w:eastAsia="宋体" w:cstheme="minorBidi"/>
      <w:kern w:val="2"/>
      <w:sz w:val="24"/>
      <w:szCs w:val="22"/>
      <w:lang w:val="en-US" w:eastAsia="zh-CN" w:bidi="ar-SA"/>
    </w:rPr>
  </w:style>
  <w:style w:type="paragraph" w:customStyle="1" w:styleId="332">
    <w:name w:val="正文1"/>
    <w:basedOn w:val="1"/>
    <w:qFormat/>
    <w:uiPriority w:val="99"/>
    <w:pPr>
      <w:spacing w:line="500" w:lineRule="exact"/>
      <w:ind w:firstLine="480" w:firstLineChars="200"/>
    </w:pPr>
    <w:rPr>
      <w:rFonts w:eastAsia="汉鼎简书宋"/>
    </w:rPr>
  </w:style>
  <w:style w:type="paragraph" w:customStyle="1" w:styleId="333">
    <w:name w:val="纯文本21"/>
    <w:basedOn w:val="1"/>
    <w:qFormat/>
    <w:uiPriority w:val="99"/>
    <w:pPr>
      <w:adjustRightInd w:val="0"/>
    </w:pPr>
    <w:rPr>
      <w:rFonts w:hAnsi="Courier New"/>
      <w:sz w:val="21"/>
    </w:rPr>
  </w:style>
  <w:style w:type="paragraph" w:customStyle="1" w:styleId="334">
    <w:name w:val="Char152"/>
    <w:basedOn w:val="1"/>
    <w:qFormat/>
    <w:uiPriority w:val="99"/>
    <w:pPr>
      <w:spacing w:line="560" w:lineRule="exact"/>
      <w:ind w:firstLine="200" w:firstLineChars="200"/>
    </w:pPr>
    <w:rPr>
      <w:rFonts w:ascii="Times New Roman" w:hAnsi="Times New Roman"/>
      <w:sz w:val="21"/>
    </w:rPr>
  </w:style>
  <w:style w:type="paragraph" w:customStyle="1" w:styleId="335">
    <w:name w:val="Char43"/>
    <w:basedOn w:val="1"/>
    <w:qFormat/>
    <w:uiPriority w:val="99"/>
    <w:pPr>
      <w:spacing w:line="360" w:lineRule="auto"/>
      <w:ind w:firstLine="200" w:firstLineChars="200"/>
    </w:pPr>
    <w:rPr>
      <w:rFonts w:cs="宋体"/>
      <w:szCs w:val="24"/>
    </w:rPr>
  </w:style>
  <w:style w:type="paragraph" w:customStyle="1" w:styleId="336">
    <w:name w:val="文字"/>
    <w:basedOn w:val="1"/>
    <w:qFormat/>
    <w:uiPriority w:val="99"/>
    <w:pPr>
      <w:autoSpaceDE w:val="0"/>
      <w:autoSpaceDN w:val="0"/>
      <w:spacing w:line="500" w:lineRule="atLeast"/>
      <w:ind w:firstLine="560" w:firstLineChars="200"/>
    </w:pPr>
    <w:rPr>
      <w:sz w:val="28"/>
    </w:rPr>
  </w:style>
  <w:style w:type="paragraph" w:customStyle="1" w:styleId="337">
    <w:name w:val="样式hb4"/>
    <w:basedOn w:val="1"/>
    <w:qFormat/>
    <w:uiPriority w:val="99"/>
    <w:pPr>
      <w:keepNext/>
      <w:keepLines/>
      <w:topLinePunct/>
      <w:adjustRightInd w:val="0"/>
      <w:snapToGrid w:val="0"/>
      <w:spacing w:before="156" w:after="156"/>
      <w:outlineLvl w:val="3"/>
    </w:pPr>
    <w:rPr>
      <w:rFonts w:eastAsia="Times New Roman"/>
      <w:kern w:val="0"/>
    </w:rPr>
  </w:style>
  <w:style w:type="paragraph" w:customStyle="1" w:styleId="338">
    <w:name w:val="et10"/>
    <w:basedOn w:val="1"/>
    <w:qFormat/>
    <w:uiPriority w:val="99"/>
    <w:pPr>
      <w:widowControl/>
      <w:pBdr>
        <w:top w:val="single" w:color="000000" w:sz="4" w:space="0"/>
        <w:left w:val="single" w:color="000000" w:sz="4" w:space="0"/>
        <w:bottom w:val="single" w:color="000000" w:sz="4" w:space="0"/>
      </w:pBdr>
      <w:spacing w:before="100" w:beforeAutospacing="1" w:after="100" w:afterAutospacing="1"/>
      <w:jc w:val="center"/>
    </w:pPr>
    <w:rPr>
      <w:rFonts w:ascii="Hbjr Songti" w:hAnsi="Hbjr Songti" w:cs="宋体"/>
      <w:color w:val="000000"/>
      <w:kern w:val="0"/>
      <w:sz w:val="20"/>
    </w:rPr>
  </w:style>
  <w:style w:type="character" w:customStyle="1" w:styleId="339">
    <w:name w:val="A正文 Char"/>
    <w:link w:val="340"/>
    <w:qFormat/>
    <w:locked/>
    <w:uiPriority w:val="0"/>
    <w:rPr>
      <w:sz w:val="24"/>
    </w:rPr>
  </w:style>
  <w:style w:type="paragraph" w:customStyle="1" w:styleId="340">
    <w:name w:val="A正文"/>
    <w:basedOn w:val="1"/>
    <w:link w:val="339"/>
    <w:qFormat/>
    <w:uiPriority w:val="0"/>
    <w:pPr>
      <w:spacing w:beforeLines="50" w:line="300" w:lineRule="auto"/>
      <w:ind w:firstLine="200" w:firstLineChars="200"/>
    </w:pPr>
    <w:rPr>
      <w:rFonts w:asciiTheme="minorHAnsi" w:hAnsiTheme="minorHAnsi" w:eastAsiaTheme="minorEastAsia" w:cstheme="minorBidi"/>
      <w:szCs w:val="22"/>
    </w:rPr>
  </w:style>
  <w:style w:type="paragraph" w:customStyle="1" w:styleId="341">
    <w:name w:val="表左"/>
    <w:basedOn w:val="1"/>
    <w:next w:val="1"/>
    <w:qFormat/>
    <w:uiPriority w:val="99"/>
    <w:pPr>
      <w:adjustRightInd w:val="0"/>
      <w:spacing w:line="280" w:lineRule="exact"/>
      <w:ind w:firstLine="567"/>
      <w:jc w:val="center"/>
    </w:pPr>
    <w:rPr>
      <w:rFonts w:ascii="仿宋_GB2312" w:hAnsi="Times New Roman" w:eastAsia="仿宋_GB2312"/>
      <w:color w:val="000000"/>
      <w:sz w:val="21"/>
      <w:szCs w:val="21"/>
    </w:rPr>
  </w:style>
  <w:style w:type="paragraph" w:customStyle="1" w:styleId="342">
    <w:name w:val="Char1 Char Char Char Char Char Char1 Char Char Char11"/>
    <w:basedOn w:val="1"/>
    <w:qFormat/>
    <w:uiPriority w:val="99"/>
    <w:rPr>
      <w:rFonts w:ascii="Times New Roman" w:hAnsi="Times New Roman"/>
      <w:sz w:val="21"/>
      <w:szCs w:val="21"/>
    </w:rPr>
  </w:style>
  <w:style w:type="paragraph" w:customStyle="1" w:styleId="343">
    <w:name w:val="样式 居中 行距: 1.5 倍行距"/>
    <w:basedOn w:val="1"/>
    <w:qFormat/>
    <w:uiPriority w:val="99"/>
    <w:pPr>
      <w:spacing w:line="360" w:lineRule="auto"/>
    </w:pPr>
    <w:rPr>
      <w:rFonts w:eastAsia="黑体"/>
    </w:rPr>
  </w:style>
  <w:style w:type="character" w:customStyle="1" w:styleId="344">
    <w:name w:val="表头 Char"/>
    <w:link w:val="345"/>
    <w:qFormat/>
    <w:locked/>
    <w:uiPriority w:val="0"/>
    <w:rPr>
      <w:rFonts w:ascii="宋体" w:hAnsi="宋体" w:eastAsia="宋体"/>
      <w:b/>
      <w:kern w:val="24"/>
      <w:sz w:val="24"/>
    </w:rPr>
  </w:style>
  <w:style w:type="paragraph" w:customStyle="1" w:styleId="345">
    <w:name w:val="表头"/>
    <w:basedOn w:val="1"/>
    <w:next w:val="1"/>
    <w:link w:val="344"/>
    <w:qFormat/>
    <w:uiPriority w:val="0"/>
    <w:pPr>
      <w:tabs>
        <w:tab w:val="left" w:pos="6840"/>
      </w:tabs>
      <w:topLinePunct/>
      <w:snapToGrid w:val="0"/>
      <w:spacing w:line="529" w:lineRule="exact"/>
    </w:pPr>
    <w:rPr>
      <w:rFonts w:cstheme="minorBidi"/>
      <w:b/>
      <w:kern w:val="24"/>
      <w:szCs w:val="22"/>
    </w:rPr>
  </w:style>
  <w:style w:type="character" w:customStyle="1" w:styleId="346">
    <w:name w:val="表格内容 Char"/>
    <w:link w:val="347"/>
    <w:qFormat/>
    <w:locked/>
    <w:uiPriority w:val="0"/>
  </w:style>
  <w:style w:type="paragraph" w:customStyle="1" w:styleId="347">
    <w:name w:val="表格内容"/>
    <w:link w:val="346"/>
    <w:qFormat/>
    <w:uiPriority w:val="0"/>
    <w:pPr>
      <w:jc w:val="center"/>
    </w:pPr>
    <w:rPr>
      <w:rFonts w:asciiTheme="minorHAnsi" w:hAnsiTheme="minorHAnsi" w:eastAsiaTheme="minorEastAsia" w:cstheme="minorBidi"/>
      <w:kern w:val="2"/>
      <w:sz w:val="21"/>
      <w:szCs w:val="22"/>
      <w:lang w:val="en-US" w:eastAsia="zh-CN" w:bidi="ar-SA"/>
    </w:rPr>
  </w:style>
  <w:style w:type="paragraph" w:customStyle="1" w:styleId="348">
    <w:name w:val="Char Char Char Char Char Char Char"/>
    <w:basedOn w:val="1"/>
    <w:qFormat/>
    <w:uiPriority w:val="99"/>
    <w:pPr>
      <w:spacing w:line="500" w:lineRule="exact"/>
    </w:pPr>
    <w:rPr>
      <w:rFonts w:ascii="Arial Narrow" w:hAnsi="Arial Narrow" w:eastAsia="汉鼎简书宋"/>
    </w:rPr>
  </w:style>
  <w:style w:type="paragraph" w:customStyle="1" w:styleId="349">
    <w:name w:val="Char Char Char Char Char Char Char Char Char Char Char Char Char Char Char Char"/>
    <w:basedOn w:val="1"/>
    <w:qFormat/>
    <w:uiPriority w:val="99"/>
    <w:rPr>
      <w:rFonts w:ascii="Times New Roman" w:hAnsi="Times New Roman"/>
      <w:sz w:val="21"/>
      <w:szCs w:val="21"/>
    </w:rPr>
  </w:style>
  <w:style w:type="paragraph" w:customStyle="1" w:styleId="350">
    <w:name w:val="表后空行"/>
    <w:basedOn w:val="1"/>
    <w:qFormat/>
    <w:uiPriority w:val="99"/>
    <w:pPr>
      <w:overflowPunct w:val="0"/>
      <w:adjustRightInd w:val="0"/>
    </w:pPr>
    <w:rPr>
      <w:rFonts w:ascii="Times New Roman" w:hAnsi="Times New Roman"/>
      <w:kern w:val="28"/>
      <w:sz w:val="10"/>
    </w:rPr>
  </w:style>
  <w:style w:type="character" w:customStyle="1" w:styleId="351">
    <w:name w:val="样式 hb1 + Times New Roman Char"/>
    <w:link w:val="352"/>
    <w:qFormat/>
    <w:locked/>
    <w:uiPriority w:val="0"/>
    <w:rPr>
      <w:rFonts w:ascii="汉鼎简书宋" w:eastAsia="汉鼎简书宋"/>
      <w:b/>
      <w:sz w:val="28"/>
    </w:rPr>
  </w:style>
  <w:style w:type="paragraph" w:customStyle="1" w:styleId="352">
    <w:name w:val="样式 hb1 + Times New Roman"/>
    <w:basedOn w:val="3"/>
    <w:link w:val="351"/>
    <w:qFormat/>
    <w:uiPriority w:val="0"/>
    <w:pPr>
      <w:topLinePunct/>
      <w:adjustRightInd w:val="0"/>
      <w:spacing w:before="120" w:after="360" w:line="480" w:lineRule="atLeast"/>
    </w:pPr>
    <w:rPr>
      <w:rFonts w:ascii="汉鼎简书宋" w:eastAsia="汉鼎简书宋" w:hAnsiTheme="minorHAnsi" w:cstheme="minorBidi"/>
      <w:kern w:val="2"/>
      <w:sz w:val="28"/>
      <w:szCs w:val="22"/>
    </w:rPr>
  </w:style>
  <w:style w:type="paragraph" w:customStyle="1" w:styleId="353">
    <w:name w:val="et20"/>
    <w:basedOn w:val="1"/>
    <w:qFormat/>
    <w:uiPriority w:val="99"/>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cs="宋体"/>
      <w:color w:val="000000"/>
      <w:kern w:val="0"/>
      <w:sz w:val="21"/>
      <w:szCs w:val="21"/>
    </w:rPr>
  </w:style>
  <w:style w:type="paragraph" w:customStyle="1" w:styleId="354">
    <w:name w:val="样式 hb2 + 左侧:  0 厘米 段前: 0 磅 段后: 0 磅 行距: 固定值 26.45 磅"/>
    <w:basedOn w:val="4"/>
    <w:qFormat/>
    <w:uiPriority w:val="99"/>
    <w:pPr>
      <w:widowControl/>
      <w:adjustRightInd w:val="0"/>
      <w:spacing w:before="0" w:after="0" w:line="529" w:lineRule="exact"/>
      <w:ind w:firstLine="200" w:firstLineChars="200"/>
    </w:pPr>
    <w:rPr>
      <w:rFonts w:ascii="Times New Roman" w:hAnsi="Times New Roman" w:eastAsia="宋体"/>
      <w:kern w:val="0"/>
      <w:sz w:val="28"/>
    </w:rPr>
  </w:style>
  <w:style w:type="paragraph" w:customStyle="1" w:styleId="355">
    <w:name w:val="默认段落字体 Para Char Char Char Char Char Char Char"/>
    <w:basedOn w:val="1"/>
    <w:qFormat/>
    <w:uiPriority w:val="99"/>
    <w:rPr>
      <w:rFonts w:ascii="Arial" w:hAnsi="Arial" w:cs="Arial"/>
      <w:sz w:val="20"/>
    </w:rPr>
  </w:style>
  <w:style w:type="paragraph" w:customStyle="1" w:styleId="356">
    <w:name w:val="样式14"/>
    <w:basedOn w:val="1"/>
    <w:qFormat/>
    <w:uiPriority w:val="99"/>
  </w:style>
  <w:style w:type="paragraph" w:customStyle="1" w:styleId="357">
    <w:name w:val="正文段落"/>
    <w:basedOn w:val="1"/>
    <w:qFormat/>
    <w:uiPriority w:val="99"/>
    <w:pPr>
      <w:topLinePunct/>
      <w:autoSpaceDN w:val="0"/>
      <w:adjustRightInd w:val="0"/>
      <w:spacing w:line="500" w:lineRule="exact"/>
      <w:ind w:right="100" w:rightChars="100" w:firstLine="480" w:firstLineChars="200"/>
    </w:pPr>
    <w:rPr>
      <w:rFonts w:eastAsia="汉鼎简书宋"/>
      <w:kern w:val="0"/>
    </w:rPr>
  </w:style>
  <w:style w:type="paragraph" w:customStyle="1" w:styleId="358">
    <w:name w:val="(1)"/>
    <w:basedOn w:val="1"/>
    <w:qFormat/>
    <w:uiPriority w:val="99"/>
    <w:pPr>
      <w:widowControl/>
      <w:adjustRightInd w:val="0"/>
      <w:snapToGrid w:val="0"/>
      <w:spacing w:line="360" w:lineRule="exact"/>
    </w:pPr>
    <w:rPr>
      <w:kern w:val="0"/>
      <w:szCs w:val="24"/>
    </w:rPr>
  </w:style>
  <w:style w:type="paragraph" w:customStyle="1" w:styleId="359">
    <w:name w:val="xl2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420"/>
    </w:pPr>
    <w:rPr>
      <w:rFonts w:eastAsia="汉鼎简书宋"/>
      <w:kern w:val="0"/>
    </w:rPr>
  </w:style>
  <w:style w:type="paragraph" w:customStyle="1" w:styleId="360">
    <w:name w:val="xl77"/>
    <w:basedOn w:val="1"/>
    <w:qFormat/>
    <w:uiPriority w:val="99"/>
    <w:pPr>
      <w:widowControl/>
      <w:pBdr>
        <w:left w:val="single" w:color="auto" w:sz="8" w:space="0"/>
        <w:bottom w:val="single" w:color="auto" w:sz="8" w:space="0"/>
        <w:right w:val="single" w:color="auto" w:sz="8" w:space="0"/>
      </w:pBdr>
      <w:spacing w:before="100" w:beforeAutospacing="1" w:after="100" w:afterAutospacing="1"/>
      <w:jc w:val="center"/>
    </w:pPr>
    <w:rPr>
      <w:rFonts w:cs="宋体"/>
      <w:color w:val="222222"/>
      <w:kern w:val="0"/>
      <w:szCs w:val="24"/>
    </w:rPr>
  </w:style>
  <w:style w:type="paragraph" w:customStyle="1" w:styleId="361">
    <w:name w:val="Char2"/>
    <w:basedOn w:val="1"/>
    <w:qFormat/>
    <w:uiPriority w:val="99"/>
    <w:pPr>
      <w:spacing w:line="360" w:lineRule="auto"/>
      <w:ind w:firstLine="200" w:firstLineChars="200"/>
    </w:pPr>
  </w:style>
  <w:style w:type="paragraph" w:customStyle="1" w:styleId="362">
    <w:name w:val="样式 hb3 + 左侧:  0 厘米 段前: 0 磅 段后: 0 磅 行距: 固定值 26.45 磅"/>
    <w:basedOn w:val="5"/>
    <w:qFormat/>
    <w:uiPriority w:val="99"/>
    <w:pPr>
      <w:widowControl/>
      <w:adjustRightInd w:val="0"/>
      <w:spacing w:before="0" w:after="0" w:line="529" w:lineRule="exact"/>
    </w:pPr>
    <w:rPr>
      <w:kern w:val="0"/>
      <w:sz w:val="24"/>
    </w:rPr>
  </w:style>
  <w:style w:type="paragraph" w:customStyle="1" w:styleId="363">
    <w:name w:val="样式 样式 标题 3 + 段前: 0.5 行 + 段前: 1 行 行距: 单倍行距"/>
    <w:basedOn w:val="132"/>
    <w:qFormat/>
    <w:uiPriority w:val="99"/>
    <w:pPr>
      <w:spacing w:before="100" w:beforeLines="0"/>
    </w:pPr>
  </w:style>
  <w:style w:type="paragraph" w:customStyle="1" w:styleId="364">
    <w:name w:val="ÕýÎÄ"/>
    <w:qFormat/>
    <w:uiPriority w:val="99"/>
    <w:pPr>
      <w:widowControl w:val="0"/>
      <w:overflowPunct w:val="0"/>
      <w:autoSpaceDE w:val="0"/>
      <w:autoSpaceDN w:val="0"/>
      <w:adjustRightInd w:val="0"/>
      <w:spacing w:line="357" w:lineRule="atLeast"/>
      <w:jc w:val="both"/>
    </w:pPr>
    <w:rPr>
      <w:rFonts w:ascii="Times New Roman" w:hAnsi="Times New Roman" w:eastAsia="宋体" w:cs="Times New Roman"/>
      <w:color w:val="000000"/>
      <w:sz w:val="21"/>
      <w:lang w:val="en-US" w:eastAsia="zh-CN" w:bidi="ar-SA"/>
    </w:rPr>
  </w:style>
  <w:style w:type="paragraph" w:customStyle="1" w:styleId="365">
    <w:name w:val="表格样式1"/>
    <w:basedOn w:val="1"/>
    <w:qFormat/>
    <w:uiPriority w:val="99"/>
    <w:pPr>
      <w:adjustRightInd w:val="0"/>
      <w:spacing w:line="20" w:lineRule="atLeast"/>
      <w:jc w:val="center"/>
    </w:pPr>
    <w:rPr>
      <w:rFonts w:hAnsi="Times New Roman"/>
      <w:kern w:val="0"/>
      <w:sz w:val="21"/>
    </w:rPr>
  </w:style>
  <w:style w:type="character" w:customStyle="1" w:styleId="366">
    <w:name w:val="样式 样式 首行缩进:  2 字符 + 宋体 Char"/>
    <w:link w:val="367"/>
    <w:qFormat/>
    <w:locked/>
    <w:uiPriority w:val="0"/>
    <w:rPr>
      <w:rFonts w:ascii="宋体" w:hAnsi="宋体" w:eastAsia="宋体"/>
      <w:sz w:val="24"/>
    </w:rPr>
  </w:style>
  <w:style w:type="paragraph" w:customStyle="1" w:styleId="367">
    <w:name w:val="样式 样式 首行缩进:  2 字符 + 宋体"/>
    <w:basedOn w:val="313"/>
    <w:link w:val="366"/>
    <w:qFormat/>
    <w:uiPriority w:val="0"/>
    <w:pPr>
      <w:widowControl w:val="0"/>
      <w:topLinePunct/>
      <w:spacing w:after="240"/>
      <w:ind w:firstLine="200"/>
    </w:pPr>
    <w:rPr>
      <w:rFonts w:ascii="宋体" w:hAnsi="宋体" w:eastAsia="宋体"/>
    </w:rPr>
  </w:style>
  <w:style w:type="paragraph" w:customStyle="1" w:styleId="368">
    <w:name w:val="_Style 569"/>
    <w:next w:val="1"/>
    <w:qFormat/>
    <w:uiPriority w:val="99"/>
    <w:pPr>
      <w:widowControl w:val="0"/>
      <w:jc w:val="both"/>
    </w:pPr>
    <w:rPr>
      <w:rFonts w:ascii="宋体" w:hAnsi="宋体" w:eastAsia="宋体" w:cs="Times New Roman"/>
      <w:kern w:val="2"/>
      <w:sz w:val="24"/>
      <w:lang w:val="en-US" w:eastAsia="zh-CN" w:bidi="ar-SA"/>
    </w:rPr>
  </w:style>
  <w:style w:type="paragraph" w:customStyle="1" w:styleId="369">
    <w:name w:val="正文表标题"/>
    <w:next w:val="1"/>
    <w:qFormat/>
    <w:uiPriority w:val="99"/>
    <w:pPr>
      <w:spacing w:line="440" w:lineRule="exact"/>
      <w:jc w:val="center"/>
    </w:pPr>
    <w:rPr>
      <w:rFonts w:ascii="宋体" w:hAnsi="Times New Roman" w:eastAsia="宋体" w:cs="Times New Roman"/>
      <w:bCs/>
      <w:sz w:val="24"/>
      <w:lang w:val="en-US" w:eastAsia="zh-CN" w:bidi="ar-SA"/>
    </w:rPr>
  </w:style>
  <w:style w:type="paragraph" w:customStyle="1" w:styleId="370">
    <w:name w:val="正文文字2"/>
    <w:basedOn w:val="1"/>
    <w:qFormat/>
    <w:uiPriority w:val="99"/>
    <w:pPr>
      <w:spacing w:line="360" w:lineRule="auto"/>
      <w:ind w:firstLine="480" w:firstLineChars="200"/>
    </w:pPr>
  </w:style>
  <w:style w:type="paragraph" w:customStyle="1" w:styleId="371">
    <w:name w:val="Char12"/>
    <w:basedOn w:val="1"/>
    <w:next w:val="1"/>
    <w:qFormat/>
    <w:uiPriority w:val="99"/>
    <w:pPr>
      <w:spacing w:line="529" w:lineRule="exact"/>
      <w:ind w:firstLine="200" w:firstLineChars="200"/>
    </w:pPr>
    <w:rPr>
      <w:rFonts w:cs="宋体"/>
      <w:szCs w:val="24"/>
    </w:rPr>
  </w:style>
  <w:style w:type="paragraph" w:customStyle="1" w:styleId="372">
    <w:name w:val="Char Char Char Char Char Char Char Char Char3"/>
    <w:basedOn w:val="1"/>
    <w:next w:val="1"/>
    <w:qFormat/>
    <w:uiPriority w:val="99"/>
    <w:pPr>
      <w:spacing w:line="360" w:lineRule="auto"/>
      <w:ind w:firstLine="200" w:firstLineChars="200"/>
    </w:pPr>
    <w:rPr>
      <w:rFonts w:ascii="Times New Roman" w:hAnsi="Times New Roman" w:eastAsia="Times New Roman" w:cs="宋体"/>
      <w:szCs w:val="24"/>
    </w:rPr>
  </w:style>
  <w:style w:type="paragraph" w:customStyle="1" w:styleId="373">
    <w:name w:val="表5号字"/>
    <w:qFormat/>
    <w:uiPriority w:val="99"/>
    <w:pPr>
      <w:keepNext/>
      <w:widowControl w:val="0"/>
      <w:adjustRightInd w:val="0"/>
      <w:spacing w:before="120" w:line="60" w:lineRule="atLeast"/>
      <w:jc w:val="center"/>
    </w:pPr>
    <w:rPr>
      <w:rFonts w:ascii="Times New Roman" w:hAnsi="Times New Roman" w:eastAsia="宋体" w:cs="Times New Roman"/>
      <w:sz w:val="21"/>
      <w:lang w:val="en-US" w:eastAsia="zh-CN" w:bidi="ar-SA"/>
    </w:rPr>
  </w:style>
  <w:style w:type="paragraph" w:customStyle="1" w:styleId="374">
    <w:name w:val="目录2"/>
    <w:basedOn w:val="1"/>
    <w:next w:val="1"/>
    <w:qFormat/>
    <w:uiPriority w:val="99"/>
    <w:pPr>
      <w:widowControl/>
      <w:tabs>
        <w:tab w:val="left" w:leader="dot" w:pos="8503"/>
      </w:tabs>
      <w:spacing w:line="317" w:lineRule="atLeast"/>
      <w:ind w:left="419" w:firstLine="419"/>
    </w:pPr>
    <w:rPr>
      <w:color w:val="000000"/>
      <w:kern w:val="0"/>
      <w:sz w:val="21"/>
      <w:u w:color="000000"/>
    </w:rPr>
  </w:style>
  <w:style w:type="paragraph" w:customStyle="1" w:styleId="375">
    <w:name w:val="font1"/>
    <w:basedOn w:val="1"/>
    <w:qFormat/>
    <w:uiPriority w:val="99"/>
    <w:pPr>
      <w:widowControl/>
      <w:spacing w:before="100" w:beforeAutospacing="1" w:after="100" w:afterAutospacing="1"/>
    </w:pPr>
    <w:rPr>
      <w:kern w:val="0"/>
    </w:rPr>
  </w:style>
  <w:style w:type="paragraph" w:customStyle="1" w:styleId="376">
    <w:name w:val="样式 标题 1 + 行距: 1.5 倍行距"/>
    <w:basedOn w:val="3"/>
    <w:qFormat/>
    <w:uiPriority w:val="99"/>
    <w:pPr>
      <w:pageBreakBefore/>
      <w:autoSpaceDE w:val="0"/>
      <w:autoSpaceDN w:val="0"/>
      <w:adjustRightInd w:val="0"/>
      <w:spacing w:before="0" w:beforeLines="100" w:after="240" w:line="360" w:lineRule="auto"/>
    </w:pPr>
    <w:rPr>
      <w:rFonts w:eastAsia="黑体"/>
      <w:b w:val="0"/>
      <w:spacing w:val="10"/>
      <w:sz w:val="36"/>
    </w:rPr>
  </w:style>
  <w:style w:type="paragraph" w:customStyle="1" w:styleId="377">
    <w:name w:val="a0"/>
    <w:basedOn w:val="1"/>
    <w:qFormat/>
    <w:uiPriority w:val="99"/>
    <w:pPr>
      <w:widowControl/>
      <w:spacing w:before="100" w:beforeAutospacing="1" w:after="100" w:afterAutospacing="1"/>
    </w:pPr>
    <w:rPr>
      <w:color w:val="000000"/>
      <w:kern w:val="0"/>
    </w:rPr>
  </w:style>
  <w:style w:type="paragraph" w:customStyle="1" w:styleId="378">
    <w:name w:val="样式 正文段落 + 五号"/>
    <w:basedOn w:val="1"/>
    <w:qFormat/>
    <w:uiPriority w:val="99"/>
    <w:pPr>
      <w:topLinePunct/>
      <w:autoSpaceDN w:val="0"/>
      <w:adjustRightInd w:val="0"/>
      <w:spacing w:line="500" w:lineRule="exact"/>
    </w:pPr>
    <w:rPr>
      <w:rFonts w:ascii="Arial Narrow" w:hAnsi="Arial Narrow" w:eastAsia="汉鼎简书宋"/>
      <w:kern w:val="0"/>
    </w:rPr>
  </w:style>
  <w:style w:type="paragraph" w:customStyle="1" w:styleId="379">
    <w:name w:val="样式 纯文本普通文字 Char普通文字 Char Char Char普通文字 Char Char Char Char Ch..."/>
    <w:basedOn w:val="32"/>
    <w:qFormat/>
    <w:uiPriority w:val="99"/>
    <w:pPr>
      <w:snapToGrid w:val="0"/>
      <w:ind w:firstLine="480"/>
    </w:pPr>
    <w:rPr>
      <w:rFonts w:ascii="Times New Roman" w:hAnsi="Times New Roman"/>
    </w:rPr>
  </w:style>
  <w:style w:type="character" w:customStyle="1" w:styleId="380">
    <w:name w:val="样式5 Char"/>
    <w:link w:val="381"/>
    <w:qFormat/>
    <w:locked/>
    <w:uiPriority w:val="0"/>
    <w:rPr>
      <w:rFonts w:ascii="宋体" w:hAnsi="宋体" w:eastAsia="汉鼎简书宋"/>
      <w:b/>
      <w:sz w:val="28"/>
    </w:rPr>
  </w:style>
  <w:style w:type="paragraph" w:customStyle="1" w:styleId="381">
    <w:name w:val="样式5"/>
    <w:basedOn w:val="7"/>
    <w:link w:val="380"/>
    <w:qFormat/>
    <w:uiPriority w:val="0"/>
    <w:pPr>
      <w:tabs>
        <w:tab w:val="left" w:pos="1247"/>
        <w:tab w:val="left" w:pos="1534"/>
        <w:tab w:val="clear" w:pos="1008"/>
      </w:tabs>
      <w:spacing w:before="0" w:after="0" w:line="360" w:lineRule="auto"/>
      <w:ind w:left="284" w:firstLine="170"/>
    </w:pPr>
    <w:rPr>
      <w:rFonts w:ascii="宋体" w:hAnsi="宋体" w:eastAsia="汉鼎简书宋" w:cstheme="minorBidi"/>
      <w:szCs w:val="22"/>
    </w:rPr>
  </w:style>
  <w:style w:type="paragraph" w:customStyle="1" w:styleId="382">
    <w:name w:val="表中"/>
    <w:basedOn w:val="1"/>
    <w:qFormat/>
    <w:uiPriority w:val="99"/>
    <w:pPr>
      <w:tabs>
        <w:tab w:val="left" w:pos="1560"/>
      </w:tabs>
      <w:spacing w:line="529" w:lineRule="exact"/>
      <w:ind w:left="-58" w:leftChars="-18"/>
    </w:pPr>
    <w:rPr>
      <w:rFonts w:eastAsia="汉鼎简书宋"/>
      <w:spacing w:val="20"/>
      <w:position w:val="-12"/>
    </w:rPr>
  </w:style>
  <w:style w:type="paragraph" w:customStyle="1" w:styleId="383">
    <w:name w:val="et19"/>
    <w:basedOn w:val="1"/>
    <w:qFormat/>
    <w:uiPriority w:val="99"/>
    <w:pPr>
      <w:widowControl/>
      <w:pBdr>
        <w:top w:val="single" w:color="000000" w:sz="4" w:space="0"/>
        <w:left w:val="single" w:color="000000" w:sz="4" w:space="0"/>
        <w:bottom w:val="single" w:color="000000" w:sz="4" w:space="0"/>
      </w:pBdr>
      <w:spacing w:before="100" w:beforeAutospacing="1" w:after="100" w:afterAutospacing="1"/>
      <w:jc w:val="center"/>
    </w:pPr>
    <w:rPr>
      <w:rFonts w:cs="宋体"/>
      <w:color w:val="000000"/>
      <w:kern w:val="0"/>
      <w:sz w:val="21"/>
      <w:szCs w:val="21"/>
    </w:rPr>
  </w:style>
  <w:style w:type="paragraph" w:customStyle="1" w:styleId="384">
    <w:name w:val="xl39"/>
    <w:basedOn w:val="1"/>
    <w:qFormat/>
    <w:uiPriority w:val="99"/>
    <w:pPr>
      <w:widowControl/>
      <w:pBdr>
        <w:top w:val="single" w:color="auto" w:sz="4" w:space="0"/>
        <w:left w:val="single" w:color="auto" w:sz="4" w:space="0"/>
        <w:bottom w:val="single" w:color="auto" w:sz="4" w:space="0"/>
        <w:right w:val="single" w:color="auto" w:sz="8" w:space="0"/>
      </w:pBdr>
      <w:spacing w:before="100" w:beforeAutospacing="1" w:after="100" w:afterAutospacing="1" w:line="529" w:lineRule="exact"/>
      <w:ind w:firstLine="200" w:firstLineChars="200"/>
    </w:pPr>
    <w:rPr>
      <w:rFonts w:eastAsia="汉鼎简书宋"/>
      <w:kern w:val="0"/>
      <w:sz w:val="20"/>
    </w:rPr>
  </w:style>
  <w:style w:type="paragraph" w:customStyle="1" w:styleId="385">
    <w:name w:val="font11"/>
    <w:basedOn w:val="1"/>
    <w:qFormat/>
    <w:uiPriority w:val="99"/>
    <w:pPr>
      <w:widowControl/>
      <w:spacing w:before="100" w:beforeAutospacing="1" w:after="100" w:afterAutospacing="1"/>
      <w:jc w:val="left"/>
    </w:pPr>
    <w:rPr>
      <w:rFonts w:ascii="Arial Narrow" w:hAnsi="Arial Narrow" w:cs="宋体"/>
      <w:kern w:val="0"/>
      <w:sz w:val="20"/>
    </w:rPr>
  </w:style>
  <w:style w:type="paragraph" w:customStyle="1" w:styleId="386">
    <w:name w:val="样式 黑体 三号 居中 左侧:  0.85 厘米"/>
    <w:basedOn w:val="1"/>
    <w:qFormat/>
    <w:uiPriority w:val="99"/>
    <w:pPr>
      <w:topLinePunct/>
      <w:spacing w:line="529" w:lineRule="exact"/>
      <w:ind w:left="482"/>
    </w:pPr>
    <w:rPr>
      <w:rFonts w:ascii="Arial Narrow" w:hAnsi="Arial Narrow" w:eastAsia="汉鼎简书宋"/>
      <w:b/>
      <w:sz w:val="32"/>
    </w:rPr>
  </w:style>
  <w:style w:type="character" w:customStyle="1" w:styleId="387">
    <w:name w:val="表名 Char"/>
    <w:link w:val="388"/>
    <w:qFormat/>
    <w:locked/>
    <w:uiPriority w:val="0"/>
    <w:rPr>
      <w:rFonts w:ascii="宋体" w:hAnsi="宋体" w:eastAsia="宋体"/>
      <w:b/>
      <w:sz w:val="24"/>
    </w:rPr>
  </w:style>
  <w:style w:type="paragraph" w:customStyle="1" w:styleId="388">
    <w:name w:val="表名"/>
    <w:basedOn w:val="7"/>
    <w:link w:val="387"/>
    <w:qFormat/>
    <w:uiPriority w:val="0"/>
    <w:pPr>
      <w:keepLines w:val="0"/>
      <w:adjustRightInd w:val="0"/>
      <w:spacing w:before="0" w:after="0" w:line="360" w:lineRule="auto"/>
      <w:ind w:left="0" w:firstLine="200" w:firstLineChars="200"/>
    </w:pPr>
    <w:rPr>
      <w:rFonts w:ascii="宋体" w:hAnsi="宋体" w:cstheme="minorBidi"/>
      <w:sz w:val="24"/>
      <w:szCs w:val="22"/>
    </w:rPr>
  </w:style>
  <w:style w:type="paragraph" w:customStyle="1" w:styleId="389">
    <w:name w:val="简单回函地址"/>
    <w:basedOn w:val="1"/>
    <w:qFormat/>
    <w:uiPriority w:val="99"/>
  </w:style>
  <w:style w:type="paragraph" w:customStyle="1" w:styleId="390">
    <w:name w:val="注解"/>
    <w:basedOn w:val="1"/>
    <w:qFormat/>
    <w:uiPriority w:val="99"/>
    <w:pPr>
      <w:topLinePunct/>
      <w:spacing w:after="120" w:line="240" w:lineRule="exact"/>
    </w:pPr>
    <w:rPr>
      <w:rFonts w:ascii="Arial Narrow" w:hAnsi="Arial Narrow" w:eastAsia="汉鼎简书宋"/>
    </w:rPr>
  </w:style>
  <w:style w:type="paragraph" w:customStyle="1" w:styleId="391">
    <w:name w:val="xl87"/>
    <w:basedOn w:val="1"/>
    <w:qFormat/>
    <w:uiPriority w:val="99"/>
    <w:pPr>
      <w:widowControl/>
      <w:pBdr>
        <w:right w:val="single" w:color="auto" w:sz="8" w:space="0"/>
      </w:pBdr>
      <w:spacing w:before="100" w:beforeAutospacing="1" w:after="100" w:afterAutospacing="1"/>
      <w:jc w:val="center"/>
    </w:pPr>
    <w:rPr>
      <w:rFonts w:cs="宋体"/>
      <w:color w:val="0000FF"/>
      <w:kern w:val="0"/>
      <w:szCs w:val="24"/>
      <w:u w:val="single"/>
    </w:rPr>
  </w:style>
  <w:style w:type="paragraph" w:customStyle="1" w:styleId="392">
    <w:name w:val="xl4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393">
    <w:name w:val="正文文本缩进 31"/>
    <w:basedOn w:val="1"/>
    <w:qFormat/>
    <w:uiPriority w:val="99"/>
    <w:pPr>
      <w:adjustRightInd w:val="0"/>
      <w:ind w:firstLine="560"/>
    </w:pPr>
    <w:rPr>
      <w:sz w:val="28"/>
    </w:rPr>
  </w:style>
  <w:style w:type="paragraph" w:customStyle="1" w:styleId="394">
    <w:name w:val="03"/>
    <w:basedOn w:val="4"/>
    <w:qFormat/>
    <w:uiPriority w:val="99"/>
    <w:pPr>
      <w:spacing w:before="0" w:beforeLines="50" w:after="0" w:afterLines="50" w:line="360" w:lineRule="auto"/>
      <w:outlineLvl w:val="0"/>
    </w:pPr>
    <w:rPr>
      <w:rFonts w:eastAsia="宋体"/>
      <w:b w:val="0"/>
    </w:rPr>
  </w:style>
  <w:style w:type="paragraph" w:customStyle="1" w:styleId="395">
    <w:name w:val="环保章标题"/>
    <w:basedOn w:val="5"/>
    <w:qFormat/>
    <w:uiPriority w:val="99"/>
    <w:pPr>
      <w:adjustRightInd w:val="0"/>
      <w:spacing w:line="416" w:lineRule="atLeast"/>
      <w:ind w:firstLine="200" w:firstLineChars="200"/>
    </w:pPr>
    <w:rPr>
      <w:rFonts w:eastAsia="汉鼎简书宋"/>
      <w:kern w:val="0"/>
      <w:sz w:val="28"/>
    </w:rPr>
  </w:style>
  <w:style w:type="paragraph" w:customStyle="1" w:styleId="396">
    <w:name w:val="_Style 568"/>
    <w:next w:val="1"/>
    <w:qFormat/>
    <w:uiPriority w:val="99"/>
    <w:pPr>
      <w:widowControl w:val="0"/>
      <w:jc w:val="both"/>
    </w:pPr>
    <w:rPr>
      <w:rFonts w:ascii="宋体" w:hAnsi="宋体" w:eastAsia="宋体" w:cs="Times New Roman"/>
      <w:kern w:val="2"/>
      <w:sz w:val="24"/>
      <w:lang w:val="en-US" w:eastAsia="zh-CN" w:bidi="ar-SA"/>
    </w:rPr>
  </w:style>
  <w:style w:type="paragraph" w:customStyle="1" w:styleId="397">
    <w:name w:val="样式 首行缩进:  0.85 厘米3"/>
    <w:basedOn w:val="1"/>
    <w:qFormat/>
    <w:uiPriority w:val="99"/>
    <w:pPr>
      <w:spacing w:line="530" w:lineRule="exact"/>
      <w:ind w:firstLine="482"/>
    </w:pPr>
  </w:style>
  <w:style w:type="paragraph" w:customStyle="1" w:styleId="398">
    <w:name w:val="xl4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399">
    <w:name w:val="样式 表号 + 首行缩进:  0.42 厘米"/>
    <w:basedOn w:val="331"/>
    <w:qFormat/>
    <w:uiPriority w:val="99"/>
    <w:pPr>
      <w:widowControl w:val="0"/>
      <w:snapToGrid/>
    </w:pPr>
    <w:rPr>
      <w:rFonts w:eastAsia="汉鼎简书宋"/>
    </w:rPr>
  </w:style>
  <w:style w:type="character" w:customStyle="1" w:styleId="400">
    <w:name w:val="样式 样式 标题四 + 非加粗 + 段前: 0.3 行 段后: 0.3 行 Char"/>
    <w:link w:val="401"/>
    <w:qFormat/>
    <w:locked/>
    <w:uiPriority w:val="0"/>
    <w:rPr>
      <w:rFonts w:ascii="黑体" w:hAnsi="黑体" w:eastAsia="黑体" w:cs="宋体"/>
      <w:sz w:val="24"/>
      <w:szCs w:val="24"/>
    </w:rPr>
  </w:style>
  <w:style w:type="paragraph" w:customStyle="1" w:styleId="401">
    <w:name w:val="样式 样式 标题四 + 非加粗 + 段前: 0.3 行 段后: 0.3 行"/>
    <w:basedOn w:val="1"/>
    <w:link w:val="400"/>
    <w:qFormat/>
    <w:uiPriority w:val="0"/>
    <w:pPr>
      <w:autoSpaceDE w:val="0"/>
      <w:autoSpaceDN w:val="0"/>
      <w:adjustRightInd w:val="0"/>
      <w:spacing w:line="360" w:lineRule="auto"/>
      <w:ind w:firstLine="420" w:firstLineChars="175"/>
    </w:pPr>
    <w:rPr>
      <w:rFonts w:ascii="黑体" w:hAnsi="黑体" w:eastAsia="黑体" w:cs="宋体"/>
      <w:szCs w:val="24"/>
    </w:rPr>
  </w:style>
  <w:style w:type="paragraph" w:customStyle="1" w:styleId="402">
    <w:name w:val="xl56"/>
    <w:basedOn w:val="1"/>
    <w:qFormat/>
    <w:uiPriority w:val="99"/>
    <w:pPr>
      <w:widowControl/>
      <w:pBdr>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FF0000"/>
      <w:kern w:val="0"/>
      <w:sz w:val="16"/>
      <w:szCs w:val="16"/>
    </w:rPr>
  </w:style>
  <w:style w:type="character" w:customStyle="1" w:styleId="403">
    <w:name w:val="AAA新正文 Char"/>
    <w:link w:val="404"/>
    <w:qFormat/>
    <w:locked/>
    <w:uiPriority w:val="0"/>
    <w:rPr>
      <w:color w:val="000000"/>
      <w:sz w:val="24"/>
      <w:szCs w:val="24"/>
    </w:rPr>
  </w:style>
  <w:style w:type="paragraph" w:customStyle="1" w:styleId="404">
    <w:name w:val="AAA新正文"/>
    <w:basedOn w:val="1"/>
    <w:link w:val="403"/>
    <w:qFormat/>
    <w:uiPriority w:val="0"/>
    <w:pPr>
      <w:spacing w:line="529" w:lineRule="exact"/>
      <w:ind w:firstLine="482"/>
    </w:pPr>
    <w:rPr>
      <w:rFonts w:asciiTheme="minorHAnsi" w:hAnsiTheme="minorHAnsi" w:eastAsiaTheme="minorEastAsia" w:cstheme="minorBidi"/>
      <w:color w:val="000000"/>
      <w:szCs w:val="24"/>
    </w:rPr>
  </w:style>
  <w:style w:type="paragraph" w:customStyle="1" w:styleId="405">
    <w:name w:val="xl90"/>
    <w:basedOn w:val="1"/>
    <w:qFormat/>
    <w:uiPriority w:val="99"/>
    <w:pPr>
      <w:widowControl/>
      <w:pBdr>
        <w:top w:val="single" w:color="auto" w:sz="8" w:space="0"/>
        <w:left w:val="single" w:color="auto" w:sz="8" w:space="0"/>
        <w:right w:val="single" w:color="auto" w:sz="8" w:space="0"/>
      </w:pBdr>
      <w:spacing w:before="100" w:beforeAutospacing="1" w:after="100" w:afterAutospacing="1"/>
      <w:jc w:val="center"/>
    </w:pPr>
    <w:rPr>
      <w:rFonts w:ascii="新宋体" w:hAnsi="新宋体" w:eastAsia="新宋体" w:cs="宋体"/>
      <w:kern w:val="0"/>
      <w:szCs w:val="24"/>
    </w:rPr>
  </w:style>
  <w:style w:type="paragraph" w:customStyle="1" w:styleId="406">
    <w:name w:val="Char1 Char Char Char Char Char Char1 Char Char Char12"/>
    <w:basedOn w:val="1"/>
    <w:qFormat/>
    <w:uiPriority w:val="99"/>
    <w:rPr>
      <w:rFonts w:ascii="Times New Roman" w:hAnsi="Times New Roman"/>
      <w:sz w:val="21"/>
      <w:szCs w:val="21"/>
    </w:rPr>
  </w:style>
  <w:style w:type="paragraph" w:customStyle="1" w:styleId="407">
    <w:name w:val="xl91"/>
    <w:basedOn w:val="1"/>
    <w:qFormat/>
    <w:uiPriority w:val="99"/>
    <w:pPr>
      <w:widowControl/>
      <w:pBdr>
        <w:top w:val="single" w:color="auto" w:sz="8" w:space="0"/>
        <w:left w:val="single" w:color="auto" w:sz="8" w:space="0"/>
        <w:right w:val="single" w:color="auto" w:sz="8" w:space="0"/>
      </w:pBdr>
      <w:spacing w:before="100" w:beforeAutospacing="1" w:after="100" w:afterAutospacing="1"/>
      <w:jc w:val="center"/>
    </w:pPr>
    <w:rPr>
      <w:rFonts w:ascii="Times New Roman" w:hAnsi="Times New Roman"/>
      <w:kern w:val="0"/>
      <w:szCs w:val="24"/>
    </w:rPr>
  </w:style>
  <w:style w:type="paragraph" w:customStyle="1" w:styleId="408">
    <w:name w:val="纯文本1"/>
    <w:basedOn w:val="1"/>
    <w:qFormat/>
    <w:uiPriority w:val="99"/>
    <w:pPr>
      <w:adjustRightInd w:val="0"/>
    </w:pPr>
    <w:rPr>
      <w:kern w:val="0"/>
    </w:rPr>
  </w:style>
  <w:style w:type="paragraph" w:customStyle="1" w:styleId="409">
    <w:name w:val="纯文本4"/>
    <w:basedOn w:val="1"/>
    <w:qFormat/>
    <w:uiPriority w:val="99"/>
    <w:pPr>
      <w:adjustRightInd w:val="0"/>
    </w:pPr>
    <w:rPr>
      <w:rFonts w:hAnsi="Times New Roman"/>
      <w:kern w:val="0"/>
      <w:sz w:val="21"/>
    </w:rPr>
  </w:style>
  <w:style w:type="paragraph" w:customStyle="1" w:styleId="410">
    <w:name w:val="xl9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cs="宋体"/>
      <w:kern w:val="0"/>
      <w:sz w:val="20"/>
    </w:rPr>
  </w:style>
  <w:style w:type="paragraph" w:customStyle="1" w:styleId="411">
    <w:name w:val="xl68"/>
    <w:basedOn w:val="1"/>
    <w:qFormat/>
    <w:uiPriority w:val="99"/>
    <w:pPr>
      <w:widowControl/>
      <w:pBdr>
        <w:left w:val="single" w:color="auto" w:sz="8" w:space="0"/>
        <w:bottom w:val="single" w:color="auto" w:sz="8" w:space="0"/>
        <w:right w:val="single" w:color="auto" w:sz="8" w:space="0"/>
      </w:pBdr>
      <w:spacing w:before="100" w:beforeAutospacing="1" w:after="100" w:afterAutospacing="1"/>
      <w:jc w:val="center"/>
    </w:pPr>
    <w:rPr>
      <w:rFonts w:cs="宋体"/>
      <w:kern w:val="0"/>
      <w:szCs w:val="24"/>
    </w:rPr>
  </w:style>
  <w:style w:type="paragraph" w:customStyle="1" w:styleId="412">
    <w:name w:val="样式  + 行距: 固定值 27 磅"/>
    <w:basedOn w:val="1"/>
    <w:qFormat/>
    <w:uiPriority w:val="99"/>
    <w:pPr>
      <w:spacing w:line="540" w:lineRule="exact"/>
      <w:ind w:firstLine="425"/>
    </w:pPr>
    <w:rPr>
      <w:rFonts w:ascii="Times New Roman" w:hAnsi="Times New Roman"/>
    </w:rPr>
  </w:style>
  <w:style w:type="character" w:customStyle="1" w:styleId="413">
    <w:name w:val="大纲正文 Char1"/>
    <w:link w:val="414"/>
    <w:qFormat/>
    <w:locked/>
    <w:uiPriority w:val="0"/>
    <w:rPr>
      <w:sz w:val="24"/>
    </w:rPr>
  </w:style>
  <w:style w:type="paragraph" w:customStyle="1" w:styleId="414">
    <w:name w:val="大纲正文"/>
    <w:basedOn w:val="1"/>
    <w:link w:val="413"/>
    <w:qFormat/>
    <w:uiPriority w:val="0"/>
    <w:pPr>
      <w:widowControl/>
      <w:adjustRightInd w:val="0"/>
      <w:snapToGrid w:val="0"/>
      <w:spacing w:after="156" w:line="300" w:lineRule="auto"/>
      <w:ind w:firstLine="480" w:firstLineChars="200"/>
    </w:pPr>
    <w:rPr>
      <w:rFonts w:asciiTheme="minorHAnsi" w:hAnsiTheme="minorHAnsi" w:eastAsiaTheme="minorEastAsia" w:cstheme="minorBidi"/>
      <w:szCs w:val="22"/>
    </w:rPr>
  </w:style>
  <w:style w:type="paragraph" w:customStyle="1" w:styleId="415">
    <w:name w:val="xl99"/>
    <w:basedOn w:val="1"/>
    <w:qFormat/>
    <w:uiPriority w:val="99"/>
    <w:pPr>
      <w:widowControl/>
      <w:spacing w:before="100" w:beforeAutospacing="1" w:after="100" w:afterAutospacing="1"/>
      <w:jc w:val="left"/>
    </w:pPr>
    <w:rPr>
      <w:rFonts w:cs="宋体"/>
      <w:color w:val="000000"/>
      <w:kern w:val="0"/>
      <w:szCs w:val="24"/>
    </w:rPr>
  </w:style>
  <w:style w:type="character" w:customStyle="1" w:styleId="416">
    <w:name w:val="_正文格式 Char"/>
    <w:link w:val="417"/>
    <w:qFormat/>
    <w:locked/>
    <w:uiPriority w:val="0"/>
    <w:rPr>
      <w:rFonts w:ascii="仿宋_GB2312" w:eastAsia="仿宋_GB2312"/>
      <w:sz w:val="28"/>
    </w:rPr>
  </w:style>
  <w:style w:type="paragraph" w:customStyle="1" w:styleId="417">
    <w:name w:val="_正文格式"/>
    <w:basedOn w:val="1"/>
    <w:link w:val="416"/>
    <w:qFormat/>
    <w:uiPriority w:val="0"/>
    <w:pPr>
      <w:spacing w:line="480" w:lineRule="exact"/>
      <w:ind w:firstLine="200" w:firstLineChars="200"/>
    </w:pPr>
    <w:rPr>
      <w:rFonts w:ascii="仿宋_GB2312" w:eastAsia="仿宋_GB2312" w:hAnsiTheme="minorHAnsi" w:cstheme="minorBidi"/>
      <w:sz w:val="28"/>
      <w:szCs w:val="22"/>
    </w:rPr>
  </w:style>
  <w:style w:type="paragraph" w:customStyle="1" w:styleId="418">
    <w:name w:val="样式 hb1 + 首行缩进:  1.13 厘米"/>
    <w:basedOn w:val="1"/>
    <w:qFormat/>
    <w:uiPriority w:val="99"/>
    <w:pPr>
      <w:keepNext/>
      <w:keepLines/>
      <w:pageBreakBefore/>
      <w:widowControl/>
      <w:adjustRightInd w:val="0"/>
      <w:spacing w:before="240" w:after="600" w:line="578" w:lineRule="atLeast"/>
      <w:outlineLvl w:val="0"/>
    </w:pPr>
    <w:rPr>
      <w:b/>
      <w:kern w:val="44"/>
      <w:sz w:val="32"/>
    </w:rPr>
  </w:style>
  <w:style w:type="paragraph" w:customStyle="1" w:styleId="419">
    <w:name w:val="样式 目录 3 + 首行缩进:  2 字符"/>
    <w:basedOn w:val="31"/>
    <w:qFormat/>
    <w:uiPriority w:val="99"/>
    <w:pPr>
      <w:tabs>
        <w:tab w:val="left" w:pos="1920"/>
        <w:tab w:val="right" w:leader="dot" w:pos="9062"/>
      </w:tabs>
      <w:spacing w:line="360" w:lineRule="auto"/>
      <w:ind w:left="0" w:firstLine="600" w:firstLineChars="600"/>
    </w:pPr>
    <w:rPr>
      <w:i w:val="0"/>
      <w:spacing w:val="10"/>
      <w:kern w:val="0"/>
      <w:sz w:val="24"/>
    </w:rPr>
  </w:style>
  <w:style w:type="paragraph" w:customStyle="1" w:styleId="420">
    <w:name w:val="样式 宋体 小四 行距: 固定值 25 磅"/>
    <w:basedOn w:val="1"/>
    <w:qFormat/>
    <w:uiPriority w:val="99"/>
    <w:pPr>
      <w:tabs>
        <w:tab w:val="left" w:pos="1875"/>
      </w:tabs>
      <w:spacing w:line="500" w:lineRule="exact"/>
      <w:ind w:firstLine="488" w:firstLineChars="200"/>
    </w:pPr>
    <w:rPr>
      <w:spacing w:val="2"/>
    </w:rPr>
  </w:style>
  <w:style w:type="paragraph" w:customStyle="1" w:styleId="421">
    <w:name w:val="xl3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422">
    <w:name w:val="Char31"/>
    <w:basedOn w:val="1"/>
    <w:next w:val="1"/>
    <w:qFormat/>
    <w:uiPriority w:val="99"/>
    <w:pPr>
      <w:spacing w:line="360" w:lineRule="auto"/>
      <w:ind w:firstLine="200" w:firstLineChars="200"/>
    </w:pPr>
    <w:rPr>
      <w:rFonts w:ascii="Times New Roman" w:hAnsi="Times New Roman"/>
      <w:sz w:val="21"/>
    </w:rPr>
  </w:style>
  <w:style w:type="paragraph" w:customStyle="1" w:styleId="423">
    <w:name w:val="表格样式11"/>
    <w:basedOn w:val="1"/>
    <w:qFormat/>
    <w:uiPriority w:val="99"/>
    <w:pPr>
      <w:spacing w:line="360" w:lineRule="exact"/>
    </w:pPr>
  </w:style>
  <w:style w:type="paragraph" w:customStyle="1" w:styleId="424">
    <w:name w:val="标题5"/>
    <w:basedOn w:val="7"/>
    <w:qFormat/>
    <w:uiPriority w:val="99"/>
    <w:pPr>
      <w:widowControl/>
      <w:spacing w:before="0" w:after="0" w:line="360" w:lineRule="auto"/>
      <w:ind w:left="0" w:firstLine="0"/>
    </w:pPr>
    <w:rPr>
      <w:kern w:val="0"/>
      <w:sz w:val="24"/>
    </w:rPr>
  </w:style>
  <w:style w:type="paragraph" w:customStyle="1" w:styleId="425">
    <w:name w:val="Char Char Char Char Char Char Char Char Char2"/>
    <w:basedOn w:val="1"/>
    <w:next w:val="1"/>
    <w:qFormat/>
    <w:uiPriority w:val="99"/>
    <w:pPr>
      <w:spacing w:line="360" w:lineRule="auto"/>
      <w:ind w:firstLine="200" w:firstLineChars="200"/>
    </w:pPr>
    <w:rPr>
      <w:rFonts w:ascii="Times New Roman" w:hAnsi="Times New Roman" w:eastAsia="Times New Roman" w:cs="宋体"/>
      <w:szCs w:val="24"/>
    </w:rPr>
  </w:style>
  <w:style w:type="paragraph" w:customStyle="1" w:styleId="426">
    <w:name w:val="Char13"/>
    <w:basedOn w:val="1"/>
    <w:next w:val="1"/>
    <w:qFormat/>
    <w:uiPriority w:val="99"/>
    <w:pPr>
      <w:spacing w:line="529" w:lineRule="exact"/>
      <w:ind w:firstLine="200" w:firstLineChars="200"/>
    </w:pPr>
    <w:rPr>
      <w:rFonts w:cs="宋体"/>
      <w:szCs w:val="24"/>
    </w:rPr>
  </w:style>
  <w:style w:type="character" w:customStyle="1" w:styleId="427">
    <w:name w:val="样式9 Char"/>
    <w:link w:val="428"/>
    <w:qFormat/>
    <w:locked/>
    <w:uiPriority w:val="0"/>
    <w:rPr>
      <w:bCs/>
      <w:kern w:val="24"/>
      <w:sz w:val="24"/>
      <w:szCs w:val="24"/>
    </w:rPr>
  </w:style>
  <w:style w:type="paragraph" w:customStyle="1" w:styleId="428">
    <w:name w:val="样式9"/>
    <w:basedOn w:val="1"/>
    <w:link w:val="427"/>
    <w:qFormat/>
    <w:uiPriority w:val="0"/>
    <w:pPr>
      <w:spacing w:line="360" w:lineRule="auto"/>
      <w:ind w:firstLine="200" w:firstLineChars="200"/>
    </w:pPr>
    <w:rPr>
      <w:rFonts w:asciiTheme="minorHAnsi" w:hAnsiTheme="minorHAnsi" w:eastAsiaTheme="minorEastAsia" w:cstheme="minorBidi"/>
      <w:bCs/>
      <w:kern w:val="24"/>
      <w:szCs w:val="24"/>
    </w:rPr>
  </w:style>
  <w:style w:type="paragraph" w:customStyle="1" w:styleId="429">
    <w:name w:val="Char Char Char Char Char Char Char Char Char Char Char Char Char Char Char Char Char Char Char Char Char"/>
    <w:basedOn w:val="1"/>
    <w:qFormat/>
    <w:uiPriority w:val="99"/>
    <w:rPr>
      <w:rFonts w:ascii="Times New Roman" w:hAnsi="Times New Roman"/>
      <w:sz w:val="21"/>
      <w:szCs w:val="24"/>
    </w:rPr>
  </w:style>
  <w:style w:type="paragraph" w:customStyle="1" w:styleId="430">
    <w:name w:val="简要报告正文"/>
    <w:basedOn w:val="1"/>
    <w:qFormat/>
    <w:uiPriority w:val="99"/>
    <w:pPr>
      <w:adjustRightInd w:val="0"/>
      <w:snapToGrid w:val="0"/>
      <w:spacing w:line="529" w:lineRule="exact"/>
      <w:jc w:val="left"/>
    </w:pPr>
    <w:rPr>
      <w:rFonts w:ascii="Times New Roman" w:hAnsi="Times New Roman" w:cs="宋体"/>
      <w:kern w:val="0"/>
      <w:szCs w:val="24"/>
    </w:rPr>
  </w:style>
  <w:style w:type="paragraph" w:customStyle="1" w:styleId="431">
    <w:name w:val="et2"/>
    <w:basedOn w:val="1"/>
    <w:qFormat/>
    <w:uiPriority w:val="99"/>
    <w:pPr>
      <w:widowControl/>
      <w:spacing w:before="100" w:beforeAutospacing="1" w:after="100" w:afterAutospacing="1"/>
      <w:jc w:val="center"/>
    </w:pPr>
    <w:rPr>
      <w:rFonts w:cs="宋体"/>
      <w:color w:val="000000"/>
      <w:kern w:val="0"/>
      <w:sz w:val="22"/>
      <w:szCs w:val="22"/>
    </w:rPr>
  </w:style>
  <w:style w:type="paragraph" w:customStyle="1" w:styleId="432">
    <w:name w:val="表格小四"/>
    <w:basedOn w:val="1"/>
    <w:qFormat/>
    <w:uiPriority w:val="99"/>
    <w:pPr>
      <w:snapToGrid w:val="0"/>
    </w:pPr>
    <w:rPr>
      <w:rFonts w:eastAsia="仿宋_GB2312"/>
      <w:spacing w:val="6"/>
    </w:rPr>
  </w:style>
  <w:style w:type="paragraph" w:customStyle="1" w:styleId="433">
    <w:name w:val="表格内容 小四"/>
    <w:basedOn w:val="1"/>
    <w:qFormat/>
    <w:uiPriority w:val="99"/>
    <w:pPr>
      <w:snapToGrid w:val="0"/>
    </w:pPr>
    <w:rPr>
      <w:kern w:val="0"/>
    </w:rPr>
  </w:style>
  <w:style w:type="character" w:customStyle="1" w:styleId="434">
    <w:name w:val="forth Char"/>
    <w:link w:val="435"/>
    <w:qFormat/>
    <w:locked/>
    <w:uiPriority w:val="0"/>
    <w:rPr>
      <w:rFonts w:ascii="Arial" w:hAnsi="Arial" w:cs="Arial"/>
      <w:b/>
      <w:sz w:val="24"/>
    </w:rPr>
  </w:style>
  <w:style w:type="paragraph" w:customStyle="1" w:styleId="435">
    <w:name w:val="forth"/>
    <w:basedOn w:val="6"/>
    <w:link w:val="434"/>
    <w:qFormat/>
    <w:uiPriority w:val="0"/>
    <w:pPr>
      <w:spacing w:after="120" w:line="416" w:lineRule="exact"/>
    </w:pPr>
    <w:rPr>
      <w:rFonts w:cs="Arial" w:eastAsiaTheme="minorEastAsia"/>
      <w:sz w:val="24"/>
      <w:szCs w:val="22"/>
    </w:rPr>
  </w:style>
  <w:style w:type="paragraph" w:customStyle="1" w:styleId="436">
    <w:name w:val="样式 标题 2 + 左侧:  0 厘米 首行缩进:  0 厘米 段前: 0.5 行"/>
    <w:basedOn w:val="4"/>
    <w:qFormat/>
    <w:uiPriority w:val="99"/>
    <w:pPr>
      <w:keepNext w:val="0"/>
      <w:keepLines w:val="0"/>
      <w:tabs>
        <w:tab w:val="left" w:pos="964"/>
      </w:tabs>
      <w:autoSpaceDE w:val="0"/>
      <w:autoSpaceDN w:val="0"/>
      <w:adjustRightInd w:val="0"/>
      <w:snapToGrid w:val="0"/>
      <w:spacing w:before="0" w:beforeLines="100" w:after="0" w:line="360" w:lineRule="auto"/>
      <w:ind w:firstLine="480" w:firstLineChars="200"/>
    </w:pPr>
    <w:rPr>
      <w:rFonts w:ascii="Times New Roman" w:hAnsi="Times New Roman"/>
      <w:b w:val="0"/>
      <w:kern w:val="44"/>
    </w:rPr>
  </w:style>
  <w:style w:type="paragraph" w:customStyle="1" w:styleId="437">
    <w:name w:val="et16"/>
    <w:basedOn w:val="1"/>
    <w:qFormat/>
    <w:uiPriority w:val="99"/>
    <w:pPr>
      <w:widowControl/>
      <w:pBdr>
        <w:top w:val="single" w:color="000000" w:sz="4" w:space="0"/>
        <w:left w:val="single" w:color="000000" w:sz="4" w:space="0"/>
        <w:bottom w:val="single" w:color="000000" w:sz="4" w:space="0"/>
      </w:pBdr>
      <w:spacing w:before="100" w:beforeAutospacing="1" w:after="100" w:afterAutospacing="1"/>
      <w:jc w:val="center"/>
    </w:pPr>
    <w:rPr>
      <w:rFonts w:cs="宋体"/>
      <w:b/>
      <w:bCs/>
      <w:color w:val="FF0000"/>
      <w:kern w:val="0"/>
      <w:sz w:val="20"/>
    </w:rPr>
  </w:style>
  <w:style w:type="paragraph" w:customStyle="1" w:styleId="438">
    <w:name w:val="样式 (中文) 汉鼎简书宋 首行缩进:  0.85 厘米"/>
    <w:basedOn w:val="1"/>
    <w:qFormat/>
    <w:uiPriority w:val="99"/>
    <w:pPr>
      <w:spacing w:line="529" w:lineRule="exact"/>
      <w:ind w:firstLine="482"/>
    </w:pPr>
  </w:style>
  <w:style w:type="paragraph" w:customStyle="1" w:styleId="439">
    <w:name w:val="样式 标题4 + 行距: 1.5 倍行距"/>
    <w:basedOn w:val="16"/>
    <w:qFormat/>
    <w:uiPriority w:val="99"/>
    <w:pPr>
      <w:tabs>
        <w:tab w:val="left" w:pos="3450"/>
      </w:tabs>
      <w:autoSpaceDE w:val="0"/>
      <w:autoSpaceDN w:val="0"/>
      <w:spacing w:beforeLines="50" w:line="360" w:lineRule="auto"/>
      <w:ind w:left="2540" w:hanging="1405" w:firstLineChars="0"/>
      <w:outlineLvl w:val="3"/>
    </w:pPr>
    <w:rPr>
      <w:rFonts w:ascii="Times New Roman" w:hAnsi="Times New Roman" w:eastAsia="黑体"/>
      <w:spacing w:val="10"/>
      <w:kern w:val="0"/>
    </w:rPr>
  </w:style>
  <w:style w:type="paragraph" w:customStyle="1" w:styleId="440">
    <w:name w:val="Char1 Char Char Char4"/>
    <w:basedOn w:val="1"/>
    <w:qFormat/>
    <w:uiPriority w:val="99"/>
    <w:rPr>
      <w:rFonts w:ascii="Times New Roman" w:hAnsi="Times New Roman"/>
      <w:sz w:val="21"/>
      <w:szCs w:val="24"/>
    </w:rPr>
  </w:style>
  <w:style w:type="paragraph" w:customStyle="1" w:styleId="441">
    <w:name w:val="xl80"/>
    <w:basedOn w:val="1"/>
    <w:qFormat/>
    <w:uiPriority w:val="99"/>
    <w:pPr>
      <w:widowControl/>
      <w:pBdr>
        <w:left w:val="single" w:color="auto" w:sz="8" w:space="0"/>
        <w:bottom w:val="single" w:color="auto" w:sz="8" w:space="0"/>
        <w:right w:val="single" w:color="auto" w:sz="8" w:space="0"/>
      </w:pBdr>
      <w:spacing w:before="100" w:beforeAutospacing="1" w:after="100" w:afterAutospacing="1"/>
      <w:jc w:val="center"/>
    </w:pPr>
    <w:rPr>
      <w:rFonts w:ascii="Times New Roman" w:hAnsi="Times New Roman"/>
      <w:i/>
      <w:iCs/>
      <w:kern w:val="0"/>
      <w:szCs w:val="24"/>
    </w:rPr>
  </w:style>
  <w:style w:type="paragraph" w:customStyle="1" w:styleId="442">
    <w:name w:val="正文新"/>
    <w:basedOn w:val="16"/>
    <w:qFormat/>
    <w:uiPriority w:val="99"/>
    <w:pPr>
      <w:topLinePunct/>
      <w:adjustRightInd/>
      <w:snapToGrid/>
      <w:spacing w:line="500" w:lineRule="exact"/>
      <w:ind w:firstLine="420"/>
    </w:pPr>
    <w:rPr>
      <w:rFonts w:eastAsia="汉鼎简书宋"/>
      <w:sz w:val="24"/>
    </w:rPr>
  </w:style>
  <w:style w:type="paragraph" w:customStyle="1" w:styleId="443">
    <w:name w:val="xl9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cs="宋体"/>
      <w:kern w:val="0"/>
      <w:sz w:val="32"/>
      <w:szCs w:val="32"/>
    </w:rPr>
  </w:style>
  <w:style w:type="paragraph" w:customStyle="1" w:styleId="444">
    <w:name w:val="默认段落字体 Para Char Char Char Char Char Char Char Char Char Char Char Char Char"/>
    <w:basedOn w:val="1"/>
    <w:qFormat/>
    <w:uiPriority w:val="99"/>
    <w:rPr>
      <w:rFonts w:ascii="Times New Roman" w:hAnsi="Times New Roman"/>
      <w:sz w:val="21"/>
      <w:szCs w:val="24"/>
    </w:rPr>
  </w:style>
  <w:style w:type="paragraph" w:customStyle="1" w:styleId="445">
    <w:name w:val="纯文本3"/>
    <w:basedOn w:val="1"/>
    <w:qFormat/>
    <w:uiPriority w:val="99"/>
    <w:pPr>
      <w:adjustRightInd w:val="0"/>
    </w:pPr>
    <w:rPr>
      <w:rFonts w:hAnsi="Times New Roman"/>
      <w:kern w:val="0"/>
      <w:sz w:val="21"/>
    </w:rPr>
  </w:style>
  <w:style w:type="paragraph" w:customStyle="1" w:styleId="446">
    <w:name w:val="1 Char Char Char Char Char Char Char Char Char Char Char Char Char"/>
    <w:basedOn w:val="1"/>
    <w:qFormat/>
    <w:uiPriority w:val="99"/>
    <w:pPr>
      <w:spacing w:line="360" w:lineRule="auto"/>
    </w:pPr>
  </w:style>
  <w:style w:type="paragraph" w:customStyle="1" w:styleId="447">
    <w:name w:val="评价样式1"/>
    <w:basedOn w:val="1"/>
    <w:next w:val="25"/>
    <w:qFormat/>
    <w:uiPriority w:val="99"/>
    <w:pPr>
      <w:spacing w:line="460" w:lineRule="atLeast"/>
      <w:ind w:firstLine="200" w:firstLineChars="200"/>
    </w:pPr>
    <w:rPr>
      <w:rFonts w:ascii="Times" w:hAnsi="Times"/>
    </w:rPr>
  </w:style>
  <w:style w:type="paragraph" w:customStyle="1" w:styleId="448">
    <w:name w:val="Char34"/>
    <w:basedOn w:val="1"/>
    <w:next w:val="1"/>
    <w:qFormat/>
    <w:uiPriority w:val="99"/>
    <w:pPr>
      <w:spacing w:line="360" w:lineRule="auto"/>
      <w:ind w:firstLine="200" w:firstLineChars="200"/>
    </w:pPr>
    <w:rPr>
      <w:rFonts w:eastAsia="汉鼎简书宋" w:cs="宋体"/>
      <w:szCs w:val="24"/>
    </w:rPr>
  </w:style>
  <w:style w:type="paragraph" w:customStyle="1" w:styleId="449">
    <w:name w:val="样式 黑体 三号 居中 行距: 单倍行距"/>
    <w:basedOn w:val="1"/>
    <w:next w:val="1"/>
    <w:qFormat/>
    <w:uiPriority w:val="99"/>
    <w:pPr>
      <w:adjustRightInd w:val="0"/>
      <w:spacing w:line="529" w:lineRule="exact"/>
      <w:ind w:firstLine="420"/>
    </w:pPr>
    <w:rPr>
      <w:rFonts w:ascii="黑体" w:eastAsia="黑体"/>
      <w:kern w:val="0"/>
      <w:sz w:val="32"/>
    </w:rPr>
  </w:style>
  <w:style w:type="paragraph" w:customStyle="1" w:styleId="450">
    <w:name w:val="xl64"/>
    <w:basedOn w:val="1"/>
    <w:qFormat/>
    <w:uiPriority w:val="99"/>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cs="宋体"/>
      <w:kern w:val="0"/>
      <w:szCs w:val="24"/>
    </w:rPr>
  </w:style>
  <w:style w:type="paragraph" w:customStyle="1" w:styleId="451">
    <w:name w:val="表内式样"/>
    <w:qFormat/>
    <w:uiPriority w:val="99"/>
    <w:pPr>
      <w:widowControl w:val="0"/>
      <w:jc w:val="center"/>
    </w:pPr>
    <w:rPr>
      <w:rFonts w:ascii="宋体" w:hAnsi="宋体" w:eastAsia="宋体" w:cs="Times New Roman"/>
      <w:kern w:val="2"/>
      <w:sz w:val="21"/>
      <w:szCs w:val="24"/>
      <w:lang w:val="en-US" w:eastAsia="zh-CN" w:bidi="ar-SA"/>
    </w:rPr>
  </w:style>
  <w:style w:type="paragraph" w:customStyle="1" w:styleId="452">
    <w:name w:val="样式 样式 样式 标题 3 + 段前: 0.5 行 + 段前: 1 行 行距: 单倍行距 + 段前: 1 行"/>
    <w:basedOn w:val="363"/>
    <w:qFormat/>
    <w:uiPriority w:val="99"/>
    <w:pPr>
      <w:tabs>
        <w:tab w:val="left" w:pos="795"/>
      </w:tabs>
      <w:spacing w:before="330"/>
    </w:pPr>
  </w:style>
  <w:style w:type="paragraph" w:customStyle="1" w:styleId="453">
    <w:name w:val="Char32"/>
    <w:basedOn w:val="1"/>
    <w:next w:val="1"/>
    <w:qFormat/>
    <w:uiPriority w:val="99"/>
    <w:pPr>
      <w:spacing w:line="360" w:lineRule="auto"/>
      <w:ind w:firstLine="200" w:firstLineChars="200"/>
    </w:pPr>
  </w:style>
  <w:style w:type="paragraph" w:customStyle="1" w:styleId="454">
    <w:name w:val="Char Char Char Char Char Char Char Char"/>
    <w:basedOn w:val="1"/>
    <w:qFormat/>
    <w:uiPriority w:val="99"/>
    <w:pPr>
      <w:widowControl/>
      <w:spacing w:after="160" w:line="240" w:lineRule="exact"/>
    </w:pPr>
    <w:rPr>
      <w:rFonts w:ascii="Verdana" w:hAnsi="Verdana"/>
      <w:kern w:val="0"/>
      <w:sz w:val="20"/>
      <w:lang w:eastAsia="en-US"/>
    </w:rPr>
  </w:style>
  <w:style w:type="paragraph" w:customStyle="1" w:styleId="455">
    <w:name w:val="et22"/>
    <w:basedOn w:val="1"/>
    <w:qFormat/>
    <w:uiPriority w:val="99"/>
    <w:pPr>
      <w:widowControl/>
      <w:pBdr>
        <w:top w:val="single" w:color="000000" w:sz="4" w:space="0"/>
        <w:left w:val="single" w:color="000000" w:sz="4" w:space="0"/>
        <w:bottom w:val="single" w:color="000000" w:sz="4" w:space="0"/>
      </w:pBdr>
      <w:spacing w:before="100" w:beforeAutospacing="1" w:after="100" w:afterAutospacing="1"/>
      <w:jc w:val="center"/>
    </w:pPr>
    <w:rPr>
      <w:rFonts w:cs="宋体"/>
      <w:color w:val="000000"/>
      <w:kern w:val="0"/>
      <w:sz w:val="20"/>
    </w:rPr>
  </w:style>
  <w:style w:type="paragraph" w:customStyle="1" w:styleId="456">
    <w:name w:val="font5"/>
    <w:basedOn w:val="1"/>
    <w:qFormat/>
    <w:uiPriority w:val="0"/>
    <w:pPr>
      <w:widowControl/>
      <w:spacing w:before="100" w:beforeAutospacing="1" w:after="100" w:afterAutospacing="1" w:line="529" w:lineRule="exact"/>
      <w:ind w:firstLine="420"/>
    </w:pPr>
    <w:rPr>
      <w:rFonts w:eastAsia="汉鼎简书宋"/>
      <w:kern w:val="0"/>
      <w:sz w:val="18"/>
    </w:rPr>
  </w:style>
  <w:style w:type="paragraph" w:customStyle="1" w:styleId="457">
    <w:name w:val="宁扬"/>
    <w:basedOn w:val="1"/>
    <w:qFormat/>
    <w:uiPriority w:val="99"/>
    <w:pPr>
      <w:spacing w:line="500" w:lineRule="exact"/>
      <w:ind w:firstLine="200" w:firstLineChars="200"/>
    </w:pPr>
    <w:rPr>
      <w:rFonts w:ascii="仿宋_GB2312" w:eastAsia="仿宋_GB2312"/>
      <w:sz w:val="28"/>
    </w:rPr>
  </w:style>
  <w:style w:type="paragraph" w:customStyle="1" w:styleId="458">
    <w:name w:val="xl3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eastAsia="Arial Unicode MS"/>
      <w:kern w:val="0"/>
      <w:sz w:val="20"/>
    </w:rPr>
  </w:style>
  <w:style w:type="character" w:customStyle="1" w:styleId="459">
    <w:name w:val="排版正文 Char"/>
    <w:link w:val="460"/>
    <w:qFormat/>
    <w:locked/>
    <w:uiPriority w:val="0"/>
    <w:rPr>
      <w:color w:val="000000"/>
      <w:sz w:val="26"/>
    </w:rPr>
  </w:style>
  <w:style w:type="paragraph" w:customStyle="1" w:styleId="460">
    <w:name w:val="排版正文"/>
    <w:basedOn w:val="1"/>
    <w:link w:val="459"/>
    <w:qFormat/>
    <w:uiPriority w:val="0"/>
    <w:pPr>
      <w:adjustRightInd w:val="0"/>
      <w:snapToGrid w:val="0"/>
      <w:spacing w:line="460" w:lineRule="exact"/>
      <w:ind w:firstLine="200" w:firstLineChars="200"/>
    </w:pPr>
    <w:rPr>
      <w:rFonts w:asciiTheme="minorHAnsi" w:hAnsiTheme="minorHAnsi" w:eastAsiaTheme="minorEastAsia" w:cstheme="minorBidi"/>
      <w:color w:val="000000"/>
      <w:sz w:val="26"/>
      <w:szCs w:val="22"/>
    </w:rPr>
  </w:style>
  <w:style w:type="paragraph" w:customStyle="1" w:styleId="461">
    <w:name w:val="表内文字 Char"/>
    <w:qFormat/>
    <w:uiPriority w:val="99"/>
    <w:pPr>
      <w:widowControl w:val="0"/>
      <w:spacing w:line="0" w:lineRule="atLeast"/>
      <w:jc w:val="center"/>
    </w:pPr>
    <w:rPr>
      <w:rFonts w:ascii="Times New Roman" w:hAnsi="Times New Roman" w:eastAsia="宋体" w:cs="Times New Roman"/>
      <w:sz w:val="21"/>
      <w:lang w:val="en-US" w:eastAsia="zh-CN" w:bidi="ar-SA"/>
    </w:rPr>
  </w:style>
  <w:style w:type="paragraph" w:customStyle="1" w:styleId="462">
    <w:name w:val="Char Char Char2 Char Char Char Char2"/>
    <w:basedOn w:val="1"/>
    <w:qFormat/>
    <w:uiPriority w:val="99"/>
    <w:pPr>
      <w:spacing w:line="360" w:lineRule="auto"/>
      <w:ind w:firstLine="200" w:firstLineChars="200"/>
    </w:pPr>
    <w:rPr>
      <w:rFonts w:cs="宋体"/>
      <w:szCs w:val="24"/>
    </w:rPr>
  </w:style>
  <w:style w:type="character" w:customStyle="1" w:styleId="463">
    <w:name w:val="报告正文 Char"/>
    <w:link w:val="464"/>
    <w:qFormat/>
    <w:locked/>
    <w:uiPriority w:val="0"/>
    <w:rPr>
      <w:rFonts w:ascii="宋体" w:hAnsi="宋体" w:eastAsia="宋体" w:cs="宋体"/>
      <w:sz w:val="24"/>
      <w:szCs w:val="24"/>
    </w:rPr>
  </w:style>
  <w:style w:type="paragraph" w:customStyle="1" w:styleId="464">
    <w:name w:val="报告正文"/>
    <w:basedOn w:val="1"/>
    <w:link w:val="463"/>
    <w:qFormat/>
    <w:uiPriority w:val="0"/>
    <w:pPr>
      <w:spacing w:line="360" w:lineRule="auto"/>
      <w:ind w:firstLine="480" w:firstLineChars="200"/>
      <w:jc w:val="left"/>
    </w:pPr>
    <w:rPr>
      <w:rFonts w:cs="宋体"/>
      <w:szCs w:val="24"/>
    </w:rPr>
  </w:style>
  <w:style w:type="character" w:customStyle="1" w:styleId="465">
    <w:name w:val="表、图名 Char"/>
    <w:link w:val="466"/>
    <w:qFormat/>
    <w:locked/>
    <w:uiPriority w:val="0"/>
    <w:rPr>
      <w:rFonts w:ascii="黑体" w:hAnsi="宋体" w:eastAsia="黑体"/>
      <w:color w:val="000000"/>
      <w:sz w:val="24"/>
    </w:rPr>
  </w:style>
  <w:style w:type="paragraph" w:customStyle="1" w:styleId="466">
    <w:name w:val="表、图名"/>
    <w:basedOn w:val="1"/>
    <w:link w:val="465"/>
    <w:qFormat/>
    <w:uiPriority w:val="0"/>
    <w:pPr>
      <w:adjustRightInd w:val="0"/>
      <w:snapToGrid w:val="0"/>
      <w:spacing w:line="529" w:lineRule="exact"/>
      <w:ind w:left="-6" w:firstLine="200" w:firstLineChars="200"/>
    </w:pPr>
    <w:rPr>
      <w:rFonts w:ascii="黑体" w:eastAsia="黑体" w:cstheme="minorBidi"/>
      <w:color w:val="000000"/>
      <w:szCs w:val="22"/>
    </w:rPr>
  </w:style>
  <w:style w:type="paragraph" w:customStyle="1" w:styleId="467">
    <w:name w:val="et8"/>
    <w:basedOn w:val="1"/>
    <w:qFormat/>
    <w:uiPriority w:val="99"/>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cs="宋体"/>
      <w:color w:val="000000"/>
      <w:kern w:val="0"/>
      <w:sz w:val="21"/>
      <w:szCs w:val="21"/>
    </w:rPr>
  </w:style>
  <w:style w:type="paragraph" w:customStyle="1" w:styleId="468">
    <w:name w:val="xl62"/>
    <w:basedOn w:val="1"/>
    <w:qFormat/>
    <w:uiPriority w:val="99"/>
    <w:pPr>
      <w:widowControl/>
      <w:pBdr>
        <w:left w:val="single" w:color="auto" w:sz="4" w:space="0"/>
        <w:right w:val="single" w:color="auto" w:sz="4" w:space="0"/>
      </w:pBdr>
      <w:spacing w:before="100" w:beforeAutospacing="1" w:after="100" w:afterAutospacing="1"/>
      <w:jc w:val="center"/>
    </w:pPr>
    <w:rPr>
      <w:rFonts w:ascii="Arial Unicode MS" w:hAnsi="Arial Unicode MS" w:eastAsia="Arial Unicode MS" w:cs="Arial Unicode MS"/>
      <w:color w:val="FF0000"/>
      <w:kern w:val="0"/>
      <w:sz w:val="16"/>
      <w:szCs w:val="16"/>
    </w:rPr>
  </w:style>
  <w:style w:type="paragraph" w:customStyle="1" w:styleId="469">
    <w:name w:val="表格内容格式"/>
    <w:basedOn w:val="1"/>
    <w:qFormat/>
    <w:uiPriority w:val="99"/>
    <w:pPr>
      <w:adjustRightInd w:val="0"/>
      <w:ind w:left="-38" w:leftChars="-18" w:right="-18" w:rightChars="-18"/>
    </w:pPr>
    <w:rPr>
      <w:color w:val="000000"/>
      <w:spacing w:val="-4"/>
      <w:kern w:val="0"/>
    </w:rPr>
  </w:style>
  <w:style w:type="character" w:customStyle="1" w:styleId="470">
    <w:name w:val="新正文 Char"/>
    <w:link w:val="471"/>
    <w:qFormat/>
    <w:locked/>
    <w:uiPriority w:val="0"/>
    <w:rPr>
      <w:rFonts w:ascii="宋体" w:hAnsi="宋体" w:eastAsia="宋体"/>
      <w:sz w:val="24"/>
    </w:rPr>
  </w:style>
  <w:style w:type="paragraph" w:customStyle="1" w:styleId="471">
    <w:name w:val="新正文"/>
    <w:basedOn w:val="1"/>
    <w:link w:val="470"/>
    <w:qFormat/>
    <w:uiPriority w:val="0"/>
    <w:pPr>
      <w:tabs>
        <w:tab w:val="left" w:pos="8295"/>
      </w:tabs>
      <w:spacing w:line="460" w:lineRule="exact"/>
      <w:ind w:firstLine="200" w:firstLineChars="200"/>
    </w:pPr>
    <w:rPr>
      <w:rFonts w:cstheme="minorBidi"/>
      <w:szCs w:val="22"/>
    </w:rPr>
  </w:style>
  <w:style w:type="paragraph" w:customStyle="1" w:styleId="472">
    <w:name w:val="环保节标题"/>
    <w:basedOn w:val="1"/>
    <w:qFormat/>
    <w:uiPriority w:val="99"/>
    <w:pPr>
      <w:keepNext/>
      <w:keepLines/>
      <w:adjustRightInd w:val="0"/>
      <w:spacing w:before="260" w:after="260" w:line="416" w:lineRule="atLeast"/>
      <w:ind w:firstLine="200" w:firstLineChars="200"/>
      <w:outlineLvl w:val="2"/>
    </w:pPr>
    <w:rPr>
      <w:rFonts w:eastAsia="汉鼎简书宋"/>
      <w:kern w:val="0"/>
    </w:rPr>
  </w:style>
  <w:style w:type="paragraph" w:customStyle="1" w:styleId="473">
    <w:name w:val="表格体"/>
    <w:basedOn w:val="1"/>
    <w:qFormat/>
    <w:uiPriority w:val="99"/>
    <w:pPr>
      <w:adjustRightInd w:val="0"/>
      <w:snapToGrid w:val="0"/>
    </w:pPr>
  </w:style>
  <w:style w:type="character" w:customStyle="1" w:styleId="474">
    <w:name w:val="样式崔-段落 Char"/>
    <w:link w:val="475"/>
    <w:qFormat/>
    <w:locked/>
    <w:uiPriority w:val="0"/>
    <w:rPr>
      <w:rFonts w:ascii="宋体" w:hAnsi="宋体" w:eastAsia="宋体"/>
      <w:sz w:val="24"/>
      <w:szCs w:val="24"/>
    </w:rPr>
  </w:style>
  <w:style w:type="paragraph" w:customStyle="1" w:styleId="475">
    <w:name w:val="样式崔-段落"/>
    <w:basedOn w:val="1"/>
    <w:link w:val="474"/>
    <w:qFormat/>
    <w:uiPriority w:val="0"/>
    <w:pPr>
      <w:overflowPunct w:val="0"/>
      <w:topLinePunct/>
      <w:autoSpaceDE w:val="0"/>
      <w:autoSpaceDN w:val="0"/>
      <w:spacing w:line="440" w:lineRule="exact"/>
      <w:ind w:firstLine="480" w:firstLineChars="200"/>
    </w:pPr>
    <w:rPr>
      <w:rFonts w:cstheme="minorBidi"/>
      <w:szCs w:val="24"/>
    </w:rPr>
  </w:style>
  <w:style w:type="paragraph" w:customStyle="1" w:styleId="476">
    <w:name w:val="正文样式2"/>
    <w:basedOn w:val="1"/>
    <w:qFormat/>
    <w:uiPriority w:val="99"/>
    <w:pPr>
      <w:adjustRightInd w:val="0"/>
      <w:spacing w:line="480" w:lineRule="atLeast"/>
      <w:ind w:firstLine="567"/>
      <w:jc w:val="left"/>
    </w:pPr>
    <w:rPr>
      <w:rFonts w:ascii="黑体" w:hAnsi="Times New Roman" w:eastAsia="黑体"/>
      <w:kern w:val="0"/>
      <w:sz w:val="28"/>
    </w:rPr>
  </w:style>
  <w:style w:type="paragraph" w:customStyle="1" w:styleId="477">
    <w:name w:val="目录4"/>
    <w:basedOn w:val="1"/>
    <w:next w:val="1"/>
    <w:qFormat/>
    <w:uiPriority w:val="99"/>
    <w:pPr>
      <w:widowControl/>
      <w:tabs>
        <w:tab w:val="left" w:leader="dot" w:pos="8503"/>
      </w:tabs>
      <w:spacing w:line="317" w:lineRule="atLeast"/>
      <w:ind w:left="419" w:firstLine="629"/>
    </w:pPr>
    <w:rPr>
      <w:color w:val="000000"/>
      <w:kern w:val="0"/>
      <w:sz w:val="21"/>
      <w:u w:color="000000"/>
    </w:rPr>
  </w:style>
  <w:style w:type="paragraph" w:customStyle="1" w:styleId="478">
    <w:name w:val="表格字"/>
    <w:basedOn w:val="1"/>
    <w:qFormat/>
    <w:uiPriority w:val="99"/>
    <w:pPr>
      <w:spacing w:line="300" w:lineRule="atLeast"/>
    </w:pPr>
  </w:style>
  <w:style w:type="paragraph" w:customStyle="1" w:styleId="479">
    <w:name w:val="日期2"/>
    <w:basedOn w:val="1"/>
    <w:next w:val="1"/>
    <w:qFormat/>
    <w:uiPriority w:val="99"/>
    <w:pPr>
      <w:adjustRightInd w:val="0"/>
      <w:spacing w:line="529" w:lineRule="exact"/>
      <w:ind w:firstLine="420"/>
    </w:pPr>
    <w:rPr>
      <w:rFonts w:hAnsi="Times New Roman" w:eastAsia="汉鼎简书宋"/>
      <w:b/>
      <w:kern w:val="0"/>
      <w:sz w:val="28"/>
    </w:rPr>
  </w:style>
  <w:style w:type="paragraph" w:customStyle="1" w:styleId="480">
    <w:name w:val="表格文字左"/>
    <w:basedOn w:val="1"/>
    <w:qFormat/>
    <w:uiPriority w:val="99"/>
    <w:pPr>
      <w:adjustRightInd w:val="0"/>
      <w:snapToGrid w:val="0"/>
    </w:pPr>
    <w:rPr>
      <w:rFonts w:ascii="Arial" w:hAnsi="Arial"/>
      <w:spacing w:val="6"/>
      <w:kern w:val="0"/>
      <w:lang w:eastAsia="zh-TW"/>
    </w:rPr>
  </w:style>
  <w:style w:type="character" w:customStyle="1" w:styleId="481">
    <w:name w:val="样式 标题 2hb2 + 小四 Char"/>
    <w:link w:val="482"/>
    <w:qFormat/>
    <w:locked/>
    <w:uiPriority w:val="0"/>
    <w:rPr>
      <w:rFonts w:ascii="宋体" w:hAnsi="宋体" w:eastAsia="宋体"/>
      <w:b/>
      <w:sz w:val="24"/>
    </w:rPr>
  </w:style>
  <w:style w:type="paragraph" w:customStyle="1" w:styleId="482">
    <w:name w:val="样式 标题 2hb2 + 小四"/>
    <w:basedOn w:val="4"/>
    <w:link w:val="481"/>
    <w:qFormat/>
    <w:uiPriority w:val="0"/>
    <w:pPr>
      <w:spacing w:before="480" w:after="480" w:line="240" w:lineRule="auto"/>
    </w:pPr>
    <w:rPr>
      <w:rFonts w:ascii="宋体" w:hAnsi="宋体" w:eastAsia="宋体" w:cstheme="minorBidi"/>
      <w:sz w:val="24"/>
      <w:szCs w:val="22"/>
    </w:rPr>
  </w:style>
  <w:style w:type="paragraph" w:customStyle="1" w:styleId="483">
    <w:name w:val="et13"/>
    <w:basedOn w:val="1"/>
    <w:qFormat/>
    <w:uiPriority w:val="99"/>
    <w:pPr>
      <w:widowControl/>
      <w:pBdr>
        <w:top w:val="single" w:color="000000" w:sz="4" w:space="0"/>
        <w:left w:val="single" w:color="000000" w:sz="4" w:space="0"/>
      </w:pBdr>
      <w:spacing w:before="100" w:beforeAutospacing="1" w:after="100" w:afterAutospacing="1"/>
      <w:jc w:val="center"/>
    </w:pPr>
    <w:rPr>
      <w:rFonts w:ascii="Hbjr Songti" w:hAnsi="Hbjr Songti" w:cs="宋体"/>
      <w:color w:val="000000"/>
      <w:kern w:val="0"/>
      <w:sz w:val="20"/>
    </w:rPr>
  </w:style>
  <w:style w:type="paragraph" w:customStyle="1" w:styleId="484">
    <w:name w:val="标题3.5"/>
    <w:basedOn w:val="1"/>
    <w:qFormat/>
    <w:uiPriority w:val="99"/>
    <w:rPr>
      <w:rFonts w:ascii="Times New Roman" w:hAnsi="Times New Roman" w:eastAsia="仿宋_GB2312"/>
      <w:szCs w:val="24"/>
    </w:rPr>
  </w:style>
  <w:style w:type="paragraph" w:customStyle="1" w:styleId="485">
    <w:name w:val="xl75"/>
    <w:basedOn w:val="1"/>
    <w:qFormat/>
    <w:uiPriority w:val="99"/>
    <w:pPr>
      <w:widowControl/>
      <w:pBdr>
        <w:left w:val="single" w:color="auto" w:sz="8" w:space="0"/>
        <w:bottom w:val="single" w:color="auto" w:sz="8" w:space="0"/>
        <w:right w:val="single" w:color="auto" w:sz="8" w:space="0"/>
      </w:pBdr>
      <w:spacing w:before="100" w:beforeAutospacing="1" w:after="100" w:afterAutospacing="1"/>
      <w:jc w:val="center"/>
    </w:pPr>
    <w:rPr>
      <w:rFonts w:ascii="Times New Roman" w:hAnsi="Times New Roman"/>
      <w:kern w:val="0"/>
      <w:szCs w:val="24"/>
    </w:rPr>
  </w:style>
  <w:style w:type="character" w:customStyle="1" w:styleId="486">
    <w:name w:val="HP4 Char"/>
    <w:link w:val="487"/>
    <w:qFormat/>
    <w:locked/>
    <w:uiPriority w:val="0"/>
    <w:rPr>
      <w:sz w:val="24"/>
      <w:u w:color="000000"/>
    </w:rPr>
  </w:style>
  <w:style w:type="paragraph" w:customStyle="1" w:styleId="487">
    <w:name w:val="HP4"/>
    <w:basedOn w:val="1"/>
    <w:link w:val="486"/>
    <w:qFormat/>
    <w:uiPriority w:val="0"/>
    <w:pPr>
      <w:keepNext/>
      <w:keepLines/>
      <w:spacing w:before="120" w:after="120" w:line="360" w:lineRule="exact"/>
      <w:outlineLvl w:val="3"/>
    </w:pPr>
    <w:rPr>
      <w:rFonts w:asciiTheme="minorHAnsi" w:hAnsiTheme="minorHAnsi" w:eastAsiaTheme="minorEastAsia" w:cstheme="minorBidi"/>
      <w:szCs w:val="22"/>
      <w:u w:color="000000"/>
    </w:rPr>
  </w:style>
  <w:style w:type="paragraph" w:customStyle="1" w:styleId="488">
    <w:name w:val="正文 + 宋体"/>
    <w:basedOn w:val="1"/>
    <w:qFormat/>
    <w:uiPriority w:val="99"/>
    <w:pPr>
      <w:adjustRightInd w:val="0"/>
      <w:spacing w:line="520" w:lineRule="exact"/>
      <w:ind w:firstLine="200" w:firstLineChars="200"/>
    </w:pPr>
    <w:rPr>
      <w:rFonts w:eastAsia="汉鼎简书宋"/>
      <w:kern w:val="0"/>
    </w:rPr>
  </w:style>
  <w:style w:type="paragraph" w:customStyle="1" w:styleId="489">
    <w:name w:val="样式 黑体 三号 居中"/>
    <w:basedOn w:val="1"/>
    <w:next w:val="1"/>
    <w:qFormat/>
    <w:uiPriority w:val="99"/>
    <w:pPr>
      <w:topLinePunct/>
      <w:spacing w:line="529" w:lineRule="exact"/>
      <w:ind w:firstLine="420"/>
    </w:pPr>
    <w:rPr>
      <w:rFonts w:ascii="黑体" w:eastAsia="黑体"/>
      <w:sz w:val="32"/>
    </w:rPr>
  </w:style>
  <w:style w:type="paragraph" w:customStyle="1" w:styleId="490">
    <w:name w:val="xl67"/>
    <w:basedOn w:val="1"/>
    <w:qFormat/>
    <w:uiPriority w:val="99"/>
    <w:pPr>
      <w:widowControl/>
      <w:pBdr>
        <w:left w:val="single" w:color="auto" w:sz="8" w:space="0"/>
        <w:right w:val="single" w:color="auto" w:sz="8" w:space="0"/>
      </w:pBdr>
      <w:spacing w:before="100" w:beforeAutospacing="1" w:after="100" w:afterAutospacing="1"/>
      <w:jc w:val="center"/>
    </w:pPr>
    <w:rPr>
      <w:rFonts w:cs="宋体"/>
      <w:kern w:val="0"/>
      <w:szCs w:val="24"/>
    </w:rPr>
  </w:style>
  <w:style w:type="paragraph" w:customStyle="1" w:styleId="491">
    <w:name w:val="Decimal Aligned"/>
    <w:basedOn w:val="1"/>
    <w:qFormat/>
    <w:uiPriority w:val="99"/>
    <w:pPr>
      <w:widowControl/>
      <w:tabs>
        <w:tab w:val="decimal" w:pos="360"/>
      </w:tabs>
      <w:spacing w:after="200" w:line="276" w:lineRule="auto"/>
      <w:jc w:val="left"/>
    </w:pPr>
    <w:rPr>
      <w:rFonts w:ascii="Calibri" w:hAnsi="Calibri"/>
      <w:kern w:val="0"/>
      <w:sz w:val="22"/>
      <w:szCs w:val="22"/>
    </w:rPr>
  </w:style>
  <w:style w:type="paragraph" w:customStyle="1" w:styleId="492">
    <w:name w:val="标题4"/>
    <w:basedOn w:val="1"/>
    <w:qFormat/>
    <w:uiPriority w:val="99"/>
    <w:pPr>
      <w:spacing w:before="280" w:after="120" w:line="416" w:lineRule="exact"/>
      <w:outlineLvl w:val="3"/>
    </w:pPr>
    <w:rPr>
      <w:rFonts w:ascii="Times New Roman" w:hAnsi="Times New Roman"/>
      <w:b/>
      <w:szCs w:val="24"/>
    </w:rPr>
  </w:style>
  <w:style w:type="paragraph" w:customStyle="1" w:styleId="493">
    <w:name w:val="xl38"/>
    <w:basedOn w:val="1"/>
    <w:qFormat/>
    <w:uiPriority w:val="99"/>
    <w:pPr>
      <w:widowControl/>
      <w:pBdr>
        <w:bottom w:val="single" w:color="000000" w:sz="4" w:space="0"/>
        <w:right w:val="single" w:color="auto" w:sz="4" w:space="0"/>
      </w:pBdr>
      <w:spacing w:before="100" w:beforeAutospacing="1" w:after="100" w:afterAutospacing="1"/>
    </w:pPr>
    <w:rPr>
      <w:kern w:val="0"/>
    </w:rPr>
  </w:style>
  <w:style w:type="character" w:customStyle="1" w:styleId="494">
    <w:name w:val="正文文字 Char"/>
    <w:link w:val="495"/>
    <w:qFormat/>
    <w:locked/>
    <w:uiPriority w:val="0"/>
    <w:rPr>
      <w:rFonts w:ascii="宋体" w:hAnsi="宋体" w:eastAsia="宋体" w:cs="宋体"/>
      <w:sz w:val="24"/>
      <w:szCs w:val="24"/>
    </w:rPr>
  </w:style>
  <w:style w:type="paragraph" w:customStyle="1" w:styleId="495">
    <w:name w:val="正文文字"/>
    <w:basedOn w:val="1"/>
    <w:link w:val="494"/>
    <w:qFormat/>
    <w:uiPriority w:val="0"/>
    <w:pPr>
      <w:spacing w:line="360" w:lineRule="auto"/>
      <w:ind w:firstLine="480" w:firstLineChars="200"/>
    </w:pPr>
    <w:rPr>
      <w:rFonts w:cs="宋体"/>
      <w:szCs w:val="24"/>
    </w:rPr>
  </w:style>
  <w:style w:type="paragraph" w:customStyle="1" w:styleId="496">
    <w:name w:val="样式 首行缩进 + 首行缩进:  2 字符"/>
    <w:basedOn w:val="1"/>
    <w:next w:val="1"/>
    <w:qFormat/>
    <w:uiPriority w:val="99"/>
    <w:pPr>
      <w:spacing w:line="529" w:lineRule="exact"/>
      <w:ind w:firstLine="200" w:firstLineChars="200"/>
    </w:pPr>
    <w:rPr>
      <w:rFonts w:hAnsi="Times"/>
      <w:kern w:val="44"/>
    </w:rPr>
  </w:style>
  <w:style w:type="paragraph" w:customStyle="1" w:styleId="497">
    <w:name w:val="et18"/>
    <w:basedOn w:val="1"/>
    <w:qFormat/>
    <w:uiPriority w:val="99"/>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cs="宋体"/>
      <w:color w:val="000000"/>
      <w:kern w:val="0"/>
      <w:sz w:val="22"/>
      <w:szCs w:val="22"/>
    </w:rPr>
  </w:style>
  <w:style w:type="character" w:customStyle="1" w:styleId="498">
    <w:name w:val="hb4 Char"/>
    <w:link w:val="499"/>
    <w:qFormat/>
    <w:locked/>
    <w:uiPriority w:val="0"/>
    <w:rPr>
      <w:rFonts w:ascii="Arial Narrow" w:hAnsi="Arial Narrow" w:eastAsia="汉鼎简书宋"/>
      <w:sz w:val="24"/>
    </w:rPr>
  </w:style>
  <w:style w:type="paragraph" w:customStyle="1" w:styleId="499">
    <w:name w:val="hb4"/>
    <w:basedOn w:val="6"/>
    <w:link w:val="498"/>
    <w:qFormat/>
    <w:uiPriority w:val="0"/>
    <w:pPr>
      <w:spacing w:before="0" w:after="0" w:line="500" w:lineRule="exact"/>
    </w:pPr>
    <w:rPr>
      <w:rFonts w:ascii="Arial Narrow" w:hAnsi="Arial Narrow" w:eastAsia="汉鼎简书宋" w:cstheme="minorBidi"/>
      <w:b w:val="0"/>
      <w:sz w:val="24"/>
      <w:szCs w:val="22"/>
    </w:rPr>
  </w:style>
  <w:style w:type="paragraph" w:customStyle="1" w:styleId="500">
    <w:name w:val="小节标题"/>
    <w:basedOn w:val="1"/>
    <w:next w:val="1"/>
    <w:qFormat/>
    <w:uiPriority w:val="99"/>
    <w:pPr>
      <w:widowControl/>
      <w:spacing w:before="175" w:after="102" w:line="351" w:lineRule="atLeast"/>
    </w:pPr>
    <w:rPr>
      <w:rFonts w:eastAsia="黑体"/>
      <w:color w:val="000000"/>
      <w:kern w:val="0"/>
      <w:u w:color="000000"/>
    </w:rPr>
  </w:style>
  <w:style w:type="paragraph" w:customStyle="1" w:styleId="501">
    <w:name w:val="目录标题"/>
    <w:basedOn w:val="1"/>
    <w:next w:val="1"/>
    <w:qFormat/>
    <w:uiPriority w:val="99"/>
    <w:pPr>
      <w:widowControl/>
      <w:spacing w:before="215" w:after="419" w:line="436" w:lineRule="atLeast"/>
      <w:ind w:firstLine="419"/>
      <w:jc w:val="center"/>
    </w:pPr>
    <w:rPr>
      <w:rFonts w:ascii="Arial" w:eastAsia="黑体"/>
      <w:color w:val="000000"/>
      <w:spacing w:val="283"/>
      <w:kern w:val="0"/>
      <w:sz w:val="42"/>
      <w:u w:color="000000"/>
    </w:rPr>
  </w:style>
  <w:style w:type="paragraph" w:customStyle="1" w:styleId="502">
    <w:name w:val="样式 样式 样式4 四级 + 加粗 段前: 0.5 行 + 段前: 0.5 行"/>
    <w:basedOn w:val="1"/>
    <w:qFormat/>
    <w:uiPriority w:val="99"/>
    <w:pPr>
      <w:keepNext/>
      <w:keepLines/>
      <w:spacing w:beforeLines="50" w:line="360" w:lineRule="auto"/>
      <w:ind w:firstLine="200" w:firstLineChars="200"/>
      <w:outlineLvl w:val="3"/>
    </w:pPr>
    <w:rPr>
      <w:rFonts w:ascii="Arial" w:hAnsi="Arial"/>
      <w:kern w:val="0"/>
    </w:rPr>
  </w:style>
  <w:style w:type="paragraph" w:customStyle="1" w:styleId="503">
    <w:name w:val="样式 标题4 + 段前: 0.25 行 行距: 单倍行距"/>
    <w:basedOn w:val="16"/>
    <w:qFormat/>
    <w:uiPriority w:val="99"/>
    <w:pPr>
      <w:tabs>
        <w:tab w:val="left" w:pos="1157"/>
        <w:tab w:val="left" w:pos="3450"/>
      </w:tabs>
      <w:autoSpaceDE w:val="0"/>
      <w:autoSpaceDN w:val="0"/>
      <w:spacing w:beforeLines="50" w:line="360" w:lineRule="auto"/>
      <w:ind w:left="170" w:hanging="1405" w:firstLineChars="0"/>
      <w:outlineLvl w:val="3"/>
    </w:pPr>
    <w:rPr>
      <w:rFonts w:ascii="Times New Roman" w:hAnsi="Times New Roman" w:eastAsia="黑体"/>
      <w:spacing w:val="10"/>
      <w:kern w:val="0"/>
    </w:rPr>
  </w:style>
  <w:style w:type="paragraph" w:customStyle="1" w:styleId="504">
    <w:name w:val="样式 首行缩进:  0.85 厘米"/>
    <w:basedOn w:val="1"/>
    <w:qFormat/>
    <w:uiPriority w:val="99"/>
    <w:pPr>
      <w:ind w:firstLine="454"/>
    </w:pPr>
  </w:style>
  <w:style w:type="paragraph" w:customStyle="1" w:styleId="505">
    <w:name w:val="文章总标题"/>
    <w:basedOn w:val="1"/>
    <w:next w:val="154"/>
    <w:qFormat/>
    <w:uiPriority w:val="99"/>
    <w:pPr>
      <w:widowControl/>
      <w:spacing w:before="566" w:after="544" w:line="566" w:lineRule="atLeast"/>
      <w:jc w:val="center"/>
    </w:pPr>
    <w:rPr>
      <w:rFonts w:ascii="Arial" w:eastAsia="黑体"/>
      <w:color w:val="000000"/>
      <w:kern w:val="0"/>
      <w:sz w:val="54"/>
      <w:u w:color="000000"/>
    </w:rPr>
  </w:style>
  <w:style w:type="paragraph" w:customStyle="1" w:styleId="506">
    <w:name w:val="标题3样式"/>
    <w:basedOn w:val="5"/>
    <w:qFormat/>
    <w:uiPriority w:val="99"/>
    <w:pPr>
      <w:spacing w:before="0" w:after="0" w:line="360" w:lineRule="auto"/>
    </w:pPr>
    <w:rPr>
      <w:rFonts w:ascii="黑体" w:eastAsia="黑体"/>
      <w:b w:val="0"/>
      <w:sz w:val="24"/>
    </w:rPr>
  </w:style>
  <w:style w:type="character" w:customStyle="1" w:styleId="507">
    <w:name w:val="正文样式 Char"/>
    <w:link w:val="508"/>
    <w:qFormat/>
    <w:locked/>
    <w:uiPriority w:val="0"/>
    <w:rPr>
      <w:rFonts w:ascii="宋体" w:hAnsi="宋体" w:eastAsia="宋体"/>
      <w:sz w:val="24"/>
    </w:rPr>
  </w:style>
  <w:style w:type="paragraph" w:customStyle="1" w:styleId="508">
    <w:name w:val="正文样式"/>
    <w:basedOn w:val="1"/>
    <w:link w:val="507"/>
    <w:qFormat/>
    <w:uiPriority w:val="0"/>
    <w:pPr>
      <w:adjustRightInd w:val="0"/>
      <w:spacing w:line="360" w:lineRule="auto"/>
      <w:ind w:firstLine="480" w:firstLineChars="200"/>
    </w:pPr>
    <w:rPr>
      <w:rFonts w:cstheme="minorBidi"/>
      <w:szCs w:val="22"/>
    </w:rPr>
  </w:style>
  <w:style w:type="paragraph" w:customStyle="1" w:styleId="509">
    <w:name w:val="Char Char Char Char Char Char Char2"/>
    <w:basedOn w:val="1"/>
    <w:qFormat/>
    <w:uiPriority w:val="99"/>
    <w:rPr>
      <w:rFonts w:ascii="Times New Roman" w:hAnsi="Times New Roman"/>
      <w:sz w:val="21"/>
      <w:szCs w:val="21"/>
    </w:rPr>
  </w:style>
  <w:style w:type="paragraph" w:customStyle="1" w:styleId="510">
    <w:name w:val="xl29"/>
    <w:basedOn w:val="1"/>
    <w:qFormat/>
    <w:uiPriority w:val="99"/>
    <w:pPr>
      <w:widowControl/>
      <w:pBdr>
        <w:top w:val="single" w:color="auto" w:sz="4" w:space="0"/>
        <w:left w:val="single" w:color="auto" w:sz="4" w:space="0"/>
        <w:bottom w:val="single" w:color="auto" w:sz="4" w:space="0"/>
        <w:right w:val="single" w:color="auto" w:sz="8" w:space="0"/>
      </w:pBdr>
      <w:spacing w:before="100" w:beforeAutospacing="1" w:after="100" w:afterAutospacing="1" w:line="529" w:lineRule="exact"/>
      <w:ind w:firstLine="200" w:firstLineChars="200"/>
    </w:pPr>
    <w:rPr>
      <w:rFonts w:eastAsia="汉鼎简书宋"/>
      <w:kern w:val="0"/>
      <w:sz w:val="20"/>
    </w:rPr>
  </w:style>
  <w:style w:type="paragraph" w:customStyle="1" w:styleId="511">
    <w:name w:val="xl89"/>
    <w:basedOn w:val="1"/>
    <w:qFormat/>
    <w:uiPriority w:val="99"/>
    <w:pPr>
      <w:widowControl/>
      <w:pBdr>
        <w:top w:val="single" w:color="auto" w:sz="8" w:space="0"/>
        <w:left w:val="single" w:color="auto" w:sz="8" w:space="0"/>
        <w:right w:val="single" w:color="auto" w:sz="8" w:space="0"/>
      </w:pBdr>
      <w:spacing w:before="100" w:beforeAutospacing="1" w:after="100" w:afterAutospacing="1"/>
      <w:jc w:val="center"/>
    </w:pPr>
    <w:rPr>
      <w:rFonts w:cs="宋体"/>
      <w:kern w:val="0"/>
      <w:szCs w:val="24"/>
    </w:rPr>
  </w:style>
  <w:style w:type="paragraph" w:customStyle="1" w:styleId="512">
    <w:name w:val="et9"/>
    <w:basedOn w:val="1"/>
    <w:qFormat/>
    <w:uiPriority w:val="99"/>
    <w:pPr>
      <w:widowControl/>
      <w:spacing w:before="100" w:beforeAutospacing="1" w:after="100" w:afterAutospacing="1"/>
      <w:jc w:val="center"/>
    </w:pPr>
    <w:rPr>
      <w:rFonts w:cs="宋体"/>
      <w:color w:val="000000"/>
      <w:kern w:val="0"/>
      <w:sz w:val="20"/>
    </w:rPr>
  </w:style>
  <w:style w:type="paragraph" w:customStyle="1" w:styleId="513">
    <w:name w:val="表格式"/>
    <w:basedOn w:val="19"/>
    <w:qFormat/>
    <w:uiPriority w:val="99"/>
    <w:pPr>
      <w:spacing w:line="480" w:lineRule="exact"/>
      <w:ind w:left="0" w:firstLine="0" w:firstLineChars="0"/>
      <w:jc w:val="center"/>
    </w:pPr>
    <w:rPr>
      <w:sz w:val="21"/>
    </w:rPr>
  </w:style>
  <w:style w:type="paragraph" w:customStyle="1" w:styleId="514">
    <w:name w:val="zzm（正文）"/>
    <w:basedOn w:val="1"/>
    <w:qFormat/>
    <w:uiPriority w:val="0"/>
    <w:pPr>
      <w:spacing w:line="529" w:lineRule="exact"/>
      <w:ind w:firstLine="200" w:firstLineChars="200"/>
    </w:pPr>
    <w:rPr>
      <w:rFonts w:ascii="Times New Roman" w:hAnsi="Times New Roman"/>
      <w:szCs w:val="24"/>
    </w:rPr>
  </w:style>
  <w:style w:type="paragraph" w:customStyle="1" w:styleId="515">
    <w:name w:val="大纲"/>
    <w:basedOn w:val="1"/>
    <w:qFormat/>
    <w:uiPriority w:val="99"/>
    <w:pPr>
      <w:spacing w:line="529" w:lineRule="exact"/>
      <w:ind w:firstLine="197" w:firstLineChars="41"/>
    </w:pPr>
    <w:rPr>
      <w:rFonts w:ascii="仿宋_GB2312" w:eastAsia="仿宋_GB2312"/>
      <w:kern w:val="0"/>
      <w:sz w:val="48"/>
    </w:rPr>
  </w:style>
  <w:style w:type="character" w:customStyle="1" w:styleId="516">
    <w:name w:val="表中文字 Char"/>
    <w:link w:val="517"/>
    <w:qFormat/>
    <w:locked/>
    <w:uiPriority w:val="0"/>
    <w:rPr>
      <w:rFonts w:ascii="宋体" w:hAnsi="宋体" w:eastAsia="宋体"/>
      <w:sz w:val="24"/>
    </w:rPr>
  </w:style>
  <w:style w:type="paragraph" w:customStyle="1" w:styleId="517">
    <w:name w:val="表中文字"/>
    <w:basedOn w:val="1"/>
    <w:link w:val="516"/>
    <w:qFormat/>
    <w:uiPriority w:val="0"/>
    <w:pPr>
      <w:snapToGrid w:val="0"/>
      <w:spacing w:line="320" w:lineRule="exact"/>
    </w:pPr>
    <w:rPr>
      <w:rFonts w:cstheme="minorBidi"/>
      <w:szCs w:val="22"/>
    </w:rPr>
  </w:style>
  <w:style w:type="paragraph" w:customStyle="1" w:styleId="518">
    <w:name w:val="框图"/>
    <w:basedOn w:val="1"/>
    <w:qFormat/>
    <w:uiPriority w:val="99"/>
    <w:pPr>
      <w:tabs>
        <w:tab w:val="left" w:pos="1350"/>
      </w:tabs>
      <w:autoSpaceDE w:val="0"/>
      <w:autoSpaceDN w:val="0"/>
      <w:adjustRightInd w:val="0"/>
      <w:snapToGrid w:val="0"/>
      <w:spacing w:line="300" w:lineRule="auto"/>
    </w:pPr>
    <w:rPr>
      <w:rFonts w:ascii="仿宋_GB2312"/>
      <w:sz w:val="18"/>
    </w:rPr>
  </w:style>
  <w:style w:type="paragraph" w:customStyle="1" w:styleId="519">
    <w:name w:val="规划正文"/>
    <w:basedOn w:val="1"/>
    <w:qFormat/>
    <w:uiPriority w:val="99"/>
    <w:pPr>
      <w:spacing w:line="460" w:lineRule="exact"/>
    </w:pPr>
    <w:rPr>
      <w:rFonts w:ascii="Times New Roman" w:hAnsi="Times New Roman"/>
      <w:sz w:val="21"/>
      <w:szCs w:val="24"/>
    </w:rPr>
  </w:style>
  <w:style w:type="paragraph" w:customStyle="1" w:styleId="520">
    <w:name w:val="样式 宋体 小四 段前: 2.5 磅 段后: 2.5 磅 行距: 固定值 24 磅"/>
    <w:basedOn w:val="1"/>
    <w:qFormat/>
    <w:uiPriority w:val="99"/>
    <w:pPr>
      <w:ind w:firstLine="200" w:firstLineChars="200"/>
    </w:pPr>
    <w:rPr>
      <w:rFonts w:cs="宋体"/>
      <w:spacing w:val="10"/>
      <w:sz w:val="28"/>
      <w:szCs w:val="28"/>
    </w:rPr>
  </w:style>
  <w:style w:type="character" w:customStyle="1" w:styleId="521">
    <w:name w:val="表文字 Char1"/>
    <w:link w:val="522"/>
    <w:qFormat/>
    <w:locked/>
    <w:uiPriority w:val="0"/>
  </w:style>
  <w:style w:type="paragraph" w:customStyle="1" w:styleId="522">
    <w:name w:val="表文字"/>
    <w:basedOn w:val="1"/>
    <w:link w:val="521"/>
    <w:qFormat/>
    <w:uiPriority w:val="0"/>
    <w:pPr>
      <w:topLinePunct/>
      <w:adjustRightInd w:val="0"/>
      <w:spacing w:line="240" w:lineRule="exact"/>
    </w:pPr>
    <w:rPr>
      <w:rFonts w:asciiTheme="minorHAnsi" w:hAnsiTheme="minorHAnsi" w:eastAsiaTheme="minorEastAsia" w:cstheme="minorBidi"/>
      <w:sz w:val="21"/>
      <w:szCs w:val="22"/>
    </w:rPr>
  </w:style>
  <w:style w:type="paragraph" w:customStyle="1" w:styleId="523">
    <w:name w:val="样式 样式 标题4- + 段前: 0.5 行 + 段前: 0.5 行"/>
    <w:basedOn w:val="1"/>
    <w:qFormat/>
    <w:uiPriority w:val="99"/>
    <w:pPr>
      <w:tabs>
        <w:tab w:val="left" w:pos="1205"/>
      </w:tabs>
      <w:autoSpaceDE w:val="0"/>
      <w:autoSpaceDN w:val="0"/>
      <w:adjustRightInd w:val="0"/>
      <w:snapToGrid w:val="0"/>
      <w:spacing w:beforeLines="50" w:line="360" w:lineRule="auto"/>
      <w:outlineLvl w:val="3"/>
    </w:pPr>
    <w:rPr>
      <w:rFonts w:eastAsia="黑体"/>
      <w:spacing w:val="20"/>
      <w:kern w:val="0"/>
      <w:sz w:val="28"/>
    </w:rPr>
  </w:style>
  <w:style w:type="paragraph" w:customStyle="1" w:styleId="524">
    <w:name w:val="Char22"/>
    <w:basedOn w:val="1"/>
    <w:qFormat/>
    <w:uiPriority w:val="99"/>
    <w:rPr>
      <w:rFonts w:ascii="Times New Roman" w:hAnsi="Times New Roman"/>
      <w:sz w:val="21"/>
    </w:rPr>
  </w:style>
  <w:style w:type="paragraph" w:customStyle="1" w:styleId="525">
    <w:name w:val="Char Char Char1 Char Char Char Char"/>
    <w:basedOn w:val="1"/>
    <w:next w:val="1"/>
    <w:semiHidden/>
    <w:qFormat/>
    <w:uiPriority w:val="99"/>
    <w:pPr>
      <w:spacing w:line="336" w:lineRule="auto"/>
      <w:ind w:firstLine="200" w:firstLineChars="200"/>
    </w:pPr>
    <w:rPr>
      <w:rFonts w:eastAsia="汉鼎简书宋" w:cs="宋体"/>
      <w:szCs w:val="24"/>
    </w:rPr>
  </w:style>
  <w:style w:type="character" w:customStyle="1" w:styleId="526">
    <w:name w:val="third Char"/>
    <w:link w:val="527"/>
    <w:qFormat/>
    <w:locked/>
    <w:uiPriority w:val="0"/>
    <w:rPr>
      <w:b/>
      <w:sz w:val="24"/>
    </w:rPr>
  </w:style>
  <w:style w:type="paragraph" w:customStyle="1" w:styleId="527">
    <w:name w:val="third"/>
    <w:basedOn w:val="5"/>
    <w:link w:val="526"/>
    <w:qFormat/>
    <w:uiPriority w:val="0"/>
    <w:pPr>
      <w:spacing w:before="360" w:after="120" w:line="416" w:lineRule="exact"/>
    </w:pPr>
    <w:rPr>
      <w:rFonts w:asciiTheme="minorHAnsi" w:hAnsiTheme="minorHAnsi" w:eastAsiaTheme="minorEastAsia" w:cstheme="minorBidi"/>
      <w:sz w:val="24"/>
      <w:szCs w:val="22"/>
    </w:rPr>
  </w:style>
  <w:style w:type="paragraph" w:customStyle="1" w:styleId="528">
    <w:name w:val="样式 黑体 一号 加粗 居中 行距: 固定值 40 磅"/>
    <w:basedOn w:val="1"/>
    <w:qFormat/>
    <w:uiPriority w:val="99"/>
    <w:pPr>
      <w:spacing w:line="800" w:lineRule="exact"/>
      <w:ind w:firstLine="420"/>
    </w:pPr>
    <w:rPr>
      <w:rFonts w:ascii="黑体" w:eastAsia="黑体"/>
      <w:b/>
      <w:spacing w:val="40"/>
      <w:sz w:val="72"/>
    </w:rPr>
  </w:style>
  <w:style w:type="paragraph" w:customStyle="1" w:styleId="529">
    <w:name w:val="Char23"/>
    <w:basedOn w:val="1"/>
    <w:qFormat/>
    <w:uiPriority w:val="99"/>
    <w:rPr>
      <w:rFonts w:ascii="Times New Roman" w:hAnsi="Times New Roman"/>
      <w:sz w:val="21"/>
    </w:rPr>
  </w:style>
  <w:style w:type="paragraph" w:customStyle="1" w:styleId="530">
    <w:name w:val="节标题"/>
    <w:basedOn w:val="1"/>
    <w:next w:val="500"/>
    <w:qFormat/>
    <w:uiPriority w:val="99"/>
    <w:pPr>
      <w:widowControl/>
      <w:spacing w:line="289" w:lineRule="atLeast"/>
      <w:jc w:val="center"/>
    </w:pPr>
    <w:rPr>
      <w:rFonts w:ascii="Times New Roman" w:hAnsi="Times New Roman"/>
      <w:color w:val="000000"/>
      <w:kern w:val="0"/>
      <w:sz w:val="28"/>
      <w:u w:color="000000"/>
    </w:rPr>
  </w:style>
  <w:style w:type="paragraph" w:customStyle="1" w:styleId="531">
    <w:name w:val="表体"/>
    <w:basedOn w:val="25"/>
    <w:qFormat/>
    <w:uiPriority w:val="99"/>
    <w:pPr>
      <w:adjustRightInd/>
      <w:snapToGrid/>
      <w:spacing w:line="280" w:lineRule="exact"/>
      <w:jc w:val="center"/>
    </w:pPr>
    <w:rPr>
      <w:rFonts w:ascii="宋体" w:hAnsi="宋体" w:eastAsia="宋体"/>
      <w:color w:val="auto"/>
      <w:sz w:val="18"/>
      <w:szCs w:val="24"/>
    </w:rPr>
  </w:style>
  <w:style w:type="paragraph" w:customStyle="1" w:styleId="532">
    <w:name w:val="样式 标题 3 + 首行缩进:  0.35 厘米2"/>
    <w:basedOn w:val="5"/>
    <w:qFormat/>
    <w:uiPriority w:val="99"/>
    <w:pPr>
      <w:tabs>
        <w:tab w:val="left" w:pos="1080"/>
      </w:tabs>
      <w:snapToGrid w:val="0"/>
      <w:spacing w:before="120" w:after="0" w:line="440" w:lineRule="atLeast"/>
      <w:ind w:firstLine="480" w:firstLineChars="200"/>
    </w:pPr>
    <w:rPr>
      <w:rFonts w:ascii="黑体" w:eastAsia="黑体"/>
      <w:sz w:val="24"/>
    </w:rPr>
  </w:style>
  <w:style w:type="paragraph" w:customStyle="1" w:styleId="533">
    <w:name w:val="煤炭资源普查报告格式"/>
    <w:basedOn w:val="1"/>
    <w:qFormat/>
    <w:uiPriority w:val="99"/>
    <w:pPr>
      <w:spacing w:line="500" w:lineRule="exact"/>
      <w:ind w:firstLine="200" w:firstLineChars="200"/>
    </w:pPr>
  </w:style>
  <w:style w:type="paragraph" w:customStyle="1" w:styleId="534">
    <w:name w:val="样式 表文字 +"/>
    <w:basedOn w:val="522"/>
    <w:next w:val="522"/>
    <w:qFormat/>
    <w:uiPriority w:val="99"/>
  </w:style>
  <w:style w:type="character" w:customStyle="1" w:styleId="535">
    <w:name w:val="B正文 Char"/>
    <w:link w:val="536"/>
    <w:qFormat/>
    <w:locked/>
    <w:uiPriority w:val="0"/>
    <w:rPr>
      <w:sz w:val="24"/>
      <w:szCs w:val="24"/>
    </w:rPr>
  </w:style>
  <w:style w:type="paragraph" w:customStyle="1" w:styleId="536">
    <w:name w:val="B正文"/>
    <w:basedOn w:val="1"/>
    <w:link w:val="535"/>
    <w:qFormat/>
    <w:uiPriority w:val="0"/>
    <w:pPr>
      <w:autoSpaceDE w:val="0"/>
      <w:autoSpaceDN w:val="0"/>
      <w:spacing w:beforeLines="50" w:line="360" w:lineRule="auto"/>
      <w:ind w:firstLine="200" w:firstLineChars="200"/>
    </w:pPr>
    <w:rPr>
      <w:rFonts w:asciiTheme="minorHAnsi" w:hAnsiTheme="minorHAnsi" w:eastAsiaTheme="minorEastAsia" w:cstheme="minorBidi"/>
      <w:szCs w:val="24"/>
    </w:rPr>
  </w:style>
  <w:style w:type="paragraph" w:customStyle="1" w:styleId="537">
    <w:name w:val="样式 首行缩进:  2 字符 行距: 固定值 15 磅"/>
    <w:basedOn w:val="1"/>
    <w:qFormat/>
    <w:uiPriority w:val="99"/>
    <w:pPr>
      <w:spacing w:line="400" w:lineRule="exact"/>
      <w:ind w:firstLine="560" w:firstLineChars="200"/>
    </w:pPr>
    <w:rPr>
      <w:rFonts w:eastAsia="汉鼎简书宋"/>
      <w:sz w:val="28"/>
    </w:rPr>
  </w:style>
  <w:style w:type="paragraph" w:customStyle="1" w:styleId="538">
    <w:name w:val="Char Char Char1 Char Char Char Char1"/>
    <w:basedOn w:val="1"/>
    <w:next w:val="1"/>
    <w:semiHidden/>
    <w:qFormat/>
    <w:uiPriority w:val="99"/>
    <w:pPr>
      <w:spacing w:line="336" w:lineRule="auto"/>
      <w:ind w:firstLine="200" w:firstLineChars="200"/>
    </w:pPr>
    <w:rPr>
      <w:rFonts w:eastAsia="汉鼎简书宋" w:cs="宋体"/>
      <w:szCs w:val="24"/>
    </w:rPr>
  </w:style>
  <w:style w:type="paragraph" w:customStyle="1" w:styleId="539">
    <w:name w:val="et15"/>
    <w:basedOn w:val="1"/>
    <w:qFormat/>
    <w:uiPriority w:val="99"/>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cs="宋体"/>
      <w:b/>
      <w:bCs/>
      <w:color w:val="FF0000"/>
      <w:kern w:val="0"/>
      <w:sz w:val="20"/>
    </w:rPr>
  </w:style>
  <w:style w:type="paragraph" w:customStyle="1" w:styleId="540">
    <w:name w:val="xl83"/>
    <w:basedOn w:val="1"/>
    <w:qFormat/>
    <w:uiPriority w:val="99"/>
    <w:pPr>
      <w:widowControl/>
      <w:pBdr>
        <w:top w:val="single" w:color="auto" w:sz="8" w:space="0"/>
        <w:left w:val="single" w:color="auto" w:sz="8" w:space="0"/>
        <w:right w:val="single" w:color="auto" w:sz="8" w:space="0"/>
      </w:pBdr>
      <w:spacing w:before="100" w:beforeAutospacing="1" w:after="100" w:afterAutospacing="1"/>
      <w:jc w:val="center"/>
    </w:pPr>
    <w:rPr>
      <w:rFonts w:cs="宋体"/>
      <w:kern w:val="0"/>
      <w:szCs w:val="24"/>
    </w:rPr>
  </w:style>
  <w:style w:type="paragraph" w:customStyle="1" w:styleId="541">
    <w:name w:val="Char1 Char Char Char"/>
    <w:basedOn w:val="1"/>
    <w:next w:val="1"/>
    <w:qFormat/>
    <w:uiPriority w:val="99"/>
    <w:pPr>
      <w:spacing w:line="360" w:lineRule="auto"/>
      <w:ind w:firstLine="200" w:firstLineChars="200"/>
    </w:pPr>
  </w:style>
  <w:style w:type="paragraph" w:customStyle="1" w:styleId="542">
    <w:name w:val="图、表头文字"/>
    <w:basedOn w:val="1"/>
    <w:qFormat/>
    <w:uiPriority w:val="99"/>
    <w:pPr>
      <w:autoSpaceDE w:val="0"/>
      <w:autoSpaceDN w:val="0"/>
      <w:adjustRightInd w:val="0"/>
      <w:spacing w:before="80" w:after="80"/>
      <w:ind w:firstLine="200" w:firstLineChars="200"/>
    </w:pPr>
    <w:rPr>
      <w:rFonts w:ascii="黑体" w:eastAsia="黑体"/>
      <w:kern w:val="0"/>
    </w:rPr>
  </w:style>
  <w:style w:type="paragraph" w:customStyle="1" w:styleId="543">
    <w:name w:val="xl51"/>
    <w:basedOn w:val="1"/>
    <w:qFormat/>
    <w:uiPriority w:val="99"/>
    <w:pPr>
      <w:widowControl/>
      <w:pBdr>
        <w:top w:val="single" w:color="auto" w:sz="4" w:space="0"/>
        <w:left w:val="single" w:color="auto" w:sz="4" w:space="0"/>
        <w:bottom w:val="single" w:color="auto" w:sz="8"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544">
    <w:name w:val="et6"/>
    <w:basedOn w:val="1"/>
    <w:qFormat/>
    <w:uiPriority w:val="99"/>
    <w:pPr>
      <w:widowControl/>
      <w:pBdr>
        <w:top w:val="single" w:color="000000" w:sz="4" w:space="0"/>
        <w:left w:val="single" w:color="000000" w:sz="4" w:space="0"/>
        <w:bottom w:val="single" w:color="000000" w:sz="4" w:space="0"/>
      </w:pBdr>
      <w:spacing w:before="100" w:beforeAutospacing="1" w:after="100" w:afterAutospacing="1"/>
      <w:jc w:val="center"/>
    </w:pPr>
    <w:rPr>
      <w:rFonts w:cs="宋体"/>
      <w:color w:val="000000"/>
      <w:kern w:val="0"/>
      <w:sz w:val="20"/>
    </w:rPr>
  </w:style>
  <w:style w:type="paragraph" w:customStyle="1" w:styleId="545">
    <w:name w:val="xl3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546">
    <w:name w:val="正文样式1"/>
    <w:basedOn w:val="1"/>
    <w:qFormat/>
    <w:uiPriority w:val="99"/>
    <w:pPr>
      <w:spacing w:line="360" w:lineRule="auto"/>
      <w:ind w:firstLine="480" w:firstLineChars="200"/>
    </w:pPr>
  </w:style>
  <w:style w:type="paragraph" w:customStyle="1" w:styleId="547">
    <w:name w:val="样式 样式 标题 2 + 宋体 小三 非加粗 行距: 1.5 倍行距 + 加粗 左侧:  0.35 厘米"/>
    <w:basedOn w:val="1"/>
    <w:qFormat/>
    <w:uiPriority w:val="99"/>
    <w:pPr>
      <w:keepNext/>
      <w:keepLines/>
      <w:spacing w:before="260" w:after="260" w:line="360" w:lineRule="auto"/>
      <w:ind w:left="200"/>
      <w:outlineLvl w:val="1"/>
    </w:pPr>
    <w:rPr>
      <w:rFonts w:eastAsia="仿宋_GB2312"/>
      <w:b/>
      <w:sz w:val="30"/>
    </w:rPr>
  </w:style>
  <w:style w:type="paragraph" w:customStyle="1" w:styleId="548">
    <w:name w:val="Char1 Char Char Char Char Char Char1 Char Char Char1"/>
    <w:basedOn w:val="1"/>
    <w:qFormat/>
    <w:uiPriority w:val="99"/>
    <w:rPr>
      <w:rFonts w:ascii="Times New Roman" w:hAnsi="Times New Roman"/>
      <w:sz w:val="21"/>
      <w:szCs w:val="21"/>
    </w:rPr>
  </w:style>
  <w:style w:type="character" w:customStyle="1" w:styleId="549">
    <w:name w:val="样式3（代正文） Char"/>
    <w:link w:val="550"/>
    <w:qFormat/>
    <w:locked/>
    <w:uiPriority w:val="0"/>
    <w:rPr>
      <w:sz w:val="24"/>
      <w:szCs w:val="24"/>
    </w:rPr>
  </w:style>
  <w:style w:type="paragraph" w:customStyle="1" w:styleId="550">
    <w:name w:val="样式3（代正文）"/>
    <w:link w:val="549"/>
    <w:qFormat/>
    <w:uiPriority w:val="0"/>
    <w:pPr>
      <w:widowControl w:val="0"/>
      <w:adjustRightInd w:val="0"/>
      <w:snapToGrid w:val="0"/>
      <w:spacing w:line="560" w:lineRule="exact"/>
      <w:ind w:firstLine="480" w:firstLineChars="200"/>
      <w:jc w:val="both"/>
    </w:pPr>
    <w:rPr>
      <w:rFonts w:asciiTheme="minorHAnsi" w:hAnsiTheme="minorHAnsi" w:eastAsiaTheme="minorEastAsia" w:cstheme="minorBidi"/>
      <w:kern w:val="2"/>
      <w:sz w:val="24"/>
      <w:szCs w:val="24"/>
      <w:lang w:val="en-US" w:eastAsia="zh-CN" w:bidi="ar-SA"/>
    </w:rPr>
  </w:style>
  <w:style w:type="paragraph" w:customStyle="1" w:styleId="551">
    <w:name w:val="样式 hb4 + 段前: 0.5 行 段后: 0.5 行 行距: 固定值 26 磅"/>
    <w:basedOn w:val="499"/>
    <w:qFormat/>
    <w:uiPriority w:val="99"/>
    <w:pPr>
      <w:spacing w:beforeLines="50" w:afterLines="50" w:line="520" w:lineRule="exact"/>
    </w:pPr>
    <w:rPr>
      <w:rFonts w:ascii="Times New Roman" w:hAnsi="Arial" w:eastAsia="宋体"/>
      <w:b/>
      <w:kern w:val="24"/>
    </w:rPr>
  </w:style>
  <w:style w:type="paragraph" w:customStyle="1" w:styleId="552">
    <w:name w:val="样式 左  4 字符"/>
    <w:basedOn w:val="1"/>
    <w:qFormat/>
    <w:uiPriority w:val="99"/>
    <w:pPr>
      <w:spacing w:line="529" w:lineRule="exact"/>
      <w:ind w:firstLine="482"/>
    </w:pPr>
    <w:rPr>
      <w:kern w:val="0"/>
    </w:rPr>
  </w:style>
  <w:style w:type="paragraph" w:customStyle="1" w:styleId="553">
    <w:name w:val="xl9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cs="宋体"/>
      <w:color w:val="000000"/>
      <w:kern w:val="0"/>
      <w:sz w:val="18"/>
      <w:szCs w:val="18"/>
    </w:rPr>
  </w:style>
  <w:style w:type="paragraph" w:customStyle="1" w:styleId="554">
    <w:name w:val="font10"/>
    <w:basedOn w:val="1"/>
    <w:qFormat/>
    <w:uiPriority w:val="99"/>
    <w:pPr>
      <w:widowControl/>
      <w:spacing w:before="100" w:beforeAutospacing="1" w:after="100" w:afterAutospacing="1"/>
    </w:pPr>
    <w:rPr>
      <w:rFonts w:eastAsia="Arial Unicode MS"/>
      <w:kern w:val="0"/>
      <w:sz w:val="28"/>
    </w:rPr>
  </w:style>
  <w:style w:type="paragraph" w:customStyle="1" w:styleId="555">
    <w:name w:val="et14"/>
    <w:basedOn w:val="1"/>
    <w:qFormat/>
    <w:uiPriority w:val="99"/>
    <w:pPr>
      <w:widowControl/>
      <w:pBdr>
        <w:top w:val="single" w:color="000000" w:sz="4" w:space="0"/>
      </w:pBdr>
      <w:spacing w:before="100" w:beforeAutospacing="1" w:after="100" w:afterAutospacing="1"/>
      <w:jc w:val="right"/>
    </w:pPr>
    <w:rPr>
      <w:rFonts w:cs="宋体"/>
      <w:color w:val="000000"/>
      <w:kern w:val="0"/>
      <w:sz w:val="20"/>
    </w:rPr>
  </w:style>
  <w:style w:type="paragraph" w:customStyle="1" w:styleId="556">
    <w:name w:val="文本"/>
    <w:basedOn w:val="1"/>
    <w:qFormat/>
    <w:uiPriority w:val="99"/>
    <w:pPr>
      <w:adjustRightInd w:val="0"/>
      <w:snapToGrid w:val="0"/>
      <w:spacing w:line="500" w:lineRule="exact"/>
      <w:ind w:firstLine="560" w:firstLineChars="200"/>
    </w:pPr>
    <w:rPr>
      <w:rFonts w:eastAsia="汉鼎简书宋"/>
      <w:sz w:val="28"/>
    </w:rPr>
  </w:style>
  <w:style w:type="paragraph" w:customStyle="1" w:styleId="557">
    <w:name w:val="1 Char Char Char Char Char Char Char"/>
    <w:basedOn w:val="1"/>
    <w:qFormat/>
    <w:uiPriority w:val="99"/>
    <w:pPr>
      <w:widowControl/>
      <w:spacing w:after="160" w:line="360" w:lineRule="auto"/>
      <w:ind w:firstLine="200" w:firstLineChars="200"/>
      <w:jc w:val="left"/>
    </w:pPr>
    <w:rPr>
      <w:rFonts w:ascii="Times New Roman" w:hAnsi="Times New Roman"/>
      <w:sz w:val="28"/>
      <w:szCs w:val="24"/>
    </w:rPr>
  </w:style>
  <w:style w:type="paragraph" w:customStyle="1" w:styleId="558">
    <w:name w:val="biaozhun"/>
    <w:basedOn w:val="1"/>
    <w:qFormat/>
    <w:uiPriority w:val="99"/>
    <w:pPr>
      <w:widowControl/>
      <w:spacing w:before="100" w:beforeAutospacing="1" w:after="100" w:afterAutospacing="1"/>
      <w:jc w:val="left"/>
    </w:pPr>
    <w:rPr>
      <w:rFonts w:cs="宋体"/>
      <w:kern w:val="0"/>
      <w:szCs w:val="24"/>
    </w:rPr>
  </w:style>
  <w:style w:type="paragraph" w:customStyle="1" w:styleId="559">
    <w:name w:val="正文文本缩进2"/>
    <w:basedOn w:val="1"/>
    <w:qFormat/>
    <w:uiPriority w:val="99"/>
    <w:pPr>
      <w:spacing w:after="120"/>
      <w:ind w:left="420" w:leftChars="200"/>
    </w:pPr>
    <w:rPr>
      <w:rFonts w:ascii="Times New Roman" w:hAnsi="Times New Roman" w:eastAsia="Times New Roman"/>
      <w:kern w:val="0"/>
      <w:szCs w:val="24"/>
    </w:rPr>
  </w:style>
  <w:style w:type="paragraph" w:customStyle="1" w:styleId="560">
    <w:name w:val="表头样式"/>
    <w:basedOn w:val="1"/>
    <w:qFormat/>
    <w:uiPriority w:val="99"/>
    <w:pPr>
      <w:spacing w:beforeLines="30" w:afterLines="20"/>
      <w:ind w:firstLine="200" w:firstLineChars="200"/>
    </w:pPr>
    <w:rPr>
      <w:rFonts w:eastAsia="黑体"/>
      <w:sz w:val="28"/>
    </w:rPr>
  </w:style>
  <w:style w:type="paragraph" w:customStyle="1" w:styleId="561">
    <w:name w:val="Char Char Char1 Char1"/>
    <w:basedOn w:val="1"/>
    <w:next w:val="1"/>
    <w:qFormat/>
    <w:uiPriority w:val="99"/>
    <w:pPr>
      <w:spacing w:line="360" w:lineRule="auto"/>
      <w:ind w:firstLine="200" w:firstLineChars="200"/>
    </w:pPr>
    <w:rPr>
      <w:rFonts w:cs="宋体"/>
      <w:szCs w:val="24"/>
    </w:rPr>
  </w:style>
  <w:style w:type="character" w:customStyle="1" w:styleId="562">
    <w:name w:val="好正文 Char"/>
    <w:link w:val="563"/>
    <w:qFormat/>
    <w:locked/>
    <w:uiPriority w:val="0"/>
    <w:rPr>
      <w:sz w:val="24"/>
      <w:szCs w:val="24"/>
    </w:rPr>
  </w:style>
  <w:style w:type="paragraph" w:customStyle="1" w:styleId="563">
    <w:name w:val="好正文"/>
    <w:basedOn w:val="1"/>
    <w:link w:val="562"/>
    <w:qFormat/>
    <w:uiPriority w:val="0"/>
    <w:pPr>
      <w:spacing w:line="360" w:lineRule="auto"/>
      <w:ind w:firstLine="480" w:firstLineChars="200"/>
    </w:pPr>
    <w:rPr>
      <w:rFonts w:asciiTheme="minorHAnsi" w:hAnsiTheme="minorHAnsi" w:eastAsiaTheme="minorEastAsia" w:cstheme="minorBidi"/>
      <w:szCs w:val="24"/>
    </w:rPr>
  </w:style>
  <w:style w:type="paragraph" w:customStyle="1" w:styleId="564">
    <w:name w:val="xl1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cs="宋体"/>
      <w:kern w:val="0"/>
      <w:sz w:val="20"/>
    </w:rPr>
  </w:style>
  <w:style w:type="paragraph" w:customStyle="1" w:styleId="565">
    <w:name w:val="正文页眉"/>
    <w:basedOn w:val="41"/>
    <w:qFormat/>
    <w:uiPriority w:val="99"/>
    <w:pPr>
      <w:pBdr>
        <w:bottom w:val="thinThickSmallGap" w:color="auto" w:sz="12" w:space="1"/>
      </w:pBdr>
    </w:pPr>
    <w:rPr>
      <w:iCs/>
      <w:sz w:val="21"/>
      <w:szCs w:val="21"/>
    </w:rPr>
  </w:style>
  <w:style w:type="paragraph" w:customStyle="1" w:styleId="566">
    <w:name w:val="font7"/>
    <w:basedOn w:val="1"/>
    <w:qFormat/>
    <w:uiPriority w:val="99"/>
    <w:pPr>
      <w:widowControl/>
      <w:spacing w:before="100" w:beforeAutospacing="1" w:after="100" w:afterAutospacing="1" w:line="529" w:lineRule="exact"/>
      <w:ind w:firstLine="200" w:firstLineChars="200"/>
    </w:pPr>
    <w:rPr>
      <w:rFonts w:eastAsia="汉鼎简书宋"/>
      <w:kern w:val="0"/>
      <w:sz w:val="20"/>
    </w:rPr>
  </w:style>
  <w:style w:type="paragraph" w:customStyle="1" w:styleId="567">
    <w:name w:val="样式 首行缩进:  0.85 厘米2"/>
    <w:basedOn w:val="1"/>
    <w:qFormat/>
    <w:uiPriority w:val="99"/>
    <w:pPr>
      <w:spacing w:beforeLines="50" w:line="360" w:lineRule="auto"/>
    </w:pPr>
    <w:rPr>
      <w:b/>
      <w:kern w:val="24"/>
    </w:rPr>
  </w:style>
  <w:style w:type="paragraph" w:customStyle="1" w:styleId="568">
    <w:name w:val="样式 左侧:  0.85 厘米 首行缩进:  0 字符"/>
    <w:basedOn w:val="1"/>
    <w:qFormat/>
    <w:uiPriority w:val="99"/>
    <w:pPr>
      <w:topLinePunct/>
      <w:spacing w:line="529" w:lineRule="exact"/>
      <w:ind w:left="480"/>
    </w:pPr>
    <w:rPr>
      <w:rFonts w:eastAsia="汉鼎简书宋"/>
    </w:rPr>
  </w:style>
  <w:style w:type="paragraph" w:customStyle="1" w:styleId="569">
    <w:name w:val="Char Char Char1 Char Char Char Char Char Char Char"/>
    <w:basedOn w:val="1"/>
    <w:next w:val="1"/>
    <w:qFormat/>
    <w:uiPriority w:val="99"/>
    <w:pPr>
      <w:spacing w:line="360" w:lineRule="auto"/>
      <w:ind w:firstLine="200" w:firstLineChars="200"/>
    </w:pPr>
    <w:rPr>
      <w:rFonts w:cs="宋体"/>
      <w:b/>
      <w:color w:val="000000"/>
      <w:szCs w:val="24"/>
    </w:rPr>
  </w:style>
  <w:style w:type="paragraph" w:customStyle="1" w:styleId="570">
    <w:name w:val="默认段落字体 Para Char Char Char Char"/>
    <w:basedOn w:val="1"/>
    <w:qFormat/>
    <w:uiPriority w:val="99"/>
    <w:rPr>
      <w:rFonts w:ascii="Times New Roman" w:hAnsi="Times New Roman"/>
      <w:sz w:val="21"/>
    </w:rPr>
  </w:style>
  <w:style w:type="paragraph" w:customStyle="1" w:styleId="571">
    <w:name w:val="Char151"/>
    <w:basedOn w:val="1"/>
    <w:qFormat/>
    <w:uiPriority w:val="99"/>
    <w:pPr>
      <w:spacing w:line="560" w:lineRule="exact"/>
      <w:ind w:firstLine="200" w:firstLineChars="200"/>
    </w:pPr>
    <w:rPr>
      <w:rFonts w:cs="宋体"/>
      <w:szCs w:val="24"/>
    </w:rPr>
  </w:style>
  <w:style w:type="character" w:customStyle="1" w:styleId="572">
    <w:name w:val="三塘湖 Char"/>
    <w:link w:val="573"/>
    <w:qFormat/>
    <w:locked/>
    <w:uiPriority w:val="0"/>
    <w:rPr>
      <w:rFonts w:ascii="Arial Narrow" w:hAnsi="Arial Narrow" w:eastAsia="汉鼎简书宋"/>
      <w:bCs/>
      <w:sz w:val="24"/>
      <w:szCs w:val="24"/>
    </w:rPr>
  </w:style>
  <w:style w:type="paragraph" w:customStyle="1" w:styleId="573">
    <w:name w:val="三塘湖"/>
    <w:basedOn w:val="1"/>
    <w:link w:val="572"/>
    <w:qFormat/>
    <w:uiPriority w:val="0"/>
    <w:pPr>
      <w:spacing w:line="500" w:lineRule="exact"/>
      <w:ind w:firstLine="200" w:firstLineChars="200"/>
      <w:jc w:val="left"/>
    </w:pPr>
    <w:rPr>
      <w:rFonts w:ascii="Arial Narrow" w:hAnsi="Arial Narrow" w:eastAsia="汉鼎简书宋" w:cstheme="minorBidi"/>
      <w:bCs/>
      <w:szCs w:val="24"/>
    </w:rPr>
  </w:style>
  <w:style w:type="paragraph" w:customStyle="1" w:styleId="574">
    <w:name w:val="font6"/>
    <w:basedOn w:val="1"/>
    <w:qFormat/>
    <w:uiPriority w:val="99"/>
    <w:pPr>
      <w:widowControl/>
      <w:spacing w:before="100" w:beforeAutospacing="1" w:after="100" w:afterAutospacing="1" w:line="529" w:lineRule="exact"/>
      <w:ind w:firstLine="200" w:firstLineChars="200"/>
    </w:pPr>
    <w:rPr>
      <w:rFonts w:eastAsia="汉鼎简书宋"/>
      <w:kern w:val="0"/>
      <w:sz w:val="20"/>
    </w:rPr>
  </w:style>
  <w:style w:type="paragraph" w:customStyle="1" w:styleId="575">
    <w:name w:val="区划正文"/>
    <w:basedOn w:val="1"/>
    <w:qFormat/>
    <w:uiPriority w:val="99"/>
    <w:pPr>
      <w:adjustRightInd w:val="0"/>
      <w:snapToGrid w:val="0"/>
      <w:spacing w:line="480" w:lineRule="exact"/>
      <w:ind w:firstLine="200" w:firstLineChars="200"/>
    </w:pPr>
    <w:rPr>
      <w:rFonts w:ascii="Times New Roman" w:hAnsi="Times New Roman"/>
    </w:rPr>
  </w:style>
  <w:style w:type="paragraph" w:customStyle="1" w:styleId="576">
    <w:name w:val="xl88"/>
    <w:basedOn w:val="1"/>
    <w:qFormat/>
    <w:uiPriority w:val="99"/>
    <w:pPr>
      <w:widowControl/>
      <w:pBdr>
        <w:left w:val="single" w:color="auto" w:sz="8" w:space="0"/>
        <w:right w:val="single" w:color="auto" w:sz="8" w:space="0"/>
      </w:pBdr>
      <w:spacing w:before="100" w:beforeAutospacing="1" w:after="100" w:afterAutospacing="1"/>
      <w:jc w:val="center"/>
    </w:pPr>
    <w:rPr>
      <w:rFonts w:cs="宋体"/>
      <w:color w:val="0000FF"/>
      <w:kern w:val="0"/>
      <w:szCs w:val="24"/>
      <w:u w:val="single"/>
    </w:rPr>
  </w:style>
  <w:style w:type="paragraph" w:customStyle="1" w:styleId="577">
    <w:name w:val="公式"/>
    <w:basedOn w:val="17"/>
    <w:qFormat/>
    <w:uiPriority w:val="99"/>
    <w:pPr>
      <w:tabs>
        <w:tab w:val="right" w:pos="7560"/>
      </w:tabs>
      <w:spacing w:line="360" w:lineRule="auto"/>
      <w:jc w:val="center"/>
    </w:pPr>
    <w:rPr>
      <w:rFonts w:ascii="Times New Roman" w:hAnsi="Times New Roman" w:eastAsia="宋体" w:cs="黑体"/>
      <w:kern w:val="0"/>
      <w:sz w:val="24"/>
      <w:szCs w:val="21"/>
    </w:rPr>
  </w:style>
  <w:style w:type="paragraph" w:customStyle="1" w:styleId="578">
    <w:name w:val="xl63"/>
    <w:basedOn w:val="1"/>
    <w:qFormat/>
    <w:uiPriority w:val="99"/>
    <w:pPr>
      <w:widowControl/>
      <w:spacing w:before="100" w:after="100"/>
    </w:pPr>
    <w:rPr>
      <w:rFonts w:ascii="黑体" w:eastAsia="黑体"/>
      <w:kern w:val="0"/>
    </w:rPr>
  </w:style>
  <w:style w:type="paragraph" w:customStyle="1" w:styleId="579">
    <w:name w:val="xl4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580">
    <w:name w:val="表文字（小行距）"/>
    <w:basedOn w:val="1"/>
    <w:qFormat/>
    <w:uiPriority w:val="99"/>
    <w:pPr>
      <w:adjustRightInd w:val="0"/>
      <w:spacing w:line="240" w:lineRule="exact"/>
    </w:pPr>
    <w:rPr>
      <w:rFonts w:eastAsia="汉鼎简书宋"/>
      <w:kern w:val="0"/>
    </w:rPr>
  </w:style>
  <w:style w:type="paragraph" w:customStyle="1" w:styleId="581">
    <w:name w:val="正文1 Char"/>
    <w:basedOn w:val="1"/>
    <w:next w:val="1"/>
    <w:qFormat/>
    <w:uiPriority w:val="99"/>
    <w:pPr>
      <w:spacing w:after="60" w:line="400" w:lineRule="exact"/>
      <w:ind w:firstLine="425"/>
    </w:pPr>
    <w:rPr>
      <w:rFonts w:ascii="Times New Roman" w:hAnsi="Times New Roman"/>
      <w:szCs w:val="24"/>
    </w:rPr>
  </w:style>
  <w:style w:type="paragraph" w:customStyle="1" w:styleId="582">
    <w:name w:val="样式 宋体 小四 左 行距: 1.5 倍行距"/>
    <w:basedOn w:val="1"/>
    <w:qFormat/>
    <w:uiPriority w:val="99"/>
    <w:pPr>
      <w:widowControl/>
      <w:topLinePunct/>
      <w:spacing w:line="530" w:lineRule="exact"/>
      <w:ind w:firstLine="200" w:firstLineChars="200"/>
    </w:pPr>
    <w:rPr>
      <w:kern w:val="0"/>
    </w:rPr>
  </w:style>
  <w:style w:type="paragraph" w:customStyle="1" w:styleId="583">
    <w:name w:val="xl4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584">
    <w:name w:val="Char Char Char1 Char Char Char1 Char Char Char Char"/>
    <w:basedOn w:val="1"/>
    <w:semiHidden/>
    <w:qFormat/>
    <w:uiPriority w:val="99"/>
    <w:rPr>
      <w:rFonts w:ascii="Times New Roman" w:hAnsi="Times New Roman"/>
      <w:sz w:val="21"/>
      <w:szCs w:val="24"/>
    </w:rPr>
  </w:style>
  <w:style w:type="character" w:customStyle="1" w:styleId="585">
    <w:name w:val="A标题5 Char"/>
    <w:link w:val="586"/>
    <w:qFormat/>
    <w:locked/>
    <w:uiPriority w:val="0"/>
    <w:rPr>
      <w:color w:val="000000"/>
      <w:sz w:val="24"/>
      <w:szCs w:val="24"/>
    </w:rPr>
  </w:style>
  <w:style w:type="paragraph" w:customStyle="1" w:styleId="586">
    <w:name w:val="A标题5"/>
    <w:basedOn w:val="1"/>
    <w:link w:val="585"/>
    <w:qFormat/>
    <w:uiPriority w:val="0"/>
    <w:pPr>
      <w:widowControl/>
      <w:adjustRightInd w:val="0"/>
      <w:snapToGrid w:val="0"/>
      <w:spacing w:line="240" w:lineRule="atLeast"/>
      <w:outlineLvl w:val="4"/>
    </w:pPr>
    <w:rPr>
      <w:rFonts w:asciiTheme="minorHAnsi" w:hAnsiTheme="minorHAnsi" w:eastAsiaTheme="minorEastAsia" w:cstheme="minorBidi"/>
      <w:color w:val="000000"/>
      <w:szCs w:val="24"/>
    </w:rPr>
  </w:style>
  <w:style w:type="paragraph" w:customStyle="1" w:styleId="587">
    <w:name w:val="xl61"/>
    <w:basedOn w:val="1"/>
    <w:qFormat/>
    <w:uiPriority w:val="99"/>
    <w:pPr>
      <w:widowControl/>
      <w:pBdr>
        <w:top w:val="single" w:color="auto" w:sz="4" w:space="0"/>
        <w:left w:val="single" w:color="auto" w:sz="4" w:space="0"/>
        <w:right w:val="single" w:color="auto" w:sz="4" w:space="0"/>
      </w:pBdr>
      <w:spacing w:before="100" w:beforeAutospacing="1" w:after="100" w:afterAutospacing="1"/>
      <w:jc w:val="center"/>
    </w:pPr>
    <w:rPr>
      <w:rFonts w:ascii="Arial Unicode MS" w:hAnsi="Arial Unicode MS" w:eastAsia="Arial Unicode MS" w:cs="Arial Unicode MS"/>
      <w:color w:val="FF0000"/>
      <w:kern w:val="0"/>
      <w:sz w:val="16"/>
      <w:szCs w:val="16"/>
    </w:rPr>
  </w:style>
  <w:style w:type="paragraph" w:customStyle="1" w:styleId="588">
    <w:name w:val="Char Char Char1 Char3"/>
    <w:basedOn w:val="1"/>
    <w:next w:val="1"/>
    <w:qFormat/>
    <w:uiPriority w:val="99"/>
    <w:pPr>
      <w:spacing w:line="360" w:lineRule="auto"/>
      <w:ind w:firstLine="200" w:firstLineChars="200"/>
    </w:pPr>
    <w:rPr>
      <w:rFonts w:eastAsia="汉鼎简书宋" w:cs="宋体"/>
      <w:szCs w:val="24"/>
    </w:rPr>
  </w:style>
  <w:style w:type="paragraph" w:customStyle="1" w:styleId="589">
    <w:name w:val="样式 hb3 + 段前: 5 磅 段后: 5 磅"/>
    <w:basedOn w:val="5"/>
    <w:qFormat/>
    <w:uiPriority w:val="99"/>
    <w:pPr>
      <w:topLinePunct/>
      <w:spacing w:before="100" w:after="100" w:line="500" w:lineRule="exact"/>
      <w:ind w:firstLine="200" w:firstLineChars="200"/>
    </w:pPr>
    <w:rPr>
      <w:b w:val="0"/>
      <w:sz w:val="30"/>
    </w:rPr>
  </w:style>
  <w:style w:type="paragraph" w:customStyle="1" w:styleId="590">
    <w:name w:val="Char1 Char Char Char Char Char Char1 Char Char Char13"/>
    <w:basedOn w:val="1"/>
    <w:qFormat/>
    <w:uiPriority w:val="99"/>
    <w:rPr>
      <w:rFonts w:ascii="Times New Roman" w:hAnsi="Times New Roman"/>
      <w:sz w:val="21"/>
      <w:szCs w:val="21"/>
    </w:rPr>
  </w:style>
  <w:style w:type="paragraph" w:customStyle="1" w:styleId="591">
    <w:name w:val="xl34"/>
    <w:basedOn w:val="1"/>
    <w:qFormat/>
    <w:uiPriority w:val="99"/>
    <w:pPr>
      <w:widowControl/>
      <w:pBdr>
        <w:top w:val="single" w:color="auto" w:sz="8" w:space="0"/>
        <w:left w:val="single" w:color="auto" w:sz="4" w:space="0"/>
        <w:bottom w:val="single" w:color="auto" w:sz="4" w:space="0"/>
        <w:right w:val="single" w:color="auto" w:sz="8" w:space="0"/>
      </w:pBdr>
      <w:spacing w:before="100" w:beforeAutospacing="1" w:after="100" w:afterAutospacing="1" w:line="529" w:lineRule="exact"/>
      <w:ind w:firstLine="200" w:firstLineChars="200"/>
    </w:pPr>
    <w:rPr>
      <w:rFonts w:eastAsia="汉鼎简书宋"/>
      <w:kern w:val="0"/>
      <w:sz w:val="20"/>
    </w:rPr>
  </w:style>
  <w:style w:type="paragraph" w:customStyle="1" w:styleId="592">
    <w:name w:val="hb3"/>
    <w:basedOn w:val="5"/>
    <w:qFormat/>
    <w:uiPriority w:val="99"/>
    <w:pPr>
      <w:adjustRightInd w:val="0"/>
      <w:spacing w:before="360" w:after="360" w:line="240" w:lineRule="auto"/>
      <w:jc w:val="left"/>
    </w:pPr>
    <w:rPr>
      <w:bCs/>
      <w:kern w:val="0"/>
      <w:sz w:val="24"/>
      <w:szCs w:val="32"/>
    </w:rPr>
  </w:style>
  <w:style w:type="character" w:customStyle="1" w:styleId="593">
    <w:name w:val="样式7 Char"/>
    <w:link w:val="594"/>
    <w:qFormat/>
    <w:locked/>
    <w:uiPriority w:val="0"/>
    <w:rPr>
      <w:rFonts w:ascii="宋体" w:hAnsi="宋体" w:eastAsia="汉鼎简书宋"/>
      <w:b/>
      <w:sz w:val="28"/>
    </w:rPr>
  </w:style>
  <w:style w:type="paragraph" w:customStyle="1" w:styleId="594">
    <w:name w:val="样式7"/>
    <w:basedOn w:val="9"/>
    <w:link w:val="593"/>
    <w:qFormat/>
    <w:uiPriority w:val="0"/>
    <w:pPr>
      <w:tabs>
        <w:tab w:val="left" w:pos="1021"/>
        <w:tab w:val="left" w:pos="1247"/>
        <w:tab w:val="clear" w:pos="1296"/>
      </w:tabs>
      <w:spacing w:before="0" w:after="0" w:line="360" w:lineRule="auto"/>
      <w:ind w:left="0" w:firstLine="420"/>
    </w:pPr>
    <w:rPr>
      <w:rFonts w:ascii="宋体" w:hAnsi="宋体" w:eastAsia="汉鼎简书宋" w:cstheme="minorBidi"/>
      <w:sz w:val="28"/>
      <w:szCs w:val="22"/>
    </w:rPr>
  </w:style>
  <w:style w:type="paragraph" w:customStyle="1" w:styleId="595">
    <w:name w:val="My Text"/>
    <w:basedOn w:val="1"/>
    <w:qFormat/>
    <w:uiPriority w:val="99"/>
    <w:pPr>
      <w:spacing w:before="120" w:after="120"/>
      <w:ind w:firstLine="454"/>
    </w:pPr>
    <w:rPr>
      <w:rFonts w:ascii="楷体_GB2312"/>
    </w:rPr>
  </w:style>
  <w:style w:type="paragraph" w:customStyle="1" w:styleId="596">
    <w:name w:val="正文文本缩进3"/>
    <w:basedOn w:val="1"/>
    <w:qFormat/>
    <w:uiPriority w:val="99"/>
    <w:pPr>
      <w:spacing w:after="120"/>
      <w:ind w:left="420" w:leftChars="200"/>
    </w:pPr>
    <w:rPr>
      <w:rFonts w:ascii="Times New Roman" w:hAnsi="Times New Roman" w:eastAsia="Times New Roman"/>
      <w:kern w:val="0"/>
      <w:szCs w:val="24"/>
    </w:rPr>
  </w:style>
  <w:style w:type="paragraph" w:customStyle="1" w:styleId="597">
    <w:name w:val="样式 表文字 + 首行缩进:  0 字符"/>
    <w:basedOn w:val="522"/>
    <w:qFormat/>
    <w:uiPriority w:val="99"/>
    <w:pPr>
      <w:overflowPunct w:val="0"/>
      <w:spacing w:after="120"/>
    </w:pPr>
    <w:rPr>
      <w:rFonts w:cs="宋体"/>
    </w:rPr>
  </w:style>
  <w:style w:type="paragraph" w:customStyle="1" w:styleId="598">
    <w:name w:val="xl49"/>
    <w:basedOn w:val="1"/>
    <w:qFormat/>
    <w:uiPriority w:val="99"/>
    <w:pPr>
      <w:widowControl/>
      <w:pBdr>
        <w:top w:val="single" w:color="auto" w:sz="4" w:space="0"/>
        <w:left w:val="single" w:color="auto" w:sz="8" w:space="0"/>
        <w:bottom w:val="single" w:color="auto" w:sz="8"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599">
    <w:name w:val="表样式"/>
    <w:basedOn w:val="1"/>
    <w:qFormat/>
    <w:uiPriority w:val="99"/>
    <w:rPr>
      <w:rFonts w:ascii="仿宋_GB2312" w:eastAsia="黑体"/>
    </w:rPr>
  </w:style>
  <w:style w:type="paragraph" w:customStyle="1" w:styleId="600">
    <w:name w:val="Char Char Char Char1"/>
    <w:basedOn w:val="1"/>
    <w:next w:val="1"/>
    <w:qFormat/>
    <w:uiPriority w:val="99"/>
    <w:pPr>
      <w:spacing w:line="360" w:lineRule="auto"/>
      <w:ind w:firstLine="200" w:firstLineChars="200"/>
    </w:pPr>
    <w:rPr>
      <w:rFonts w:cs="宋体"/>
      <w:szCs w:val="24"/>
    </w:rPr>
  </w:style>
  <w:style w:type="character" w:customStyle="1" w:styleId="601">
    <w:name w:val="图表名称 Char"/>
    <w:link w:val="602"/>
    <w:qFormat/>
    <w:locked/>
    <w:uiPriority w:val="0"/>
    <w:rPr>
      <w:b/>
      <w:sz w:val="24"/>
      <w:szCs w:val="24"/>
    </w:rPr>
  </w:style>
  <w:style w:type="paragraph" w:customStyle="1" w:styleId="602">
    <w:name w:val="图表名称"/>
    <w:basedOn w:val="1"/>
    <w:link w:val="601"/>
    <w:qFormat/>
    <w:uiPriority w:val="0"/>
    <w:pPr>
      <w:spacing w:beforeLines="50" w:line="529" w:lineRule="exact"/>
      <w:jc w:val="center"/>
    </w:pPr>
    <w:rPr>
      <w:rFonts w:asciiTheme="minorHAnsi" w:hAnsiTheme="minorHAnsi" w:eastAsiaTheme="minorEastAsia" w:cstheme="minorBidi"/>
      <w:b/>
      <w:szCs w:val="24"/>
    </w:rPr>
  </w:style>
  <w:style w:type="paragraph" w:customStyle="1" w:styleId="603">
    <w:name w:val="xl70"/>
    <w:basedOn w:val="1"/>
    <w:qFormat/>
    <w:uiPriority w:val="99"/>
    <w:pPr>
      <w:widowControl/>
      <w:pBdr>
        <w:bottom w:val="single" w:color="auto" w:sz="8" w:space="0"/>
        <w:right w:val="single" w:color="auto" w:sz="8" w:space="0"/>
      </w:pBdr>
      <w:spacing w:before="100" w:beforeAutospacing="1" w:after="100" w:afterAutospacing="1"/>
      <w:jc w:val="center"/>
    </w:pPr>
    <w:rPr>
      <w:rFonts w:ascii="Times New Roman" w:hAnsi="Times New Roman"/>
      <w:kern w:val="0"/>
      <w:szCs w:val="24"/>
    </w:rPr>
  </w:style>
  <w:style w:type="paragraph" w:customStyle="1" w:styleId="604">
    <w:name w:val="font12"/>
    <w:basedOn w:val="1"/>
    <w:qFormat/>
    <w:uiPriority w:val="99"/>
    <w:pPr>
      <w:widowControl/>
      <w:spacing w:before="100" w:beforeAutospacing="1" w:after="100" w:afterAutospacing="1"/>
      <w:jc w:val="left"/>
    </w:pPr>
    <w:rPr>
      <w:color w:val="0000FF"/>
      <w:kern w:val="0"/>
      <w:szCs w:val="24"/>
    </w:rPr>
  </w:style>
  <w:style w:type="paragraph" w:customStyle="1" w:styleId="605">
    <w:name w:val="样式 宋体 首行缩进:  0.85 厘米"/>
    <w:basedOn w:val="1"/>
    <w:qFormat/>
    <w:uiPriority w:val="99"/>
    <w:pPr>
      <w:spacing w:line="530" w:lineRule="exact"/>
      <w:ind w:firstLine="482"/>
    </w:pPr>
  </w:style>
  <w:style w:type="paragraph" w:customStyle="1" w:styleId="606">
    <w:name w:val="样式 宋体 小四 首行缩进:  0.85 厘米 行距: 固定值 25 磅"/>
    <w:basedOn w:val="1"/>
    <w:qFormat/>
    <w:uiPriority w:val="99"/>
    <w:pPr>
      <w:spacing w:line="530" w:lineRule="exact"/>
      <w:ind w:firstLine="482"/>
    </w:pPr>
  </w:style>
  <w:style w:type="paragraph" w:customStyle="1" w:styleId="607">
    <w:name w:val="正正文"/>
    <w:basedOn w:val="1"/>
    <w:qFormat/>
    <w:uiPriority w:val="99"/>
    <w:pPr>
      <w:spacing w:line="480" w:lineRule="exact"/>
      <w:ind w:firstLine="480" w:firstLineChars="200"/>
    </w:pPr>
  </w:style>
  <w:style w:type="paragraph" w:customStyle="1" w:styleId="608">
    <w:name w:val="xl66"/>
    <w:basedOn w:val="1"/>
    <w:qFormat/>
    <w:uiPriority w:val="0"/>
    <w:pPr>
      <w:widowControl/>
      <w:pBdr>
        <w:top w:val="single" w:color="auto" w:sz="8" w:space="0"/>
        <w:bottom w:val="single" w:color="auto" w:sz="8" w:space="0"/>
        <w:right w:val="single" w:color="auto" w:sz="8" w:space="0"/>
      </w:pBdr>
      <w:spacing w:before="100" w:beforeAutospacing="1" w:after="100" w:afterAutospacing="1"/>
    </w:pPr>
    <w:rPr>
      <w:rFonts w:cs="宋体"/>
      <w:kern w:val="0"/>
      <w:szCs w:val="24"/>
    </w:rPr>
  </w:style>
  <w:style w:type="paragraph" w:customStyle="1" w:styleId="609">
    <w:name w:val="xl2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eastAsia="Arial Unicode MS"/>
      <w:kern w:val="0"/>
      <w:sz w:val="20"/>
    </w:rPr>
  </w:style>
  <w:style w:type="paragraph" w:customStyle="1" w:styleId="610">
    <w:name w:val="xl2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cs="宋体"/>
      <w:kern w:val="0"/>
      <w:sz w:val="20"/>
    </w:rPr>
  </w:style>
  <w:style w:type="character" w:customStyle="1" w:styleId="611">
    <w:name w:val="second Char"/>
    <w:link w:val="612"/>
    <w:qFormat/>
    <w:locked/>
    <w:uiPriority w:val="0"/>
    <w:rPr>
      <w:rFonts w:ascii="Arial" w:hAnsi="Arial" w:cs="Arial"/>
      <w:b/>
      <w:sz w:val="28"/>
    </w:rPr>
  </w:style>
  <w:style w:type="paragraph" w:customStyle="1" w:styleId="612">
    <w:name w:val="second"/>
    <w:basedOn w:val="4"/>
    <w:link w:val="611"/>
    <w:qFormat/>
    <w:uiPriority w:val="0"/>
    <w:pPr>
      <w:snapToGrid w:val="0"/>
      <w:spacing w:before="480" w:after="240" w:line="416" w:lineRule="atLeast"/>
    </w:pPr>
    <w:rPr>
      <w:rFonts w:cs="Arial" w:eastAsiaTheme="minorEastAsia"/>
      <w:sz w:val="28"/>
      <w:szCs w:val="22"/>
    </w:rPr>
  </w:style>
  <w:style w:type="paragraph" w:customStyle="1" w:styleId="613">
    <w:name w:val="图表表头"/>
    <w:basedOn w:val="1"/>
    <w:qFormat/>
    <w:uiPriority w:val="99"/>
    <w:pPr>
      <w:spacing w:beforeLines="50"/>
      <w:jc w:val="center"/>
    </w:pPr>
    <w:rPr>
      <w:rFonts w:ascii="Times New Roman" w:hAnsi="Times New Roman"/>
      <w:b/>
      <w:szCs w:val="28"/>
    </w:rPr>
  </w:style>
  <w:style w:type="paragraph" w:customStyle="1" w:styleId="614">
    <w:name w:val="正文样式3"/>
    <w:basedOn w:val="1"/>
    <w:qFormat/>
    <w:uiPriority w:val="99"/>
    <w:pPr>
      <w:keepLines/>
      <w:adjustRightInd w:val="0"/>
      <w:spacing w:line="20" w:lineRule="atLeast"/>
    </w:pPr>
    <w:rPr>
      <w:kern w:val="0"/>
    </w:rPr>
  </w:style>
  <w:style w:type="paragraph" w:customStyle="1" w:styleId="615">
    <w:name w:val="样式 表号 + 居中 段前: 5 磅 段后: 5 磅"/>
    <w:basedOn w:val="7"/>
    <w:qFormat/>
    <w:uiPriority w:val="99"/>
    <w:pPr>
      <w:widowControl/>
      <w:spacing w:before="0" w:after="0" w:line="240" w:lineRule="auto"/>
      <w:ind w:left="0" w:firstLine="0"/>
    </w:pPr>
    <w:rPr>
      <w:b w:val="0"/>
      <w:sz w:val="24"/>
    </w:rPr>
  </w:style>
  <w:style w:type="character" w:customStyle="1" w:styleId="616">
    <w:name w:val="表格文字 Char"/>
    <w:link w:val="617"/>
    <w:qFormat/>
    <w:locked/>
    <w:uiPriority w:val="0"/>
    <w:rPr>
      <w:sz w:val="24"/>
    </w:rPr>
  </w:style>
  <w:style w:type="paragraph" w:customStyle="1" w:styleId="617">
    <w:name w:val="表格文字"/>
    <w:basedOn w:val="1"/>
    <w:link w:val="616"/>
    <w:qFormat/>
    <w:uiPriority w:val="0"/>
    <w:pPr>
      <w:tabs>
        <w:tab w:val="left" w:pos="7380"/>
      </w:tabs>
      <w:snapToGrid w:val="0"/>
    </w:pPr>
    <w:rPr>
      <w:rFonts w:asciiTheme="minorHAnsi" w:hAnsiTheme="minorHAnsi" w:eastAsiaTheme="minorEastAsia" w:cstheme="minorBidi"/>
      <w:szCs w:val="22"/>
    </w:rPr>
  </w:style>
  <w:style w:type="character" w:customStyle="1" w:styleId="618">
    <w:name w:val="表格编号 Char"/>
    <w:link w:val="619"/>
    <w:qFormat/>
    <w:locked/>
    <w:uiPriority w:val="0"/>
    <w:rPr>
      <w:spacing w:val="10"/>
    </w:rPr>
  </w:style>
  <w:style w:type="paragraph" w:customStyle="1" w:styleId="619">
    <w:name w:val="表格编号"/>
    <w:basedOn w:val="1"/>
    <w:next w:val="617"/>
    <w:link w:val="618"/>
    <w:qFormat/>
    <w:uiPriority w:val="0"/>
    <w:pPr>
      <w:snapToGrid w:val="0"/>
      <w:spacing w:line="20" w:lineRule="atLeast"/>
    </w:pPr>
    <w:rPr>
      <w:rFonts w:asciiTheme="minorHAnsi" w:hAnsiTheme="minorHAnsi" w:eastAsiaTheme="minorEastAsia" w:cstheme="minorBidi"/>
      <w:spacing w:val="10"/>
      <w:sz w:val="21"/>
      <w:szCs w:val="22"/>
    </w:rPr>
  </w:style>
  <w:style w:type="paragraph" w:customStyle="1" w:styleId="620">
    <w:name w:val="样式 正文3 + 行距: 固定值 25 磅"/>
    <w:basedOn w:val="185"/>
    <w:qFormat/>
    <w:uiPriority w:val="99"/>
    <w:pPr>
      <w:spacing w:line="500" w:lineRule="exact"/>
      <w:ind w:firstLine="480"/>
    </w:pPr>
  </w:style>
  <w:style w:type="paragraph" w:customStyle="1" w:styleId="621">
    <w:name w:val="1正文段落"/>
    <w:basedOn w:val="1"/>
    <w:qFormat/>
    <w:uiPriority w:val="99"/>
    <w:pPr>
      <w:spacing w:line="360" w:lineRule="auto"/>
      <w:ind w:firstLine="480" w:firstLineChars="200"/>
      <w:jc w:val="left"/>
    </w:pPr>
    <w:rPr>
      <w:rFonts w:ascii="Times New Roman" w:hAnsi="Times New Roman"/>
      <w:kern w:val="0"/>
      <w:szCs w:val="24"/>
    </w:rPr>
  </w:style>
  <w:style w:type="paragraph" w:customStyle="1" w:styleId="622">
    <w:name w:val="Char Char Char1 Char2"/>
    <w:basedOn w:val="1"/>
    <w:next w:val="1"/>
    <w:qFormat/>
    <w:uiPriority w:val="99"/>
    <w:pPr>
      <w:spacing w:line="360" w:lineRule="auto"/>
      <w:ind w:firstLine="200" w:firstLineChars="200"/>
    </w:pPr>
    <w:rPr>
      <w:rFonts w:eastAsia="汉鼎简书宋" w:cs="宋体"/>
      <w:szCs w:val="24"/>
    </w:rPr>
  </w:style>
  <w:style w:type="character" w:customStyle="1" w:styleId="623">
    <w:name w:val="正文标题 Char"/>
    <w:link w:val="624"/>
    <w:qFormat/>
    <w:locked/>
    <w:uiPriority w:val="0"/>
    <w:rPr>
      <w:rFonts w:ascii="仿宋_GB2312" w:hAnsi="仿宋_GB2312" w:eastAsia="仿宋_GB2312"/>
      <w:b/>
      <w:sz w:val="28"/>
    </w:rPr>
  </w:style>
  <w:style w:type="paragraph" w:customStyle="1" w:styleId="624">
    <w:name w:val="正文标题"/>
    <w:next w:val="316"/>
    <w:link w:val="623"/>
    <w:qFormat/>
    <w:uiPriority w:val="0"/>
    <w:pPr>
      <w:spacing w:line="360" w:lineRule="auto"/>
      <w:ind w:firstLine="200" w:firstLineChars="200"/>
      <w:outlineLvl w:val="2"/>
    </w:pPr>
    <w:rPr>
      <w:rFonts w:ascii="仿宋_GB2312" w:hAnsi="仿宋_GB2312" w:eastAsia="仿宋_GB2312" w:cstheme="minorBidi"/>
      <w:b/>
      <w:kern w:val="2"/>
      <w:sz w:val="28"/>
      <w:szCs w:val="22"/>
      <w:lang w:val="en-US" w:eastAsia="zh-CN" w:bidi="ar-SA"/>
    </w:rPr>
  </w:style>
  <w:style w:type="paragraph" w:customStyle="1" w:styleId="625">
    <w:name w:val="样式 标题 2 + 行距: 1.5 倍行距"/>
    <w:basedOn w:val="4"/>
    <w:qFormat/>
    <w:uiPriority w:val="99"/>
    <w:pPr>
      <w:keepNext w:val="0"/>
      <w:keepLines w:val="0"/>
      <w:tabs>
        <w:tab w:val="left" w:pos="964"/>
      </w:tabs>
      <w:autoSpaceDE w:val="0"/>
      <w:autoSpaceDN w:val="0"/>
      <w:adjustRightInd w:val="0"/>
      <w:snapToGrid w:val="0"/>
      <w:spacing w:before="0" w:beforeLines="100" w:after="0" w:line="360" w:lineRule="auto"/>
      <w:ind w:left="964" w:hanging="737" w:firstLineChars="200"/>
    </w:pPr>
    <w:rPr>
      <w:rFonts w:ascii="Times New Roman" w:hAnsi="Times New Roman"/>
      <w:b w:val="0"/>
      <w:kern w:val="44"/>
    </w:rPr>
  </w:style>
  <w:style w:type="paragraph" w:customStyle="1" w:styleId="626">
    <w:name w:val="xl76"/>
    <w:basedOn w:val="1"/>
    <w:qFormat/>
    <w:uiPriority w:val="99"/>
    <w:pPr>
      <w:widowControl/>
      <w:pBdr>
        <w:left w:val="single" w:color="auto" w:sz="8" w:space="0"/>
        <w:right w:val="single" w:color="auto" w:sz="8" w:space="0"/>
      </w:pBdr>
      <w:spacing w:before="100" w:beforeAutospacing="1" w:after="100" w:afterAutospacing="1"/>
      <w:jc w:val="center"/>
    </w:pPr>
    <w:rPr>
      <w:rFonts w:cs="宋体"/>
      <w:color w:val="222222"/>
      <w:kern w:val="0"/>
      <w:szCs w:val="24"/>
    </w:rPr>
  </w:style>
  <w:style w:type="paragraph" w:customStyle="1" w:styleId="627">
    <w:name w:val="Char Char Char Char Char Char Char Char Char Char1"/>
    <w:basedOn w:val="1"/>
    <w:next w:val="1"/>
    <w:qFormat/>
    <w:uiPriority w:val="99"/>
    <w:pPr>
      <w:spacing w:line="360" w:lineRule="auto"/>
      <w:ind w:firstLine="200" w:firstLineChars="200"/>
    </w:pPr>
    <w:rPr>
      <w:rFonts w:cs="宋体"/>
      <w:kern w:val="0"/>
      <w:szCs w:val="24"/>
    </w:rPr>
  </w:style>
  <w:style w:type="paragraph" w:customStyle="1" w:styleId="628">
    <w:name w:val="xl73"/>
    <w:basedOn w:val="1"/>
    <w:qFormat/>
    <w:uiPriority w:val="99"/>
    <w:pPr>
      <w:widowControl/>
      <w:pBdr>
        <w:bottom w:val="single" w:color="auto" w:sz="8" w:space="0"/>
      </w:pBdr>
      <w:spacing w:before="100" w:beforeAutospacing="1" w:after="100" w:afterAutospacing="1" w:line="529" w:lineRule="exact"/>
      <w:ind w:firstLine="420"/>
    </w:pPr>
    <w:rPr>
      <w:rFonts w:eastAsia="汉鼎简书宋"/>
      <w:kern w:val="0"/>
    </w:rPr>
  </w:style>
  <w:style w:type="paragraph" w:customStyle="1" w:styleId="629">
    <w:name w:val="Char2 Char Char Char1 Char Char Char"/>
    <w:basedOn w:val="1"/>
    <w:qFormat/>
    <w:uiPriority w:val="99"/>
    <w:pPr>
      <w:spacing w:line="360" w:lineRule="auto"/>
      <w:ind w:firstLine="200" w:firstLineChars="200"/>
    </w:pPr>
    <w:rPr>
      <w:rFonts w:cs="宋体"/>
      <w:szCs w:val="24"/>
    </w:rPr>
  </w:style>
  <w:style w:type="paragraph" w:customStyle="1" w:styleId="630">
    <w:name w:val="Char Char Char Char Char Char Char Char Char Char Char Char1 Char"/>
    <w:basedOn w:val="1"/>
    <w:qFormat/>
    <w:uiPriority w:val="99"/>
    <w:rPr>
      <w:rFonts w:ascii="Times New Roman" w:hAnsi="Times New Roman"/>
      <w:sz w:val="21"/>
      <w:szCs w:val="24"/>
    </w:rPr>
  </w:style>
  <w:style w:type="paragraph" w:customStyle="1" w:styleId="631">
    <w:name w:val="日期1"/>
    <w:basedOn w:val="1"/>
    <w:next w:val="1"/>
    <w:qFormat/>
    <w:uiPriority w:val="99"/>
    <w:pPr>
      <w:adjustRightInd w:val="0"/>
      <w:spacing w:line="529" w:lineRule="exact"/>
      <w:ind w:firstLine="420"/>
    </w:pPr>
    <w:rPr>
      <w:rFonts w:eastAsia="汉鼎简书宋"/>
      <w:b/>
      <w:kern w:val="0"/>
      <w:sz w:val="28"/>
    </w:rPr>
  </w:style>
  <w:style w:type="character" w:customStyle="1" w:styleId="632">
    <w:name w:val="hb1 Char"/>
    <w:link w:val="633"/>
    <w:qFormat/>
    <w:locked/>
    <w:uiPriority w:val="0"/>
    <w:rPr>
      <w:rFonts w:ascii="黑体" w:hAnsi="黑体" w:eastAsia="黑体"/>
      <w:b/>
      <w:kern w:val="44"/>
      <w:sz w:val="36"/>
    </w:rPr>
  </w:style>
  <w:style w:type="paragraph" w:customStyle="1" w:styleId="633">
    <w:name w:val="hb1"/>
    <w:basedOn w:val="3"/>
    <w:link w:val="632"/>
    <w:qFormat/>
    <w:uiPriority w:val="0"/>
    <w:pPr>
      <w:adjustRightInd w:val="0"/>
      <w:spacing w:line="578" w:lineRule="atLeast"/>
      <w:jc w:val="center"/>
    </w:pPr>
    <w:rPr>
      <w:rFonts w:ascii="黑体" w:hAnsi="黑体" w:eastAsia="黑体" w:cstheme="minorBidi"/>
      <w:sz w:val="36"/>
      <w:szCs w:val="22"/>
    </w:rPr>
  </w:style>
  <w:style w:type="paragraph" w:customStyle="1" w:styleId="634">
    <w:name w:val="zw_缩2字符"/>
    <w:basedOn w:val="1"/>
    <w:qFormat/>
    <w:uiPriority w:val="99"/>
    <w:pPr>
      <w:spacing w:line="440" w:lineRule="atLeast"/>
      <w:ind w:firstLine="480" w:firstLineChars="200"/>
    </w:pPr>
    <w:rPr>
      <w:rFonts w:ascii="Times New Roman" w:hAnsi="Times New Roman" w:eastAsia="仿宋_GB2312"/>
    </w:rPr>
  </w:style>
  <w:style w:type="paragraph" w:customStyle="1" w:styleId="635">
    <w:name w:val="Char Char Char Char Char Char Char Char Char"/>
    <w:basedOn w:val="1"/>
    <w:next w:val="1"/>
    <w:qFormat/>
    <w:uiPriority w:val="99"/>
    <w:pPr>
      <w:spacing w:line="360" w:lineRule="auto"/>
      <w:ind w:firstLine="200" w:firstLineChars="200"/>
    </w:pPr>
    <w:rPr>
      <w:rFonts w:ascii="Times New Roman" w:hAnsi="Times New Roman" w:eastAsia="Times New Roman" w:cs="宋体"/>
      <w:szCs w:val="24"/>
    </w:rPr>
  </w:style>
  <w:style w:type="character" w:customStyle="1" w:styleId="636">
    <w:name w:val="表标题 Char"/>
    <w:link w:val="637"/>
    <w:qFormat/>
    <w:locked/>
    <w:uiPriority w:val="0"/>
    <w:rPr>
      <w:rFonts w:ascii="宋体" w:hAnsi="宋体" w:eastAsia="汉鼎简书宋"/>
      <w:b/>
      <w:color w:val="4F81BD"/>
      <w:spacing w:val="30"/>
      <w:kern w:val="32"/>
      <w:sz w:val="30"/>
    </w:rPr>
  </w:style>
  <w:style w:type="paragraph" w:customStyle="1" w:styleId="637">
    <w:name w:val="表标题"/>
    <w:basedOn w:val="57"/>
    <w:link w:val="636"/>
    <w:qFormat/>
    <w:uiPriority w:val="0"/>
    <w:pPr>
      <w:spacing w:beforeLines="100" w:after="0" w:afterLines="50" w:line="240" w:lineRule="exact"/>
      <w:ind w:firstLine="542" w:firstLineChars="150"/>
    </w:pPr>
    <w:rPr>
      <w:rFonts w:ascii="宋体" w:hAnsi="宋体" w:eastAsia="汉鼎简书宋" w:cstheme="minorBidi"/>
      <w:b/>
      <w:color w:val="4F81BD"/>
      <w:spacing w:val="30"/>
      <w:kern w:val="32"/>
      <w:sz w:val="30"/>
      <w:szCs w:val="22"/>
    </w:rPr>
  </w:style>
  <w:style w:type="paragraph" w:customStyle="1" w:styleId="638">
    <w:name w:val="样式 首行缩进:  0.85 厘米1"/>
    <w:basedOn w:val="1"/>
    <w:qFormat/>
    <w:uiPriority w:val="99"/>
    <w:pPr>
      <w:spacing w:line="529" w:lineRule="exact"/>
      <w:ind w:firstLine="482"/>
    </w:pPr>
  </w:style>
  <w:style w:type="paragraph" w:customStyle="1" w:styleId="639">
    <w:name w:val="xl6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FF0000"/>
      <w:kern w:val="0"/>
      <w:sz w:val="16"/>
      <w:szCs w:val="16"/>
    </w:rPr>
  </w:style>
  <w:style w:type="paragraph" w:customStyle="1" w:styleId="640">
    <w:name w:val="何仕杰正文样式"/>
    <w:basedOn w:val="1"/>
    <w:qFormat/>
    <w:uiPriority w:val="99"/>
    <w:pPr>
      <w:spacing w:line="520" w:lineRule="exact"/>
      <w:ind w:firstLine="200" w:firstLineChars="200"/>
      <w:jc w:val="left"/>
    </w:pPr>
    <w:rPr>
      <w:rFonts w:ascii="Times New Roman" w:hAnsi="Times New Roman"/>
    </w:rPr>
  </w:style>
  <w:style w:type="paragraph" w:customStyle="1" w:styleId="641">
    <w:name w:val="样式 表文字 + (符号) 宋体 首行缩进:  0.74 厘米"/>
    <w:basedOn w:val="522"/>
    <w:qFormat/>
    <w:uiPriority w:val="99"/>
    <w:pPr>
      <w:spacing w:after="120"/>
    </w:pPr>
    <w:rPr>
      <w:rFonts w:cs="宋体"/>
    </w:rPr>
  </w:style>
  <w:style w:type="paragraph" w:customStyle="1" w:styleId="642">
    <w:name w:val="Char Char Char2 Char Char Char Char3"/>
    <w:basedOn w:val="1"/>
    <w:qFormat/>
    <w:uiPriority w:val="99"/>
    <w:pPr>
      <w:spacing w:line="360" w:lineRule="auto"/>
      <w:ind w:firstLine="200" w:firstLineChars="200"/>
    </w:pPr>
    <w:rPr>
      <w:rFonts w:cs="宋体"/>
      <w:szCs w:val="24"/>
    </w:rPr>
  </w:style>
  <w:style w:type="paragraph" w:customStyle="1" w:styleId="643">
    <w:name w:val="图号样式"/>
    <w:basedOn w:val="1"/>
    <w:qFormat/>
    <w:uiPriority w:val="99"/>
    <w:pPr>
      <w:spacing w:line="360" w:lineRule="auto"/>
      <w:jc w:val="center"/>
    </w:pPr>
    <w:rPr>
      <w:rFonts w:ascii="Times New Roman" w:hAnsi="Times New Roman"/>
      <w:szCs w:val="24"/>
    </w:rPr>
  </w:style>
  <w:style w:type="paragraph" w:customStyle="1" w:styleId="644">
    <w:name w:val="xl52"/>
    <w:basedOn w:val="1"/>
    <w:qFormat/>
    <w:uiPriority w:val="99"/>
    <w:pPr>
      <w:widowControl/>
      <w:pBdr>
        <w:top w:val="single" w:color="auto" w:sz="4" w:space="0"/>
        <w:left w:val="single" w:color="auto" w:sz="4" w:space="0"/>
        <w:bottom w:val="single" w:color="auto" w:sz="8" w:space="0"/>
        <w:right w:val="single" w:color="auto" w:sz="4" w:space="0"/>
      </w:pBdr>
      <w:spacing w:before="100" w:beforeAutospacing="1" w:after="100" w:afterAutospacing="1" w:line="529" w:lineRule="exact"/>
      <w:ind w:firstLine="200" w:firstLineChars="200"/>
    </w:pPr>
    <w:rPr>
      <w:rFonts w:eastAsia="汉鼎简书宋"/>
      <w:kern w:val="0"/>
      <w:sz w:val="20"/>
    </w:rPr>
  </w:style>
  <w:style w:type="character" w:customStyle="1" w:styleId="645">
    <w:name w:val="样式 图号 + 宋体 Char"/>
    <w:link w:val="646"/>
    <w:qFormat/>
    <w:locked/>
    <w:uiPriority w:val="0"/>
    <w:rPr>
      <w:rFonts w:ascii="宋体" w:hAnsi="宋体" w:eastAsia="宋体"/>
      <w:b/>
      <w:kern w:val="32"/>
      <w:sz w:val="24"/>
    </w:rPr>
  </w:style>
  <w:style w:type="paragraph" w:customStyle="1" w:styleId="646">
    <w:name w:val="样式 图号 + 宋体"/>
    <w:basedOn w:val="236"/>
    <w:link w:val="645"/>
    <w:qFormat/>
    <w:uiPriority w:val="0"/>
    <w:pPr>
      <w:ind w:firstLine="200" w:firstLineChars="200"/>
    </w:pPr>
    <w:rPr>
      <w:rFonts w:ascii="宋体" w:hAnsi="宋体" w:eastAsia="宋体"/>
    </w:rPr>
  </w:style>
  <w:style w:type="paragraph" w:customStyle="1" w:styleId="647">
    <w:name w:val="样式 样式 样式 标题4- + 段前: 0.5 行 + 段前: 0.5 行 + 段前: 0.5 行"/>
    <w:basedOn w:val="523"/>
    <w:qFormat/>
    <w:uiPriority w:val="99"/>
    <w:pPr>
      <w:tabs>
        <w:tab w:val="left" w:pos="908"/>
        <w:tab w:val="clear" w:pos="1205"/>
      </w:tabs>
      <w:spacing w:before="330" w:beforeLines="0"/>
    </w:pPr>
    <w:rPr>
      <w:spacing w:val="0"/>
    </w:rPr>
  </w:style>
  <w:style w:type="paragraph" w:customStyle="1" w:styleId="648">
    <w:name w:val="xl30"/>
    <w:basedOn w:val="1"/>
    <w:qFormat/>
    <w:uiPriority w:val="99"/>
    <w:pPr>
      <w:widowControl/>
      <w:pBdr>
        <w:left w:val="single" w:color="auto" w:sz="4" w:space="0"/>
        <w:right w:val="single" w:color="auto" w:sz="4" w:space="0"/>
      </w:pBdr>
      <w:topLinePunct/>
      <w:spacing w:before="100" w:beforeAutospacing="1" w:after="100" w:afterAutospacing="1" w:line="529" w:lineRule="exact"/>
      <w:ind w:firstLine="200" w:firstLineChars="200"/>
    </w:pPr>
    <w:rPr>
      <w:rFonts w:ascii="Arial Unicode MS" w:hAnsi="Arial Unicode MS" w:eastAsia="Arial Unicode MS"/>
      <w:kern w:val="0"/>
    </w:rPr>
  </w:style>
  <w:style w:type="paragraph" w:customStyle="1" w:styleId="649">
    <w:name w:val="xl26"/>
    <w:basedOn w:val="1"/>
    <w:qFormat/>
    <w:uiPriority w:val="99"/>
    <w:pPr>
      <w:widowControl/>
      <w:pBdr>
        <w:left w:val="single" w:color="auto" w:sz="12" w:space="0"/>
      </w:pBdr>
      <w:spacing w:before="100" w:beforeAutospacing="1" w:after="100" w:afterAutospacing="1"/>
    </w:pPr>
    <w:rPr>
      <w:rFonts w:ascii="仿宋_GB2312" w:hAnsi="Arial Unicode MS" w:eastAsia="仿宋_GB2312"/>
      <w:kern w:val="0"/>
    </w:rPr>
  </w:style>
  <w:style w:type="paragraph" w:customStyle="1" w:styleId="650">
    <w:name w:val="样式 日期 + 黑体"/>
    <w:basedOn w:val="35"/>
    <w:qFormat/>
    <w:uiPriority w:val="99"/>
    <w:pPr>
      <w:spacing w:line="500" w:lineRule="exact"/>
      <w:ind w:left="0" w:leftChars="0" w:firstLine="420"/>
    </w:pPr>
    <w:rPr>
      <w:rFonts w:ascii="黑体" w:hAnsi="黑体" w:eastAsia="黑体"/>
      <w:b/>
      <w:spacing w:val="40"/>
      <w:sz w:val="30"/>
    </w:rPr>
  </w:style>
  <w:style w:type="paragraph" w:customStyle="1" w:styleId="651">
    <w:name w:val="纯文本2"/>
    <w:basedOn w:val="1"/>
    <w:qFormat/>
    <w:uiPriority w:val="99"/>
    <w:pPr>
      <w:adjustRightInd w:val="0"/>
    </w:pPr>
    <w:rPr>
      <w:rFonts w:hAnsi="Courier New"/>
      <w:sz w:val="21"/>
    </w:rPr>
  </w:style>
  <w:style w:type="paragraph" w:customStyle="1" w:styleId="652">
    <w:name w:val="Char42"/>
    <w:basedOn w:val="1"/>
    <w:qFormat/>
    <w:uiPriority w:val="99"/>
    <w:pPr>
      <w:spacing w:line="360" w:lineRule="auto"/>
      <w:ind w:firstLine="200" w:firstLineChars="200"/>
    </w:pPr>
    <w:rPr>
      <w:rFonts w:cs="宋体"/>
      <w:szCs w:val="24"/>
    </w:rPr>
  </w:style>
  <w:style w:type="paragraph" w:customStyle="1" w:styleId="653">
    <w:name w:val="e"/>
    <w:basedOn w:val="1"/>
    <w:qFormat/>
    <w:uiPriority w:val="99"/>
    <w:rPr>
      <w:rFonts w:ascii="Times New Roman" w:hAnsi="Times New Roman"/>
      <w:sz w:val="21"/>
      <w:szCs w:val="24"/>
    </w:rPr>
  </w:style>
  <w:style w:type="paragraph" w:customStyle="1" w:styleId="654">
    <w:name w:val="tll"/>
    <w:basedOn w:val="1"/>
    <w:qFormat/>
    <w:uiPriority w:val="99"/>
    <w:pPr>
      <w:autoSpaceDE w:val="0"/>
      <w:autoSpaceDN w:val="0"/>
      <w:adjustRightInd w:val="0"/>
      <w:snapToGrid w:val="0"/>
    </w:pPr>
    <w:rPr>
      <w:rFonts w:ascii="仿宋_GB2312" w:hAnsi="Arial" w:eastAsia="仿宋_GB2312"/>
      <w:kern w:val="0"/>
      <w:sz w:val="21"/>
      <w:szCs w:val="21"/>
    </w:rPr>
  </w:style>
  <w:style w:type="paragraph" w:customStyle="1" w:styleId="655">
    <w:name w:val="4"/>
    <w:basedOn w:val="1"/>
    <w:next w:val="1"/>
    <w:qFormat/>
    <w:uiPriority w:val="99"/>
    <w:pPr>
      <w:spacing w:line="529" w:lineRule="exact"/>
      <w:ind w:firstLine="420" w:firstLineChars="200"/>
    </w:pPr>
    <w:rPr>
      <w:rFonts w:eastAsia="汉鼎简书宋"/>
    </w:rPr>
  </w:style>
  <w:style w:type="paragraph" w:customStyle="1" w:styleId="656">
    <w:name w:val="xl35"/>
    <w:basedOn w:val="1"/>
    <w:qFormat/>
    <w:uiPriority w:val="99"/>
    <w:pPr>
      <w:widowControl/>
      <w:pBdr>
        <w:top w:val="single" w:color="auto" w:sz="4" w:space="0"/>
        <w:left w:val="single" w:color="auto" w:sz="8" w:space="0"/>
        <w:bottom w:val="single" w:color="auto" w:sz="4" w:space="0"/>
        <w:right w:val="single" w:color="auto" w:sz="4" w:space="0"/>
      </w:pBdr>
      <w:spacing w:before="100" w:beforeAutospacing="1" w:after="100" w:afterAutospacing="1" w:line="529" w:lineRule="exact"/>
      <w:ind w:firstLine="200" w:firstLineChars="200"/>
    </w:pPr>
    <w:rPr>
      <w:rFonts w:eastAsia="汉鼎简书宋"/>
      <w:kern w:val="0"/>
      <w:sz w:val="20"/>
    </w:rPr>
  </w:style>
  <w:style w:type="paragraph" w:customStyle="1" w:styleId="657">
    <w:name w:val="5"/>
    <w:basedOn w:val="1"/>
    <w:qFormat/>
    <w:uiPriority w:val="99"/>
    <w:pPr>
      <w:snapToGrid w:val="0"/>
      <w:spacing w:line="408" w:lineRule="auto"/>
      <w:ind w:left="-113" w:firstLine="510"/>
    </w:pPr>
    <w:rPr>
      <w:rFonts w:eastAsia="汉鼎简书宋"/>
    </w:rPr>
  </w:style>
  <w:style w:type="paragraph" w:customStyle="1" w:styleId="658">
    <w:name w:val="正文k Char Char Char"/>
    <w:basedOn w:val="1"/>
    <w:next w:val="1"/>
    <w:qFormat/>
    <w:uiPriority w:val="99"/>
    <w:pPr>
      <w:keepNext/>
      <w:keepLines/>
      <w:widowControl/>
      <w:adjustRightInd w:val="0"/>
      <w:spacing w:line="500" w:lineRule="exact"/>
      <w:ind w:firstLine="200" w:firstLineChars="200"/>
    </w:pPr>
    <w:rPr>
      <w:b/>
      <w:kern w:val="0"/>
    </w:rPr>
  </w:style>
  <w:style w:type="paragraph" w:customStyle="1" w:styleId="659">
    <w:name w:val="Char"/>
    <w:basedOn w:val="1"/>
    <w:next w:val="1"/>
    <w:qFormat/>
    <w:uiPriority w:val="0"/>
    <w:pPr>
      <w:keepNext/>
      <w:keepLines/>
      <w:widowControl/>
      <w:adjustRightInd w:val="0"/>
      <w:spacing w:before="360" w:after="480" w:line="360" w:lineRule="auto"/>
      <w:ind w:firstLine="200" w:firstLineChars="200"/>
      <w:outlineLvl w:val="1"/>
    </w:pPr>
    <w:rPr>
      <w:b/>
      <w:kern w:val="0"/>
      <w:sz w:val="30"/>
    </w:rPr>
  </w:style>
  <w:style w:type="paragraph" w:customStyle="1" w:styleId="660">
    <w:name w:val="Char Char Char Char Char Char Char Char Char Char Char Char Char Char Char Char1"/>
    <w:basedOn w:val="1"/>
    <w:qFormat/>
    <w:uiPriority w:val="99"/>
    <w:rPr>
      <w:rFonts w:ascii="Times New Roman" w:hAnsi="Times New Roman"/>
      <w:sz w:val="21"/>
      <w:szCs w:val="21"/>
    </w:rPr>
  </w:style>
  <w:style w:type="paragraph" w:customStyle="1" w:styleId="661">
    <w:name w:val="正文（首行缩进）"/>
    <w:basedOn w:val="1"/>
    <w:qFormat/>
    <w:uiPriority w:val="99"/>
    <w:pPr>
      <w:widowControl/>
      <w:outlineLvl w:val="4"/>
    </w:pPr>
    <w:rPr>
      <w:color w:val="000000"/>
      <w:szCs w:val="24"/>
    </w:rPr>
  </w:style>
  <w:style w:type="paragraph" w:customStyle="1" w:styleId="662">
    <w:name w:val="表格标题"/>
    <w:basedOn w:val="1"/>
    <w:qFormat/>
    <w:uiPriority w:val="99"/>
    <w:pPr>
      <w:keepNext/>
      <w:tabs>
        <w:tab w:val="center" w:pos="4253"/>
        <w:tab w:val="right" w:pos="8505"/>
      </w:tabs>
      <w:adjustRightInd w:val="0"/>
      <w:spacing w:after="60" w:line="312" w:lineRule="auto"/>
    </w:pPr>
    <w:rPr>
      <w:rFonts w:ascii="Arial" w:hAnsi="Arial"/>
      <w:kern w:val="0"/>
      <w:sz w:val="28"/>
    </w:rPr>
  </w:style>
  <w:style w:type="paragraph" w:customStyle="1" w:styleId="663">
    <w:name w:val="pic-info"/>
    <w:basedOn w:val="1"/>
    <w:qFormat/>
    <w:uiPriority w:val="99"/>
    <w:pPr>
      <w:widowControl/>
      <w:spacing w:before="100" w:beforeAutospacing="1" w:after="100" w:afterAutospacing="1"/>
      <w:jc w:val="left"/>
    </w:pPr>
    <w:rPr>
      <w:rFonts w:cs="宋体"/>
      <w:kern w:val="0"/>
      <w:szCs w:val="24"/>
    </w:rPr>
  </w:style>
  <w:style w:type="paragraph" w:customStyle="1" w:styleId="664">
    <w:name w:val="表格1"/>
    <w:basedOn w:val="1"/>
    <w:qFormat/>
    <w:uiPriority w:val="99"/>
    <w:pPr>
      <w:spacing w:line="400" w:lineRule="exact"/>
    </w:pPr>
    <w:rPr>
      <w:sz w:val="18"/>
    </w:rPr>
  </w:style>
  <w:style w:type="paragraph" w:customStyle="1" w:styleId="665">
    <w:name w:val="xl28"/>
    <w:basedOn w:val="1"/>
    <w:qFormat/>
    <w:uiPriority w:val="99"/>
    <w:pPr>
      <w:widowControl/>
      <w:pBdr>
        <w:left w:val="single" w:color="auto" w:sz="4" w:space="0"/>
        <w:right w:val="single" w:color="auto" w:sz="4" w:space="0"/>
      </w:pBdr>
      <w:spacing w:before="100" w:beforeAutospacing="1" w:after="100" w:afterAutospacing="1"/>
    </w:pPr>
    <w:rPr>
      <w:kern w:val="0"/>
    </w:rPr>
  </w:style>
  <w:style w:type="paragraph" w:customStyle="1" w:styleId="666">
    <w:name w:val="Char1 Char Char Char1"/>
    <w:basedOn w:val="1"/>
    <w:next w:val="1"/>
    <w:qFormat/>
    <w:uiPriority w:val="99"/>
    <w:pPr>
      <w:spacing w:line="360" w:lineRule="auto"/>
      <w:ind w:firstLine="200" w:firstLineChars="200"/>
    </w:pPr>
  </w:style>
  <w:style w:type="paragraph" w:customStyle="1" w:styleId="667">
    <w:name w:val="样式 标题 4 + Times New Roman 自动设置"/>
    <w:basedOn w:val="6"/>
    <w:qFormat/>
    <w:uiPriority w:val="99"/>
    <w:pPr>
      <w:keepNext w:val="0"/>
      <w:keepLines w:val="0"/>
      <w:tabs>
        <w:tab w:val="left" w:pos="864"/>
      </w:tabs>
      <w:spacing w:before="0" w:beforeLines="50" w:after="0" w:line="360" w:lineRule="auto"/>
      <w:ind w:left="864" w:hanging="864"/>
    </w:pPr>
    <w:rPr>
      <w:rFonts w:ascii="黑体" w:hAnsi="Times New Roman"/>
      <w:b w:val="0"/>
      <w:bCs/>
      <w:sz w:val="24"/>
      <w:szCs w:val="24"/>
    </w:rPr>
  </w:style>
  <w:style w:type="paragraph" w:customStyle="1" w:styleId="668">
    <w:name w:val="样式 hb4 + 段前: 0.5 行 段后: 0.5 行1"/>
    <w:basedOn w:val="499"/>
    <w:next w:val="499"/>
    <w:qFormat/>
    <w:uiPriority w:val="99"/>
    <w:pPr>
      <w:topLinePunct/>
      <w:spacing w:line="300" w:lineRule="exact"/>
    </w:pPr>
    <w:rPr>
      <w:kern w:val="0"/>
    </w:rPr>
  </w:style>
  <w:style w:type="character" w:customStyle="1" w:styleId="669">
    <w:name w:val="三塘湖正文 Char"/>
    <w:link w:val="670"/>
    <w:qFormat/>
    <w:locked/>
    <w:uiPriority w:val="0"/>
    <w:rPr>
      <w:rFonts w:ascii="Arial Narrow" w:hAnsi="Arial Narrow" w:eastAsia="汉鼎简书宋"/>
      <w:bCs/>
      <w:sz w:val="24"/>
      <w:szCs w:val="24"/>
      <w:lang w:val="zh-CN" w:eastAsia="zh-CN"/>
    </w:rPr>
  </w:style>
  <w:style w:type="paragraph" w:customStyle="1" w:styleId="670">
    <w:name w:val="三塘湖正文"/>
    <w:basedOn w:val="1"/>
    <w:link w:val="669"/>
    <w:qFormat/>
    <w:uiPriority w:val="0"/>
    <w:pPr>
      <w:widowControl/>
      <w:snapToGrid w:val="0"/>
      <w:spacing w:line="500" w:lineRule="exact"/>
      <w:ind w:firstLine="200" w:firstLineChars="200"/>
      <w:jc w:val="left"/>
    </w:pPr>
    <w:rPr>
      <w:rFonts w:ascii="Arial Narrow" w:hAnsi="Arial Narrow" w:eastAsia="汉鼎简书宋" w:cstheme="minorBidi"/>
      <w:bCs/>
      <w:szCs w:val="24"/>
      <w:lang w:val="zh-CN"/>
    </w:rPr>
  </w:style>
  <w:style w:type="character" w:styleId="671">
    <w:name w:val="Placeholder Text"/>
    <w:semiHidden/>
    <w:qFormat/>
    <w:uiPriority w:val="0"/>
    <w:rPr>
      <w:color w:val="808080"/>
    </w:rPr>
  </w:style>
  <w:style w:type="character" w:customStyle="1" w:styleId="672">
    <w:name w:val="不明显强调1"/>
    <w:qFormat/>
    <w:uiPriority w:val="0"/>
    <w:rPr>
      <w:i/>
      <w:color w:val="808080"/>
    </w:rPr>
  </w:style>
  <w:style w:type="character" w:customStyle="1" w:styleId="673">
    <w:name w:val="明显强调1"/>
    <w:qFormat/>
    <w:uiPriority w:val="0"/>
    <w:rPr>
      <w:b/>
      <w:i/>
      <w:color w:val="4F81BD"/>
    </w:rPr>
  </w:style>
  <w:style w:type="character" w:customStyle="1" w:styleId="674">
    <w:name w:val="不明显参考1"/>
    <w:qFormat/>
    <w:uiPriority w:val="0"/>
    <w:rPr>
      <w:smallCaps/>
      <w:color w:val="C0504D"/>
      <w:u w:val="single"/>
    </w:rPr>
  </w:style>
  <w:style w:type="character" w:customStyle="1" w:styleId="675">
    <w:name w:val="明显参考1"/>
    <w:qFormat/>
    <w:uiPriority w:val="0"/>
    <w:rPr>
      <w:b/>
      <w:smallCaps/>
      <w:color w:val="C0504D"/>
      <w:spacing w:val="5"/>
      <w:u w:val="single"/>
    </w:rPr>
  </w:style>
  <w:style w:type="character" w:customStyle="1" w:styleId="676">
    <w:name w:val="书籍标题1"/>
    <w:qFormat/>
    <w:uiPriority w:val="0"/>
    <w:rPr>
      <w:b/>
      <w:smallCaps/>
      <w:spacing w:val="5"/>
    </w:rPr>
  </w:style>
  <w:style w:type="character" w:customStyle="1" w:styleId="677">
    <w:name w:val="样式 (中文) 隶书 一号 加粗"/>
    <w:qFormat/>
    <w:uiPriority w:val="0"/>
    <w:rPr>
      <w:rFonts w:hint="eastAsia" w:ascii="隶书" w:eastAsia="隶书"/>
      <w:b/>
      <w:w w:val="73"/>
      <w:kern w:val="0"/>
      <w:sz w:val="44"/>
    </w:rPr>
  </w:style>
  <w:style w:type="character" w:customStyle="1" w:styleId="678">
    <w:name w:val="Char Char63"/>
    <w:qFormat/>
    <w:uiPriority w:val="0"/>
    <w:rPr>
      <w:rFonts w:hint="default" w:ascii="Arial" w:hAnsi="Arial" w:eastAsia="汉鼎简书宋" w:cs="Arial"/>
      <w:b/>
      <w:sz w:val="32"/>
    </w:rPr>
  </w:style>
  <w:style w:type="character" w:customStyle="1" w:styleId="679">
    <w:name w:val="Char Char162"/>
    <w:qFormat/>
    <w:uiPriority w:val="0"/>
    <w:rPr>
      <w:rFonts w:hint="eastAsia" w:ascii="仿宋_GB2312" w:eastAsia="仿宋_GB2312"/>
      <w:color w:val="000000"/>
      <w:kern w:val="2"/>
      <w:sz w:val="21"/>
      <w:lang w:val="en-US" w:eastAsia="zh-CN" w:bidi="ar-SA"/>
    </w:rPr>
  </w:style>
  <w:style w:type="character" w:customStyle="1" w:styleId="680">
    <w:name w:val="页脚 Char1"/>
    <w:qFormat/>
    <w:uiPriority w:val="0"/>
    <w:rPr>
      <w:rFonts w:hint="eastAsia" w:ascii="宋体" w:hAnsi="宋体" w:eastAsia="宋体"/>
      <w:kern w:val="2"/>
      <w:sz w:val="18"/>
      <w:szCs w:val="18"/>
      <w:lang w:val="en-US" w:eastAsia="zh-CN" w:bidi="ar-SA"/>
    </w:rPr>
  </w:style>
  <w:style w:type="character" w:customStyle="1" w:styleId="681">
    <w:name w:val="日期 Char"/>
    <w:qFormat/>
    <w:locked/>
    <w:uiPriority w:val="0"/>
    <w:rPr>
      <w:kern w:val="2"/>
      <w:sz w:val="21"/>
    </w:rPr>
  </w:style>
  <w:style w:type="character" w:customStyle="1" w:styleId="682">
    <w:name w:val="标题 8 字符1"/>
    <w:link w:val="10"/>
    <w:semiHidden/>
    <w:qFormat/>
    <w:locked/>
    <w:uiPriority w:val="99"/>
    <w:rPr>
      <w:rFonts w:ascii="Arial" w:hAnsi="Arial" w:eastAsia="黑体" w:cs="Times New Roman"/>
      <w:sz w:val="24"/>
      <w:szCs w:val="20"/>
    </w:rPr>
  </w:style>
  <w:style w:type="character" w:customStyle="1" w:styleId="683">
    <w:name w:val="标题 6 字符1"/>
    <w:link w:val="8"/>
    <w:semiHidden/>
    <w:qFormat/>
    <w:locked/>
    <w:uiPriority w:val="0"/>
    <w:rPr>
      <w:rFonts w:ascii="Arial" w:hAnsi="Arial" w:eastAsia="黑体" w:cs="Times New Roman"/>
      <w:b/>
      <w:sz w:val="24"/>
      <w:szCs w:val="20"/>
    </w:rPr>
  </w:style>
  <w:style w:type="character" w:customStyle="1" w:styleId="684">
    <w:name w:val="javascript"/>
    <w:basedOn w:val="66"/>
    <w:qFormat/>
    <w:uiPriority w:val="0"/>
  </w:style>
  <w:style w:type="character" w:customStyle="1" w:styleId="685">
    <w:name w:val="表头 Char2"/>
    <w:qFormat/>
    <w:uiPriority w:val="0"/>
    <w:rPr>
      <w:rFonts w:hint="eastAsia" w:ascii="宋体" w:hAnsi="宋体" w:eastAsia="汉鼎简书宋"/>
      <w:b/>
      <w:kern w:val="32"/>
      <w:sz w:val="24"/>
      <w:lang w:val="en-US" w:eastAsia="zh-CN"/>
    </w:rPr>
  </w:style>
  <w:style w:type="character" w:customStyle="1" w:styleId="686">
    <w:name w:val="普通文字 Char Char Char Char Char Char Char Char Char Char Char Char Char Char"/>
    <w:qFormat/>
    <w:uiPriority w:val="0"/>
    <w:rPr>
      <w:rFonts w:hint="eastAsia" w:ascii="宋体" w:hAnsi="Courier New" w:eastAsia="宋体"/>
      <w:snapToGrid/>
      <w:spacing w:val="10"/>
      <w:kern w:val="2"/>
      <w:sz w:val="21"/>
      <w:lang w:val="en-US" w:eastAsia="zh-CN"/>
    </w:rPr>
  </w:style>
  <w:style w:type="character" w:customStyle="1" w:styleId="687">
    <w:name w:val="Char Char101"/>
    <w:qFormat/>
    <w:uiPriority w:val="0"/>
    <w:rPr>
      <w:rFonts w:hint="eastAsia" w:ascii="宋体" w:hAnsi="宋体" w:eastAsia="宋体"/>
      <w:kern w:val="2"/>
      <w:sz w:val="18"/>
      <w:szCs w:val="18"/>
      <w:lang w:val="en-US" w:eastAsia="zh-CN" w:bidi="ar-SA"/>
    </w:rPr>
  </w:style>
  <w:style w:type="character" w:customStyle="1" w:styleId="688">
    <w:name w:val="Char Char122"/>
    <w:qFormat/>
    <w:uiPriority w:val="0"/>
    <w:rPr>
      <w:rFonts w:hint="eastAsia" w:ascii="宋体" w:hAnsi="宋体" w:eastAsia="宋体"/>
      <w:b/>
      <w:kern w:val="2"/>
      <w:sz w:val="32"/>
      <w:lang w:val="en-US" w:eastAsia="zh-CN" w:bidi="ar-SA"/>
    </w:rPr>
  </w:style>
  <w:style w:type="character" w:customStyle="1" w:styleId="689">
    <w:name w:val="font51"/>
    <w:qFormat/>
    <w:uiPriority w:val="0"/>
    <w:rPr>
      <w:rFonts w:hint="default" w:ascii="Times New Roman" w:hAnsi="Times New Roman" w:cs="Times New Roman"/>
      <w:color w:val="000000"/>
      <w:sz w:val="21"/>
      <w:szCs w:val="21"/>
      <w:u w:val="none"/>
    </w:rPr>
  </w:style>
  <w:style w:type="character" w:customStyle="1" w:styleId="690">
    <w:name w:val="Char Char161"/>
    <w:qFormat/>
    <w:uiPriority w:val="0"/>
    <w:rPr>
      <w:rFonts w:hint="eastAsia" w:ascii="汉鼎简书宋" w:eastAsia="汉鼎简书宋"/>
      <w:bCs/>
      <w:kern w:val="32"/>
      <w:sz w:val="24"/>
      <w:szCs w:val="24"/>
      <w:lang w:val="en-US" w:eastAsia="zh-CN" w:bidi="ar-SA"/>
    </w:rPr>
  </w:style>
  <w:style w:type="character" w:customStyle="1" w:styleId="691">
    <w:name w:val="zw1"/>
    <w:qFormat/>
    <w:uiPriority w:val="0"/>
    <w:rPr>
      <w:color w:val="302F37"/>
      <w:sz w:val="21"/>
    </w:rPr>
  </w:style>
  <w:style w:type="character" w:customStyle="1" w:styleId="692">
    <w:name w:val="标题 1 Char1"/>
    <w:qFormat/>
    <w:uiPriority w:val="0"/>
    <w:rPr>
      <w:rFonts w:hint="eastAsia" w:ascii="宋体" w:hAnsi="宋体" w:eastAsia="宋体"/>
      <w:b/>
      <w:kern w:val="44"/>
      <w:sz w:val="44"/>
      <w:lang w:val="en-US" w:eastAsia="zh-CN"/>
    </w:rPr>
  </w:style>
  <w:style w:type="character" w:customStyle="1" w:styleId="693">
    <w:name w:val="孙普文字 Char Char"/>
    <w:qFormat/>
    <w:uiPriority w:val="0"/>
    <w:rPr>
      <w:rFonts w:hint="eastAsia" w:ascii="宋体" w:hAnsi="Courier New" w:eastAsia="宋体"/>
      <w:kern w:val="2"/>
      <w:sz w:val="21"/>
      <w:lang w:val="en-US" w:eastAsia="zh-CN"/>
    </w:rPr>
  </w:style>
  <w:style w:type="character" w:customStyle="1" w:styleId="694">
    <w:name w:val="apple-converted-space"/>
    <w:qFormat/>
    <w:uiPriority w:val="0"/>
  </w:style>
  <w:style w:type="character" w:customStyle="1" w:styleId="695">
    <w:name w:val="正文文本缩进 2 Char"/>
    <w:qFormat/>
    <w:locked/>
    <w:uiPriority w:val="0"/>
    <w:rPr>
      <w:kern w:val="2"/>
      <w:sz w:val="21"/>
    </w:rPr>
  </w:style>
  <w:style w:type="character" w:customStyle="1" w:styleId="696">
    <w:name w:val="表头 Char Char"/>
    <w:qFormat/>
    <w:uiPriority w:val="0"/>
    <w:rPr>
      <w:rFonts w:hint="eastAsia" w:ascii="宋体" w:hAnsi="宋体" w:eastAsia="宋体"/>
      <w:b/>
      <w:kern w:val="32"/>
      <w:sz w:val="24"/>
      <w:lang w:val="en-US" w:eastAsia="zh-CN"/>
    </w:rPr>
  </w:style>
  <w:style w:type="character" w:customStyle="1" w:styleId="697">
    <w:name w:val="纯文本 Char Char2 Char Char"/>
    <w:qFormat/>
    <w:uiPriority w:val="0"/>
    <w:rPr>
      <w:rFonts w:hint="eastAsia" w:ascii="宋体" w:hAnsi="Courier New" w:eastAsia="宋体"/>
      <w:spacing w:val="6"/>
      <w:sz w:val="21"/>
      <w:lang w:val="en-US" w:eastAsia="zh-CN" w:bidi="ar-SA"/>
    </w:rPr>
  </w:style>
  <w:style w:type="character" w:customStyle="1" w:styleId="698">
    <w:name w:val="Char Char61"/>
    <w:qFormat/>
    <w:uiPriority w:val="0"/>
    <w:rPr>
      <w:rFonts w:hint="eastAsia" w:ascii="宋体" w:hAnsi="宋体" w:eastAsia="宋体"/>
      <w:kern w:val="2"/>
      <w:sz w:val="24"/>
      <w:lang w:val="en-US" w:eastAsia="zh-CN"/>
    </w:rPr>
  </w:style>
  <w:style w:type="character" w:customStyle="1" w:styleId="699">
    <w:name w:val="style3"/>
    <w:qFormat/>
    <w:uiPriority w:val="0"/>
    <w:rPr>
      <w:rFonts w:hint="eastAsia" w:ascii="宋体" w:hAnsi="宋体" w:eastAsia="宋体"/>
      <w:b/>
      <w:sz w:val="30"/>
      <w:lang w:val="en-US" w:eastAsia="zh-CN"/>
    </w:rPr>
  </w:style>
  <w:style w:type="character" w:customStyle="1" w:styleId="700">
    <w:name w:val="hb2 Char"/>
    <w:qFormat/>
    <w:uiPriority w:val="0"/>
    <w:rPr>
      <w:rFonts w:hint="default" w:ascii="Arial" w:hAnsi="Arial" w:eastAsia="宋体" w:cs="Arial"/>
      <w:b/>
      <w:kern w:val="2"/>
      <w:sz w:val="28"/>
      <w:lang w:val="en-US" w:eastAsia="zh-CN"/>
    </w:rPr>
  </w:style>
  <w:style w:type="character" w:customStyle="1" w:styleId="701">
    <w:name w:val="节，一 Char"/>
    <w:qFormat/>
    <w:uiPriority w:val="0"/>
    <w:rPr>
      <w:rFonts w:hint="default" w:ascii="Arial" w:hAnsi="Arial" w:eastAsia="黑体" w:cs="Arial"/>
      <w:b/>
      <w:sz w:val="32"/>
    </w:rPr>
  </w:style>
  <w:style w:type="character" w:customStyle="1" w:styleId="702">
    <w:name w:val="Char Char23"/>
    <w:qFormat/>
    <w:uiPriority w:val="0"/>
    <w:rPr>
      <w:rFonts w:hint="eastAsia" w:ascii="汉鼎简书宋" w:eastAsia="汉鼎简书宋"/>
      <w:kern w:val="32"/>
      <w:sz w:val="24"/>
      <w:lang w:val="en-US" w:eastAsia="zh-CN"/>
    </w:rPr>
  </w:style>
  <w:style w:type="character" w:customStyle="1" w:styleId="703">
    <w:name w:val="ourfont3"/>
    <w:basedOn w:val="66"/>
    <w:qFormat/>
    <w:uiPriority w:val="0"/>
  </w:style>
  <w:style w:type="character" w:customStyle="1" w:styleId="704">
    <w:name w:val="Char Char251"/>
    <w:qFormat/>
    <w:uiPriority w:val="0"/>
    <w:rPr>
      <w:rFonts w:hint="eastAsia" w:ascii="宋体" w:hAnsi="宋体" w:eastAsia="宋体"/>
      <w:b/>
      <w:bCs/>
      <w:kern w:val="2"/>
      <w:sz w:val="28"/>
      <w:szCs w:val="28"/>
      <w:lang w:val="en-US" w:eastAsia="zh-CN" w:bidi="ar-SA"/>
    </w:rPr>
  </w:style>
  <w:style w:type="character" w:customStyle="1" w:styleId="705">
    <w:name w:val="Char Char132"/>
    <w:qFormat/>
    <w:uiPriority w:val="0"/>
    <w:rPr>
      <w:rFonts w:hint="eastAsia" w:ascii="宋体" w:hAnsi="宋体" w:eastAsia="宋体"/>
      <w:kern w:val="2"/>
      <w:sz w:val="21"/>
      <w:lang w:val="en-US" w:eastAsia="zh-CN" w:bidi="ar-SA"/>
    </w:rPr>
  </w:style>
  <w:style w:type="character" w:customStyle="1" w:styleId="706">
    <w:name w:val="Char Char13"/>
    <w:qFormat/>
    <w:uiPriority w:val="0"/>
    <w:rPr>
      <w:rFonts w:hint="default" w:ascii="Cambria" w:hAnsi="Cambria" w:eastAsia="宋体"/>
      <w:b/>
      <w:color w:val="4F81BD"/>
      <w:sz w:val="26"/>
    </w:rPr>
  </w:style>
  <w:style w:type="character" w:customStyle="1" w:styleId="707">
    <w:name w:val="hb3 Char Char"/>
    <w:qFormat/>
    <w:uiPriority w:val="0"/>
    <w:rPr>
      <w:rFonts w:hint="eastAsia" w:ascii="宋体" w:hAnsi="宋体" w:eastAsia="宋体"/>
      <w:b/>
      <w:sz w:val="24"/>
      <w:lang w:val="en-US" w:eastAsia="zh-CN"/>
    </w:rPr>
  </w:style>
  <w:style w:type="character" w:customStyle="1" w:styleId="708">
    <w:name w:val="文档结构图 Char1"/>
    <w:semiHidden/>
    <w:qFormat/>
    <w:uiPriority w:val="99"/>
    <w:rPr>
      <w:rFonts w:hint="eastAsia" w:ascii="Microsoft YaHei UI" w:hAnsi="宋体" w:eastAsia="Microsoft YaHei UI"/>
      <w:kern w:val="2"/>
      <w:sz w:val="18"/>
      <w:szCs w:val="18"/>
    </w:rPr>
  </w:style>
  <w:style w:type="character" w:customStyle="1" w:styleId="709">
    <w:name w:val="表文字 Char Char"/>
    <w:qFormat/>
    <w:uiPriority w:val="0"/>
    <w:rPr>
      <w:rFonts w:hint="eastAsia" w:ascii="宋体" w:hAnsi="宋体" w:eastAsia="宋体"/>
      <w:sz w:val="21"/>
      <w:lang w:val="en-US" w:eastAsia="zh-CN"/>
    </w:rPr>
  </w:style>
  <w:style w:type="character" w:customStyle="1" w:styleId="710">
    <w:name w:val="highlight1"/>
    <w:qFormat/>
    <w:uiPriority w:val="0"/>
    <w:rPr>
      <w:sz w:val="21"/>
    </w:rPr>
  </w:style>
  <w:style w:type="character" w:customStyle="1" w:styleId="711">
    <w:name w:val="表头 Char1"/>
    <w:qFormat/>
    <w:uiPriority w:val="0"/>
    <w:rPr>
      <w:rFonts w:hint="eastAsia" w:ascii="宋体" w:hAnsi="宋体" w:eastAsia="宋体"/>
      <w:b/>
      <w:kern w:val="32"/>
      <w:sz w:val="24"/>
      <w:lang w:val="en-US" w:eastAsia="zh-CN"/>
    </w:rPr>
  </w:style>
  <w:style w:type="character" w:customStyle="1" w:styleId="712">
    <w:name w:val="Char Char271"/>
    <w:qFormat/>
    <w:uiPriority w:val="0"/>
    <w:rPr>
      <w:rFonts w:hint="eastAsia" w:ascii="黑体" w:hAnsi="黑体" w:eastAsia="黑体"/>
      <w:b/>
      <w:bCs/>
      <w:kern w:val="44"/>
      <w:sz w:val="36"/>
      <w:szCs w:val="44"/>
      <w:lang w:val="en-US" w:eastAsia="zh-CN" w:bidi="ar-SA"/>
    </w:rPr>
  </w:style>
  <w:style w:type="character" w:customStyle="1" w:styleId="713">
    <w:name w:val="sb1"/>
    <w:qFormat/>
    <w:uiPriority w:val="0"/>
    <w:rPr>
      <w:sz w:val="20"/>
      <w:szCs w:val="20"/>
    </w:rPr>
  </w:style>
  <w:style w:type="character" w:customStyle="1" w:styleId="714">
    <w:name w:val="Char Char24"/>
    <w:qFormat/>
    <w:uiPriority w:val="0"/>
    <w:rPr>
      <w:rFonts w:hint="default" w:ascii="Arial" w:hAnsi="Arial" w:eastAsia="黑体" w:cs="Arial"/>
      <w:b/>
      <w:sz w:val="24"/>
      <w:lang w:val="en-US" w:eastAsia="zh-CN"/>
    </w:rPr>
  </w:style>
  <w:style w:type="character" w:customStyle="1" w:styleId="715">
    <w:name w:val="Char Char7"/>
    <w:semiHidden/>
    <w:qFormat/>
    <w:uiPriority w:val="0"/>
    <w:rPr>
      <w:rFonts w:hint="eastAsia" w:ascii="宋体" w:hAnsi="宋体" w:eastAsia="宋体"/>
      <w:kern w:val="2"/>
      <w:sz w:val="18"/>
      <w:szCs w:val="18"/>
      <w:lang w:val="en-US" w:eastAsia="zh-CN" w:bidi="ar-SA"/>
    </w:rPr>
  </w:style>
  <w:style w:type="character" w:customStyle="1" w:styleId="716">
    <w:name w:val="Char Char141"/>
    <w:qFormat/>
    <w:uiPriority w:val="0"/>
    <w:rPr>
      <w:rFonts w:hint="eastAsia" w:ascii="宋体" w:hAnsi="宋体" w:eastAsia="宋体"/>
      <w:kern w:val="2"/>
      <w:sz w:val="18"/>
      <w:lang w:val="en-US" w:eastAsia="zh-CN" w:bidi="ar-SA"/>
    </w:rPr>
  </w:style>
  <w:style w:type="character" w:customStyle="1" w:styleId="717">
    <w:name w:val="Char Char71"/>
    <w:semiHidden/>
    <w:qFormat/>
    <w:uiPriority w:val="0"/>
    <w:rPr>
      <w:rFonts w:hint="eastAsia" w:ascii="宋体" w:hAnsi="宋体" w:eastAsia="宋体"/>
      <w:kern w:val="2"/>
      <w:sz w:val="18"/>
      <w:szCs w:val="18"/>
      <w:lang w:val="en-US" w:eastAsia="zh-CN" w:bidi="ar-SA"/>
    </w:rPr>
  </w:style>
  <w:style w:type="character" w:customStyle="1" w:styleId="718">
    <w:name w:val="标题 4 Char"/>
    <w:qFormat/>
    <w:uiPriority w:val="0"/>
    <w:rPr>
      <w:rFonts w:hint="default" w:ascii="Cambria" w:hAnsi="Cambria" w:eastAsia="宋体"/>
      <w:b/>
      <w:sz w:val="28"/>
    </w:rPr>
  </w:style>
  <w:style w:type="character" w:customStyle="1" w:styleId="719">
    <w:name w:val="font41"/>
    <w:qFormat/>
    <w:uiPriority w:val="0"/>
    <w:rPr>
      <w:rFonts w:hint="eastAsia" w:ascii="宋体" w:hAnsi="宋体" w:eastAsia="宋体" w:cs="宋体"/>
      <w:color w:val="000000"/>
      <w:sz w:val="21"/>
      <w:szCs w:val="21"/>
      <w:u w:val="none"/>
    </w:rPr>
  </w:style>
  <w:style w:type="character" w:customStyle="1" w:styleId="720">
    <w:name w:val="Char Char9"/>
    <w:qFormat/>
    <w:uiPriority w:val="0"/>
    <w:rPr>
      <w:rFonts w:hint="eastAsia" w:ascii="宋体" w:hAnsi="宋体" w:eastAsia="宋体"/>
      <w:sz w:val="24"/>
      <w:szCs w:val="24"/>
      <w:lang w:val="en-US" w:eastAsia="zh-CN" w:bidi="ar-SA"/>
    </w:rPr>
  </w:style>
  <w:style w:type="character" w:customStyle="1" w:styleId="721">
    <w:name w:val="Char Char20"/>
    <w:semiHidden/>
    <w:qFormat/>
    <w:uiPriority w:val="0"/>
    <w:rPr>
      <w:rFonts w:hint="eastAsia" w:ascii="宋体" w:hAnsi="宋体" w:eastAsia="宋体"/>
      <w:kern w:val="2"/>
      <w:sz w:val="24"/>
      <w:szCs w:val="24"/>
      <w:lang w:val="en-US" w:eastAsia="zh-CN" w:bidi="ar-SA"/>
    </w:rPr>
  </w:style>
  <w:style w:type="paragraph" w:customStyle="1" w:styleId="722">
    <w:name w:val="样式 HP3 + (符号) Times New Roman"/>
    <w:basedOn w:val="199"/>
    <w:link w:val="723"/>
    <w:qFormat/>
    <w:uiPriority w:val="0"/>
    <w:rPr>
      <w:rFonts w:ascii="宋体" w:eastAsia="宋体"/>
      <w:sz w:val="24"/>
      <w:u w:color="000000"/>
    </w:rPr>
  </w:style>
  <w:style w:type="character" w:customStyle="1" w:styleId="723">
    <w:name w:val="样式 HP3 + (符号) Times New Roman Char"/>
    <w:link w:val="722"/>
    <w:qFormat/>
    <w:locked/>
    <w:uiPriority w:val="0"/>
    <w:rPr>
      <w:rFonts w:ascii="宋体" w:hAnsi="宋体" w:eastAsia="宋体"/>
      <w:sz w:val="24"/>
      <w:u w:color="000000"/>
    </w:rPr>
  </w:style>
  <w:style w:type="character" w:customStyle="1" w:styleId="724">
    <w:name w:val="普通文字 Char Char Char Char2"/>
    <w:qFormat/>
    <w:uiPriority w:val="0"/>
    <w:rPr>
      <w:rFonts w:hint="eastAsia" w:ascii="宋体" w:hAnsi="Courier New" w:eastAsia="汉鼎简书宋"/>
      <w:kern w:val="2"/>
      <w:sz w:val="24"/>
      <w:lang w:val="en-US" w:eastAsia="zh-CN"/>
    </w:rPr>
  </w:style>
  <w:style w:type="character" w:customStyle="1" w:styleId="725">
    <w:name w:val="Char Char2"/>
    <w:qFormat/>
    <w:uiPriority w:val="0"/>
    <w:rPr>
      <w:rFonts w:hint="eastAsia" w:ascii="宋体" w:hAnsi="Arial" w:eastAsia="宋体"/>
      <w:b/>
      <w:kern w:val="2"/>
      <w:sz w:val="28"/>
      <w:lang w:val="en-US" w:eastAsia="zh-CN"/>
    </w:rPr>
  </w:style>
  <w:style w:type="character" w:customStyle="1" w:styleId="726">
    <w:name w:val="正文文本缩进 3 Char"/>
    <w:qFormat/>
    <w:locked/>
    <w:uiPriority w:val="0"/>
    <w:rPr>
      <w:kern w:val="2"/>
      <w:sz w:val="16"/>
    </w:rPr>
  </w:style>
  <w:style w:type="character" w:customStyle="1" w:styleId="727">
    <w:name w:val="页眉 Char Char"/>
    <w:qFormat/>
    <w:uiPriority w:val="0"/>
    <w:rPr>
      <w:rFonts w:hint="eastAsia" w:ascii="宋体" w:hAnsi="宋体" w:eastAsia="宋体"/>
      <w:kern w:val="2"/>
      <w:sz w:val="18"/>
      <w:szCs w:val="18"/>
      <w:lang w:val="en-US" w:eastAsia="zh-CN" w:bidi="ar-SA"/>
    </w:rPr>
  </w:style>
  <w:style w:type="character" w:customStyle="1" w:styleId="728">
    <w:name w:val="正文 Char"/>
    <w:qFormat/>
    <w:uiPriority w:val="0"/>
    <w:rPr>
      <w:rFonts w:hint="eastAsia" w:ascii="宋体" w:hAnsi="宋体" w:eastAsia="宋体"/>
      <w:lang w:bidi="ar-SA"/>
    </w:rPr>
  </w:style>
  <w:style w:type="character" w:customStyle="1" w:styleId="729">
    <w:name w:val="Char Char111"/>
    <w:semiHidden/>
    <w:qFormat/>
    <w:uiPriority w:val="0"/>
    <w:rPr>
      <w:rFonts w:hint="eastAsia" w:ascii="宋体" w:hAnsi="宋体" w:eastAsia="宋体"/>
      <w:kern w:val="2"/>
      <w:sz w:val="18"/>
      <w:lang w:val="en-US" w:eastAsia="zh-CN" w:bidi="ar-SA"/>
    </w:rPr>
  </w:style>
  <w:style w:type="character" w:customStyle="1" w:styleId="730">
    <w:name w:val="Char Char14"/>
    <w:qFormat/>
    <w:uiPriority w:val="0"/>
    <w:rPr>
      <w:rFonts w:hint="default" w:ascii="Cambria" w:hAnsi="Cambria" w:eastAsia="宋体"/>
      <w:b/>
      <w:color w:val="365F91"/>
      <w:sz w:val="28"/>
    </w:rPr>
  </w:style>
  <w:style w:type="character" w:customStyle="1" w:styleId="731">
    <w:name w:val="h21"/>
    <w:qFormat/>
    <w:uiPriority w:val="0"/>
    <w:rPr>
      <w:rFonts w:hint="default" w:ascii="Tahoma" w:hAnsi="Tahoma" w:cs="Tahoma"/>
      <w:b/>
      <w:color w:val="333399"/>
      <w:sz w:val="20"/>
    </w:rPr>
  </w:style>
  <w:style w:type="character" w:customStyle="1" w:styleId="732">
    <w:name w:val="ourfont2"/>
    <w:basedOn w:val="66"/>
    <w:qFormat/>
    <w:uiPriority w:val="0"/>
  </w:style>
  <w:style w:type="character" w:customStyle="1" w:styleId="733">
    <w:name w:val="Char Char16"/>
    <w:qFormat/>
    <w:uiPriority w:val="0"/>
    <w:rPr>
      <w:rFonts w:hint="eastAsia" w:ascii="汉鼎简书宋" w:eastAsia="汉鼎简书宋"/>
      <w:bCs/>
      <w:kern w:val="32"/>
      <w:sz w:val="24"/>
      <w:szCs w:val="24"/>
      <w:lang w:val="en-US" w:eastAsia="zh-CN" w:bidi="ar-SA"/>
    </w:rPr>
  </w:style>
  <w:style w:type="character" w:customStyle="1" w:styleId="734">
    <w:name w:val="Char Char4"/>
    <w:qFormat/>
    <w:uiPriority w:val="0"/>
    <w:rPr>
      <w:rFonts w:hint="default" w:ascii="Arial" w:hAnsi="Arial" w:eastAsia="黑体" w:cs="Arial"/>
      <w:b/>
      <w:bCs/>
      <w:sz w:val="28"/>
      <w:szCs w:val="28"/>
      <w:lang w:val="en-US" w:eastAsia="zh-CN" w:bidi="ar-SA"/>
    </w:rPr>
  </w:style>
  <w:style w:type="character" w:customStyle="1" w:styleId="735">
    <w:name w:val="标题 4 字符1"/>
    <w:link w:val="6"/>
    <w:semiHidden/>
    <w:qFormat/>
    <w:locked/>
    <w:uiPriority w:val="0"/>
    <w:rPr>
      <w:rFonts w:ascii="Arial" w:hAnsi="Arial" w:eastAsia="黑体" w:cs="Times New Roman"/>
      <w:b/>
      <w:sz w:val="28"/>
      <w:szCs w:val="20"/>
    </w:rPr>
  </w:style>
  <w:style w:type="character" w:customStyle="1" w:styleId="736">
    <w:name w:val="contont-over"/>
    <w:basedOn w:val="66"/>
    <w:qFormat/>
    <w:uiPriority w:val="0"/>
  </w:style>
  <w:style w:type="character" w:customStyle="1" w:styleId="737">
    <w:name w:val="Char Char10"/>
    <w:qFormat/>
    <w:uiPriority w:val="0"/>
    <w:rPr>
      <w:rFonts w:hint="eastAsia" w:ascii="宋体" w:hAnsi="宋体" w:eastAsia="宋体"/>
      <w:kern w:val="2"/>
      <w:sz w:val="18"/>
      <w:szCs w:val="18"/>
      <w:lang w:val="en-US" w:eastAsia="zh-CN" w:bidi="ar-SA"/>
    </w:rPr>
  </w:style>
  <w:style w:type="character" w:customStyle="1" w:styleId="738">
    <w:name w:val="标题6"/>
    <w:basedOn w:val="66"/>
    <w:qFormat/>
    <w:uiPriority w:val="0"/>
  </w:style>
  <w:style w:type="character" w:customStyle="1" w:styleId="739">
    <w:name w:val="正文 + 宋体 Char"/>
    <w:qFormat/>
    <w:uiPriority w:val="0"/>
    <w:rPr>
      <w:rFonts w:hint="eastAsia" w:ascii="宋体" w:hAnsi="宋体" w:eastAsia="宋体"/>
      <w:sz w:val="24"/>
      <w:lang w:val="en-US" w:eastAsia="zh-CN"/>
    </w:rPr>
  </w:style>
  <w:style w:type="character" w:customStyle="1" w:styleId="740">
    <w:name w:val="Char Char201"/>
    <w:semiHidden/>
    <w:qFormat/>
    <w:uiPriority w:val="0"/>
    <w:rPr>
      <w:rFonts w:hint="eastAsia" w:ascii="宋体" w:hAnsi="宋体" w:eastAsia="宋体"/>
      <w:kern w:val="2"/>
      <w:sz w:val="24"/>
      <w:szCs w:val="24"/>
      <w:lang w:val="en-US" w:eastAsia="zh-CN" w:bidi="ar-SA"/>
    </w:rPr>
  </w:style>
  <w:style w:type="character" w:customStyle="1" w:styleId="741">
    <w:name w:val="Char Char231"/>
    <w:qFormat/>
    <w:uiPriority w:val="0"/>
    <w:rPr>
      <w:rFonts w:hint="eastAsia" w:ascii="汉鼎简书宋" w:eastAsia="汉鼎简书宋"/>
      <w:bCs/>
      <w:kern w:val="32"/>
      <w:sz w:val="24"/>
      <w:szCs w:val="24"/>
      <w:lang w:val="en-US" w:eastAsia="zh-CN" w:bidi="ar-SA"/>
    </w:rPr>
  </w:style>
  <w:style w:type="character" w:customStyle="1" w:styleId="742">
    <w:name w:val="Char Char181"/>
    <w:qFormat/>
    <w:uiPriority w:val="0"/>
    <w:rPr>
      <w:rFonts w:hint="eastAsia" w:ascii="宋体" w:hAnsi="宋体" w:eastAsia="宋体"/>
      <w:kern w:val="2"/>
      <w:sz w:val="21"/>
      <w:szCs w:val="24"/>
      <w:lang w:val="en-US" w:eastAsia="zh-CN" w:bidi="ar-SA"/>
    </w:rPr>
  </w:style>
  <w:style w:type="character" w:customStyle="1" w:styleId="743">
    <w:name w:val="Char Char19"/>
    <w:qFormat/>
    <w:uiPriority w:val="0"/>
    <w:rPr>
      <w:rFonts w:hint="eastAsia" w:ascii="宋体" w:hAnsi="宋体" w:eastAsia="宋体"/>
      <w:kern w:val="2"/>
      <w:sz w:val="24"/>
      <w:lang w:val="en-US" w:eastAsia="zh-CN" w:bidi="ar-SA"/>
    </w:rPr>
  </w:style>
  <w:style w:type="character" w:customStyle="1" w:styleId="744">
    <w:name w:val="H6 Char"/>
    <w:qFormat/>
    <w:uiPriority w:val="0"/>
    <w:rPr>
      <w:rFonts w:hint="default" w:ascii="Arial" w:hAnsi="Arial" w:eastAsia="黑体" w:cs="Arial"/>
      <w:b/>
      <w:kern w:val="0"/>
      <w:sz w:val="24"/>
    </w:rPr>
  </w:style>
  <w:style w:type="character" w:customStyle="1" w:styleId="745">
    <w:name w:val="正文文本 2 Char"/>
    <w:qFormat/>
    <w:locked/>
    <w:uiPriority w:val="0"/>
    <w:rPr>
      <w:rFonts w:hint="eastAsia" w:ascii="宋体" w:hAnsi="宋体" w:eastAsia="宋体"/>
      <w:kern w:val="2"/>
      <w:sz w:val="24"/>
    </w:rPr>
  </w:style>
  <w:style w:type="character" w:customStyle="1" w:styleId="746">
    <w:name w:val="正文文本 Char"/>
    <w:qFormat/>
    <w:uiPriority w:val="0"/>
    <w:rPr>
      <w:rFonts w:hint="eastAsia" w:ascii="宋体" w:hAnsi="宋体" w:eastAsia="宋体"/>
      <w:kern w:val="2"/>
      <w:sz w:val="24"/>
      <w:lang w:val="en-US" w:eastAsia="zh-CN" w:bidi="ar-SA"/>
    </w:rPr>
  </w:style>
  <w:style w:type="character" w:customStyle="1" w:styleId="747">
    <w:name w:val="日期 Char1"/>
    <w:semiHidden/>
    <w:qFormat/>
    <w:uiPriority w:val="99"/>
    <w:rPr>
      <w:rFonts w:hint="eastAsia" w:ascii="宋体" w:hAnsi="宋体" w:eastAsia="宋体"/>
      <w:kern w:val="2"/>
      <w:sz w:val="24"/>
    </w:rPr>
  </w:style>
  <w:style w:type="character" w:customStyle="1" w:styleId="748">
    <w:name w:val="g Char Char"/>
    <w:qFormat/>
    <w:uiPriority w:val="0"/>
    <w:rPr>
      <w:rFonts w:hint="eastAsia" w:ascii="宋体" w:hAnsi="宋体" w:eastAsia="宋体"/>
      <w:kern w:val="2"/>
      <w:sz w:val="18"/>
      <w:lang w:val="en-US" w:eastAsia="zh-CN" w:bidi="ar-SA"/>
    </w:rPr>
  </w:style>
  <w:style w:type="character" w:customStyle="1" w:styleId="749">
    <w:name w:val="content1"/>
    <w:qFormat/>
    <w:uiPriority w:val="0"/>
    <w:rPr>
      <w:sz w:val="21"/>
    </w:rPr>
  </w:style>
  <w:style w:type="character" w:customStyle="1" w:styleId="750">
    <w:name w:val="Char Char241"/>
    <w:qFormat/>
    <w:uiPriority w:val="0"/>
    <w:rPr>
      <w:rFonts w:hint="default" w:ascii="Arial" w:hAnsi="Arial" w:eastAsia="黑体" w:cs="Arial"/>
      <w:b/>
      <w:bCs/>
      <w:sz w:val="24"/>
      <w:szCs w:val="24"/>
      <w:lang w:val="en-US" w:eastAsia="zh-CN" w:bidi="ar-SA"/>
    </w:rPr>
  </w:style>
  <w:style w:type="character" w:customStyle="1" w:styleId="751">
    <w:name w:val="Char Char142"/>
    <w:qFormat/>
    <w:uiPriority w:val="0"/>
    <w:rPr>
      <w:rFonts w:hint="eastAsia" w:ascii="宋体" w:hAnsi="宋体" w:eastAsia="宋体"/>
      <w:kern w:val="2"/>
      <w:sz w:val="18"/>
      <w:lang w:val="en-US" w:eastAsia="zh-CN" w:bidi="ar-SA"/>
    </w:rPr>
  </w:style>
  <w:style w:type="character" w:customStyle="1" w:styleId="752">
    <w:name w:val="表号 Char1"/>
    <w:qFormat/>
    <w:uiPriority w:val="0"/>
    <w:rPr>
      <w:rFonts w:hint="eastAsia" w:ascii="宋体" w:hAnsi="宋体" w:eastAsia="宋体"/>
      <w:sz w:val="24"/>
      <w:lang w:val="en-US" w:eastAsia="zh-CN"/>
    </w:rPr>
  </w:style>
  <w:style w:type="character" w:customStyle="1" w:styleId="753">
    <w:name w:val="副标题 Char1"/>
    <w:qFormat/>
    <w:uiPriority w:val="11"/>
    <w:rPr>
      <w:rFonts w:hint="default" w:ascii="Calibri Light" w:hAnsi="Calibri Light" w:cs="Times New Roman"/>
      <w:b/>
      <w:bCs/>
      <w:kern w:val="28"/>
      <w:sz w:val="32"/>
      <w:szCs w:val="32"/>
    </w:rPr>
  </w:style>
  <w:style w:type="character" w:customStyle="1" w:styleId="754">
    <w:name w:val="javascript1"/>
    <w:qFormat/>
    <w:uiPriority w:val="0"/>
    <w:rPr>
      <w:rFonts w:hint="default" w:ascii="Tahoma" w:hAnsi="Tahoma" w:cs="Tahoma"/>
      <w:sz w:val="18"/>
    </w:rPr>
  </w:style>
  <w:style w:type="character" w:customStyle="1" w:styleId="755">
    <w:name w:val="unnamed31"/>
    <w:qFormat/>
    <w:uiPriority w:val="0"/>
    <w:rPr>
      <w:sz w:val="18"/>
    </w:rPr>
  </w:style>
  <w:style w:type="character" w:customStyle="1" w:styleId="756">
    <w:name w:val="style11"/>
    <w:qFormat/>
    <w:uiPriority w:val="0"/>
    <w:rPr>
      <w:color w:val="FF0000"/>
    </w:rPr>
  </w:style>
  <w:style w:type="character" w:customStyle="1" w:styleId="757">
    <w:name w:val="H9 Char Char"/>
    <w:qFormat/>
    <w:uiPriority w:val="0"/>
    <w:rPr>
      <w:rFonts w:hint="default" w:ascii="Arial" w:hAnsi="Arial" w:eastAsia="黑体" w:cs="Arial"/>
      <w:kern w:val="22"/>
      <w:sz w:val="24"/>
    </w:rPr>
  </w:style>
  <w:style w:type="character" w:customStyle="1" w:styleId="758">
    <w:name w:val="正文文本缩进 Char1"/>
    <w:qFormat/>
    <w:uiPriority w:val="0"/>
    <w:rPr>
      <w:rFonts w:hint="eastAsia" w:ascii="宋体" w:hAnsi="宋体" w:eastAsia="宋体"/>
      <w:kern w:val="2"/>
      <w:sz w:val="21"/>
      <w:lang w:val="en-US" w:eastAsia="zh-CN"/>
    </w:rPr>
  </w:style>
  <w:style w:type="character" w:customStyle="1" w:styleId="759">
    <w:name w:val="Char Char152"/>
    <w:qFormat/>
    <w:uiPriority w:val="0"/>
    <w:rPr>
      <w:rFonts w:hint="eastAsia" w:ascii="宋体" w:hAnsi="宋体" w:eastAsia="宋体"/>
      <w:kern w:val="2"/>
      <w:sz w:val="18"/>
      <w:lang w:val="en-US" w:eastAsia="zh-CN" w:bidi="ar-SA"/>
    </w:rPr>
  </w:style>
  <w:style w:type="character" w:customStyle="1" w:styleId="760">
    <w:name w:val="Char Char191"/>
    <w:qFormat/>
    <w:uiPriority w:val="0"/>
    <w:rPr>
      <w:rFonts w:hint="eastAsia" w:ascii="宋体" w:hAnsi="宋体" w:eastAsia="宋体"/>
      <w:kern w:val="2"/>
      <w:sz w:val="24"/>
      <w:lang w:val="en-US" w:eastAsia="zh-CN" w:bidi="ar-SA"/>
    </w:rPr>
  </w:style>
  <w:style w:type="character" w:customStyle="1" w:styleId="761">
    <w:name w:val="正文(首行缩进) Char"/>
    <w:qFormat/>
    <w:uiPriority w:val="0"/>
    <w:rPr>
      <w:rFonts w:hint="eastAsia" w:ascii="宋体" w:hAnsi="宋体" w:eastAsia="宋体"/>
      <w:snapToGrid/>
      <w:color w:val="000000"/>
      <w:sz w:val="24"/>
      <w:lang w:val="en-US" w:eastAsia="zh-CN"/>
    </w:rPr>
  </w:style>
  <w:style w:type="character" w:customStyle="1" w:styleId="762">
    <w:name w:val="引用 Char1"/>
    <w:qFormat/>
    <w:uiPriority w:val="29"/>
    <w:rPr>
      <w:rFonts w:hint="eastAsia" w:ascii="宋体" w:hAnsi="宋体" w:eastAsia="宋体"/>
      <w:i/>
      <w:iCs/>
      <w:color w:val="404040"/>
      <w:kern w:val="2"/>
      <w:sz w:val="24"/>
    </w:rPr>
  </w:style>
  <w:style w:type="character" w:customStyle="1" w:styleId="763">
    <w:name w:val="表号 Char Char"/>
    <w:qFormat/>
    <w:uiPriority w:val="0"/>
    <w:rPr>
      <w:rFonts w:hint="eastAsia" w:ascii="宋体" w:hAnsi="宋体" w:eastAsia="宋体"/>
      <w:sz w:val="24"/>
      <w:lang w:val="en-US" w:eastAsia="zh-CN"/>
    </w:rPr>
  </w:style>
  <w:style w:type="character" w:customStyle="1" w:styleId="764">
    <w:name w:val="H7 Char"/>
    <w:qFormat/>
    <w:uiPriority w:val="0"/>
    <w:rPr>
      <w:rFonts w:hint="default" w:ascii="Times New Roman" w:hAnsi="Times New Roman" w:eastAsia="宋体" w:cs="Times New Roman"/>
      <w:b/>
      <w:sz w:val="24"/>
    </w:rPr>
  </w:style>
  <w:style w:type="character" w:customStyle="1" w:styleId="765">
    <w:name w:val="Char Char221"/>
    <w:qFormat/>
    <w:uiPriority w:val="0"/>
    <w:rPr>
      <w:rFonts w:hint="eastAsia" w:ascii="宋体" w:hAnsi="宋体" w:eastAsia="宋体"/>
      <w:kern w:val="2"/>
      <w:sz w:val="18"/>
      <w:lang w:val="en-US" w:eastAsia="zh-CN" w:bidi="ar-SA"/>
    </w:rPr>
  </w:style>
  <w:style w:type="character" w:customStyle="1" w:styleId="766">
    <w:name w:val="样式 黑体 三号"/>
    <w:qFormat/>
    <w:uiPriority w:val="0"/>
    <w:rPr>
      <w:rFonts w:hint="eastAsia" w:ascii="黑体" w:hAnsi="黑体" w:eastAsia="黑体"/>
      <w:b/>
      <w:position w:val="8"/>
      <w:sz w:val="32"/>
    </w:rPr>
  </w:style>
  <w:style w:type="character" w:customStyle="1" w:styleId="767">
    <w:name w:val="Char Char Char2"/>
    <w:qFormat/>
    <w:uiPriority w:val="0"/>
    <w:rPr>
      <w:rFonts w:hint="eastAsia" w:ascii="宋体" w:hAnsi="宋体" w:eastAsia="宋体"/>
      <w:b/>
      <w:sz w:val="28"/>
      <w:lang w:val="en-US" w:eastAsia="zh-CN"/>
    </w:rPr>
  </w:style>
  <w:style w:type="character" w:customStyle="1" w:styleId="768">
    <w:name w:val="正文样式 Char1"/>
    <w:qFormat/>
    <w:uiPriority w:val="0"/>
    <w:rPr>
      <w:rFonts w:hint="eastAsia" w:ascii="宋体" w:hAnsi="宋体" w:eastAsia="宋体"/>
      <w:sz w:val="24"/>
    </w:rPr>
  </w:style>
  <w:style w:type="character" w:customStyle="1" w:styleId="769">
    <w:name w:val="zt11"/>
    <w:qFormat/>
    <w:uiPriority w:val="0"/>
    <w:rPr>
      <w:color w:val="333333"/>
      <w:sz w:val="24"/>
      <w:u w:val="none"/>
    </w:rPr>
  </w:style>
  <w:style w:type="character" w:customStyle="1" w:styleId="770">
    <w:name w:val="标题 2 Char Char Char Char1"/>
    <w:qFormat/>
    <w:locked/>
    <w:uiPriority w:val="0"/>
    <w:rPr>
      <w:rFonts w:hint="default" w:ascii="Arial" w:hAnsi="Arial" w:eastAsia="宋体" w:cs="Arial"/>
      <w:b/>
      <w:bCs/>
      <w:kern w:val="2"/>
      <w:sz w:val="28"/>
      <w:szCs w:val="32"/>
      <w:lang w:val="en-US" w:eastAsia="zh-CN" w:bidi="ar-SA"/>
    </w:rPr>
  </w:style>
  <w:style w:type="character" w:customStyle="1" w:styleId="771">
    <w:name w:val="js"/>
    <w:basedOn w:val="66"/>
    <w:qFormat/>
    <w:uiPriority w:val="0"/>
  </w:style>
  <w:style w:type="character" w:customStyle="1" w:styleId="772">
    <w:name w:val="Char Char17"/>
    <w:qFormat/>
    <w:uiPriority w:val="0"/>
    <w:rPr>
      <w:rFonts w:hint="default" w:ascii="Arial" w:hAnsi="Arial" w:eastAsia="黑体" w:cs="Arial"/>
      <w:b/>
      <w:bCs/>
      <w:sz w:val="24"/>
      <w:szCs w:val="24"/>
      <w:lang w:val="en-US" w:eastAsia="zh-CN" w:bidi="ar-SA"/>
    </w:rPr>
  </w:style>
  <w:style w:type="character" w:customStyle="1" w:styleId="773">
    <w:name w:val="tpc_content1"/>
    <w:qFormat/>
    <w:uiPriority w:val="0"/>
    <w:rPr>
      <w:sz w:val="20"/>
      <w:szCs w:val="20"/>
    </w:rPr>
  </w:style>
  <w:style w:type="character" w:customStyle="1" w:styleId="774">
    <w:name w:val="页眉 Char1"/>
    <w:qFormat/>
    <w:uiPriority w:val="0"/>
    <w:rPr>
      <w:rFonts w:hint="eastAsia" w:ascii="宋体" w:hAnsi="宋体" w:eastAsia="宋体"/>
      <w:kern w:val="2"/>
      <w:sz w:val="18"/>
      <w:lang w:val="en-US" w:eastAsia="zh-CN"/>
    </w:rPr>
  </w:style>
  <w:style w:type="character" w:customStyle="1" w:styleId="775">
    <w:name w:val="明显引用 Char"/>
    <w:qFormat/>
    <w:locked/>
    <w:uiPriority w:val="0"/>
    <w:rPr>
      <w:rFonts w:hint="eastAsia" w:ascii="汉鼎简书宋" w:eastAsia="汉鼎简书宋"/>
      <w:b/>
      <w:i/>
      <w:color w:val="4F81BD"/>
      <w:kern w:val="2"/>
      <w:sz w:val="24"/>
    </w:rPr>
  </w:style>
  <w:style w:type="character" w:customStyle="1" w:styleId="776">
    <w:name w:val="Char Char Char11"/>
    <w:qFormat/>
    <w:uiPriority w:val="0"/>
    <w:rPr>
      <w:rFonts w:hint="default" w:ascii="Cambria" w:hAnsi="Cambria" w:eastAsia="宋体"/>
      <w:b/>
      <w:color w:val="4F81BD"/>
    </w:rPr>
  </w:style>
  <w:style w:type="character" w:customStyle="1" w:styleId="777">
    <w:name w:val="Char Char211"/>
    <w:qFormat/>
    <w:uiPriority w:val="0"/>
    <w:rPr>
      <w:rFonts w:hint="eastAsia" w:ascii="宋体" w:hAnsi="宋体" w:eastAsia="宋体"/>
      <w:kern w:val="2"/>
      <w:sz w:val="18"/>
      <w:szCs w:val="18"/>
      <w:lang w:val="en-US" w:eastAsia="zh-CN" w:bidi="ar-SA"/>
    </w:rPr>
  </w:style>
  <w:style w:type="character" w:customStyle="1" w:styleId="778">
    <w:name w:val="Char Char232"/>
    <w:qFormat/>
    <w:uiPriority w:val="0"/>
    <w:rPr>
      <w:rFonts w:hint="eastAsia" w:ascii="汉鼎简书宋" w:eastAsia="汉鼎简书宋"/>
      <w:bCs/>
      <w:kern w:val="32"/>
      <w:sz w:val="24"/>
      <w:szCs w:val="24"/>
      <w:lang w:val="en-US" w:eastAsia="zh-CN" w:bidi="ar-SA"/>
    </w:rPr>
  </w:style>
  <w:style w:type="character" w:customStyle="1" w:styleId="779">
    <w:name w:val="Char Char222"/>
    <w:qFormat/>
    <w:uiPriority w:val="0"/>
    <w:rPr>
      <w:rFonts w:hint="eastAsia" w:ascii="宋体" w:hAnsi="宋体" w:eastAsia="宋体"/>
      <w:kern w:val="2"/>
      <w:sz w:val="18"/>
      <w:lang w:val="en-US" w:eastAsia="zh-CN" w:bidi="ar-SA"/>
    </w:rPr>
  </w:style>
  <w:style w:type="character" w:customStyle="1" w:styleId="780">
    <w:name w:val="HBZW"/>
    <w:qFormat/>
    <w:uiPriority w:val="0"/>
    <w:rPr>
      <w:rFonts w:hint="eastAsia" w:ascii="宋体" w:hAnsi="宋体" w:eastAsia="宋体"/>
      <w:kern w:val="0"/>
      <w:sz w:val="21"/>
      <w:lang w:val="en-US" w:eastAsia="zh-CN"/>
    </w:rPr>
  </w:style>
  <w:style w:type="character" w:customStyle="1" w:styleId="781">
    <w:name w:val="Char Char62"/>
    <w:qFormat/>
    <w:uiPriority w:val="0"/>
    <w:rPr>
      <w:rFonts w:hint="eastAsia" w:ascii="宋体" w:hAnsi="宋体" w:eastAsia="宋体"/>
      <w:kern w:val="2"/>
      <w:sz w:val="24"/>
      <w:lang w:val="en-US" w:eastAsia="zh-CN"/>
    </w:rPr>
  </w:style>
  <w:style w:type="character" w:customStyle="1" w:styleId="782">
    <w:name w:val="标题3"/>
    <w:basedOn w:val="66"/>
    <w:qFormat/>
    <w:uiPriority w:val="0"/>
  </w:style>
  <w:style w:type="character" w:customStyle="1" w:styleId="783">
    <w:name w:val="Char Char21"/>
    <w:qFormat/>
    <w:uiPriority w:val="0"/>
    <w:rPr>
      <w:rFonts w:hint="eastAsia" w:ascii="宋体" w:hAnsi="Arial" w:eastAsia="宋体"/>
      <w:b/>
      <w:kern w:val="2"/>
      <w:sz w:val="28"/>
      <w:lang w:val="en-US" w:eastAsia="zh-CN" w:bidi="ar-SA"/>
    </w:rPr>
  </w:style>
  <w:style w:type="character" w:customStyle="1" w:styleId="784">
    <w:name w:val="纯文本 Char1"/>
    <w:qFormat/>
    <w:uiPriority w:val="0"/>
    <w:rPr>
      <w:rFonts w:hint="eastAsia" w:ascii="宋体" w:hAnsi="Courier New" w:eastAsia="汉鼎简书宋"/>
      <w:kern w:val="2"/>
      <w:sz w:val="24"/>
      <w:lang w:val="en-US" w:eastAsia="zh-CN"/>
    </w:rPr>
  </w:style>
  <w:style w:type="character" w:customStyle="1" w:styleId="785">
    <w:name w:val="注释标题 Char"/>
    <w:qFormat/>
    <w:locked/>
    <w:uiPriority w:val="0"/>
    <w:rPr>
      <w:rFonts w:hint="eastAsia" w:ascii="宋体" w:hAnsi="宋体" w:eastAsia="汉鼎简书宋"/>
      <w:sz w:val="24"/>
    </w:rPr>
  </w:style>
  <w:style w:type="character" w:customStyle="1" w:styleId="786">
    <w:name w:val="表号 Char"/>
    <w:qFormat/>
    <w:uiPriority w:val="0"/>
    <w:rPr>
      <w:rFonts w:hint="eastAsia" w:ascii="宋体" w:hAnsi="宋体" w:eastAsia="宋体"/>
      <w:sz w:val="24"/>
      <w:lang w:val="en-US" w:eastAsia="zh-CN"/>
    </w:rPr>
  </w:style>
  <w:style w:type="character" w:customStyle="1" w:styleId="787">
    <w:name w:val="标题 2 Char"/>
    <w:qFormat/>
    <w:uiPriority w:val="0"/>
    <w:rPr>
      <w:rFonts w:hint="default" w:ascii="Arial" w:hAnsi="Arial" w:eastAsia="黑体" w:cs="Arial"/>
      <w:b/>
      <w:kern w:val="2"/>
      <w:sz w:val="32"/>
      <w:lang w:val="en-US" w:eastAsia="zh-CN"/>
    </w:rPr>
  </w:style>
  <w:style w:type="character" w:customStyle="1" w:styleId="788">
    <w:name w:val="样式 hb3 Char Char + 非加粗"/>
    <w:qFormat/>
    <w:uiPriority w:val="0"/>
    <w:rPr>
      <w:rFonts w:hint="eastAsia" w:ascii="宋体" w:hAnsi="宋体" w:eastAsia="宋体"/>
      <w:b/>
      <w:sz w:val="24"/>
      <w:lang w:val="en-US" w:eastAsia="zh-CN"/>
    </w:rPr>
  </w:style>
  <w:style w:type="character" w:customStyle="1" w:styleId="789">
    <w:name w:val="Char Char272"/>
    <w:qFormat/>
    <w:uiPriority w:val="0"/>
    <w:rPr>
      <w:rFonts w:hint="eastAsia" w:ascii="黑体" w:hAnsi="黑体" w:eastAsia="黑体"/>
      <w:b/>
      <w:bCs/>
      <w:kern w:val="44"/>
      <w:sz w:val="36"/>
      <w:szCs w:val="44"/>
      <w:lang w:val="en-US" w:eastAsia="zh-CN" w:bidi="ar-SA"/>
    </w:rPr>
  </w:style>
  <w:style w:type="paragraph" w:customStyle="1" w:styleId="790">
    <w:name w:val="z-窗体顶端1"/>
    <w:basedOn w:val="1"/>
    <w:next w:val="1"/>
    <w:link w:val="791"/>
    <w:semiHidden/>
    <w:unhideWhenUsed/>
    <w:qFormat/>
    <w:uiPriority w:val="0"/>
    <w:pPr>
      <w:pBdr>
        <w:bottom w:val="single" w:color="auto" w:sz="6" w:space="1"/>
      </w:pBdr>
      <w:jc w:val="center"/>
    </w:pPr>
    <w:rPr>
      <w:rFonts w:ascii="Arial" w:hAnsi="Arial" w:cs="Arial"/>
      <w:vanish/>
      <w:sz w:val="16"/>
      <w:szCs w:val="16"/>
    </w:rPr>
  </w:style>
  <w:style w:type="character" w:customStyle="1" w:styleId="791">
    <w:name w:val="z-窗体顶端 字符"/>
    <w:basedOn w:val="66"/>
    <w:link w:val="790"/>
    <w:semiHidden/>
    <w:qFormat/>
    <w:uiPriority w:val="0"/>
    <w:rPr>
      <w:rFonts w:ascii="Arial" w:hAnsi="Arial" w:eastAsia="宋体" w:cs="Arial"/>
      <w:vanish/>
      <w:sz w:val="16"/>
      <w:szCs w:val="16"/>
    </w:rPr>
  </w:style>
  <w:style w:type="character" w:customStyle="1" w:styleId="792">
    <w:name w:val="z-窗体顶端 Char"/>
    <w:qFormat/>
    <w:locked/>
    <w:uiPriority w:val="0"/>
    <w:rPr>
      <w:rFonts w:hint="default" w:ascii="Arial" w:hAnsi="Arial" w:cs="Arial"/>
      <w:vanish/>
      <w:kern w:val="2"/>
      <w:sz w:val="16"/>
      <w:szCs w:val="16"/>
    </w:rPr>
  </w:style>
  <w:style w:type="character" w:customStyle="1" w:styleId="793">
    <w:name w:val="标题 1 字符1"/>
    <w:link w:val="3"/>
    <w:qFormat/>
    <w:locked/>
    <w:uiPriority w:val="9"/>
    <w:rPr>
      <w:rFonts w:ascii="Times New Roman" w:hAnsi="Times New Roman" w:eastAsia="宋体" w:cs="Times New Roman"/>
      <w:b/>
      <w:kern w:val="44"/>
      <w:sz w:val="44"/>
      <w:szCs w:val="20"/>
    </w:rPr>
  </w:style>
  <w:style w:type="character" w:customStyle="1" w:styleId="794">
    <w:name w:val="尾注文本 Char"/>
    <w:qFormat/>
    <w:locked/>
    <w:uiPriority w:val="0"/>
    <w:rPr>
      <w:kern w:val="2"/>
      <w:sz w:val="21"/>
      <w:szCs w:val="24"/>
    </w:rPr>
  </w:style>
  <w:style w:type="character" w:customStyle="1" w:styleId="795">
    <w:name w:val="Char Char121"/>
    <w:qFormat/>
    <w:uiPriority w:val="0"/>
    <w:rPr>
      <w:rFonts w:hint="eastAsia" w:ascii="宋体" w:hAnsi="宋体" w:eastAsia="宋体"/>
      <w:b/>
      <w:kern w:val="2"/>
      <w:sz w:val="32"/>
      <w:lang w:val="en-US" w:eastAsia="zh-CN" w:bidi="ar-SA"/>
    </w:rPr>
  </w:style>
  <w:style w:type="character" w:customStyle="1" w:styleId="796">
    <w:name w:val="批注主题 Char"/>
    <w:qFormat/>
    <w:locked/>
    <w:uiPriority w:val="0"/>
    <w:rPr>
      <w:rFonts w:hint="eastAsia" w:ascii="宋体" w:hAnsi="宋体" w:eastAsia="宋体"/>
      <w:b/>
      <w:kern w:val="2"/>
      <w:sz w:val="24"/>
    </w:rPr>
  </w:style>
  <w:style w:type="character" w:customStyle="1" w:styleId="797">
    <w:name w:val="Char Char151"/>
    <w:qFormat/>
    <w:uiPriority w:val="0"/>
    <w:rPr>
      <w:rFonts w:hint="eastAsia" w:ascii="宋体" w:hAnsi="宋体" w:eastAsia="宋体"/>
      <w:kern w:val="2"/>
      <w:sz w:val="18"/>
      <w:lang w:val="en-US" w:eastAsia="zh-CN" w:bidi="ar-SA"/>
    </w:rPr>
  </w:style>
  <w:style w:type="character" w:customStyle="1" w:styleId="798">
    <w:name w:val="引用 Char"/>
    <w:qFormat/>
    <w:locked/>
    <w:uiPriority w:val="0"/>
    <w:rPr>
      <w:rFonts w:hint="eastAsia" w:ascii="汉鼎简书宋" w:eastAsia="汉鼎简书宋"/>
      <w:i/>
      <w:color w:val="000000"/>
      <w:kern w:val="2"/>
      <w:sz w:val="24"/>
    </w:rPr>
  </w:style>
  <w:style w:type="character" w:customStyle="1" w:styleId="799">
    <w:name w:val="hb3 Char1"/>
    <w:qFormat/>
    <w:uiPriority w:val="0"/>
    <w:rPr>
      <w:rFonts w:hint="eastAsia" w:ascii="宋体" w:hAnsi="宋体" w:eastAsia="宋体"/>
      <w:b/>
      <w:sz w:val="24"/>
      <w:lang w:val="en-US" w:eastAsia="zh-CN"/>
    </w:rPr>
  </w:style>
  <w:style w:type="character" w:customStyle="1" w:styleId="800">
    <w:name w:val="Char Char38"/>
    <w:qFormat/>
    <w:uiPriority w:val="0"/>
    <w:rPr>
      <w:rFonts w:hint="eastAsia" w:ascii="宋体" w:hAnsi="宋体" w:eastAsia="宋体"/>
      <w:kern w:val="2"/>
      <w:sz w:val="24"/>
      <w:lang w:val="en-US" w:eastAsia="zh-CN"/>
    </w:rPr>
  </w:style>
  <w:style w:type="character" w:customStyle="1" w:styleId="801">
    <w:name w:val="font31"/>
    <w:qFormat/>
    <w:uiPriority w:val="0"/>
    <w:rPr>
      <w:rFonts w:hint="default" w:ascii="Times New Roman" w:hAnsi="Times New Roman" w:cs="Times New Roman"/>
      <w:color w:val="000000"/>
      <w:sz w:val="21"/>
      <w:szCs w:val="21"/>
      <w:u w:val="none"/>
      <w:vertAlign w:val="superscript"/>
    </w:rPr>
  </w:style>
  <w:style w:type="character" w:customStyle="1" w:styleId="802">
    <w:name w:val="正文文字缩进 3 Char Char1"/>
    <w:qFormat/>
    <w:uiPriority w:val="0"/>
    <w:rPr>
      <w:rFonts w:hint="eastAsia" w:ascii="宋体" w:hAnsi="宋体" w:eastAsia="宋体"/>
      <w:kern w:val="2"/>
      <w:sz w:val="16"/>
      <w:lang w:val="en-US" w:eastAsia="zh-CN" w:bidi="ar-SA"/>
    </w:rPr>
  </w:style>
  <w:style w:type="character" w:customStyle="1" w:styleId="803">
    <w:name w:val="MTConvertedEquation"/>
    <w:qFormat/>
    <w:uiPriority w:val="0"/>
    <w:rPr>
      <w:position w:val="-46"/>
    </w:rPr>
  </w:style>
  <w:style w:type="character" w:customStyle="1" w:styleId="804">
    <w:name w:val="正文文字 2 Char Char"/>
    <w:qFormat/>
    <w:uiPriority w:val="0"/>
    <w:rPr>
      <w:rFonts w:hint="eastAsia" w:ascii="宋体" w:hAnsi="宋体" w:eastAsia="汉鼎简书宋"/>
      <w:kern w:val="2"/>
      <w:sz w:val="24"/>
      <w:szCs w:val="24"/>
      <w:lang w:val="en-US" w:eastAsia="zh-CN" w:bidi="ar-SA"/>
    </w:rPr>
  </w:style>
  <w:style w:type="character" w:customStyle="1" w:styleId="805">
    <w:name w:val="Char Char112"/>
    <w:qFormat/>
    <w:uiPriority w:val="0"/>
    <w:rPr>
      <w:rFonts w:hint="eastAsia" w:ascii="宋体" w:hAnsi="宋体" w:eastAsia="宋体"/>
      <w:kern w:val="2"/>
      <w:sz w:val="18"/>
      <w:lang w:val="en-US" w:eastAsia="zh-CN" w:bidi="ar-SA"/>
    </w:rPr>
  </w:style>
  <w:style w:type="character" w:customStyle="1" w:styleId="806">
    <w:name w:val="Char Char212"/>
    <w:qFormat/>
    <w:uiPriority w:val="0"/>
    <w:rPr>
      <w:rFonts w:hint="eastAsia" w:ascii="宋体" w:hAnsi="宋体" w:eastAsia="宋体"/>
      <w:kern w:val="2"/>
      <w:sz w:val="18"/>
      <w:szCs w:val="18"/>
      <w:lang w:val="en-US" w:eastAsia="zh-CN" w:bidi="ar-SA"/>
    </w:rPr>
  </w:style>
  <w:style w:type="character" w:customStyle="1" w:styleId="807">
    <w:name w:val="正文文本 Char1"/>
    <w:qFormat/>
    <w:locked/>
    <w:uiPriority w:val="0"/>
    <w:rPr>
      <w:rFonts w:hint="eastAsia" w:ascii="仿宋_GB2312" w:eastAsia="仿宋_GB2312"/>
      <w:color w:val="000000"/>
      <w:kern w:val="2"/>
      <w:sz w:val="21"/>
    </w:rPr>
  </w:style>
  <w:style w:type="character" w:customStyle="1" w:styleId="808">
    <w:name w:val="hb2 Char Char"/>
    <w:qFormat/>
    <w:uiPriority w:val="0"/>
    <w:rPr>
      <w:rFonts w:hint="eastAsia" w:ascii="宋体" w:hAnsi="宋体" w:eastAsia="宋体"/>
      <w:b/>
      <w:sz w:val="28"/>
      <w:lang w:val="en-US" w:eastAsia="zh-CN"/>
    </w:rPr>
  </w:style>
  <w:style w:type="character" w:customStyle="1" w:styleId="809">
    <w:name w:val="标题 3 字符1"/>
    <w:link w:val="5"/>
    <w:qFormat/>
    <w:locked/>
    <w:uiPriority w:val="0"/>
    <w:rPr>
      <w:rFonts w:ascii="Times New Roman" w:hAnsi="Times New Roman" w:eastAsia="宋体" w:cs="Times New Roman"/>
      <w:b/>
      <w:sz w:val="32"/>
      <w:szCs w:val="20"/>
    </w:rPr>
  </w:style>
  <w:style w:type="character" w:customStyle="1" w:styleId="810">
    <w:name w:val="正文文字缩进 3 Char Char"/>
    <w:qFormat/>
    <w:uiPriority w:val="0"/>
    <w:rPr>
      <w:rFonts w:hint="default" w:ascii="Times New Roman" w:hAnsi="Times New Roman" w:eastAsia="宋体" w:cs="Times New Roman"/>
      <w:sz w:val="16"/>
    </w:rPr>
  </w:style>
  <w:style w:type="character" w:customStyle="1" w:styleId="811">
    <w:name w:val="Char Char252"/>
    <w:qFormat/>
    <w:uiPriority w:val="0"/>
    <w:rPr>
      <w:rFonts w:hint="eastAsia" w:ascii="宋体" w:hAnsi="宋体" w:eastAsia="宋体"/>
      <w:b/>
      <w:bCs/>
      <w:kern w:val="2"/>
      <w:sz w:val="28"/>
      <w:szCs w:val="28"/>
      <w:lang w:val="en-US" w:eastAsia="zh-CN" w:bidi="ar-SA"/>
    </w:rPr>
  </w:style>
  <w:style w:type="character" w:customStyle="1" w:styleId="812">
    <w:name w:val="hb1 Char1"/>
    <w:qFormat/>
    <w:uiPriority w:val="0"/>
    <w:rPr>
      <w:rFonts w:hint="eastAsia" w:ascii="黑体" w:hAnsi="Arial Narrow" w:eastAsia="黑体"/>
      <w:b/>
      <w:kern w:val="44"/>
      <w:sz w:val="32"/>
      <w:lang w:val="en-US" w:eastAsia="zh-CN"/>
    </w:rPr>
  </w:style>
  <w:style w:type="character" w:customStyle="1" w:styleId="813">
    <w:name w:val="正文3 Char"/>
    <w:qFormat/>
    <w:uiPriority w:val="0"/>
    <w:rPr>
      <w:rFonts w:hint="eastAsia" w:ascii="宋体" w:hAnsi="宋体" w:eastAsia="宋体" w:cs="宋体"/>
      <w:kern w:val="2"/>
      <w:sz w:val="24"/>
      <w:szCs w:val="24"/>
      <w:lang w:val="en-US" w:eastAsia="zh-CN" w:bidi="ar-SA"/>
    </w:rPr>
  </w:style>
  <w:style w:type="character" w:customStyle="1" w:styleId="814">
    <w:name w:val="标题 7 字符1"/>
    <w:link w:val="9"/>
    <w:semiHidden/>
    <w:qFormat/>
    <w:locked/>
    <w:uiPriority w:val="99"/>
    <w:rPr>
      <w:rFonts w:ascii="Times New Roman" w:hAnsi="Times New Roman" w:eastAsia="宋体" w:cs="Times New Roman"/>
      <w:b/>
      <w:sz w:val="24"/>
      <w:szCs w:val="20"/>
    </w:rPr>
  </w:style>
  <w:style w:type="character" w:customStyle="1" w:styleId="815">
    <w:name w:val="apple-style-span"/>
    <w:qFormat/>
    <w:uiPriority w:val="0"/>
  </w:style>
  <w:style w:type="character" w:customStyle="1" w:styleId="816">
    <w:name w:val="Char Char22"/>
    <w:qFormat/>
    <w:uiPriority w:val="0"/>
    <w:rPr>
      <w:rFonts w:hint="eastAsia" w:ascii="宋体" w:hAnsi="宋体" w:eastAsia="宋体"/>
      <w:kern w:val="2"/>
      <w:sz w:val="18"/>
      <w:lang w:val="en-US" w:eastAsia="zh-CN"/>
    </w:rPr>
  </w:style>
  <w:style w:type="character" w:customStyle="1" w:styleId="817">
    <w:name w:val="g Char1"/>
    <w:qFormat/>
    <w:uiPriority w:val="0"/>
    <w:rPr>
      <w:rFonts w:hint="eastAsia" w:ascii="宋体" w:hAnsi="宋体" w:eastAsia="宋体"/>
      <w:kern w:val="2"/>
      <w:sz w:val="18"/>
      <w:szCs w:val="18"/>
      <w:lang w:val="en-US" w:eastAsia="zh-CN" w:bidi="ar-SA"/>
    </w:rPr>
  </w:style>
  <w:style w:type="character" w:customStyle="1" w:styleId="818">
    <w:name w:val="Body Text 2 Char Char"/>
    <w:qFormat/>
    <w:uiPriority w:val="0"/>
    <w:rPr>
      <w:rFonts w:hint="eastAsia" w:ascii="宋体" w:hAnsi="宋体" w:eastAsia="宋体"/>
      <w:sz w:val="28"/>
    </w:rPr>
  </w:style>
  <w:style w:type="character" w:customStyle="1" w:styleId="819">
    <w:name w:val="txt141"/>
    <w:qFormat/>
    <w:uiPriority w:val="0"/>
    <w:rPr>
      <w:color w:val="333333"/>
      <w:sz w:val="21"/>
      <w:u w:val="none"/>
    </w:rPr>
  </w:style>
  <w:style w:type="character" w:customStyle="1" w:styleId="820">
    <w:name w:val="Char Char131"/>
    <w:semiHidden/>
    <w:qFormat/>
    <w:uiPriority w:val="0"/>
    <w:rPr>
      <w:rFonts w:hint="eastAsia" w:ascii="宋体" w:hAnsi="宋体" w:eastAsia="宋体"/>
      <w:kern w:val="2"/>
      <w:sz w:val="21"/>
      <w:lang w:val="en-US" w:eastAsia="zh-CN" w:bidi="ar-SA"/>
    </w:rPr>
  </w:style>
  <w:style w:type="character" w:customStyle="1" w:styleId="821">
    <w:name w:val="标题 Char"/>
    <w:qFormat/>
    <w:uiPriority w:val="0"/>
    <w:rPr>
      <w:rFonts w:hint="default" w:ascii="Arial" w:hAnsi="Arial" w:eastAsia="汉鼎简书宋" w:cs="Arial"/>
      <w:b/>
      <w:bCs/>
      <w:kern w:val="2"/>
      <w:sz w:val="32"/>
      <w:szCs w:val="32"/>
      <w:lang w:val="en-US" w:eastAsia="zh-CN" w:bidi="ar-SA"/>
    </w:rPr>
  </w:style>
  <w:style w:type="character" w:customStyle="1" w:styleId="822">
    <w:name w:val="H8 Char Char"/>
    <w:qFormat/>
    <w:uiPriority w:val="0"/>
    <w:rPr>
      <w:rFonts w:hint="default" w:ascii="Arial" w:hAnsi="Arial" w:eastAsia="黑体" w:cs="Arial"/>
      <w:kern w:val="22"/>
      <w:sz w:val="24"/>
    </w:rPr>
  </w:style>
  <w:style w:type="character" w:customStyle="1" w:styleId="823">
    <w:name w:val="正文文本缩进 2 Char1"/>
    <w:semiHidden/>
    <w:qFormat/>
    <w:uiPriority w:val="99"/>
    <w:rPr>
      <w:rFonts w:hint="eastAsia" w:ascii="宋体" w:hAnsi="宋体" w:eastAsia="宋体"/>
      <w:kern w:val="2"/>
      <w:sz w:val="24"/>
    </w:rPr>
  </w:style>
  <w:style w:type="character" w:customStyle="1" w:styleId="824">
    <w:name w:val="标题 1 Char Char Char"/>
    <w:qFormat/>
    <w:uiPriority w:val="0"/>
    <w:rPr>
      <w:rFonts w:hint="eastAsia" w:ascii="宋体" w:hAnsi="宋体" w:eastAsia="宋体"/>
      <w:b/>
      <w:kern w:val="44"/>
      <w:sz w:val="44"/>
      <w:lang w:val="en-US" w:eastAsia="zh-CN"/>
    </w:rPr>
  </w:style>
  <w:style w:type="character" w:customStyle="1" w:styleId="825">
    <w:name w:val="正文文字 Char Char"/>
    <w:qFormat/>
    <w:uiPriority w:val="0"/>
    <w:rPr>
      <w:rFonts w:hint="default" w:ascii="Times New Roman" w:hAnsi="Times New Roman" w:eastAsia="宋体" w:cs="Times New Roman"/>
      <w:sz w:val="24"/>
    </w:rPr>
  </w:style>
  <w:style w:type="character" w:customStyle="1" w:styleId="826">
    <w:name w:val="表号 Char3"/>
    <w:qFormat/>
    <w:uiPriority w:val="0"/>
    <w:rPr>
      <w:rFonts w:hint="eastAsia" w:ascii="宋体" w:hAnsi="宋体" w:eastAsia="宋体"/>
      <w:sz w:val="24"/>
      <w:szCs w:val="24"/>
      <w:lang w:val="en-US" w:eastAsia="zh-CN" w:bidi="ar-SA"/>
    </w:rPr>
  </w:style>
  <w:style w:type="character" w:customStyle="1" w:styleId="827">
    <w:name w:val="postbody1"/>
    <w:qFormat/>
    <w:uiPriority w:val="0"/>
    <w:rPr>
      <w:sz w:val="28"/>
      <w:szCs w:val="28"/>
    </w:rPr>
  </w:style>
  <w:style w:type="character" w:customStyle="1" w:styleId="828">
    <w:name w:val="标题 2 字符1"/>
    <w:link w:val="4"/>
    <w:semiHidden/>
    <w:qFormat/>
    <w:locked/>
    <w:uiPriority w:val="0"/>
    <w:rPr>
      <w:rFonts w:ascii="Arial" w:hAnsi="Arial" w:eastAsia="黑体" w:cs="Times New Roman"/>
      <w:b/>
      <w:sz w:val="32"/>
      <w:szCs w:val="20"/>
    </w:rPr>
  </w:style>
  <w:style w:type="character" w:customStyle="1" w:styleId="829">
    <w:name w:val="pt101"/>
    <w:qFormat/>
    <w:uiPriority w:val="0"/>
    <w:rPr>
      <w:color w:val="000000"/>
      <w:sz w:val="21"/>
    </w:rPr>
  </w:style>
  <w:style w:type="character" w:customStyle="1" w:styleId="830">
    <w:name w:val="Char Char92"/>
    <w:qFormat/>
    <w:uiPriority w:val="0"/>
    <w:rPr>
      <w:rFonts w:hint="default" w:ascii="Arial" w:hAnsi="Arial" w:eastAsia="黑体" w:cs="Times New Roman"/>
      <w:sz w:val="24"/>
      <w:szCs w:val="24"/>
    </w:rPr>
  </w:style>
  <w:style w:type="character" w:customStyle="1" w:styleId="831">
    <w:name w:val="脚注文本 Char"/>
    <w:qFormat/>
    <w:locked/>
    <w:uiPriority w:val="0"/>
    <w:rPr>
      <w:rFonts w:hint="eastAsia" w:ascii="宋体" w:hAnsi="宋体" w:eastAsia="宋体"/>
      <w:kern w:val="2"/>
      <w:sz w:val="18"/>
    </w:rPr>
  </w:style>
  <w:style w:type="character" w:customStyle="1" w:styleId="832">
    <w:name w:val="标题 5 字符1"/>
    <w:link w:val="7"/>
    <w:semiHidden/>
    <w:qFormat/>
    <w:locked/>
    <w:uiPriority w:val="0"/>
    <w:rPr>
      <w:rFonts w:ascii="Times New Roman" w:hAnsi="Times New Roman" w:eastAsia="宋体" w:cs="Times New Roman"/>
      <w:b/>
      <w:sz w:val="28"/>
      <w:szCs w:val="20"/>
    </w:rPr>
  </w:style>
  <w:style w:type="character" w:customStyle="1" w:styleId="833">
    <w:name w:val="标题 9 字符1"/>
    <w:link w:val="11"/>
    <w:semiHidden/>
    <w:qFormat/>
    <w:locked/>
    <w:uiPriority w:val="99"/>
    <w:rPr>
      <w:rFonts w:ascii="Arial" w:hAnsi="Arial" w:eastAsia="黑体" w:cs="Times New Roman"/>
      <w:szCs w:val="20"/>
    </w:rPr>
  </w:style>
  <w:style w:type="character" w:customStyle="1" w:styleId="834">
    <w:name w:val="Char Char31"/>
    <w:qFormat/>
    <w:uiPriority w:val="0"/>
    <w:rPr>
      <w:rFonts w:hint="eastAsia" w:ascii="汉鼎简书宋" w:eastAsia="汉鼎简书宋"/>
      <w:b/>
      <w:bCs/>
      <w:sz w:val="28"/>
      <w:szCs w:val="28"/>
      <w:lang w:val="en-US" w:eastAsia="zh-CN" w:bidi="ar-SA"/>
    </w:rPr>
  </w:style>
  <w:style w:type="character" w:customStyle="1" w:styleId="835">
    <w:name w:val="纯文本 Char"/>
    <w:qFormat/>
    <w:locked/>
    <w:uiPriority w:val="99"/>
    <w:rPr>
      <w:rFonts w:hint="eastAsia" w:ascii="宋体" w:hAnsi="Courier New" w:eastAsia="汉鼎简书宋"/>
      <w:kern w:val="2"/>
      <w:sz w:val="24"/>
    </w:rPr>
  </w:style>
  <w:style w:type="character" w:customStyle="1" w:styleId="836">
    <w:name w:val="正文（首行缩进两字） Char Char"/>
    <w:qFormat/>
    <w:uiPriority w:val="0"/>
    <w:rPr>
      <w:rFonts w:hint="eastAsia" w:ascii="宋体" w:hAnsi="宋体" w:eastAsia="宋体"/>
      <w:kern w:val="2"/>
      <w:sz w:val="21"/>
      <w:lang w:val="en-US" w:eastAsia="zh-CN"/>
    </w:rPr>
  </w:style>
  <w:style w:type="character" w:customStyle="1" w:styleId="837">
    <w:name w:val="e011"/>
    <w:qFormat/>
    <w:uiPriority w:val="0"/>
    <w:rPr>
      <w:sz w:val="28"/>
      <w:szCs w:val="28"/>
    </w:rPr>
  </w:style>
  <w:style w:type="character" w:customStyle="1" w:styleId="838">
    <w:name w:val="标题 Char1"/>
    <w:qFormat/>
    <w:locked/>
    <w:uiPriority w:val="0"/>
    <w:rPr>
      <w:rFonts w:hint="default" w:ascii="Arial" w:hAnsi="Arial" w:eastAsia="汉鼎简书宋" w:cs="Arial"/>
      <w:b/>
      <w:kern w:val="2"/>
      <w:sz w:val="32"/>
    </w:rPr>
  </w:style>
  <w:style w:type="character" w:customStyle="1" w:styleId="839">
    <w:name w:val="正文文本 3 Char"/>
    <w:qFormat/>
    <w:locked/>
    <w:uiPriority w:val="0"/>
    <w:rPr>
      <w:rFonts w:hint="eastAsia" w:ascii="宋体" w:hAnsi="宋体" w:eastAsia="宋体"/>
      <w:kern w:val="2"/>
      <w:sz w:val="16"/>
    </w:rPr>
  </w:style>
  <w:style w:type="character" w:customStyle="1" w:styleId="840">
    <w:name w:val="文档结构图 Char"/>
    <w:qFormat/>
    <w:locked/>
    <w:uiPriority w:val="0"/>
    <w:rPr>
      <w:kern w:val="2"/>
      <w:sz w:val="21"/>
      <w:shd w:val="clear" w:color="auto" w:fill="000080"/>
    </w:rPr>
  </w:style>
  <w:style w:type="character" w:customStyle="1" w:styleId="841">
    <w:name w:val="Char Char171"/>
    <w:qFormat/>
    <w:uiPriority w:val="0"/>
    <w:rPr>
      <w:rFonts w:hint="default" w:ascii="Arial" w:hAnsi="Arial" w:eastAsia="黑体" w:cs="Arial"/>
      <w:b/>
      <w:bCs/>
      <w:sz w:val="24"/>
      <w:szCs w:val="24"/>
      <w:lang w:val="en-US" w:eastAsia="zh-CN" w:bidi="ar-SA"/>
    </w:rPr>
  </w:style>
  <w:style w:type="character" w:customStyle="1" w:styleId="842">
    <w:name w:val="节，一 Char1"/>
    <w:qFormat/>
    <w:uiPriority w:val="0"/>
    <w:rPr>
      <w:rFonts w:hint="default" w:ascii="Arial" w:hAnsi="Arial" w:eastAsia="黑体" w:cs="Arial"/>
      <w:b/>
      <w:kern w:val="2"/>
      <w:sz w:val="32"/>
      <w:lang w:val="en-US" w:eastAsia="zh-CN" w:bidi="ar-SA"/>
    </w:rPr>
  </w:style>
  <w:style w:type="character" w:customStyle="1" w:styleId="843">
    <w:name w:val="批注文字 Char"/>
    <w:qFormat/>
    <w:uiPriority w:val="0"/>
    <w:rPr>
      <w:rFonts w:hint="eastAsia" w:ascii="宋体" w:hAnsi="宋体" w:eastAsia="宋体"/>
      <w:kern w:val="2"/>
      <w:sz w:val="24"/>
    </w:rPr>
  </w:style>
  <w:style w:type="character" w:customStyle="1" w:styleId="844">
    <w:name w:val="hangju"/>
    <w:basedOn w:val="66"/>
    <w:qFormat/>
    <w:uiPriority w:val="0"/>
  </w:style>
  <w:style w:type="character" w:customStyle="1" w:styleId="845">
    <w:name w:val="表头 Char3"/>
    <w:qFormat/>
    <w:uiPriority w:val="0"/>
    <w:rPr>
      <w:rFonts w:hint="eastAsia" w:ascii="宋体" w:hAnsi="宋体" w:eastAsia="宋体" w:cs="宋体"/>
      <w:b/>
      <w:bCs/>
      <w:kern w:val="24"/>
      <w:sz w:val="24"/>
      <w:szCs w:val="28"/>
      <w:lang w:val="en-US" w:eastAsia="zh-CN" w:bidi="ar-SA"/>
    </w:rPr>
  </w:style>
  <w:style w:type="character" w:customStyle="1" w:styleId="846">
    <w:name w:val="H5 Char"/>
    <w:qFormat/>
    <w:uiPriority w:val="0"/>
    <w:rPr>
      <w:rFonts w:hint="default" w:ascii="Times New Roman" w:hAnsi="Times New Roman" w:eastAsia="宋体" w:cs="Times New Roman"/>
      <w:b/>
      <w:kern w:val="0"/>
      <w:sz w:val="28"/>
    </w:rPr>
  </w:style>
  <w:style w:type="character" w:customStyle="1" w:styleId="847">
    <w:name w:val="正文（首行缩进两字） Char Char Char"/>
    <w:qFormat/>
    <w:uiPriority w:val="0"/>
    <w:rPr>
      <w:rFonts w:hint="eastAsia" w:ascii="宋体" w:hAnsi="宋体" w:eastAsia="宋体"/>
      <w:kern w:val="2"/>
      <w:sz w:val="21"/>
      <w:lang w:val="en-US" w:eastAsia="zh-CN"/>
    </w:rPr>
  </w:style>
  <w:style w:type="character" w:customStyle="1" w:styleId="848">
    <w:name w:val="Char Char242"/>
    <w:qFormat/>
    <w:uiPriority w:val="0"/>
    <w:rPr>
      <w:rFonts w:hint="default" w:ascii="Arial" w:hAnsi="Arial" w:eastAsia="黑体" w:cs="Arial"/>
      <w:b/>
      <w:bCs/>
      <w:sz w:val="24"/>
      <w:szCs w:val="24"/>
      <w:lang w:val="en-US" w:eastAsia="zh-CN" w:bidi="ar-SA"/>
    </w:rPr>
  </w:style>
  <w:style w:type="character" w:customStyle="1" w:styleId="849">
    <w:name w:val="px14"/>
    <w:basedOn w:val="66"/>
    <w:qFormat/>
    <w:uiPriority w:val="0"/>
  </w:style>
  <w:style w:type="character" w:customStyle="1" w:styleId="850">
    <w:name w:val="g Char Char1"/>
    <w:qFormat/>
    <w:uiPriority w:val="0"/>
    <w:rPr>
      <w:rFonts w:hint="eastAsia" w:ascii="宋体" w:hAnsi="宋体" w:eastAsia="宋体"/>
      <w:kern w:val="2"/>
      <w:sz w:val="18"/>
      <w:lang w:val="en-US" w:eastAsia="zh-CN" w:bidi="ar-SA"/>
    </w:rPr>
  </w:style>
  <w:style w:type="character" w:customStyle="1" w:styleId="851">
    <w:name w:val="正文缩进 Char2"/>
    <w:qFormat/>
    <w:uiPriority w:val="0"/>
    <w:rPr>
      <w:rFonts w:hint="eastAsia" w:ascii="宋体" w:hAnsi="宋体" w:eastAsia="宋体"/>
      <w:kern w:val="2"/>
      <w:sz w:val="28"/>
    </w:rPr>
  </w:style>
  <w:style w:type="character" w:customStyle="1" w:styleId="852">
    <w:name w:val="Char Char Char3"/>
    <w:qFormat/>
    <w:uiPriority w:val="0"/>
    <w:rPr>
      <w:rFonts w:hint="eastAsia" w:ascii="宋体" w:hAnsi="宋体" w:eastAsia="宋体"/>
      <w:b/>
      <w:sz w:val="32"/>
      <w:lang w:val="en-US" w:eastAsia="zh-CN"/>
    </w:rPr>
  </w:style>
  <w:style w:type="character" w:customStyle="1" w:styleId="853">
    <w:name w:val="hp"/>
    <w:qFormat/>
    <w:uiPriority w:val="0"/>
    <w:rPr>
      <w:rFonts w:hint="eastAsia" w:ascii="宋体" w:hAnsi="宋体" w:eastAsia="宋体"/>
      <w:b/>
      <w:sz w:val="28"/>
      <w:lang w:val="en-US" w:eastAsia="zh-CN"/>
    </w:rPr>
  </w:style>
  <w:style w:type="character" w:customStyle="1" w:styleId="854">
    <w:name w:val="Body Text 2 Char1"/>
    <w:qFormat/>
    <w:uiPriority w:val="0"/>
    <w:rPr>
      <w:rFonts w:hint="eastAsia" w:ascii="宋体" w:hAnsi="宋体" w:eastAsia="宋体"/>
      <w:sz w:val="28"/>
      <w:lang w:val="en-US" w:eastAsia="zh-CN" w:bidi="ar-SA"/>
    </w:rPr>
  </w:style>
  <w:style w:type="character" w:customStyle="1" w:styleId="855">
    <w:name w:val="明显引用 Char1"/>
    <w:qFormat/>
    <w:uiPriority w:val="30"/>
    <w:rPr>
      <w:rFonts w:hint="eastAsia" w:ascii="宋体" w:hAnsi="宋体" w:eastAsia="宋体"/>
      <w:i/>
      <w:iCs/>
      <w:color w:val="5B9BD5"/>
      <w:kern w:val="2"/>
      <w:sz w:val="24"/>
    </w:rPr>
  </w:style>
  <w:style w:type="character" w:customStyle="1" w:styleId="856">
    <w:name w:val="正文文本缩进 3 Char1"/>
    <w:semiHidden/>
    <w:qFormat/>
    <w:uiPriority w:val="99"/>
    <w:rPr>
      <w:rFonts w:hint="eastAsia" w:ascii="宋体" w:hAnsi="宋体" w:eastAsia="宋体"/>
      <w:kern w:val="2"/>
      <w:sz w:val="16"/>
      <w:szCs w:val="16"/>
    </w:rPr>
  </w:style>
  <w:style w:type="character" w:customStyle="1" w:styleId="857">
    <w:name w:val="批注框文本 Char"/>
    <w:qFormat/>
    <w:locked/>
    <w:uiPriority w:val="0"/>
    <w:rPr>
      <w:rFonts w:hint="eastAsia" w:ascii="宋体" w:hAnsi="宋体" w:eastAsia="宋体"/>
      <w:kern w:val="2"/>
      <w:sz w:val="18"/>
    </w:rPr>
  </w:style>
  <w:style w:type="character" w:customStyle="1" w:styleId="858">
    <w:name w:val="headline-content2"/>
    <w:basedOn w:val="66"/>
    <w:qFormat/>
    <w:uiPriority w:val="0"/>
  </w:style>
  <w:style w:type="character" w:customStyle="1" w:styleId="859">
    <w:name w:val="正文缩进 Char1 Char1"/>
    <w:qFormat/>
    <w:uiPriority w:val="0"/>
    <w:rPr>
      <w:kern w:val="2"/>
      <w:sz w:val="21"/>
      <w:szCs w:val="24"/>
    </w:rPr>
  </w:style>
  <w:style w:type="character" w:customStyle="1" w:styleId="860">
    <w:name w:val="hb4 Char1"/>
    <w:qFormat/>
    <w:uiPriority w:val="0"/>
    <w:rPr>
      <w:rFonts w:hint="eastAsia" w:ascii="宋体" w:hAnsi="Arial" w:eastAsia="宋体"/>
      <w:b/>
      <w:kern w:val="0"/>
      <w:sz w:val="24"/>
    </w:rPr>
  </w:style>
  <w:style w:type="character" w:customStyle="1" w:styleId="861">
    <w:name w:val="Char Char91"/>
    <w:qFormat/>
    <w:uiPriority w:val="0"/>
    <w:rPr>
      <w:rFonts w:hint="eastAsia" w:ascii="宋体" w:hAnsi="宋体" w:eastAsia="宋体"/>
      <w:sz w:val="24"/>
      <w:szCs w:val="24"/>
      <w:lang w:val="en-US" w:eastAsia="zh-CN" w:bidi="ar-SA"/>
    </w:rPr>
  </w:style>
  <w:style w:type="character" w:customStyle="1" w:styleId="862">
    <w:name w:val="表文字 Char"/>
    <w:qFormat/>
    <w:uiPriority w:val="0"/>
    <w:rPr>
      <w:rFonts w:hint="eastAsia" w:ascii="宋体" w:hAnsi="宋体" w:eastAsia="宋体"/>
      <w:sz w:val="21"/>
      <w:lang w:val="en-US" w:eastAsia="zh-CN"/>
    </w:rPr>
  </w:style>
  <w:style w:type="character" w:customStyle="1" w:styleId="863">
    <w:name w:val="hb2 Char Char1"/>
    <w:qFormat/>
    <w:uiPriority w:val="0"/>
    <w:rPr>
      <w:rFonts w:hint="default" w:ascii="Arial" w:hAnsi="Arial" w:eastAsia="宋体" w:cs="Arial"/>
      <w:b/>
      <w:bCs/>
      <w:kern w:val="2"/>
      <w:sz w:val="28"/>
      <w:szCs w:val="32"/>
      <w:lang w:val="en-US" w:eastAsia="zh-CN" w:bidi="ar-SA"/>
    </w:rPr>
  </w:style>
  <w:style w:type="character" w:customStyle="1" w:styleId="864">
    <w:name w:val="页脚 Char"/>
    <w:qFormat/>
    <w:locked/>
    <w:uiPriority w:val="99"/>
    <w:rPr>
      <w:kern w:val="2"/>
      <w:sz w:val="18"/>
    </w:rPr>
  </w:style>
  <w:style w:type="character" w:customStyle="1" w:styleId="865">
    <w:name w:val="H4 Char"/>
    <w:qFormat/>
    <w:uiPriority w:val="0"/>
    <w:rPr>
      <w:rFonts w:hint="default" w:ascii="Arial" w:hAnsi="Arial" w:eastAsia="黑体" w:cs="Arial"/>
      <w:b/>
      <w:kern w:val="2"/>
      <w:sz w:val="28"/>
      <w:lang w:val="en-US" w:eastAsia="zh-CN"/>
    </w:rPr>
  </w:style>
  <w:style w:type="character" w:customStyle="1" w:styleId="866">
    <w:name w:val="Char Char27"/>
    <w:qFormat/>
    <w:uiPriority w:val="0"/>
    <w:rPr>
      <w:rFonts w:hint="eastAsia" w:ascii="宋体" w:hAnsi="宋体" w:eastAsia="宋体"/>
      <w:b/>
      <w:kern w:val="44"/>
      <w:sz w:val="44"/>
      <w:lang w:val="en-US" w:eastAsia="zh-CN"/>
    </w:rPr>
  </w:style>
  <w:style w:type="character" w:customStyle="1" w:styleId="867">
    <w:name w:val="标题 3 Char"/>
    <w:qFormat/>
    <w:uiPriority w:val="0"/>
    <w:rPr>
      <w:rFonts w:hint="eastAsia" w:ascii="宋体" w:hAnsi="宋体" w:eastAsia="宋体"/>
      <w:b/>
      <w:kern w:val="2"/>
      <w:sz w:val="32"/>
      <w:lang w:val="en-US" w:eastAsia="zh-CN"/>
    </w:rPr>
  </w:style>
  <w:style w:type="character" w:customStyle="1" w:styleId="868">
    <w:name w:val="页脚 Char Char Char1"/>
    <w:qFormat/>
    <w:uiPriority w:val="0"/>
    <w:rPr>
      <w:rFonts w:hint="eastAsia" w:ascii="宋体" w:hAnsi="宋体" w:eastAsia="宋体"/>
      <w:kern w:val="2"/>
      <w:sz w:val="18"/>
      <w:szCs w:val="18"/>
      <w:lang w:val="en-US" w:eastAsia="zh-CN" w:bidi="ar-SA"/>
    </w:rPr>
  </w:style>
  <w:style w:type="character" w:customStyle="1" w:styleId="869">
    <w:name w:val="正文 Char Char"/>
    <w:qFormat/>
    <w:uiPriority w:val="0"/>
    <w:rPr>
      <w:rFonts w:hint="eastAsia" w:ascii="宋体" w:hAnsi="宋体" w:eastAsia="宋体"/>
      <w:kern w:val="2"/>
      <w:sz w:val="24"/>
      <w:szCs w:val="24"/>
      <w:lang w:val="en-US" w:eastAsia="zh-CN" w:bidi="ar-SA"/>
    </w:rPr>
  </w:style>
  <w:style w:type="character" w:customStyle="1" w:styleId="870">
    <w:name w:val="Char Char18"/>
    <w:qFormat/>
    <w:uiPriority w:val="0"/>
    <w:rPr>
      <w:rFonts w:hint="eastAsia" w:ascii="宋体" w:hAnsi="宋体" w:eastAsia="宋体"/>
      <w:kern w:val="2"/>
      <w:sz w:val="21"/>
      <w:szCs w:val="24"/>
      <w:lang w:val="en-US" w:eastAsia="zh-CN" w:bidi="ar-SA"/>
    </w:rPr>
  </w:style>
  <w:style w:type="character" w:customStyle="1" w:styleId="871">
    <w:name w:val="正文首行缩进 Char"/>
    <w:qFormat/>
    <w:uiPriority w:val="0"/>
    <w:rPr>
      <w:rFonts w:hint="eastAsia" w:ascii="宋体" w:hAnsi="宋体" w:eastAsia="汉鼎简书宋" w:cs="宋体"/>
      <w:kern w:val="32"/>
      <w:sz w:val="24"/>
      <w:szCs w:val="24"/>
      <w:lang w:val="en-US" w:eastAsia="zh-CN" w:bidi="ar-SA"/>
    </w:rPr>
  </w:style>
  <w:style w:type="character" w:customStyle="1" w:styleId="872">
    <w:name w:val="Char Char15"/>
    <w:qFormat/>
    <w:uiPriority w:val="0"/>
    <w:rPr>
      <w:rFonts w:hint="eastAsia" w:ascii="隶书" w:eastAsia="隶书"/>
      <w:sz w:val="18"/>
      <w:lang w:val="en-US" w:eastAsia="zh-CN"/>
    </w:rPr>
  </w:style>
  <w:style w:type="character" w:customStyle="1" w:styleId="873">
    <w:name w:val="Char Char25"/>
    <w:qFormat/>
    <w:uiPriority w:val="0"/>
    <w:rPr>
      <w:rFonts w:hint="eastAsia" w:ascii="宋体" w:hAnsi="宋体" w:eastAsia="宋体"/>
      <w:b/>
      <w:kern w:val="2"/>
      <w:sz w:val="24"/>
      <w:lang w:val="en-US" w:eastAsia="zh-CN"/>
    </w:rPr>
  </w:style>
  <w:style w:type="character" w:customStyle="1" w:styleId="874">
    <w:name w:val="Char Char381"/>
    <w:qFormat/>
    <w:uiPriority w:val="0"/>
    <w:rPr>
      <w:rFonts w:hint="eastAsia" w:ascii="宋体" w:hAnsi="宋体" w:eastAsia="宋体"/>
      <w:kern w:val="2"/>
      <w:sz w:val="24"/>
      <w:lang w:val="en-US" w:eastAsia="zh-CN"/>
    </w:rPr>
  </w:style>
  <w:style w:type="character" w:customStyle="1" w:styleId="875">
    <w:name w:val="副标题 Char"/>
    <w:qFormat/>
    <w:locked/>
    <w:uiPriority w:val="0"/>
    <w:rPr>
      <w:rFonts w:hint="default" w:ascii="Arial" w:hAnsi="Arial" w:eastAsia="黑体" w:cs="Arial"/>
      <w:b/>
      <w:sz w:val="28"/>
    </w:rPr>
  </w:style>
  <w:style w:type="character" w:customStyle="1" w:styleId="876">
    <w:name w:val="章标题 1 Char2"/>
    <w:qFormat/>
    <w:uiPriority w:val="0"/>
    <w:rPr>
      <w:rFonts w:hint="eastAsia" w:ascii="宋体" w:hAnsi="宋体" w:eastAsia="宋体"/>
      <w:b/>
      <w:kern w:val="44"/>
      <w:sz w:val="44"/>
      <w:lang w:val="en-US" w:eastAsia="zh-CN" w:bidi="ar-SA"/>
    </w:rPr>
  </w:style>
  <w:style w:type="character" w:customStyle="1" w:styleId="877">
    <w:name w:val="left"/>
    <w:qFormat/>
    <w:uiPriority w:val="0"/>
  </w:style>
  <w:style w:type="character" w:customStyle="1" w:styleId="878">
    <w:name w:val="页眉 Char"/>
    <w:qFormat/>
    <w:uiPriority w:val="99"/>
    <w:rPr>
      <w:rFonts w:hint="eastAsia" w:ascii="宋体" w:hAnsi="宋体" w:eastAsia="宋体"/>
      <w:kern w:val="2"/>
      <w:sz w:val="18"/>
      <w:lang w:val="en-US" w:eastAsia="zh-CN"/>
    </w:rPr>
  </w:style>
  <w:style w:type="character" w:customStyle="1" w:styleId="879">
    <w:name w:val="标题 3 Char1"/>
    <w:qFormat/>
    <w:uiPriority w:val="0"/>
    <w:rPr>
      <w:rFonts w:hint="eastAsia" w:ascii="宋体" w:hAnsi="宋体" w:eastAsia="宋体"/>
      <w:b/>
      <w:kern w:val="2"/>
      <w:sz w:val="32"/>
      <w:lang w:val="en-US" w:eastAsia="zh-CN"/>
    </w:rPr>
  </w:style>
  <w:style w:type="character" w:customStyle="1" w:styleId="880">
    <w:name w:val="font01"/>
    <w:qFormat/>
    <w:uiPriority w:val="0"/>
    <w:rPr>
      <w:rFonts w:hint="eastAsia" w:ascii="宋体" w:hAnsi="宋体" w:eastAsia="宋体"/>
      <w:color w:val="FF0000"/>
      <w:sz w:val="22"/>
      <w:szCs w:val="22"/>
      <w:u w:val="none"/>
    </w:rPr>
  </w:style>
  <w:style w:type="table" w:customStyle="1" w:styleId="881">
    <w:name w:val="浅色底纹 - 强调文字颜色 11"/>
    <w:basedOn w:val="59"/>
    <w:qFormat/>
    <w:uiPriority w:val="0"/>
    <w:rPr>
      <w:color w:val="365F91"/>
      <w:sz w:val="22"/>
    </w:rPr>
    <w:tblPr>
      <w:tblBorders>
        <w:top w:val="single" w:color="4F81BD" w:sz="8" w:space="0"/>
        <w:bottom w:val="single" w:color="4F81BD" w:sz="8" w:space="0"/>
      </w:tblBorders>
    </w:tblPr>
    <w:tblStylePr w:type="fir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style>
  <w:style w:type="table" w:customStyle="1" w:styleId="882">
    <w:name w:val="zwb01"/>
    <w:basedOn w:val="60"/>
    <w:qFormat/>
    <w:uiPriority w:val="0"/>
    <w:tblPr>
      <w:tblBorders>
        <w:top w:val="single" w:color="auto" w:sz="12" w:space="0"/>
        <w:bottom w:val="single" w:color="auto" w:sz="12" w:space="0"/>
      </w:tblBorders>
      <w:tblCellMar>
        <w:left w:w="0" w:type="dxa"/>
        <w:right w:w="0" w:type="dxa"/>
      </w:tblCellMar>
    </w:tblPr>
    <w:tcPr>
      <w:vAlign w:val="center"/>
    </w:tcPr>
  </w:style>
  <w:style w:type="table" w:customStyle="1" w:styleId="883">
    <w:name w:val="浅色底纹 - 强调文字颜色 12"/>
    <w:basedOn w:val="59"/>
    <w:qFormat/>
    <w:uiPriority w:val="0"/>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style>
  <w:style w:type="paragraph" w:customStyle="1" w:styleId="884">
    <w:name w:val="样式 表头 + 首行缩进:  2 字符"/>
    <w:basedOn w:val="345"/>
    <w:qFormat/>
    <w:uiPriority w:val="0"/>
    <w:pPr>
      <w:topLinePunct w:val="0"/>
      <w:spacing w:before="240" w:after="240" w:line="400" w:lineRule="exact"/>
    </w:pPr>
    <w:rPr>
      <w:rFonts w:eastAsia="汉鼎简书宋"/>
      <w:kern w:val="32"/>
    </w:rPr>
  </w:style>
  <w:style w:type="paragraph" w:customStyle="1" w:styleId="885">
    <w:name w:val="样式 正文"/>
    <w:basedOn w:val="301"/>
    <w:qFormat/>
    <w:uiPriority w:val="0"/>
  </w:style>
  <w:style w:type="paragraph" w:customStyle="1" w:styleId="886">
    <w:name w:val="样式 表文字 + 左  4 字符"/>
    <w:basedOn w:val="522"/>
    <w:qFormat/>
    <w:uiPriority w:val="0"/>
  </w:style>
  <w:style w:type="paragraph" w:customStyle="1" w:styleId="887">
    <w:name w:val="样式 表号 + 首行缩进:  0.99 厘米"/>
    <w:basedOn w:val="331"/>
    <w:qFormat/>
    <w:uiPriority w:val="0"/>
    <w:pPr>
      <w:widowControl w:val="0"/>
      <w:snapToGrid/>
      <w:ind w:firstLine="480"/>
    </w:pPr>
    <w:rPr>
      <w:rFonts w:ascii="Arial Narrow" w:hAnsi="Arial Narrow" w:eastAsia="汉鼎简书宋"/>
    </w:rPr>
  </w:style>
  <w:style w:type="paragraph" w:customStyle="1" w:styleId="888">
    <w:name w:val="样式 hb4 + 段前: 0.5 行 段后: 0.5 行3"/>
    <w:basedOn w:val="499"/>
    <w:qFormat/>
    <w:uiPriority w:val="0"/>
    <w:pPr>
      <w:spacing w:beforeLines="50" w:afterLines="50" w:line="529" w:lineRule="exact"/>
    </w:pPr>
    <w:rPr>
      <w:rFonts w:ascii="宋体" w:hAnsi="Arial" w:eastAsia="宋体"/>
      <w:b/>
    </w:rPr>
  </w:style>
  <w:style w:type="paragraph" w:customStyle="1" w:styleId="889">
    <w:name w:val="样式 样式5 + 首行缩进:  2 字符"/>
    <w:basedOn w:val="381"/>
    <w:qFormat/>
    <w:uiPriority w:val="0"/>
    <w:pPr>
      <w:keepNext w:val="0"/>
      <w:keepLines w:val="0"/>
      <w:tabs>
        <w:tab w:val="clear" w:pos="1247"/>
        <w:tab w:val="clear" w:pos="1534"/>
      </w:tabs>
      <w:ind w:left="0" w:firstLine="200" w:firstLineChars="200"/>
      <w:outlineLvl w:val="9"/>
    </w:pPr>
    <w:rPr>
      <w:rFonts w:eastAsia="宋体" w:cs="宋体"/>
      <w:b w:val="0"/>
      <w:sz w:val="24"/>
    </w:rPr>
  </w:style>
  <w:style w:type="paragraph" w:customStyle="1" w:styleId="890">
    <w:name w:val="样式3"/>
    <w:basedOn w:val="183"/>
    <w:qFormat/>
    <w:uiPriority w:val="0"/>
  </w:style>
  <w:style w:type="paragraph" w:customStyle="1" w:styleId="891">
    <w:name w:val="正文文"/>
    <w:basedOn w:val="488"/>
    <w:qFormat/>
    <w:uiPriority w:val="0"/>
    <w:pPr>
      <w:ind w:firstLine="480"/>
      <w:jc w:val="left"/>
    </w:pPr>
    <w:rPr>
      <w:rFonts w:ascii="Times New Roman" w:hAnsi="Times New Roman" w:eastAsia="宋体"/>
      <w:szCs w:val="24"/>
    </w:rPr>
  </w:style>
  <w:style w:type="paragraph" w:customStyle="1" w:styleId="892">
    <w:name w:val="样式 样式 目录 3 + 首行缩进:  2 字符 + 首行缩进:  6 字符"/>
    <w:basedOn w:val="419"/>
    <w:qFormat/>
    <w:uiPriority w:val="0"/>
    <w:pPr>
      <w:tabs>
        <w:tab w:val="left" w:pos="2169"/>
        <w:tab w:val="clear" w:pos="1920"/>
        <w:tab w:val="clear" w:pos="9062"/>
      </w:tabs>
      <w:ind w:firstLine="1324"/>
    </w:pPr>
  </w:style>
  <w:style w:type="paragraph" w:customStyle="1" w:styleId="893">
    <w:name w:val="样式 hb4 + 段前: 1.5 行 段后: 1 行"/>
    <w:basedOn w:val="499"/>
    <w:qFormat/>
    <w:uiPriority w:val="0"/>
    <w:pPr>
      <w:topLinePunct/>
      <w:spacing w:beforeLines="100" w:afterLines="100" w:line="240" w:lineRule="atLeast"/>
    </w:pPr>
    <w:rPr>
      <w:rFonts w:ascii="Times New Roman" w:hAnsi="Times New Roman" w:eastAsia="宋体" w:cs="宋体"/>
      <w:b/>
      <w:bCs/>
      <w:color w:val="000000"/>
      <w:kern w:val="0"/>
      <w:szCs w:val="24"/>
    </w:rPr>
  </w:style>
  <w:style w:type="paragraph" w:customStyle="1" w:styleId="894">
    <w:name w:val="样式 hb4 + 首行缩进:  0 厘米"/>
    <w:basedOn w:val="499"/>
    <w:qFormat/>
    <w:uiPriority w:val="0"/>
    <w:pPr>
      <w:spacing w:beforeLines="100" w:afterLines="100" w:line="529" w:lineRule="exact"/>
    </w:pPr>
    <w:rPr>
      <w:rFonts w:ascii="Times New Roman" w:hAnsi="Times New Roman"/>
    </w:rPr>
  </w:style>
  <w:style w:type="paragraph" w:customStyle="1" w:styleId="895">
    <w:name w:val="样式 hb4 + 段前: 0.5 行 段后: 0.5 行"/>
    <w:basedOn w:val="499"/>
    <w:next w:val="499"/>
    <w:qFormat/>
    <w:uiPriority w:val="0"/>
    <w:pPr>
      <w:topLinePunct/>
      <w:spacing w:line="300" w:lineRule="exact"/>
    </w:pPr>
    <w:rPr>
      <w:kern w:val="0"/>
    </w:rPr>
  </w:style>
  <w:style w:type="paragraph" w:customStyle="1" w:styleId="896">
    <w:name w:val="样式 样式 标题4 + 段前: 0.25 行 行距: 单倍行距 + 段前: 0.5 行1"/>
    <w:basedOn w:val="503"/>
    <w:qFormat/>
    <w:uiPriority w:val="0"/>
    <w:pPr>
      <w:tabs>
        <w:tab w:val="left" w:pos="2315"/>
        <w:tab w:val="clear" w:pos="1157"/>
        <w:tab w:val="clear" w:pos="3450"/>
      </w:tabs>
      <w:ind w:left="1405"/>
    </w:pPr>
  </w:style>
  <w:style w:type="paragraph" w:customStyle="1" w:styleId="897">
    <w:name w:val="样式 hb4 + 段前: 0.5 行 段后: 0.5 行2"/>
    <w:basedOn w:val="499"/>
    <w:qFormat/>
    <w:uiPriority w:val="0"/>
    <w:pPr>
      <w:topLinePunct/>
      <w:spacing w:beforeLines="100" w:afterLines="100" w:line="300" w:lineRule="exact"/>
    </w:pPr>
    <w:rPr>
      <w:kern w:val="0"/>
    </w:rPr>
  </w:style>
  <w:style w:type="paragraph" w:customStyle="1" w:styleId="898">
    <w:name w:val="样式 表文字 + 宋体"/>
    <w:basedOn w:val="522"/>
    <w:next w:val="522"/>
    <w:qFormat/>
    <w:uiPriority w:val="0"/>
    <w:pPr>
      <w:jc w:val="center"/>
    </w:pPr>
    <w:rPr>
      <w:rFonts w:cs="宋体"/>
      <w:kern w:val="0"/>
    </w:rPr>
  </w:style>
  <w:style w:type="paragraph" w:customStyle="1" w:styleId="899">
    <w:name w:val="样式 居中 首行缩进:  0.48 厘米"/>
    <w:basedOn w:val="522"/>
    <w:qFormat/>
    <w:uiPriority w:val="0"/>
    <w:pPr>
      <w:ind w:firstLine="272"/>
    </w:pPr>
  </w:style>
  <w:style w:type="paragraph" w:customStyle="1" w:styleId="900">
    <w:name w:val="样式 样式 样式 标题4- + 段前: 0.5 行 + 段前: 0.5 行 + 段前: 0.5 行1"/>
    <w:basedOn w:val="523"/>
    <w:qFormat/>
    <w:uiPriority w:val="0"/>
    <w:pPr>
      <w:ind w:left="170"/>
    </w:pPr>
  </w:style>
  <w:style w:type="paragraph" w:customStyle="1" w:styleId="901">
    <w:name w:val="样式 样式 标题4 + 段前: 0.25 行 行距: 单倍行距 + 段前: 0.5 行"/>
    <w:basedOn w:val="503"/>
    <w:qFormat/>
    <w:uiPriority w:val="0"/>
    <w:pPr>
      <w:tabs>
        <w:tab w:val="left" w:pos="2315"/>
        <w:tab w:val="clear" w:pos="1157"/>
        <w:tab w:val="clear" w:pos="3450"/>
      </w:tabs>
      <w:spacing w:before="165" w:beforeLines="0"/>
      <w:ind w:left="1405"/>
    </w:pPr>
    <w:rPr>
      <w:spacing w:val="0"/>
    </w:rPr>
  </w:style>
  <w:style w:type="paragraph" w:customStyle="1" w:styleId="902">
    <w:name w:val="样式 hb4 + 首行缩进:  0.85 厘米 段前: 0.5 行 段后: 0.5 行"/>
    <w:basedOn w:val="499"/>
    <w:qFormat/>
    <w:uiPriority w:val="0"/>
    <w:pPr>
      <w:topLinePunct/>
      <w:spacing w:beforeLines="100" w:afterLines="100" w:line="300" w:lineRule="exact"/>
    </w:pPr>
    <w:rPr>
      <w:kern w:val="0"/>
    </w:rPr>
  </w:style>
  <w:style w:type="paragraph" w:customStyle="1" w:styleId="903">
    <w:name w:val="样式 宋体 居中 首行缩进:  0.42 厘米"/>
    <w:basedOn w:val="522"/>
    <w:qFormat/>
    <w:uiPriority w:val="0"/>
    <w:pPr>
      <w:ind w:firstLine="240"/>
    </w:pPr>
    <w:rPr>
      <w:rFonts w:ascii="宋体" w:hAnsi="宋体"/>
      <w:kern w:val="0"/>
    </w:rPr>
  </w:style>
  <w:style w:type="paragraph" w:customStyle="1" w:styleId="904">
    <w:name w:val="(一)标题"/>
    <w:basedOn w:val="1"/>
    <w:qFormat/>
    <w:uiPriority w:val="0"/>
    <w:pPr>
      <w:snapToGrid w:val="0"/>
      <w:spacing w:line="500" w:lineRule="exact"/>
      <w:ind w:firstLine="567" w:firstLineChars="200"/>
      <w:jc w:val="left"/>
    </w:pPr>
    <w:rPr>
      <w:rFonts w:ascii="Times New Roman" w:hAnsi="Times New Roman" w:eastAsia="黑体"/>
      <w:b/>
      <w:kern w:val="21"/>
      <w:sz w:val="28"/>
    </w:rPr>
  </w:style>
  <w:style w:type="table" w:customStyle="1" w:styleId="905">
    <w:name w:val="网格型25"/>
    <w:basedOn w:val="5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06">
    <w:name w:val="zh正文"/>
    <w:basedOn w:val="1"/>
    <w:qFormat/>
    <w:uiPriority w:val="0"/>
    <w:pPr>
      <w:ind w:firstLine="560"/>
    </w:pPr>
    <w:rPr>
      <w:rFonts w:ascii="仿宋_GB2312" w:eastAsia="仿宋_GB2312"/>
      <w:b/>
      <w:color w:val="1D1B11"/>
      <w:sz w:val="28"/>
      <w:szCs w:val="28"/>
    </w:rPr>
  </w:style>
  <w:style w:type="table" w:customStyle="1" w:styleId="907">
    <w:name w:val="华宇表格"/>
    <w:basedOn w:val="59"/>
    <w:qFormat/>
    <w:uiPriority w:val="99"/>
    <w:pPr>
      <w:jc w:val="center"/>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paragraph" w:customStyle="1" w:styleId="908">
    <w:name w:val="标准条文"/>
    <w:qFormat/>
    <w:uiPriority w:val="0"/>
    <w:pPr>
      <w:spacing w:beforeLines="20" w:afterLines="20"/>
      <w:ind w:firstLine="200" w:firstLineChars="200"/>
    </w:pPr>
    <w:rPr>
      <w:rFonts w:ascii="Times New Roman" w:hAnsi="Times New Roman" w:eastAsia="宋体" w:cs="Times New Roman"/>
      <w:bCs/>
      <w:kern w:val="2"/>
      <w:sz w:val="21"/>
      <w:szCs w:val="24"/>
      <w:lang w:val="en-US" w:eastAsia="zh-CN" w:bidi="ar-SA"/>
    </w:rPr>
  </w:style>
  <w:style w:type="paragraph" w:customStyle="1" w:styleId="909">
    <w:name w:val="1-表内"/>
    <w:basedOn w:val="1"/>
    <w:qFormat/>
    <w:uiPriority w:val="0"/>
    <w:pPr>
      <w:spacing w:line="360" w:lineRule="auto"/>
      <w:ind w:firstLine="480" w:firstLineChars="200"/>
    </w:pPr>
    <w:rPr>
      <w:szCs w:val="21"/>
    </w:rPr>
  </w:style>
  <w:style w:type="paragraph" w:customStyle="1" w:styleId="910">
    <w:name w:val="大强表格"/>
    <w:basedOn w:val="1"/>
    <w:qFormat/>
    <w:uiPriority w:val="0"/>
    <w:pPr>
      <w:widowControl/>
      <w:adjustRightInd w:val="0"/>
      <w:snapToGrid w:val="0"/>
      <w:jc w:val="center"/>
    </w:pPr>
    <w:rPr>
      <w:rFonts w:cs="宋体"/>
      <w:kern w:val="0"/>
      <w:sz w:val="21"/>
      <w:szCs w:val="21"/>
    </w:rPr>
  </w:style>
  <w:style w:type="paragraph" w:customStyle="1" w:styleId="911">
    <w:name w:val="表头标题-环评"/>
    <w:basedOn w:val="1"/>
    <w:qFormat/>
    <w:uiPriority w:val="0"/>
    <w:pPr>
      <w:tabs>
        <w:tab w:val="left" w:pos="6840"/>
      </w:tabs>
      <w:topLinePunct/>
      <w:adjustRightInd w:val="0"/>
      <w:snapToGrid w:val="0"/>
      <w:spacing w:line="440" w:lineRule="exact"/>
      <w:jc w:val="center"/>
    </w:pPr>
    <w:rPr>
      <w:rFonts w:cs="宋体"/>
      <w:b/>
      <w:bCs/>
      <w:kern w:val="24"/>
      <w:szCs w:val="28"/>
    </w:rPr>
  </w:style>
  <w:style w:type="paragraph" w:customStyle="1" w:styleId="912">
    <w:name w:val="表头样式-大强"/>
    <w:basedOn w:val="331"/>
    <w:qFormat/>
    <w:uiPriority w:val="0"/>
    <w:pPr>
      <w:spacing w:line="440" w:lineRule="exact"/>
      <w:ind w:left="200" w:leftChars="200"/>
      <w:jc w:val="left"/>
    </w:pPr>
    <w:rPr>
      <w:rFonts w:ascii="Times New Roman" w:hAnsi="Times New Roman"/>
    </w:rPr>
  </w:style>
  <w:style w:type="character" w:customStyle="1" w:styleId="913">
    <w:name w:val="16"/>
    <w:basedOn w:val="66"/>
    <w:qFormat/>
    <w:uiPriority w:val="0"/>
    <w:rPr>
      <w:rFonts w:hint="eastAsia" w:ascii="宋体" w:hAnsi="宋体" w:eastAsia="宋体" w:cs="宋体"/>
      <w:color w:val="000000"/>
      <w:sz w:val="21"/>
      <w:szCs w:val="21"/>
    </w:rPr>
  </w:style>
  <w:style w:type="character" w:customStyle="1" w:styleId="914">
    <w:name w:val="15"/>
    <w:basedOn w:val="66"/>
    <w:qFormat/>
    <w:uiPriority w:val="0"/>
    <w:rPr>
      <w:rFonts w:hint="default" w:ascii="Times New Roman" w:hAnsi="Times New Roman" w:cs="Times New Roman"/>
      <w:color w:val="000000"/>
      <w:sz w:val="21"/>
      <w:szCs w:val="21"/>
    </w:rPr>
  </w:style>
  <w:style w:type="character" w:customStyle="1" w:styleId="915">
    <w:name w:val="17"/>
    <w:basedOn w:val="66"/>
    <w:qFormat/>
    <w:uiPriority w:val="0"/>
    <w:rPr>
      <w:rFonts w:hint="eastAsia" w:ascii="宋体" w:hAnsi="宋体" w:eastAsia="宋体" w:cs="宋体"/>
      <w:color w:val="000000"/>
      <w:sz w:val="24"/>
      <w:szCs w:val="24"/>
    </w:rPr>
  </w:style>
  <w:style w:type="paragraph" w:customStyle="1" w:styleId="916">
    <w:name w:val="BNST 正文"/>
    <w:basedOn w:val="1"/>
    <w:qFormat/>
    <w:uiPriority w:val="0"/>
    <w:pPr>
      <w:adjustRightInd w:val="0"/>
      <w:snapToGrid w:val="0"/>
      <w:spacing w:line="500" w:lineRule="exact"/>
      <w:ind w:firstLine="200" w:firstLineChars="200"/>
    </w:pPr>
    <w:rPr>
      <w:rFonts w:ascii="Arial Narrow" w:hAnsi="Arial Narrow" w:eastAsia="Arial Narrow"/>
      <w:sz w:val="21"/>
      <w:szCs w:val="21"/>
    </w:rPr>
  </w:style>
  <w:style w:type="character" w:customStyle="1" w:styleId="917">
    <w:name w:val="font21"/>
    <w:basedOn w:val="66"/>
    <w:qFormat/>
    <w:uiPriority w:val="0"/>
    <w:rPr>
      <w:rFonts w:hint="default" w:ascii="Times New Roman" w:hAnsi="Times New Roman" w:cs="Times New Roman"/>
      <w:color w:val="000000"/>
      <w:sz w:val="21"/>
      <w:szCs w:val="21"/>
      <w:u w:val="none"/>
      <w:vertAlign w:val="superscript"/>
    </w:rPr>
  </w:style>
  <w:style w:type="paragraph" w:customStyle="1" w:styleId="918">
    <w:name w:val="修订2"/>
    <w:hidden/>
    <w:semiHidden/>
    <w:qFormat/>
    <w:uiPriority w:val="99"/>
    <w:rPr>
      <w:rFonts w:ascii="宋体" w:hAnsi="宋体" w:eastAsia="宋体" w:cs="Times New Roman"/>
      <w:kern w:val="2"/>
      <w:sz w:val="24"/>
      <w:lang w:val="en-US" w:eastAsia="zh-CN" w:bidi="ar-SA"/>
    </w:rPr>
  </w:style>
  <w:style w:type="character" w:customStyle="1" w:styleId="919">
    <w:name w:val="10"/>
    <w:basedOn w:val="66"/>
    <w:qFormat/>
    <w:uiPriority w:val="0"/>
    <w:rPr>
      <w:rFonts w:hint="default" w:ascii="Times New Roman" w:hAnsi="Times New Roman" w:cs="Times New Roman"/>
    </w:rPr>
  </w:style>
  <w:style w:type="paragraph" w:customStyle="1" w:styleId="920">
    <w:name w:val="Char Char33"/>
    <w:basedOn w:val="1"/>
    <w:qFormat/>
    <w:uiPriority w:val="0"/>
    <w:rPr>
      <w:rFonts w:ascii="Times New Roman" w:hAnsi="Times New Roman"/>
      <w:sz w:val="21"/>
      <w:szCs w:val="24"/>
    </w:rPr>
  </w:style>
  <w:style w:type="paragraph" w:customStyle="1" w:styleId="921">
    <w:name w:val="Char Char331"/>
    <w:basedOn w:val="1"/>
    <w:qFormat/>
    <w:uiPriority w:val="0"/>
    <w:rPr>
      <w:rFonts w:ascii="Times New Roman" w:hAnsi="Times New Roman"/>
      <w:sz w:val="21"/>
      <w:szCs w:val="24"/>
    </w:rPr>
  </w:style>
  <w:style w:type="paragraph" w:customStyle="1" w:styleId="922">
    <w:name w:val="WPSOffice手动目录 1"/>
    <w:qFormat/>
    <w:uiPriority w:val="0"/>
    <w:rPr>
      <w:rFonts w:ascii="Times New Roman" w:hAnsi="Times New Roman" w:eastAsia="宋体" w:cs="Times New Roman"/>
      <w:lang w:val="en-US" w:eastAsia="zh-CN" w:bidi="ar-SA"/>
    </w:rPr>
  </w:style>
  <w:style w:type="paragraph" w:customStyle="1" w:styleId="92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924">
    <w:name w:val="Char Char332"/>
    <w:basedOn w:val="1"/>
    <w:qFormat/>
    <w:uiPriority w:val="0"/>
    <w:rPr>
      <w:rFonts w:ascii="Times New Roman" w:hAnsi="Times New Roman"/>
      <w:sz w:val="21"/>
      <w:szCs w:val="24"/>
    </w:rPr>
  </w:style>
  <w:style w:type="paragraph" w:customStyle="1" w:styleId="925">
    <w:name w:val="(m正文"/>
    <w:basedOn w:val="1"/>
    <w:qFormat/>
    <w:uiPriority w:val="0"/>
    <w:pPr>
      <w:spacing w:line="500" w:lineRule="exact"/>
      <w:ind w:firstLine="200" w:firstLineChars="200"/>
      <w:jc w:val="left"/>
    </w:pPr>
    <w:rPr>
      <w:rFonts w:hint="eastAsia"/>
      <w:color w:val="2E74B5"/>
      <w:kern w:val="0"/>
      <w:szCs w:val="24"/>
    </w:rPr>
  </w:style>
  <w:style w:type="table" w:customStyle="1" w:styleId="926">
    <w:name w:val="网格型1"/>
    <w:basedOn w:val="59"/>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bin"/><Relationship Id="rId98" Type="http://schemas.openxmlformats.org/officeDocument/2006/relationships/image" Target="media/image54.wmf"/><Relationship Id="rId97" Type="http://schemas.openxmlformats.org/officeDocument/2006/relationships/oleObject" Target="embeddings/oleObject4.bin"/><Relationship Id="rId96" Type="http://schemas.openxmlformats.org/officeDocument/2006/relationships/image" Target="media/image53.wmf"/><Relationship Id="rId95" Type="http://schemas.openxmlformats.org/officeDocument/2006/relationships/oleObject" Target="embeddings/oleObject3.bin"/><Relationship Id="rId94" Type="http://schemas.openxmlformats.org/officeDocument/2006/relationships/image" Target="media/image52.wmf"/><Relationship Id="rId93" Type="http://schemas.openxmlformats.org/officeDocument/2006/relationships/oleObject" Target="embeddings/oleObject2.bin"/><Relationship Id="rId92" Type="http://schemas.openxmlformats.org/officeDocument/2006/relationships/oleObject" Target="embeddings/oleObject1.bin"/><Relationship Id="rId91" Type="http://schemas.openxmlformats.org/officeDocument/2006/relationships/image" Target="media/image51.wmf"/><Relationship Id="rId90" Type="http://schemas.openxmlformats.org/officeDocument/2006/relationships/image" Target="media/image50.wmf"/><Relationship Id="rId9" Type="http://schemas.openxmlformats.org/officeDocument/2006/relationships/header" Target="header6.xml"/><Relationship Id="rId89" Type="http://schemas.openxmlformats.org/officeDocument/2006/relationships/image" Target="media/image49.wmf"/><Relationship Id="rId88" Type="http://schemas.openxmlformats.org/officeDocument/2006/relationships/image" Target="media/image48.wmf"/><Relationship Id="rId87" Type="http://schemas.openxmlformats.org/officeDocument/2006/relationships/image" Target="media/image47.wmf"/><Relationship Id="rId86" Type="http://schemas.openxmlformats.org/officeDocument/2006/relationships/image" Target="media/image46.wmf"/><Relationship Id="rId85" Type="http://schemas.openxmlformats.org/officeDocument/2006/relationships/image" Target="media/image45.jpeg"/><Relationship Id="rId84" Type="http://schemas.openxmlformats.org/officeDocument/2006/relationships/image" Target="media/image44.jpeg"/><Relationship Id="rId83" Type="http://schemas.openxmlformats.org/officeDocument/2006/relationships/image" Target="media/image43.jpeg"/><Relationship Id="rId82" Type="http://schemas.openxmlformats.org/officeDocument/2006/relationships/image" Target="media/image42.jpeg"/><Relationship Id="rId81" Type="http://schemas.openxmlformats.org/officeDocument/2006/relationships/image" Target="media/image41.jpeg"/><Relationship Id="rId80" Type="http://schemas.openxmlformats.org/officeDocument/2006/relationships/image" Target="media/image40.jpeg"/><Relationship Id="rId8" Type="http://schemas.openxmlformats.org/officeDocument/2006/relationships/header" Target="header5.xml"/><Relationship Id="rId79" Type="http://schemas.openxmlformats.org/officeDocument/2006/relationships/image" Target="media/image39.jpeg"/><Relationship Id="rId78" Type="http://schemas.openxmlformats.org/officeDocument/2006/relationships/image" Target="media/image38.jpeg"/><Relationship Id="rId77" Type="http://schemas.openxmlformats.org/officeDocument/2006/relationships/image" Target="media/image37.jpeg"/><Relationship Id="rId76" Type="http://schemas.openxmlformats.org/officeDocument/2006/relationships/image" Target="media/image36.jpeg"/><Relationship Id="rId75" Type="http://schemas.openxmlformats.org/officeDocument/2006/relationships/image" Target="media/image35.jpeg"/><Relationship Id="rId74" Type="http://schemas.openxmlformats.org/officeDocument/2006/relationships/image" Target="media/image34.jpeg"/><Relationship Id="rId73" Type="http://schemas.openxmlformats.org/officeDocument/2006/relationships/image" Target="media/image33.jpeg"/><Relationship Id="rId72" Type="http://schemas.openxmlformats.org/officeDocument/2006/relationships/image" Target="media/image32.jpeg"/><Relationship Id="rId71" Type="http://schemas.openxmlformats.org/officeDocument/2006/relationships/image" Target="media/image31.jpeg"/><Relationship Id="rId70" Type="http://schemas.openxmlformats.org/officeDocument/2006/relationships/image" Target="media/image30.jpeg"/><Relationship Id="rId7" Type="http://schemas.openxmlformats.org/officeDocument/2006/relationships/header" Target="header4.xml"/><Relationship Id="rId69" Type="http://schemas.openxmlformats.org/officeDocument/2006/relationships/image" Target="media/image29.jpeg"/><Relationship Id="rId68" Type="http://schemas.openxmlformats.org/officeDocument/2006/relationships/image" Target="media/image28.jpeg"/><Relationship Id="rId67" Type="http://schemas.openxmlformats.org/officeDocument/2006/relationships/image" Target="media/image27.jpeg"/><Relationship Id="rId66" Type="http://schemas.openxmlformats.org/officeDocument/2006/relationships/image" Target="media/image26.jpeg"/><Relationship Id="rId65" Type="http://schemas.openxmlformats.org/officeDocument/2006/relationships/image" Target="media/image25.jpeg"/><Relationship Id="rId64" Type="http://schemas.openxmlformats.org/officeDocument/2006/relationships/image" Target="media/image24.jpeg"/><Relationship Id="rId63" Type="http://schemas.openxmlformats.org/officeDocument/2006/relationships/image" Target="media/image23.jpeg"/><Relationship Id="rId62" Type="http://schemas.openxmlformats.org/officeDocument/2006/relationships/image" Target="media/image22.jpeg"/><Relationship Id="rId61" Type="http://schemas.openxmlformats.org/officeDocument/2006/relationships/image" Target="media/image21.jpeg"/><Relationship Id="rId60" Type="http://schemas.openxmlformats.org/officeDocument/2006/relationships/image" Target="media/image20.jpeg"/><Relationship Id="rId6" Type="http://schemas.openxmlformats.org/officeDocument/2006/relationships/header" Target="header3.xml"/><Relationship Id="rId59" Type="http://schemas.openxmlformats.org/officeDocument/2006/relationships/image" Target="media/image19.jpeg"/><Relationship Id="rId58" Type="http://schemas.openxmlformats.org/officeDocument/2006/relationships/image" Target="media/image18.jpeg"/><Relationship Id="rId57" Type="http://schemas.openxmlformats.org/officeDocument/2006/relationships/image" Target="media/image17.jpeg"/><Relationship Id="rId56" Type="http://schemas.openxmlformats.org/officeDocument/2006/relationships/image" Target="media/image16.jpeg"/><Relationship Id="rId55" Type="http://schemas.openxmlformats.org/officeDocument/2006/relationships/image" Target="media/image15.jpeg"/><Relationship Id="rId54" Type="http://schemas.openxmlformats.org/officeDocument/2006/relationships/image" Target="media/image14.jpeg"/><Relationship Id="rId53" Type="http://schemas.openxmlformats.org/officeDocument/2006/relationships/image" Target="media/image13.jpeg"/><Relationship Id="rId52" Type="http://schemas.openxmlformats.org/officeDocument/2006/relationships/image" Target="media/image12.jpeg"/><Relationship Id="rId51" Type="http://schemas.openxmlformats.org/officeDocument/2006/relationships/image" Target="media/image11.jpeg"/><Relationship Id="rId50" Type="http://schemas.openxmlformats.org/officeDocument/2006/relationships/image" Target="media/image10.jpeg"/><Relationship Id="rId5" Type="http://schemas.openxmlformats.org/officeDocument/2006/relationships/header" Target="header2.xml"/><Relationship Id="rId49" Type="http://schemas.openxmlformats.org/officeDocument/2006/relationships/image" Target="media/image9.jpeg"/><Relationship Id="rId48" Type="http://schemas.openxmlformats.org/officeDocument/2006/relationships/image" Target="media/image8.jpeg"/><Relationship Id="rId47" Type="http://schemas.openxmlformats.org/officeDocument/2006/relationships/image" Target="media/image7.jpeg"/><Relationship Id="rId46" Type="http://schemas.openxmlformats.org/officeDocument/2006/relationships/image" Target="media/image6.jpeg"/><Relationship Id="rId45" Type="http://schemas.openxmlformats.org/officeDocument/2006/relationships/image" Target="media/image5.jpeg"/><Relationship Id="rId44" Type="http://schemas.openxmlformats.org/officeDocument/2006/relationships/image" Target="media/image4.jpeg"/><Relationship Id="rId43" Type="http://schemas.openxmlformats.org/officeDocument/2006/relationships/image" Target="media/image3.jpeg"/><Relationship Id="rId42" Type="http://schemas.openxmlformats.org/officeDocument/2006/relationships/image" Target="media/image2.jpeg"/><Relationship Id="rId41" Type="http://schemas.openxmlformats.org/officeDocument/2006/relationships/image" Target="media/image1.png"/><Relationship Id="rId40"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header" Target="header30.xml"/><Relationship Id="rId38" Type="http://schemas.openxmlformats.org/officeDocument/2006/relationships/header" Target="header29.xml"/><Relationship Id="rId37" Type="http://schemas.openxmlformats.org/officeDocument/2006/relationships/header" Target="header28.xml"/><Relationship Id="rId36" Type="http://schemas.openxmlformats.org/officeDocument/2006/relationships/footer" Target="footer7.xml"/><Relationship Id="rId35" Type="http://schemas.openxmlformats.org/officeDocument/2006/relationships/header" Target="header27.xml"/><Relationship Id="rId34" Type="http://schemas.openxmlformats.org/officeDocument/2006/relationships/header" Target="header26.xml"/><Relationship Id="rId33" Type="http://schemas.openxmlformats.org/officeDocument/2006/relationships/header" Target="header25.xml"/><Relationship Id="rId32" Type="http://schemas.openxmlformats.org/officeDocument/2006/relationships/header" Target="header24.xml"/><Relationship Id="rId31" Type="http://schemas.openxmlformats.org/officeDocument/2006/relationships/header" Target="header23.xml"/><Relationship Id="rId30" Type="http://schemas.openxmlformats.org/officeDocument/2006/relationships/header" Target="header22.xml"/><Relationship Id="rId3" Type="http://schemas.openxmlformats.org/officeDocument/2006/relationships/header" Target="header1.xml"/><Relationship Id="rId29" Type="http://schemas.openxmlformats.org/officeDocument/2006/relationships/header" Target="header21.xml"/><Relationship Id="rId28" Type="http://schemas.openxmlformats.org/officeDocument/2006/relationships/footer" Target="footer6.xml"/><Relationship Id="rId27" Type="http://schemas.openxmlformats.org/officeDocument/2006/relationships/header" Target="header20.xml"/><Relationship Id="rId26" Type="http://schemas.openxmlformats.org/officeDocument/2006/relationships/header" Target="header19.xml"/><Relationship Id="rId25" Type="http://schemas.openxmlformats.org/officeDocument/2006/relationships/footer" Target="footer5.xml"/><Relationship Id="rId24" Type="http://schemas.openxmlformats.org/officeDocument/2006/relationships/header" Target="header18.xml"/><Relationship Id="rId23" Type="http://schemas.openxmlformats.org/officeDocument/2006/relationships/footer" Target="footer4.xml"/><Relationship Id="rId22" Type="http://schemas.openxmlformats.org/officeDocument/2006/relationships/footer" Target="footer3.xml"/><Relationship Id="rId21" Type="http://schemas.openxmlformats.org/officeDocument/2006/relationships/footer" Target="footer2.xml"/><Relationship Id="rId20" Type="http://schemas.openxmlformats.org/officeDocument/2006/relationships/header" Target="header17.xml"/><Relationship Id="rId2" Type="http://schemas.openxmlformats.org/officeDocument/2006/relationships/settings" Target="settings.xml"/><Relationship Id="rId19" Type="http://schemas.openxmlformats.org/officeDocument/2006/relationships/header" Target="header16.xml"/><Relationship Id="rId18" Type="http://schemas.openxmlformats.org/officeDocument/2006/relationships/header" Target="header15.xml"/><Relationship Id="rId177" Type="http://schemas.openxmlformats.org/officeDocument/2006/relationships/fontTable" Target="fontTable.xml"/><Relationship Id="rId176" Type="http://schemas.openxmlformats.org/officeDocument/2006/relationships/customXml" Target="../customXml/item2.xml"/><Relationship Id="rId175" Type="http://schemas.openxmlformats.org/officeDocument/2006/relationships/numbering" Target="numbering.xml"/><Relationship Id="rId174" Type="http://schemas.openxmlformats.org/officeDocument/2006/relationships/customXml" Target="../customXml/item1.xml"/><Relationship Id="rId173" Type="http://schemas.openxmlformats.org/officeDocument/2006/relationships/image" Target="media/image87.png"/><Relationship Id="rId172" Type="http://schemas.openxmlformats.org/officeDocument/2006/relationships/image" Target="media/image86.jpeg"/><Relationship Id="rId171" Type="http://schemas.openxmlformats.org/officeDocument/2006/relationships/image" Target="media/image85.jpeg"/><Relationship Id="rId170" Type="http://schemas.openxmlformats.org/officeDocument/2006/relationships/image" Target="media/image84.png"/><Relationship Id="rId17" Type="http://schemas.openxmlformats.org/officeDocument/2006/relationships/header" Target="header14.xml"/><Relationship Id="rId169" Type="http://schemas.openxmlformats.org/officeDocument/2006/relationships/image" Target="media/image83.wmf"/><Relationship Id="rId168" Type="http://schemas.openxmlformats.org/officeDocument/2006/relationships/oleObject" Target="embeddings/oleObject46.bin"/><Relationship Id="rId167" Type="http://schemas.openxmlformats.org/officeDocument/2006/relationships/image" Target="media/image82.wmf"/><Relationship Id="rId166" Type="http://schemas.openxmlformats.org/officeDocument/2006/relationships/oleObject" Target="embeddings/oleObject45.bin"/><Relationship Id="rId165" Type="http://schemas.openxmlformats.org/officeDocument/2006/relationships/image" Target="media/image81.png"/><Relationship Id="rId164" Type="http://schemas.openxmlformats.org/officeDocument/2006/relationships/image" Target="media/image80.png"/><Relationship Id="rId163" Type="http://schemas.openxmlformats.org/officeDocument/2006/relationships/image" Target="media/image79.png"/><Relationship Id="rId162" Type="http://schemas.openxmlformats.org/officeDocument/2006/relationships/image" Target="media/image78.jpeg"/><Relationship Id="rId161" Type="http://schemas.openxmlformats.org/officeDocument/2006/relationships/image" Target="media/image77.png"/><Relationship Id="rId160" Type="http://schemas.openxmlformats.org/officeDocument/2006/relationships/image" Target="media/image76.png"/><Relationship Id="rId16" Type="http://schemas.openxmlformats.org/officeDocument/2006/relationships/header" Target="header13.xml"/><Relationship Id="rId159" Type="http://schemas.openxmlformats.org/officeDocument/2006/relationships/image" Target="media/image75.wmf"/><Relationship Id="rId158" Type="http://schemas.openxmlformats.org/officeDocument/2006/relationships/oleObject" Target="embeddings/oleObject44.bin"/><Relationship Id="rId157" Type="http://schemas.openxmlformats.org/officeDocument/2006/relationships/image" Target="media/image74.png"/><Relationship Id="rId156" Type="http://schemas.openxmlformats.org/officeDocument/2006/relationships/image" Target="media/image73.jpeg"/><Relationship Id="rId155" Type="http://schemas.openxmlformats.org/officeDocument/2006/relationships/image" Target="media/image72.jpeg"/><Relationship Id="rId154" Type="http://schemas.openxmlformats.org/officeDocument/2006/relationships/image" Target="media/image71.wmf"/><Relationship Id="rId153" Type="http://schemas.openxmlformats.org/officeDocument/2006/relationships/image" Target="media/image70.wmf"/><Relationship Id="rId152" Type="http://schemas.openxmlformats.org/officeDocument/2006/relationships/oleObject" Target="embeddings/oleObject43.bin"/><Relationship Id="rId151" Type="http://schemas.openxmlformats.org/officeDocument/2006/relationships/oleObject" Target="embeddings/oleObject42.bin"/><Relationship Id="rId150" Type="http://schemas.openxmlformats.org/officeDocument/2006/relationships/oleObject" Target="embeddings/oleObject41.bin"/><Relationship Id="rId15" Type="http://schemas.openxmlformats.org/officeDocument/2006/relationships/header" Target="header12.xml"/><Relationship Id="rId149" Type="http://schemas.openxmlformats.org/officeDocument/2006/relationships/oleObject" Target="embeddings/oleObject40.bin"/><Relationship Id="rId148" Type="http://schemas.openxmlformats.org/officeDocument/2006/relationships/oleObject" Target="embeddings/oleObject39.bin"/><Relationship Id="rId147" Type="http://schemas.openxmlformats.org/officeDocument/2006/relationships/oleObject" Target="embeddings/oleObject38.bin"/><Relationship Id="rId146" Type="http://schemas.openxmlformats.org/officeDocument/2006/relationships/oleObject" Target="embeddings/oleObject37.bin"/><Relationship Id="rId145" Type="http://schemas.openxmlformats.org/officeDocument/2006/relationships/oleObject" Target="embeddings/oleObject36.bin"/><Relationship Id="rId144" Type="http://schemas.openxmlformats.org/officeDocument/2006/relationships/oleObject" Target="embeddings/oleObject35.bin"/><Relationship Id="rId143" Type="http://schemas.openxmlformats.org/officeDocument/2006/relationships/oleObject" Target="embeddings/oleObject34.bin"/><Relationship Id="rId142" Type="http://schemas.openxmlformats.org/officeDocument/2006/relationships/oleObject" Target="embeddings/oleObject33.bin"/><Relationship Id="rId141" Type="http://schemas.openxmlformats.org/officeDocument/2006/relationships/oleObject" Target="embeddings/oleObject32.bin"/><Relationship Id="rId140" Type="http://schemas.openxmlformats.org/officeDocument/2006/relationships/oleObject" Target="embeddings/oleObject31.bin"/><Relationship Id="rId14" Type="http://schemas.openxmlformats.org/officeDocument/2006/relationships/header" Target="header11.xml"/><Relationship Id="rId139" Type="http://schemas.openxmlformats.org/officeDocument/2006/relationships/oleObject" Target="embeddings/oleObject30.bin"/><Relationship Id="rId138" Type="http://schemas.openxmlformats.org/officeDocument/2006/relationships/oleObject" Target="embeddings/oleObject29.bin"/><Relationship Id="rId137" Type="http://schemas.openxmlformats.org/officeDocument/2006/relationships/image" Target="media/image69.wmf"/><Relationship Id="rId136" Type="http://schemas.openxmlformats.org/officeDocument/2006/relationships/oleObject" Target="embeddings/oleObject28.bin"/><Relationship Id="rId135" Type="http://schemas.openxmlformats.org/officeDocument/2006/relationships/image" Target="media/image68.wmf"/><Relationship Id="rId134" Type="http://schemas.openxmlformats.org/officeDocument/2006/relationships/oleObject" Target="embeddings/oleObject27.bin"/><Relationship Id="rId133" Type="http://schemas.openxmlformats.org/officeDocument/2006/relationships/oleObject" Target="embeddings/oleObject26.bin"/><Relationship Id="rId132" Type="http://schemas.openxmlformats.org/officeDocument/2006/relationships/oleObject" Target="embeddings/oleObject25.bin"/><Relationship Id="rId131" Type="http://schemas.openxmlformats.org/officeDocument/2006/relationships/oleObject" Target="embeddings/oleObject24.bin"/><Relationship Id="rId130" Type="http://schemas.openxmlformats.org/officeDocument/2006/relationships/oleObject" Target="embeddings/oleObject23.bin"/><Relationship Id="rId13" Type="http://schemas.openxmlformats.org/officeDocument/2006/relationships/header" Target="header10.xml"/><Relationship Id="rId129" Type="http://schemas.openxmlformats.org/officeDocument/2006/relationships/oleObject" Target="embeddings/oleObject22.bin"/><Relationship Id="rId128" Type="http://schemas.openxmlformats.org/officeDocument/2006/relationships/oleObject" Target="embeddings/oleObject21.bin"/><Relationship Id="rId127" Type="http://schemas.openxmlformats.org/officeDocument/2006/relationships/oleObject" Target="embeddings/oleObject20.bin"/><Relationship Id="rId126" Type="http://schemas.openxmlformats.org/officeDocument/2006/relationships/oleObject" Target="embeddings/oleObject19.bin"/><Relationship Id="rId125" Type="http://schemas.openxmlformats.org/officeDocument/2006/relationships/oleObject" Target="embeddings/oleObject18.bin"/><Relationship Id="rId124" Type="http://schemas.openxmlformats.org/officeDocument/2006/relationships/oleObject" Target="embeddings/oleObject17.bin"/><Relationship Id="rId123" Type="http://schemas.openxmlformats.org/officeDocument/2006/relationships/image" Target="media/image67.wmf"/><Relationship Id="rId122" Type="http://schemas.openxmlformats.org/officeDocument/2006/relationships/oleObject" Target="embeddings/oleObject16.bin"/><Relationship Id="rId121" Type="http://schemas.openxmlformats.org/officeDocument/2006/relationships/oleObject" Target="embeddings/oleObject15.bin"/><Relationship Id="rId120" Type="http://schemas.openxmlformats.org/officeDocument/2006/relationships/oleObject" Target="embeddings/oleObject14.bin"/><Relationship Id="rId12" Type="http://schemas.openxmlformats.org/officeDocument/2006/relationships/header" Target="header9.xml"/><Relationship Id="rId119" Type="http://schemas.openxmlformats.org/officeDocument/2006/relationships/oleObject" Target="embeddings/oleObject13.bin"/><Relationship Id="rId118" Type="http://schemas.openxmlformats.org/officeDocument/2006/relationships/oleObject" Target="embeddings/oleObject12.bin"/><Relationship Id="rId117" Type="http://schemas.openxmlformats.org/officeDocument/2006/relationships/oleObject" Target="embeddings/oleObject11.bin"/><Relationship Id="rId116" Type="http://schemas.openxmlformats.org/officeDocument/2006/relationships/image" Target="media/image66.wmf"/><Relationship Id="rId115" Type="http://schemas.openxmlformats.org/officeDocument/2006/relationships/oleObject" Target="embeddings/oleObject10.bin"/><Relationship Id="rId114" Type="http://schemas.openxmlformats.org/officeDocument/2006/relationships/image" Target="media/image65.wmf"/><Relationship Id="rId113" Type="http://schemas.openxmlformats.org/officeDocument/2006/relationships/oleObject" Target="embeddings/oleObject9.bin"/><Relationship Id="rId112" Type="http://schemas.openxmlformats.org/officeDocument/2006/relationships/image" Target="media/image64.wmf"/><Relationship Id="rId111" Type="http://schemas.openxmlformats.org/officeDocument/2006/relationships/oleObject" Target="embeddings/oleObject8.bin"/><Relationship Id="rId110" Type="http://schemas.openxmlformats.org/officeDocument/2006/relationships/image" Target="media/image63.wmf"/><Relationship Id="rId11" Type="http://schemas.openxmlformats.org/officeDocument/2006/relationships/header" Target="header8.xml"/><Relationship Id="rId109" Type="http://schemas.openxmlformats.org/officeDocument/2006/relationships/image" Target="media/image62.wmf"/><Relationship Id="rId108" Type="http://schemas.openxmlformats.org/officeDocument/2006/relationships/image" Target="media/image61.wmf"/><Relationship Id="rId107" Type="http://schemas.openxmlformats.org/officeDocument/2006/relationships/image" Target="media/image60.wmf"/><Relationship Id="rId106" Type="http://schemas.openxmlformats.org/officeDocument/2006/relationships/image" Target="media/image59.wmf"/><Relationship Id="rId105" Type="http://schemas.openxmlformats.org/officeDocument/2006/relationships/image" Target="media/image58.wmf"/><Relationship Id="rId104" Type="http://schemas.openxmlformats.org/officeDocument/2006/relationships/image" Target="media/image57.wmf"/><Relationship Id="rId103" Type="http://schemas.openxmlformats.org/officeDocument/2006/relationships/oleObject" Target="embeddings/oleObject7.bin"/><Relationship Id="rId102" Type="http://schemas.openxmlformats.org/officeDocument/2006/relationships/image" Target="media/image56.wmf"/><Relationship Id="rId101" Type="http://schemas.openxmlformats.org/officeDocument/2006/relationships/oleObject" Target="embeddings/oleObject6.bin"/><Relationship Id="rId100" Type="http://schemas.openxmlformats.org/officeDocument/2006/relationships/image" Target="media/image55.wmf"/><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F8205A-9ADB-41A8-B99E-EAFF0BB7979A}">
  <ds:schemaRefs/>
</ds:datastoreItem>
</file>

<file path=docProps/app.xml><?xml version="1.0" encoding="utf-8"?>
<Properties xmlns="http://schemas.openxmlformats.org/officeDocument/2006/extended-properties" xmlns:vt="http://schemas.openxmlformats.org/officeDocument/2006/docPropsVTypes">
  <Template>Normal</Template>
  <Company>HP Inc.</Company>
  <Pages>327</Pages>
  <Words>46544</Words>
  <Characters>265305</Characters>
  <Lines>2210</Lines>
  <Paragraphs>622</Paragraphs>
  <TotalTime>6559</TotalTime>
  <ScaleCrop>false</ScaleCrop>
  <LinksUpToDate>false</LinksUpToDate>
  <CharactersWithSpaces>311227</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2022-03-04T05:22:00Z</dcterms:created>
  <dc:creator>潘 静</dc:creator>
  <cp:lastModifiedBy>zhang</cp:lastModifiedBy>
  <cp:lastPrinted>2022-05-24T09:03:00Z</cp:lastPrinted>
  <dcterms:modified xsi:type="dcterms:W3CDTF">2025-11-10T02:42:30Z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0F63FC02EC8F4EFF8C3F2A7C1CBEB180</vt:lpwstr>
  </property>
</Properties>
</file>