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Fourniture — Extrait</w:t>
      </w:r>
    </w:p>
    <w:p>
      <w:r>
        <w:t>Contrat No. CF-2025-0089</w:t>
      </w:r>
    </w:p>
    <w:p>
      <w:pPr>
        <w:pStyle w:val="Heading2"/>
      </w:pPr>
      <w:r>
        <w:t>Article 1 — Objet du Contrat</w:t>
      </w:r>
    </w:p>
    <w:p>
      <w:r>
        <w:t>Le présent Contrat de Fourniture est conclu entre le Vendeur et l'Acheteur pour la livraison de concentré de fer conformément aux spécifications définies à l'Annexe A. La quantité contractuelle totale est de 85 000 tonnes métriques sèches (TMS) ±5%.</w:t>
      </w:r>
    </w:p>
    <w:p>
      <w:pPr>
        <w:pStyle w:val="Heading2"/>
      </w:pPr>
      <w:r>
        <w:t>Article 2 — Prix et Paiement</w:t>
      </w:r>
    </w:p>
    <w:p>
      <w:r>
        <w:t>Le Prix de Base est fixé à 135,20 USD par tonne métrique sèche (TMS), sujet à ajustement trimestriel selon l'indice Platts IODEX 62% Fe. Le paiement sera effectué par lettre de crédit irrévocable dans les 30 jours suivant la date du Connaissement.</w:t>
      </w:r>
    </w:p>
    <w:p>
      <w:pPr>
        <w:pStyle w:val="Heading2"/>
      </w:pPr>
      <w:r>
        <w:t>Article 3 — Force Majeure</w:t>
      </w:r>
    </w:p>
    <w:p>
      <w:r>
        <w:t>Aucune des Parties ne sera responsable de l'inexécution de ses obligations si cette inexécution résulte d'un cas de Force Majeure, y compris mais sans s'y limiter : catastrophes naturelles, guerres, grèves, mesures gouvernementales ou défaillance des transports.</w:t>
      </w:r>
    </w:p>
    <w:p>
      <w:pPr>
        <w:pStyle w:val="Heading2"/>
      </w:pPr>
      <w:r>
        <w:t>Article 4 — Contrôle Qualité</w:t>
      </w:r>
    </w:p>
    <w:p>
      <w:r>
        <w:t>Le concentré de fer devra être conforme aux spécifications suivantes :</w:t>
        <w:br/>
        <w:t>• Teneur en fer ≥ 63,5% (ISO 3082)</w:t>
        <w:br/>
        <w:t>• Humidité ≤ 8,0% (ISO 3087)</w:t>
        <w:br/>
        <w:t>• Phosphore ≤ 0,06% (ISO 4695)</w:t>
        <w:br/>
        <w:t>• Granulométrie -10mm +0,15mm (ISO 2591)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