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Safety Management Policy</w:t>
      </w:r>
    </w:p>
    <w:p>
      <w:r>
        <w:t>Document No. HSE-POL-001 | Rev. 3.0 | Effective Date: 2025-01-01</w:t>
      </w:r>
    </w:p>
    <w:p>
      <w:pPr>
        <w:pStyle w:val="Heading2"/>
      </w:pPr>
      <w:r>
        <w:t>1. Purpose</w:t>
      </w:r>
    </w:p>
    <w:p>
      <w:r>
        <w:t>This policy establishes the minimum safety management requirements for all personnel, contractors, and visitors at the Iron Ore Concentration Plant.</w:t>
      </w:r>
    </w:p>
    <w:p>
      <w:pPr>
        <w:pStyle w:val="Heading2"/>
      </w:pPr>
      <w:r>
        <w:t>2. Scope</w:t>
      </w:r>
    </w:p>
    <w:p>
      <w:r>
        <w:t>This policy applies to all areas of the Concentration Plant including crushing and screening areas, grinding mills, flotation circuits, thickener and tailings facilities, and associated conveyor systems.</w:t>
      </w:r>
    </w:p>
    <w:p>
      <w:pPr>
        <w:pStyle w:val="Heading2"/>
      </w:pPr>
      <w:r>
        <w:t>3. Personal Protective Equipment</w:t>
      </w:r>
    </w:p>
    <w:p>
      <w:r>
        <w:t>The following minimum PPE requirements apply to all personnel entering operational areas:</w:t>
        <w:br/>
        <w:t>• Safety helmet (EN 397) — mandatory at all times</w:t>
        <w:br/>
        <w:t>• Safety boots with steel toe cap (EN ISO 20345)</w:t>
        <w:br/>
        <w:t>• High-visibility vest (EN ISO 20471 Class 2)</w:t>
        <w:br/>
        <w:t>• Safety glasses (EN 166) — mandatory in designated areas</w:t>
        <w:br/>
        <w:t>• Hearing protection (EN 352) — mandatory above 85 dB(A)</w:t>
      </w:r>
    </w:p>
    <w:p>
      <w:pPr>
        <w:pStyle w:val="Heading2"/>
      </w:pPr>
      <w:r>
        <w:t>4. Permit to Work System</w:t>
      </w:r>
    </w:p>
    <w:p>
      <w:r>
        <w:t>All non-routine work including hot work, confined space entry, working at height, and electrical isolation shall require a valid Permit to Work (PTW) issued by the Shift Supervisor and countersigned by the HSE Manager.</w:t>
      </w:r>
    </w:p>
    <w:p>
      <w:pPr>
        <w:pStyle w:val="Heading2"/>
      </w:pPr>
      <w:r>
        <w:t>5. Emergency Response</w:t>
      </w:r>
    </w:p>
    <w:p>
      <w:r>
        <w:t>Emergency assembly points are located at the main gate (Assembly Point A) and the workshop yard (Assembly Point B). All personnel must be familiar with the evacuation routes displayed at each workstation.</w:t>
      </w:r>
    </w:p>
    <w:p>
      <w:pPr>
        <w:pStyle w:val="Heading2"/>
      </w:pPr>
      <w:r>
        <w:t>6. Incident Reporting</w:t>
      </w:r>
    </w:p>
    <w:p>
      <w:r>
        <w:t>All incidents, near-misses, and unsafe conditions must be reported to the Shift Supervisor within 24 hours using the standard incident reporting form (HSE-FRM-003). Serious incidents must be reported immediately by phone.</w:t>
      </w:r>
    </w:p>
    <w:tbl>
      <w:tblPr>
        <w:tblStyle w:val="TableGrid"/>
        <w:tblW w:type="auto" w:w="0"/>
        <w:tblLook w:firstColumn="1" w:firstRow="1" w:lastColumn="0" w:lastRow="0" w:noHBand="0" w:noVBand="1" w:val="04A0"/>
      </w:tblPr>
      <w:tblGrid>
        <w:gridCol w:w="2880"/>
        <w:gridCol w:w="2880"/>
        <w:gridCol w:w="2880"/>
      </w:tblGrid>
      <w:tr>
        <w:tc>
          <w:tcPr>
            <w:tcW w:type="dxa" w:w="2880"/>
          </w:tcPr>
          <w:p>
            <w:r>
              <w:t>Incident Category</w:t>
            </w:r>
          </w:p>
        </w:tc>
        <w:tc>
          <w:tcPr>
            <w:tcW w:type="dxa" w:w="2880"/>
          </w:tcPr>
          <w:p>
            <w:r>
              <w:t>Report Deadline</w:t>
            </w:r>
          </w:p>
        </w:tc>
        <w:tc>
          <w:tcPr>
            <w:tcW w:type="dxa" w:w="2880"/>
          </w:tcPr>
          <w:p>
            <w:r>
              <w:t>Investigation Level</w:t>
            </w:r>
          </w:p>
        </w:tc>
      </w:tr>
      <w:tr>
        <w:tc>
          <w:tcPr>
            <w:tcW w:type="dxa" w:w="2880"/>
          </w:tcPr>
          <w:p>
            <w:r>
              <w:t>Fatality / Lost Time</w:t>
            </w:r>
          </w:p>
        </w:tc>
        <w:tc>
          <w:tcPr>
            <w:tcW w:type="dxa" w:w="2880"/>
          </w:tcPr>
          <w:p>
            <w:r>
              <w:t>Immediate</w:t>
            </w:r>
          </w:p>
        </w:tc>
        <w:tc>
          <w:tcPr>
            <w:tcW w:type="dxa" w:w="2880"/>
          </w:tcPr>
          <w:p>
            <w:r>
              <w:t>Full formal investigation</w:t>
            </w:r>
          </w:p>
        </w:tc>
      </w:tr>
      <w:tr>
        <w:tc>
          <w:tcPr>
            <w:tcW w:type="dxa" w:w="2880"/>
          </w:tcPr>
          <w:p>
            <w:r>
              <w:t>Recordable injury</w:t>
            </w:r>
          </w:p>
        </w:tc>
        <w:tc>
          <w:tcPr>
            <w:tcW w:type="dxa" w:w="2880"/>
          </w:tcPr>
          <w:p>
            <w:r>
              <w:t>Within 4 hours</w:t>
            </w:r>
          </w:p>
        </w:tc>
        <w:tc>
          <w:tcPr>
            <w:tcW w:type="dxa" w:w="2880"/>
          </w:tcPr>
          <w:p>
            <w:r>
              <w:t>Supervisor + HSE review</w:t>
            </w:r>
          </w:p>
        </w:tc>
      </w:tr>
      <w:tr>
        <w:tc>
          <w:tcPr>
            <w:tcW w:type="dxa" w:w="2880"/>
          </w:tcPr>
          <w:p>
            <w:r>
              <w:t>Near-miss</w:t>
            </w:r>
          </w:p>
        </w:tc>
        <w:tc>
          <w:tcPr>
            <w:tcW w:type="dxa" w:w="2880"/>
          </w:tcPr>
          <w:p>
            <w:r>
              <w:t>Within 24 hours</w:t>
            </w:r>
          </w:p>
        </w:tc>
        <w:tc>
          <w:tcPr>
            <w:tcW w:type="dxa" w:w="2880"/>
          </w:tcPr>
          <w:p>
            <w:r>
              <w:t>Supervisor assessment</w:t>
            </w:r>
          </w:p>
        </w:tc>
      </w:tr>
      <w:tr>
        <w:tc>
          <w:tcPr>
            <w:tcW w:type="dxa" w:w="2880"/>
          </w:tcPr>
          <w:p>
            <w:r>
              <w:t>Property damage &gt; USD 10k</w:t>
            </w:r>
          </w:p>
        </w:tc>
        <w:tc>
          <w:tcPr>
            <w:tcW w:type="dxa" w:w="2880"/>
          </w:tcPr>
          <w:p>
            <w:r>
              <w:t>Within 24 hours</w:t>
            </w:r>
          </w:p>
        </w:tc>
        <w:tc>
          <w:tcPr>
            <w:tcW w:type="dxa" w:w="2880"/>
          </w:tcPr>
          <w:p>
            <w:r>
              <w:t>Department manager review</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