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Financial Report — Q3 2025</w:t>
      </w:r>
    </w:p>
    <w:p>
      <w:r>
        <w:t>Sino-Foreign JV Iron Ore Co. Ltd | Unaudited | Currency: USD</w:t>
      </w:r>
    </w:p>
    <w:p>
      <w:pPr>
        <w:pStyle w:val="Heading2"/>
      </w:pPr>
      <w:r>
        <w:t>Executive Summary</w:t>
      </w:r>
    </w:p>
    <w:p>
      <w:r>
        <w:t>Total revenue for Q3 2025 reached USD 15,820,000, representing a 12.4% increase over Q2 2025. The increase was primarily driven by higher iron ore concentrate prices and a 3.2% improvement in production volume.</w:t>
      </w:r>
    </w:p>
    <w:p>
      <w:pPr>
        <w:pStyle w:val="Heading2"/>
      </w:pPr>
      <w:r>
        <w:t>Revenue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Revenue Stream</w:t>
            </w:r>
          </w:p>
        </w:tc>
        <w:tc>
          <w:tcPr>
            <w:tcW w:type="dxa" w:w="2160"/>
          </w:tcPr>
          <w:p>
            <w:r>
              <w:t>Q3 2025 (USD)</w:t>
            </w:r>
          </w:p>
        </w:tc>
        <w:tc>
          <w:tcPr>
            <w:tcW w:type="dxa" w:w="2160"/>
          </w:tcPr>
          <w:p>
            <w:r>
              <w:t>Q2 2025 (USD)</w:t>
            </w:r>
          </w:p>
        </w:tc>
        <w:tc>
          <w:tcPr>
            <w:tcW w:type="dxa" w:w="2160"/>
          </w:tcPr>
          <w:p>
            <w:r>
              <w:t>Change %</w:t>
            </w:r>
          </w:p>
        </w:tc>
      </w:tr>
      <w:tr>
        <w:tc>
          <w:tcPr>
            <w:tcW w:type="dxa" w:w="2160"/>
          </w:tcPr>
          <w:p>
            <w:r>
              <w:t>Iron ore concentrate sales</w:t>
            </w:r>
          </w:p>
        </w:tc>
        <w:tc>
          <w:tcPr>
            <w:tcW w:type="dxa" w:w="2160"/>
          </w:tcPr>
          <w:p>
            <w:r>
              <w:t>14,200,000</w:t>
            </w:r>
          </w:p>
        </w:tc>
        <w:tc>
          <w:tcPr>
            <w:tcW w:type="dxa" w:w="2160"/>
          </w:tcPr>
          <w:p>
            <w:r>
              <w:t>12,650,000</w:t>
            </w:r>
          </w:p>
        </w:tc>
        <w:tc>
          <w:tcPr>
            <w:tcW w:type="dxa" w:w="2160"/>
          </w:tcPr>
          <w:p>
            <w:r>
              <w:t>+12.3%</w:t>
            </w:r>
          </w:p>
        </w:tc>
      </w:tr>
      <w:tr>
        <w:tc>
          <w:tcPr>
            <w:tcW w:type="dxa" w:w="2160"/>
          </w:tcPr>
          <w:p>
            <w:r>
              <w:t>By-product credits</w:t>
            </w:r>
          </w:p>
        </w:tc>
        <w:tc>
          <w:tcPr>
            <w:tcW w:type="dxa" w:w="2160"/>
          </w:tcPr>
          <w:p>
            <w:r>
              <w:t>1,120,000</w:t>
            </w:r>
          </w:p>
        </w:tc>
        <w:tc>
          <w:tcPr>
            <w:tcW w:type="dxa" w:w="2160"/>
          </w:tcPr>
          <w:p>
            <w:r>
              <w:t>1,420,000</w:t>
            </w:r>
          </w:p>
        </w:tc>
        <w:tc>
          <w:tcPr>
            <w:tcW w:type="dxa" w:w="2160"/>
          </w:tcPr>
          <w:p>
            <w:r>
              <w:t>-21.1%</w:t>
            </w:r>
          </w:p>
        </w:tc>
      </w:tr>
      <w:tr>
        <w:tc>
          <w:tcPr>
            <w:tcW w:type="dxa" w:w="2160"/>
          </w:tcPr>
          <w:p>
            <w:r>
              <w:t>Freight &amp; logistics</w:t>
            </w:r>
          </w:p>
        </w:tc>
        <w:tc>
          <w:tcPr>
            <w:tcW w:type="dxa" w:w="2160"/>
          </w:tcPr>
          <w:p>
            <w:r>
              <w:t>500,000</w:t>
            </w:r>
          </w:p>
        </w:tc>
        <w:tc>
          <w:tcPr>
            <w:tcW w:type="dxa" w:w="2160"/>
          </w:tcPr>
          <w:p>
            <w:r>
              <w:t>380,000</w:t>
            </w:r>
          </w:p>
        </w:tc>
        <w:tc>
          <w:tcPr>
            <w:tcW w:type="dxa" w:w="2160"/>
          </w:tcPr>
          <w:p>
            <w:r>
              <w:t>+31.6%</w:t>
            </w:r>
          </w:p>
        </w:tc>
      </w:tr>
      <w:tr>
        <w:tc>
          <w:tcPr>
            <w:tcW w:type="dxa" w:w="2160"/>
          </w:tcPr>
          <w:p>
            <w:r>
              <w:t>Total Revenue</w:t>
            </w:r>
          </w:p>
        </w:tc>
        <w:tc>
          <w:tcPr>
            <w:tcW w:type="dxa" w:w="2160"/>
          </w:tcPr>
          <w:p>
            <w:r>
              <w:t>15,820,000</w:t>
            </w:r>
          </w:p>
        </w:tc>
        <w:tc>
          <w:tcPr>
            <w:tcW w:type="dxa" w:w="2160"/>
          </w:tcPr>
          <w:p>
            <w:r>
              <w:t>14,450,000</w:t>
            </w:r>
          </w:p>
        </w:tc>
        <w:tc>
          <w:tcPr>
            <w:tcW w:type="dxa" w:w="2160"/>
          </w:tcPr>
          <w:p>
            <w:r>
              <w:t>+9.5%</w:t>
            </w:r>
          </w:p>
        </w:tc>
      </w:tr>
    </w:tbl>
    <w:p>
      <w:pPr>
        <w:pStyle w:val="Heading2"/>
      </w:pPr>
      <w:r>
        <w:t>Cost of Production</w:t>
      </w:r>
    </w:p>
    <w:p>
      <w:r>
        <w:t>Total cost of production for Q3 2025 was USD 10,240,000, resulting in a gross profit margin of 35.3% (Q2: 32.1%). The improvement reflects lower diesel consumption following the mill liner replacement completed in August.</w:t>
      </w:r>
    </w:p>
    <w:p>
      <w:pPr>
        <w:pStyle w:val="Heading2"/>
      </w:pPr>
      <w:r>
        <w:t>Capital Expenditure</w:t>
      </w:r>
    </w:p>
    <w:p>
      <w:r>
        <w:t>Capital expenditure for Q3 totalled USD 2,800,000, primarily for the tailings dam Phase III expansion (USD 1,900,000) and the flotation cell automation upgrade (USD 900,000).</w:t>
      </w:r>
    </w:p>
    <w:p>
      <w:pPr>
        <w:pStyle w:val="Heading2"/>
      </w:pPr>
      <w:r>
        <w:t>Key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Ratio</w:t>
            </w:r>
          </w:p>
        </w:tc>
        <w:tc>
          <w:tcPr>
            <w:tcW w:type="dxa" w:w="2160"/>
          </w:tcPr>
          <w:p>
            <w:r>
              <w:t>Q3 2025</w:t>
            </w:r>
          </w:p>
        </w:tc>
        <w:tc>
          <w:tcPr>
            <w:tcW w:type="dxa" w:w="2160"/>
          </w:tcPr>
          <w:p>
            <w:r>
              <w:t>Q2 2025</w:t>
            </w:r>
          </w:p>
        </w:tc>
        <w:tc>
          <w:tcPr>
            <w:tcW w:type="dxa" w:w="2160"/>
          </w:tcPr>
          <w:p>
            <w:r>
              <w:t>Industry Avg</w:t>
            </w:r>
          </w:p>
        </w:tc>
      </w:tr>
      <w:tr>
        <w:tc>
          <w:tcPr>
            <w:tcW w:type="dxa" w:w="2160"/>
          </w:tcPr>
          <w:p>
            <w:r>
              <w:t>EBITDA margin</w:t>
            </w:r>
          </w:p>
        </w:tc>
        <w:tc>
          <w:tcPr>
            <w:tcW w:type="dxa" w:w="2160"/>
          </w:tcPr>
          <w:p>
            <w:r>
              <w:t>28.4%</w:t>
            </w:r>
          </w:p>
        </w:tc>
        <w:tc>
          <w:tcPr>
            <w:tcW w:type="dxa" w:w="2160"/>
          </w:tcPr>
          <w:p>
            <w:r>
              <w:t>25.6%</w:t>
            </w:r>
          </w:p>
        </w:tc>
        <w:tc>
          <w:tcPr>
            <w:tcW w:type="dxa" w:w="2160"/>
          </w:tcPr>
          <w:p>
            <w:r>
              <w:t>24.8%</w:t>
            </w:r>
          </w:p>
        </w:tc>
      </w:tr>
      <w:tr>
        <w:tc>
          <w:tcPr>
            <w:tcW w:type="dxa" w:w="2160"/>
          </w:tcPr>
          <w:p>
            <w:r>
              <w:t>Current ratio</w:t>
            </w:r>
          </w:p>
        </w:tc>
        <w:tc>
          <w:tcPr>
            <w:tcW w:type="dxa" w:w="2160"/>
          </w:tcPr>
          <w:p>
            <w:r>
              <w:t>1.82</w:t>
            </w:r>
          </w:p>
        </w:tc>
        <w:tc>
          <w:tcPr>
            <w:tcW w:type="dxa" w:w="2160"/>
          </w:tcPr>
          <w:p>
            <w:r>
              <w:t>1.65</w:t>
            </w:r>
          </w:p>
        </w:tc>
        <w:tc>
          <w:tcPr>
            <w:tcW w:type="dxa" w:w="2160"/>
          </w:tcPr>
          <w:p>
            <w:r>
              <w:t>1.50</w:t>
            </w:r>
          </w:p>
        </w:tc>
      </w:tr>
      <w:tr>
        <w:tc>
          <w:tcPr>
            <w:tcW w:type="dxa" w:w="2160"/>
          </w:tcPr>
          <w:p>
            <w:r>
              <w:t>Debt-to-equity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  <w:tc>
          <w:tcPr>
            <w:tcW w:type="dxa" w:w="2160"/>
          </w:tcPr>
          <w:p>
            <w:r>
              <w:t>0.48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</w:tr>
      <w:tr>
        <w:tc>
          <w:tcPr>
            <w:tcW w:type="dxa" w:w="2160"/>
          </w:tcPr>
          <w:p>
            <w:r>
              <w:t>ROE (annualised)</w:t>
            </w:r>
          </w:p>
        </w:tc>
        <w:tc>
          <w:tcPr>
            <w:tcW w:type="dxa" w:w="2160"/>
          </w:tcPr>
          <w:p>
            <w:r>
              <w:t>18.2%</w:t>
            </w:r>
          </w:p>
        </w:tc>
        <w:tc>
          <w:tcPr>
            <w:tcW w:type="dxa" w:w="2160"/>
          </w:tcPr>
          <w:p>
            <w:r>
              <w:t>16.8%</w:t>
            </w:r>
          </w:p>
        </w:tc>
        <w:tc>
          <w:tcPr>
            <w:tcW w:type="dxa" w:w="2160"/>
          </w:tcPr>
          <w:p>
            <w:r>
              <w:t>15.4%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