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Contract No. SA-2025-0412</w:t>
      </w:r>
    </w:p>
    <w:p>
      <w:pPr>
        <w:pStyle w:val="Heading2"/>
      </w:pPr>
      <w:r>
        <w:t>1. Parties</w:t>
      </w:r>
    </w:p>
    <w:p>
      <w:r>
        <w:t>This Supply Agreement (the "Agreement") is entered into by and between:</w:t>
        <w:br/>
        <w:t>Seller: Anglesey Mining plc, registered in Wales (Company No. 03520862);</w:t>
        <w:br/>
        <w:t>Buyer: Sino-Foreign JV Iron Ore Co. Ltd, registered in the PRC (USCC: 91110000MA01ABC123).</w:t>
      </w:r>
    </w:p>
    <w:p>
      <w:pPr>
        <w:pStyle w:val="Heading2"/>
      </w:pPr>
      <w:r>
        <w:t>2. Scope of Supply</w:t>
      </w:r>
    </w:p>
    <w:p>
      <w:r>
        <w:t>The Seller agrees to supply, and the Buyer agrees to purchase, iron ore concentrate in accordance with the specifications set out in Schedule A. The total Contract Quantity shall be 120,000 dry metric tonnes (DMT) plus or minus 5%, delivered in monthly shipments of not less than 10,000 DMT each.</w:t>
      </w:r>
    </w:p>
    <w:p>
      <w:pPr>
        <w:pStyle w:val="Heading2"/>
      </w:pPr>
      <w:r>
        <w:t>3. Quality Specifications</w:t>
      </w:r>
    </w:p>
    <w:p>
      <w:r>
        <w:t>The iron ore concentrate shall conform to the following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Specification</w:t>
            </w:r>
          </w:p>
        </w:tc>
        <w:tc>
          <w:tcPr>
            <w:tcW w:type="dxa" w:w="2880"/>
          </w:tcPr>
          <w:p>
            <w:r>
              <w:t>Method</w:t>
            </w:r>
          </w:p>
        </w:tc>
      </w:tr>
      <w:tr>
        <w:tc>
          <w:tcPr>
            <w:tcW w:type="dxa" w:w="2880"/>
          </w:tcPr>
          <w:p>
            <w:r>
              <w:t>Fe content</w:t>
            </w:r>
          </w:p>
        </w:tc>
        <w:tc>
          <w:tcPr>
            <w:tcW w:type="dxa" w:w="2880"/>
          </w:tcPr>
          <w:p>
            <w:r>
              <w:t>≥ 63.5%</w:t>
            </w:r>
          </w:p>
        </w:tc>
        <w:tc>
          <w:tcPr>
            <w:tcW w:type="dxa" w:w="2880"/>
          </w:tcPr>
          <w:p>
            <w:r>
              <w:t>ISO 3082</w:t>
            </w:r>
          </w:p>
        </w:tc>
      </w:tr>
      <w:tr>
        <w:tc>
          <w:tcPr>
            <w:tcW w:type="dxa" w:w="2880"/>
          </w:tcPr>
          <w:p>
            <w:r>
              <w:t>Moisture</w:t>
            </w:r>
          </w:p>
        </w:tc>
        <w:tc>
          <w:tcPr>
            <w:tcW w:type="dxa" w:w="2880"/>
          </w:tcPr>
          <w:p>
            <w:r>
              <w:t>≤ 8.0%</w:t>
            </w:r>
          </w:p>
        </w:tc>
        <w:tc>
          <w:tcPr>
            <w:tcW w:type="dxa" w:w="2880"/>
          </w:tcPr>
          <w:p>
            <w:r>
              <w:t>ISO 3087</w:t>
            </w:r>
          </w:p>
        </w:tc>
      </w:tr>
      <w:tr>
        <w:tc>
          <w:tcPr>
            <w:tcW w:type="dxa" w:w="2880"/>
          </w:tcPr>
          <w:p>
            <w:r>
              <w:t>Phosphorus</w:t>
            </w:r>
          </w:p>
        </w:tc>
        <w:tc>
          <w:tcPr>
            <w:tcW w:type="dxa" w:w="2880"/>
          </w:tcPr>
          <w:p>
            <w:r>
              <w:t>≤ 0.06%</w:t>
            </w:r>
          </w:p>
        </w:tc>
        <w:tc>
          <w:tcPr>
            <w:tcW w:type="dxa" w:w="2880"/>
          </w:tcPr>
          <w:p>
            <w:r>
              <w:t>ISO 4695</w:t>
            </w:r>
          </w:p>
        </w:tc>
      </w:tr>
      <w:tr>
        <w:tc>
          <w:tcPr>
            <w:tcW w:type="dxa" w:w="2880"/>
          </w:tcPr>
          <w:p>
            <w:r>
              <w:t>Size distribution</w:t>
            </w:r>
          </w:p>
        </w:tc>
        <w:tc>
          <w:tcPr>
            <w:tcW w:type="dxa" w:w="2880"/>
          </w:tcPr>
          <w:p>
            <w:r>
              <w:t>-10mm +0.15mm</w:t>
            </w:r>
          </w:p>
        </w:tc>
        <w:tc>
          <w:tcPr>
            <w:tcW w:type="dxa" w:w="2880"/>
          </w:tcPr>
          <w:p>
            <w:r>
              <w:t>ISO 2591</w:t>
            </w:r>
          </w:p>
        </w:tc>
      </w:tr>
    </w:tbl>
    <w:p>
      <w:pPr>
        <w:pStyle w:val="Heading2"/>
      </w:pPr>
      <w:r>
        <w:t>4. Price and Payment</w:t>
      </w:r>
    </w:p>
    <w:p>
      <w:r>
        <w:t>The Base Price shall be USD 128.50 per dry metric tonne (DMT), subject to quarterly adjustment in accordance with the Platts IODEX 62% Fe index. Payment shall be made by irrevocable Letter of Credit within 30 days of Bill of Lading date.</w:t>
      </w:r>
    </w:p>
    <w:p>
      <w:pPr>
        <w:pStyle w:val="Heading2"/>
      </w:pPr>
      <w:r>
        <w:t>5. Force Majeure</w:t>
      </w:r>
    </w:p>
    <w:p>
      <w:r>
        <w:t>Neither party shall be liable for failure to perform its obligations under this Agreement if such failure results from Force Majeure events including but not limited to: acts of God, war, strikes, governmental action, or failure of transportation.</w:t>
      </w:r>
    </w:p>
    <w:p>
      <w:pPr>
        <w:pStyle w:val="Heading2"/>
      </w:pPr>
      <w:r>
        <w:t>6. Term and Termination</w:t>
      </w:r>
    </w:p>
    <w:p>
      <w:r>
        <w:t>This Agreement shall commence on the Effective Date and continue for a period of twelve (12) months, unless terminated earlier in accordance with Clause 14. Either party may terminate with sixty (60) days written notice in the event of a material breach not cured within thirty (30) days of notification.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Requirement</w:t>
            </w:r>
          </w:p>
        </w:tc>
        <w:tc>
          <w:tcPr>
            <w:tcW w:type="dxa" w:w="2880"/>
          </w:tcPr>
          <w:p>
            <w:r>
              <w:t>Reference</w:t>
            </w:r>
          </w:p>
        </w:tc>
      </w:tr>
      <w:tr>
        <w:tc>
          <w:tcPr>
            <w:tcW w:type="dxa" w:w="2880"/>
          </w:tcPr>
          <w:p>
            <w:r>
              <w:t>Quality dispute window</w:t>
            </w:r>
          </w:p>
        </w:tc>
        <w:tc>
          <w:tcPr>
            <w:tcW w:type="dxa" w:w="2880"/>
          </w:tcPr>
          <w:p>
            <w:r>
              <w:t>30 days from arrival</w:t>
            </w:r>
          </w:p>
        </w:tc>
        <w:tc>
          <w:tcPr>
            <w:tcW w:type="dxa" w:w="2880"/>
          </w:tcPr>
          <w:p>
            <w:r>
              <w:t>Clause 8.2</w:t>
            </w:r>
          </w:p>
        </w:tc>
      </w:tr>
      <w:tr>
        <w:tc>
          <w:tcPr>
            <w:tcW w:type="dxa" w:w="2880"/>
          </w:tcPr>
          <w:p>
            <w:r>
              <w:t>Demurrage rate</w:t>
            </w:r>
          </w:p>
        </w:tc>
        <w:tc>
          <w:tcPr>
            <w:tcW w:type="dxa" w:w="2880"/>
          </w:tcPr>
          <w:p>
            <w:r>
              <w:t>USD 8,000/day pro rata</w:t>
            </w:r>
          </w:p>
        </w:tc>
        <w:tc>
          <w:tcPr>
            <w:tcW w:type="dxa" w:w="2880"/>
          </w:tcPr>
          <w:p>
            <w:r>
              <w:t>Clause 9.1</w:t>
            </w:r>
          </w:p>
        </w:tc>
      </w:tr>
      <w:tr>
        <w:tc>
          <w:tcPr>
            <w:tcW w:type="dxa" w:w="2880"/>
          </w:tcPr>
          <w:p>
            <w:r>
              <w:t>Force Majeure notice</w:t>
            </w:r>
          </w:p>
        </w:tc>
        <w:tc>
          <w:tcPr>
            <w:tcW w:type="dxa" w:w="2880"/>
          </w:tcPr>
          <w:p>
            <w:r>
              <w:t>7 days written</w:t>
            </w:r>
          </w:p>
        </w:tc>
        <w:tc>
          <w:tcPr>
            <w:tcW w:type="dxa" w:w="2880"/>
          </w:tcPr>
          <w:p>
            <w:r>
              <w:t>Clause 12.3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