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梅斯健康集团 (MEDSCI Healthcare, 2415.HK)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官网重构 PRD v2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Cross-Border Evidence Platform for US ⇄ China Medical Innovators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2.0  ·  2026-04-16  ·  替代 v1（2026-04 初稿）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执行摘要与战略定位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v1 → v2 的核心变化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经过对 v1 的深度 review，本版 PRD 在以下五个维度做出结构性调整：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北极星目标收敛</w:t>
      </w:r>
      <w:r>
        <w:rPr>
          <w:rFonts w:ascii="Arial" w:cs="Arial" w:eastAsia="Arial" w:hAnsi="Arial"/>
          <w:sz w:val="22"/>
          <w:szCs w:val="22"/>
        </w:rPr>
        <w:t xml:space="preserve">：明确官网的唯一核心 KPI 为美国 Pilot 销售线索（lead gen），反向尽调为派生收益而非并列目标。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ICP 从 4 缩到 2 个方向</w:t>
      </w:r>
      <w:r>
        <w:rPr>
          <w:rFonts w:ascii="Arial" w:cs="Arial" w:eastAsia="Arial" w:hAnsi="Arial"/>
          <w:sz w:val="22"/>
          <w:szCs w:val="22"/>
        </w:rPr>
        <w:t xml:space="preserve">：放弃"诊所 / 品牌 / Biotech / 保健品"的四平行切分，改为双向跨境叙事：Entering China + Going Global (US)。本土诊所业务降级为附属提及。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China→US 收窄为一个可防守的楔子</w:t>
      </w:r>
      <w:r>
        <w:rPr>
          <w:rFonts w:ascii="Arial" w:cs="Arial" w:eastAsia="Arial" w:hAnsi="Arial"/>
          <w:sz w:val="22"/>
          <w:szCs w:val="22"/>
        </w:rPr>
        <w:t xml:space="preserve">：不承诺全能 FDA 伙伴（避免与 PharmaLex / IQVIA 正面竞争），专注"Evidence &amp; Medical Communication Bridge"——证据桥接 + 美国医学出版 + 华裔 KOL 启动。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新增漏斗与度量框架</w:t>
      </w:r>
      <w:r>
        <w:rPr>
          <w:rFonts w:ascii="Arial" w:cs="Arial" w:eastAsia="Arial" w:hAnsi="Arial"/>
          <w:sz w:val="22"/>
          <w:szCs w:val="22"/>
        </w:rPr>
        <w:t xml:space="preserve">：v1 缺失的转化漏斗、Pilot offer 设计、CRM / Lead Scoring、业务 KPI 全部补齐。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时间表修正为可执行</w:t>
      </w:r>
      <w:r>
        <w:rPr>
          <w:rFonts w:ascii="Arial" w:cs="Arial" w:eastAsia="Arial" w:hAnsi="Arial"/>
          <w:sz w:val="22"/>
          <w:szCs w:val="22"/>
        </w:rPr>
        <w:t xml:space="preserve">：v1 的 4 周路线图不考虑法务审核 / SEO 迁移 / 多语言 QA / 上市公司披露核查；v2 延展为 14–18 周分阶段方案。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项目背景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梅斯健康 (2415.HK) 正处于从"数字化营销服务商"向"全球循证科技 (Evidence-Tech) 平台"转型的关键期。当前 www.medscihealthcare.com 无法承载集团在 AI 时代的新品牌形象，亦无法直接支撑美国业务扩张。本次重构不是美工改版，而是梅斯全球化战略的"数字化基建"。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角色转变（Role Shift）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从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「企业名片」</w:t>
      </w:r>
      <w:r>
        <w:rPr>
          <w:rFonts w:ascii="Arial" w:cs="Arial" w:eastAsia="Arial" w:hAnsi="Arial"/>
          <w:sz w:val="22"/>
          <w:szCs w:val="22"/>
        </w:rPr>
        <w:t xml:space="preserve"> 转变为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「前台接单入口 + 平台实力背书」</w:t>
      </w:r>
      <w:r>
        <w:rPr>
          <w:rFonts w:ascii="Arial" w:cs="Arial" w:eastAsia="Arial" w:hAnsi="Arial"/>
          <w:sz w:val="22"/>
          <w:szCs w:val="22"/>
        </w:rPr>
        <w:t xml:space="preserve">。对应的运营逻辑从"展示集团历史"切换到"结构化捕获销售线索 + 向国际资本传递可验证平台能力"。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品牌口径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使命原点（Mission）</w:t>
      </w:r>
      <w:r>
        <w:rPr>
          <w:rFonts w:ascii="Arial" w:cs="Arial" w:eastAsia="Arial" w:hAnsi="Arial"/>
          <w:sz w:val="22"/>
          <w:szCs w:val="22"/>
        </w:rPr>
        <w:t xml:space="preserve">：Improving Healthcare Quality（改善医疗质量）。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差异化价值主张（UVP）</w:t>
      </w:r>
      <w:r>
        <w:rPr>
          <w:rFonts w:ascii="Arial" w:cs="Arial" w:eastAsia="Arial" w:hAnsi="Arial"/>
          <w:sz w:val="22"/>
          <w:szCs w:val="22"/>
        </w:rPr>
        <w:t xml:space="preserve">：Cross-Border Evidence + PITL-Powered AI + Physician Network at Scale。（注：作为 tagline 的"Improving Healthcare Quality"过于通用，不作为 Hero 差异化主打，放在使命 / About 区。）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目标与度量框架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v1 缺失的部分，也是本次改版是否成功的唯一判断依据。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北极星目标（North Star）</w:t>
      </w:r>
    </w:p>
    <w:p>
      <w:pPr>
        <w:pBdr>
          <w:left w:val="single" w:color="2E75B6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在上线后 4–6 个月内，通过官网路径产生 ≥ 30 条合格 Pilot 销售线索（MQL），其中 ≥ 15 条完成 Discovery Call，≥ 6 条签订 Pilot 合同。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（具体数字需根据内部销售漏斗历史与 ACV 调校，此处为建议目标。）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分层 KPI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860"/>
        <w:gridCol w:w="2300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目标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流量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月度独立访客 (UV)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8,000（6 个月内）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GA4 / Plausible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流量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目标地区占比（US + CN）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70%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GA4 Geo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参与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Solutions 页面停留时间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2 分钟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GA4 Engagement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参与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Case Study 阅读完成率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45%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GA4 Scroll Tracking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转化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Gated Asset 下载量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300 / 月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HubSpot / CRM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转化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 Smart Form 提交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80 / 月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HubSpot / CRM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转化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合格 Pilot MQL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30（6 个月累计）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销售团队评级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商业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Pilot 合同签约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6（6 个月累计）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销售 CRM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二级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投资者材料下载（反向尽调）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25 / 月（IP 去重）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GA4 / Event 追踪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反向尽调（Reverse DD）的二级目标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虽然官网主 KPI 是销售线索，但并购反向尽调场景需要独立的证据路径。此部分不影响 Hero 与主导航设计，但 About &amp; Investors 专区须满足以下资料清单：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集团组织架构与治理结构（董事会、管理层、大股东）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过往财报与审计报告（港交所披露链接）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核心业务数据（医生网络规模、年交付项目数、客户国别分布——脱敏）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技术白皮书（PITL 原理、模型合规性、数据来源）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法律与合规历史（重大诉讼、监管函件——如无可说明）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媒体报道与行业认可（非 PR 稿）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ESG 声明与数据合规政策（GDPR / HIPAA / 中国《个人信息保护法》）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受众定位与用户旅程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主要受众 (Primary ICPs)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200"/>
        <w:gridCol w:w="27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ICP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决策者画像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核心动机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Entering China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全球 → 中国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美/欧 Biotech / Medtech / Pharma 的 Medical Affairs VP、Market Access 总监、China Strategy Lead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进入中国市场需要本土循证、HCP 参与、监管/医保准入支持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Going Global (US)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中国 → 美国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中国 Biotech / Medtech 的 CMO、CSO、Head of Clinical Dev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FDA 审评中的证据桥接、美国 KOL 启动、英文医学出版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Reverse DD（二级）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国际资本方、并购 Advisor、战略投资人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验证梅斯作为跨境平台的可收购 / 可投资价值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附属受众（Secondary，不进主导航）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本土诊所患者教育、消费保健品品牌营销——保留能力展示，不作为首屏分流入口。理由：销售周期过长（12 个月+），不匹配本轮 4-6 个月 Pilot 目标。作为 Solutions 页脚的"We Also Help"小卡片处理。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用户旅程（Primary Journey）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Journey A：Entering China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发现：LinkedIn 广告 / SEO（"china rwe", "medical affairs china"）/ Gartner Magic Quadrant 调研 → 进入首页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识别：首屏双 CTA 中选择 "Entering China →" → 进入 Solutions 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信任：阅读 2-3 个量化 Case Study（3.33M 医生网络 × PITL 流程）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转化：下载《China RWE Playbook》(gated) → 进入 email nurture → 预约 30-Day China Evidence Sprint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闭环：销售 Discovery Call → Pilot 合同 → Full Engagement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Journey B：Going Global (US)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发现：中文行业媒体（医药魔方 / E药经理人）/ 百度 SEO / 中国 Biotech 行业峰会 → 进入首页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识别：首屏双 CTA 中选择 "Going to the US →" → 进入 Solutions 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信任：阅读 Case Study（匿名 + 量化结果："IND 申报时间缩短 4 个月"）+ 华裔美国 KOL 页面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转化：下载《中国 Biotech 赴美证据桥接白皮书》→ 预约 FDA Evidence Gap Diagnostic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闭环：销售 Discovery Call → Pilot 合同 → Full Engagement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信息架构 (IA) 与导航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全面抛弃按内部部门的分类逻辑，转向"买家语言"与"场景语言"。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主导航（Primary Navigation）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导航项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包含页面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战略职能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Entering China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Overview / 4 Sub-solutions / Case Studies / 30-Day China Evidence Sprint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捕获全球 → 中国方向的销售线索（预计占线索量 60%）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Going Global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Overview / Evidence Bridge / Medical Publication / Chinese-American KOL Network / 30-Day FDA Diagnostic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捕获中国 → 美国方向的销售线索（40%）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AI-Enabled Delivery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Research Assistant / AI Evidence Workflow / AI-Enhanced Content / PITL 技术白皮书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展示 AI 能力深度，支撑两大方向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Capabilities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Medical Writing / Biostatistics / RWE / Research Communications / 合规与数据治理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展示底层硬实力，用于信任建立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Insights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Blog / Whitepapers / Webinars / Events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SEO 与 ABM 的内容弹药库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About &amp; Investors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Company / Global Presence / Leadership / Investor Relations / ESG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传递集团实力 + 反向尽调入口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Smart Form（按方向分支）/ Office Locations / Pilot 申请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统一前台接单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辅助导航 / Utility Nav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语言切换：EN / 简体中文（v2 不做其他语言，避免过度工程）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Investor 快捷入口（右上角，仅对反向尽调场景设计）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Book a Pilot（Sticky CTA，desktop 右下角浮窗）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首页（Homepage）模块顺序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Hero（见 §6.1）+ 双 CTA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Why MEDSCI — 3 个硬差异化点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双方向分流卡（Entering China / Going Global）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精选 Case Studies（2 + 1 = 3 个）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AI-Enabled Delivery 简述 + 跳转链接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Trust Bar：客户 logo 墙（署名完成后替换匿名版）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Insights 精选（3 个）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Book a Pilot CTA 区块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核心方案 PRD（两大方向）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每个方案页面必须严格遵循统一结构：Who it's for / Problems we solve / What we deliver / Pilot offer / Case studies。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Entering China (Global → China)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5.1.1 目标对象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美国 / 欧洲 Biotech 公司的 Medical Affairs VP、China Lead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Medtech 公司的 China Market Access 总监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跨国 Pharma 的 China Medical 团队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全球消费保健品 / 品牌（作为附属受众提及）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5.1.2 Problems we solve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产品需要中国 RWE 以支持在华注册 / 医保准入，但无本土数据来源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对 HCP 的医学沟通在中文 / 中国临床语境下失真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中国医疗监管更新快，缺乏本土合规叙事能力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患者教育内容"英翻中"式本土化导致转化率低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5.1.3 What we deliver（4 个 Sub-Solutions）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China RWE Generation</w:t>
      </w:r>
      <w:r>
        <w:rPr>
          <w:rFonts w:ascii="Arial" w:cs="Arial" w:eastAsia="Arial" w:hAnsi="Arial"/>
          <w:sz w:val="22"/>
          <w:szCs w:val="22"/>
        </w:rPr>
        <w:t xml:space="preserve">：依托 3.33M 注册医生网络产出中国真实世界证据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HCP Engagement &amp; Medical Education</w:t>
      </w:r>
      <w:r>
        <w:rPr>
          <w:rFonts w:ascii="Arial" w:cs="Arial" w:eastAsia="Arial" w:hAnsi="Arial"/>
          <w:sz w:val="22"/>
          <w:szCs w:val="22"/>
        </w:rPr>
        <w:t xml:space="preserve">：中国 KOL 参与、MSL 内容、学术会议支持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Localized Medical Content</w:t>
      </w:r>
      <w:r>
        <w:rPr>
          <w:rFonts w:ascii="Arial" w:cs="Arial" w:eastAsia="Arial" w:hAnsi="Arial"/>
          <w:sz w:val="22"/>
          <w:szCs w:val="22"/>
        </w:rPr>
        <w:t xml:space="preserve">：中文医学写作、科学叙述、证据包、出版支持、断言 (Claims) 核查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Commercial Enablement for China</w:t>
      </w:r>
      <w:r>
        <w:rPr>
          <w:rFonts w:ascii="Arial" w:cs="Arial" w:eastAsia="Arial" w:hAnsi="Arial"/>
          <w:sz w:val="22"/>
          <w:szCs w:val="22"/>
        </w:rPr>
        <w:t xml:space="preserve">：市场教育内容、渠道就绪资产、基于证据的商业支持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5.1.4 Pilot Offer</w:t>
      </w:r>
    </w:p>
    <w:p>
      <w:pPr>
        <w:pBdr>
          <w:left w:val="single" w:color="2E75B6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30-Day China Evidence Sprint — Fixed Fee, Fixed Scope. 30 天内交付：(1) 产品在华证据 Gap 分析 (2) 目标 HCP 画像与参与策略 (3) 建议的 China RWE 方案 + 预算。作为 Full Engagement 的决策前置步骤。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5.1.5 Proof Points（页面必挂）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3.33M+ registered physicians（中国医生网络规模）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73% of China's senior doctors（高级医生覆盖率）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PITL (Physician-in-the-Loop) engine（技术背书）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 个 Case Studies（匿名 + 量化）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Going Global — US (China → US)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5.2.1 目标对象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中国 Biotech 的 CMO / CSO（主要是肿瘤、自免、罕见病赛道）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中国 Medtech 的 Head of Clinical / Regulatory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赴美上市计划中的创新药企（Pre-IPO）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5.2.2 Problems we solve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中国 III 期数据被 FDA 质疑"US population applicability 不足"（近 2 年 6+ 家中国药企因此被拒）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缺乏美国 KOL / Advisory Board，产品在美认知度低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中国试验数据进入 NEJM / JAMA / ASCO 等高质量出版渠道的通路不畅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英文医学内容 / HCP 材料制作能力不足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5.2.3 What we deliver（核心楔子：Evidence &amp; Medical Communication Bridge）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重要纪律：</w:t>
      </w:r>
      <w:r>
        <w:rPr>
          <w:rFonts w:ascii="Arial" w:cs="Arial" w:eastAsia="Arial" w:hAnsi="Arial"/>
          <w:sz w:val="22"/>
          <w:szCs w:val="22"/>
        </w:rPr>
        <w:t xml:space="preserve">梅斯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不承接</w:t>
      </w:r>
      <w:r>
        <w:rPr>
          <w:rFonts w:ascii="Arial" w:cs="Arial" w:eastAsia="Arial" w:hAnsi="Arial"/>
          <w:sz w:val="22"/>
          <w:szCs w:val="22"/>
        </w:rPr>
        <w:t xml:space="preserve"> FDA 注册 filing、美国临床 site network、美国 payer 策略等重兵把守的赛道。文案中明确："We partner with regulatory specialists on FDA submissions." 画清边界比全能更可信。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FDA-ready evidence package：把中国 III 期数据按 FDA 格式重构，补充 pharmacoethnic bridging、US population applicability 分析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 publication &amp; conference strategy：把中国数据送进 NEJM / JAMA / ASCO / AHA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Chinese-American KOL Advisory Board：利用华裔美国医学专家网络快速启动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English-language Medical Affairs content：白皮书、HCP 教育、会议海报、MSL 脚本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5.2.4 Pilot Offer</w:t>
      </w:r>
    </w:p>
    <w:p>
      <w:pPr>
        <w:pBdr>
          <w:left w:val="single" w:color="2E75B6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30-Day FDA Evidence Gap Diagnostic — Fixed Fee, Fixed Scope. 30 天内交付：(1) 现有中国数据 vs FDA 要求的 Gap 报告 (2) Pharmacoethnic bridging 可行性评估 (3) 建议的补充研究 / 出版路径 + 预算。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5.2.5 Proof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≥ 2 个已交付的中国 Biotech 赴美案例（匿名 + 量化结果；Logo 署名授权 Track B 推进中）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华裔美国 KOL 网络规模（数字待确认）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已发表英文医学出版物数量（数字待确认）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Hero &amp; 首屏英文文案 V2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Hero Section（推荐最终版）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Headline</w:t>
      </w:r>
    </w:p>
    <w:p>
      <w:pPr>
        <w:pBdr>
          <w:left w:val="single" w:color="2E75B6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The cross-border medical evidence platform for US ⇄ China healthcare innovators.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Sub-headline</w:t>
      </w:r>
    </w:p>
    <w:p>
      <w:pPr>
        <w:pBdr>
          <w:left w:val="single" w:color="2E75B6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Whether you're bringing a global therapy into China, or taking a Chinese innovation to the FDA — MEDSCI builds the medical evidence, content, and physician engagement to get you there. Powered by 3.33M+ physicians and AI-enabled delivery.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Dual CTA（关键）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Primary: </w:t>
      </w:r>
      <w:r>
        <w:rPr>
          <w:rFonts w:ascii="Arial" w:cs="Arial" w:eastAsia="Arial" w:hAnsi="Arial"/>
          <w:sz w:val="22"/>
          <w:szCs w:val="22"/>
        </w:rPr>
        <w:t xml:space="preserve">Entering China 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Primary: </w:t>
      </w:r>
      <w:r>
        <w:rPr>
          <w:rFonts w:ascii="Arial" w:cs="Arial" w:eastAsia="Arial" w:hAnsi="Arial"/>
          <w:sz w:val="22"/>
          <w:szCs w:val="22"/>
        </w:rPr>
        <w:t xml:space="preserve">Going to the US 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Tertiary: </w:t>
      </w:r>
      <w:r>
        <w:rPr>
          <w:rFonts w:ascii="Arial" w:cs="Arial" w:eastAsia="Arial" w:hAnsi="Arial"/>
          <w:sz w:val="22"/>
          <w:szCs w:val="22"/>
        </w:rPr>
        <w:t xml:space="preserve">Talk to an Expert（通用备选）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注：v1 的单一 "Book a Strategy Call" CTA 被双 CTA 取代。目的：首屏即分流，避免 B2B 买家因方向不对而流失。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Why MEDSCI（价值主张三支柱）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Medical Expertise at Scale</w:t>
      </w:r>
      <w:r>
        <w:rPr>
          <w:rFonts w:ascii="Arial" w:cs="Arial" w:eastAsia="Arial" w:hAnsi="Arial"/>
          <w:sz w:val="22"/>
          <w:szCs w:val="22"/>
        </w:rPr>
        <w:t xml:space="preserve">：3.33M+ registered physicians &amp; 73% of China's senior doctors.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Cross-Border Capability</w:t>
      </w:r>
      <w:r>
        <w:rPr>
          <w:rFonts w:ascii="Arial" w:cs="Arial" w:eastAsia="Arial" w:hAnsi="Arial"/>
          <w:sz w:val="22"/>
          <w:szCs w:val="22"/>
        </w:rPr>
        <w:t xml:space="preserve">：Proven delivery in US, China, Singapore, and Vietnam, supporting bidirectional market entry.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AI-Enabled Rigor</w:t>
      </w:r>
      <w:r>
        <w:rPr>
          <w:rFonts w:ascii="Arial" w:cs="Arial" w:eastAsia="Arial" w:hAnsi="Arial"/>
          <w:sz w:val="22"/>
          <w:szCs w:val="22"/>
        </w:rPr>
        <w:t xml:space="preserve">：PITL (Physician-in-the-Loop) engine ensuring evidence quality, combining AI throughput with expert validation.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关键文案纪律（Copy Discipline）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禁用"zero-hallucination"："零幻觉"是营销修辞，不是技术事实，面向 FDA / 美国合规受众 / 反向尽调方会被反问"如何证明"。替换为 "expert-validated" 或 "PITL-audited"。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禁用 Lorem Ipsum、陈旧新闻、未完成功能卡片（延续 v1 §6 整改任务）。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品牌一致性：上海 / 北京 / 美国 / 新加坡 / 越南各分部统一使用 "MEDSCI Group" 或 "梅斯健康集团" 作为顶层品牌，不以分部名作主语。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所有未完成交付可量化的 proof point 用 "Coming soon" 或略去，不虚标。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AI-Enabled Delivery 模块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整合原 AIMedSci 精华内容，定位为"两大方向的底层能力展示"，而非独立业务线。避免"AI 宣传孤岛"陷阱。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核心展示页面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Research Assistant（科研 AI 助手）</w:t>
      </w:r>
      <w:r>
        <w:rPr>
          <w:rFonts w:ascii="Arial" w:cs="Arial" w:eastAsia="Arial" w:hAnsi="Arial"/>
          <w:sz w:val="22"/>
          <w:szCs w:val="22"/>
        </w:rPr>
        <w:t xml:space="preserve">：展示 SeekEvidence 的选题挖掘、智能文献研读及 SCI 写作辅助能力。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Evidence Workflow（AI 证据工作流）</w:t>
      </w:r>
      <w:r>
        <w:rPr>
          <w:rFonts w:ascii="Arial" w:cs="Arial" w:eastAsia="Arial" w:hAnsi="Arial"/>
          <w:sz w:val="22"/>
          <w:szCs w:val="22"/>
        </w:rPr>
        <w:t xml:space="preserve">：展示基于 PITL 引擎的证据生成过程，强调"专家在回路"的验证机制。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AI-Enhanced Content Production（AI 增强内容生产）</w:t>
      </w:r>
      <w:r>
        <w:rPr>
          <w:rFonts w:ascii="Arial" w:cs="Arial" w:eastAsia="Arial" w:hAnsi="Arial"/>
          <w:sz w:val="22"/>
          <w:szCs w:val="22"/>
        </w:rPr>
        <w:t xml:space="preserve">：强调"AI 预撰写 + 医学专家审核"的工业化交付模式。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战略叙事</w:t>
      </w:r>
    </w:p>
    <w:p>
      <w:pPr>
        <w:pBdr>
          <w:left w:val="single" w:color="2E75B6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MEDSCI does not rely on generic AI to generate medical content. Our delivery model combines our 3.33M-physician network × PITL (Physician-in-the-Loop) expert engine × verticalized medical data assets — ensuring rigor, auditability, and regulatory defensibility.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技术白皮书（合规关键）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反向尽调与美国合规审查场景需要可下载的 PITL 技术白皮书（gated），内容须覆盖：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PITL 架构概览与循环验证机制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训练数据来源与授权基础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输出审计与可追溯性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符合的行业标准（如有）：GDPR、HIPAA、ISO/IEC 42001 等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Capabilities（底层能力）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底层硬实力展示区，服务于信任建立，不直接带销售线索。每个能力页需包含：交付物范例、服务团队规模、客户类型、典型项目周期。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Medical Writing（中英双语，每年产出 X 篇）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Biostatistics &amp; Data Science（RWE 分析、Bridging Analysis）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Real-World Evidence (RWE)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Research Communications &amp; Publications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Regulatory Medical Affairs Support（仅作为 partnered 能力提及，不独立承接）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合规与数据治理（GDPR / HIPAA / PIPL）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转化漏斗设计（v1 缺失）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官网是漏斗入口，但入口背后必须设计完整的捕获 → 培育 → 转化链路。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流量来源（Traffic Sources）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SEO（60% 长期占比）</w:t>
      </w:r>
      <w:r>
        <w:rPr>
          <w:rFonts w:ascii="Arial" w:cs="Arial" w:eastAsia="Arial" w:hAnsi="Arial"/>
          <w:sz w:val="22"/>
          <w:szCs w:val="22"/>
        </w:rPr>
        <w:t xml:space="preserve">：按方向规划双语关键词矩阵：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EN: "china real world evidence", "medical affairs china", "china hcp engagement", "bridging analysis fda", "china to us fda strategy"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CN: "中国 biotech 出海美国", "FDA 证据桥接", "跨境医学传播", "美国医学出版服务"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ABM / LinkedIn（25%）</w:t>
      </w:r>
      <w:r>
        <w:rPr>
          <w:rFonts w:ascii="Arial" w:cs="Arial" w:eastAsia="Arial" w:hAnsi="Arial"/>
          <w:sz w:val="22"/>
          <w:szCs w:val="22"/>
        </w:rPr>
        <w:t xml:space="preserve">：定向投放 US Biotech Medical Affairs VP / China Lead（约 1,500-2,500 个目标账户）。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行业会议与 PR（10%）</w:t>
      </w:r>
      <w:r>
        <w:rPr>
          <w:rFonts w:ascii="Arial" w:cs="Arial" w:eastAsia="Arial" w:hAnsi="Arial"/>
          <w:sz w:val="22"/>
          <w:szCs w:val="22"/>
        </w:rPr>
        <w:t xml:space="preserve">：BIO International、DIA China、AACR、CSCO 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推荐 / 口碑（5%）</w:t>
      </w:r>
      <w:r>
        <w:rPr>
          <w:rFonts w:ascii="Arial" w:cs="Arial" w:eastAsia="Arial" w:hAnsi="Arial"/>
          <w:sz w:val="22"/>
          <w:szCs w:val="22"/>
        </w:rPr>
        <w:t xml:space="preserve">：依赖现有客户网络；官网需支持"客户证言"与"推荐链接"追踪。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线索捕获机制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2400"/>
        <w:gridCol w:w="1760"/>
      </w:tblGrid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资产类型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门槛（Gated?）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Lead Score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 of Funnel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Blog / Insight Articles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+5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 of Funnel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行业报告预览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+5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 Funnel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Whitepaper (China RWE Playbook / FDA Evidence Bridge Guide)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是，换邮箱+公司+职位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+20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 Funnel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Webinar 报名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+25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Bottom Funnel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Pilot 申请表（结构化表单）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是，详细 qualification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+50（直接转销售）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Bottom Funnel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 Discovery Call（Calendly）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+60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Contact Smart Form（按方向分支）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v1 的通用 Contact Form 改为按方向动态分支的 Smart Form：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第一个问题：您是 (A) 把产品带入中国 (B) 把产品带入美国 (C) 其他合作意向。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根据选择路由至对应的 qualification 字段：公司名、产品线、时间窗口、决策角色。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 选项增加："您的产品目前处于哪个 FDA 阶段 (Pre-IND / IND / Phase 1-3 / NDA)?"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选项增加："您是否已有中国注册计划？"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后端路由：按方向分派至对应销售负责人；Lead Score 自动计算。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CRM 与培育流程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推荐 CRM：HubSpot（B2B 医疗服务行业成熟方案）或 Salesforce（若集团已有）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培育邮件序列：按方向分为两套，各 5 封邮件、14 天节奏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SLA：Pilot 申请提交后 ≤ 1 个工作日销售响应；Whitepaper 下载后 ≤ 3 天发送第一封 nurture 邮件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About &amp; Investor 专区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反向尽调的独立工作流。v1 将此降级为最后一周的附录，v2 提升为独立规划。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页面结构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Company Overview（集团概览、使命愿景）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Global Presence（上海、北京、美国、新加坡、越南——各分部作用统一口径）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Leadership（管理层、董事会、科学顾问委员会）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Investor Relations（财报、公告、股东信、港交所披露快捷链接）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Partnerships &amp; M&amp;A（表达平台化整合意愿；v2 MVP 为简版）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ESG &amp; Compliance（数据合规政策、临床伦理、社会责任）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Media &amp; Press Kit（高管头像、Logo 下载、品牌叙事文档）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Gated 资产（反向尽调关键）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Corporate Fact Sheet PDF（英文、简体中文）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PITL 技术白皮书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ESG / 合规白皮书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客户 Case Book（脱敏集合）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清理与合规整改（Sanitization）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延续 v1 §6 任务，执行前即刻启动，不等待新页面开发：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文案纠偏：彻底删除所有 Lorem Ipsum 占位文案及不自然的语法表达（尤其英文区）。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品牌一致性：整合上海、北京、美国、新加坡、越南各分部描述，统一为 "MEDSCI Group"。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内容去旧：删除所有陈旧新闻、过时的会议页面及未完成的功能卡片。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断言 (Claims) 核查：所有数据型 Claim 需标注来源或年份（例："As of 2024"）。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链接与 SEO：盘点现有 URL；上线前制作 301 重定向表，避免丢失外部引用。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隐私政策与 Cookie：更新 Privacy Policy / Cookie Banner，覆盖 GDPR、CCPA、PIPL。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分阶段执行路线图（Revised Roadmap）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v1 的 4 周排期不现实（未含法务 / SEO 迁移 / 多语言 QA / 上市公司披露核查）。v2 延展为 14-18 周，分 4 阶段。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200"/>
        <w:gridCol w:w="2000"/>
        <w:gridCol w:w="136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时间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核心任务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交付物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责任方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0：前置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0-3（3 周）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客户 logo 授权谈判、Case Study 量化数据盘点、SEO 关键词研究、竞品拆解、8-12 场美国 ICP 客户访谈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授权清单、Case 量化数据库、关键词矩阵、客户画像验证报告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Marketing + Sales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1：核心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4-9（6 周）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Hero + 首页 + 两大 Solutions Overview + 2 个 Case Study + Contact Smart Form + 清理整改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新首页、Entering China 主页、Going Global 主页、首批 Case Study、Smart Form、清洁版官网骨架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 + Dev + Legal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2：深化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10-14（5 周）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Sub-solutions 展开、AI-Enabled Delivery 模块、Capabilities 页面、Insights 博客迁移、Gated Assets 生产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全部 Solutions 子页面、AI 展示页、Capabilities 页、2 份 Whitepaper、5 封 nurture 邮件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 + Dev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3：上线&amp;优化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15-18（4 周）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SEO 301 迁移、CRM 集成、Analytics 配置、ABM 落地页、Investor 专区上线、法务合规终审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正式上线、GA4 仪表盘、HubSpot 漏斗、Investor 页、PR 发布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+ Legal + Marketing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4：持续运营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19+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Logo 授权升级、Case Study 扩充、AB 测试、SEO 优化、内容更新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季度迭代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Marketing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关键里程碑（Go/No-Go Gates）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Week 3：客户访谈完成，Hero 文案方向终审。若 ICP 画像与假设偏差 &gt;30%，Hero 推倒重来。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Week 9：首页 + 两大 Solutions Overview 内部 preview，法务首轮审核。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Week 14：全量内容终审，SEO 301 映射表完成。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Week 18：正式上线 + PR 发布 + ABM 启动。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风险与假设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1200"/>
        <w:gridCol w:w="4000"/>
      </w:tblGrid>
      <w:tr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风险 / 假设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严重性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缓解策略</w:t>
            </w:r>
          </w:p>
        </w:tc>
      </w:tr>
      <w:tr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Hero 假设（"US Biotech Medical Affairs VP 会通过 inbound 路径触达"）若不成立，4-6 个月 Pilot 目标流量饥饿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0 完成 8-12 场客户发现访谈验证；若假设失败，立即启动 ABM 外呼 + 行业会议联合展位</w:t>
            </w:r>
          </w:p>
        </w:tc>
      </w:tr>
      <w:tr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Going Global 方向的 Case Study 授权无法获得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 A 先发匿名 + 量化版；Track B 提供授权换福利（免费年度服务 / 联合 webinar）</w:t>
            </w:r>
          </w:p>
        </w:tc>
      </w:tr>
      <w:tr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PITL 技术白皮书过度营销化，反向尽调被质疑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由技术 + 法务联合审稿，避免"zero-hallucination"等绝对化表述</w:t>
            </w:r>
          </w:p>
        </w:tc>
      </w:tr>
      <w:tr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多语言 / 合规审核使 Phase 1 延期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0 提前启动法务预审；Phase 1 设 1 周 buffer</w:t>
            </w:r>
          </w:p>
        </w:tc>
      </w:tr>
      <w:tr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SEO 301 迁移造成现有自然流量跌损 &gt;40%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上线前由 SEO 顾问做 URL 映射 QA；上线后 30 天监控 Google Search Console</w:t>
            </w:r>
          </w:p>
        </w:tc>
      </w:tr>
      <w:tr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集团内部对"双向定位"意见分歧（销售 vs 品牌）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0 末期召开 alignment 会议，以客户访谈数据驱动决策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附录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14.1 匿名 Case Study 模板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每个 Case 必须含 ≥ 3 个量化数字。没有数字的 Case 不上线。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[行业标签] | [公司规模描述]（例："A Top-10 Chinese Oncology Biotech"）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Challenge</w:t>
      </w:r>
      <w:r>
        <w:rPr>
          <w:rFonts w:ascii="Arial" w:cs="Arial" w:eastAsia="Arial" w:hAnsi="Arial"/>
          <w:sz w:val="22"/>
          <w:szCs w:val="22"/>
        </w:rPr>
        <w:t xml:space="preserve">：业务目标 + 关键痛点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We Delivered</w:t>
      </w:r>
      <w:r>
        <w:rPr>
          <w:rFonts w:ascii="Arial" w:cs="Arial" w:eastAsia="Arial" w:hAnsi="Arial"/>
          <w:sz w:val="22"/>
          <w:szCs w:val="22"/>
        </w:rPr>
        <w:t xml:space="preserve">：2-3 条具体交付物（带周期）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Outcome（量化）</w:t>
      </w:r>
      <w:r>
        <w:rPr>
          <w:rFonts w:ascii="Arial" w:cs="Arial" w:eastAsia="Arial" w:hAnsi="Arial"/>
          <w:sz w:val="22"/>
          <w:szCs w:val="22"/>
        </w:rPr>
        <w:t xml:space="preserve">：≥ 3 个数字（时间 / 人数 / 成本 / 成功率）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 Quote（可匿名签名）</w:t>
      </w:r>
      <w:r>
        <w:rPr>
          <w:rFonts w:ascii="Arial" w:cs="Arial" w:eastAsia="Arial" w:hAnsi="Arial"/>
          <w:sz w:val="22"/>
          <w:szCs w:val="22"/>
        </w:rPr>
        <w:t xml:space="preserve">：真实客户说的话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14.2 Pilot Offer One-Pager 大纲（每个方向一份）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it is（一句话定义）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Who it's for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30-Day Timeline（按天展开）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Fixed Deliverables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Fixed Fee（USD / CNY 双币种）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to Book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14.3 待补充信息（Blockers）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Going Global 方向的已交付案例量化数据（合同期、实际成果）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华裔美国 KOL 网络规模（数字）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已发表英文医学出版物数量与期刊分布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过去 24 个月 FDA 相关项目数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集团年报与 ESG 披露的最新版本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Pilot Fixed Fee 的定价策略（财务需签字）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结论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本版 PRD v2 将官网重构重新定义为梅斯健康 2415.HK 的全球化销售引擎，围绕一个可证伪的北极星目标（4-6 个月 ≥ 30 条 Pilot MQL）组织所有产品与内容决策。相较 v1，v2 的价值在三个方面：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把模糊战略翻译成可执行的产品决策（2 个 ICP 方向、2 个 Pilot offer、双 CTA 首屏）。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把看不见的漏斗补齐（SEO / ABM / Gated Asset / CRM / Lead Scoring）。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把不现实的 4 周排期修正为分阶段的 14-18 周路线图，并为每个阶段设 Go/No-Go Gate。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核心风险仍然是 Hero 假设是否成立——这取决于 Phase 0 的 8-12 场客户发现访谈是否能验证我们对美国 Biotech Medical Affairs VP 的画像与语言选择。该动作不完成，后续所有内容生产都存在返工风险。建议将 Phase 0 作为正式工作启动的前置条件。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—— 文档结束 ——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Use · 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MEDSCI · 官网重构 PRD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MEDSCI 官网重构 PRD v2</dc:title>
  <dc:creator>MEDSCI PM Team</dc:creator>
  <cp:lastModifiedBy>Un-named</cp:lastModifiedBy>
  <cp:revision>1</cp:revision>
  <dcterms:created xsi:type="dcterms:W3CDTF">2026-04-16T22:24:29.267Z</dcterms:created>
  <dcterms:modified xsi:type="dcterms:W3CDTF">2026-04-16T22:24:29.268Z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