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b/>
          <w:color w:val="C00000"/>
          <w:sz w:val="36"/>
        </w:rPr>
        <w:t>CAMRAIL — Histoire du Reseau Ferroviaire Camerounais</w:t>
      </w:r>
    </w:p>
    <w:p>
      <w:r>
        <w:rPr>
          <w:sz w:val="18"/>
        </w:rPr>
        <w:t>Direction Générale | Document de référence | Réf : HIST-CAM-2026</w:t>
        <w:br/>
      </w:r>
    </w:p>
    <w:p>
      <w:pPr>
        <w:spacing w:before="240" w:after="120"/>
      </w:pPr>
      <w:r>
        <w:rPr>
          <w:b/>
          <w:color w:val="C00000"/>
          <w:sz w:val="28"/>
        </w:rPr>
        <w:t>1. Origines et construction du Transcamerounais</w:t>
      </w:r>
    </w:p>
    <w:p>
      <w:pPr>
        <w:spacing w:after="120"/>
      </w:pPr>
      <w:r>
        <w:rPr>
          <w:sz w:val="22"/>
        </w:rPr>
        <w:t>Le réseau ferroviaire du Cameroun a été initié au début du XXe siècle. Après l indépendance en 1960, la Régie Nationale des Chemins de Fer du Cameroun (Régifercam) a conduit la construction du Transcamerounais reliant Douala à Yaoundé puis Ngaoundéré, désenclavant le Nord du pays.</w:t>
      </w:r>
    </w:p>
    <w:p>
      <w:pPr>
        <w:spacing w:before="240" w:after="120"/>
      </w:pPr>
      <w:r>
        <w:rPr>
          <w:b/>
          <w:color w:val="C00000"/>
          <w:sz w:val="28"/>
        </w:rPr>
        <w:t>2. Concession CAMRAIL</w:t>
      </w:r>
    </w:p>
    <w:p>
      <w:pPr>
        <w:spacing w:after="120"/>
      </w:pPr>
      <w:r>
        <w:rPr>
          <w:sz w:val="22"/>
        </w:rPr>
        <w:t>Depuis le 1er avril 1999, l exploitation technique et commerciale du réseau est concédée à CAMRAIL. La compagnie assure le transport quotidien de voyageurs et de fret lourd sur plus de 1 000 km de voies métriques.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