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pPr>
      <w:r>
        <w:rPr>
          <w:b/>
          <w:color w:val="C00000"/>
          <w:sz w:val="36"/>
        </w:rPr>
        <w:t>CAMRAIL — Referentiel Technique de la Grande Vitesse Ferroviaire</w:t>
      </w:r>
    </w:p>
    <w:p>
      <w:r>
        <w:rPr>
          <w:sz w:val="18"/>
        </w:rPr>
        <w:t>Direction Technique et Ingénierie | Réf : TGV-EXP-2026-03</w:t>
        <w:br/>
      </w:r>
    </w:p>
    <w:p>
      <w:pPr>
        <w:spacing w:before="240" w:after="120"/>
      </w:pPr>
      <w:r>
        <w:rPr>
          <w:b/>
          <w:color w:val="C00000"/>
          <w:sz w:val="28"/>
        </w:rPr>
        <w:t>1. Définition et seuil de vitesse de la grande vitesse</w:t>
      </w:r>
    </w:p>
    <w:p>
      <w:pPr>
        <w:spacing w:after="120"/>
      </w:pPr>
      <w:r>
        <w:rPr>
          <w:sz w:val="22"/>
        </w:rPr>
        <w:t>Selon les critères standardisés de l Union Internationale des Chemins de Fer (UIC) et les réglementations ferroviaires internationales, la qualification de grande vitesse dépend du type de voie sur laquelle circule le train :</w:t>
      </w:r>
    </w:p>
    <w:p>
      <w:pPr>
        <w:spacing w:after="120"/>
      </w:pPr>
      <w:r>
        <w:rPr>
          <w:b/>
        </w:rPr>
        <w:t xml:space="preserve">• Sur lignes nouvelles spécialement construites (LGV) : </w:t>
      </w:r>
      <w:r>
        <w:rPr>
          <w:sz w:val="22"/>
        </w:rPr>
        <w:t xml:space="preserve"> Un train est officiellement qualifié de grande vitesse lorsqu il circule à une vitesse commerciale égale ou supérieure à 250 km/h sur des lignes nouvelles spécialement conçues et construites pour la grande vitesse (LGV). Sur ces lignes, les vitesses de pointe en service commercial atteignent couramment 300 à 320 km/h.</w:t>
      </w:r>
    </w:p>
    <w:p>
      <w:pPr>
        <w:spacing w:after="120"/>
      </w:pPr>
      <w:r>
        <w:rPr>
          <w:b/>
        </w:rPr>
        <w:t xml:space="preserve">• Sur lignes classiques aménagées : </w:t>
      </w:r>
      <w:r>
        <w:rPr>
          <w:sz w:val="22"/>
        </w:rPr>
        <w:t xml:space="preserve"> Sur des lignes ferroviaires conventionnelles préexistantes qui ont été aménagées, renforcées et modernisées (rectification de courbes, signalisation embarquée, caténaires spécifiques), un train est qualifié de grande vitesse lorsque sa vitesse de circulation atteint ou dépasse 200 km/h.</w:t>
      </w:r>
    </w:p>
    <w:p>
      <w:pPr>
        <w:spacing w:before="240" w:after="120"/>
      </w:pPr>
      <w:r>
        <w:rPr>
          <w:b/>
          <w:color w:val="C00000"/>
          <w:sz w:val="28"/>
        </w:rPr>
        <w:t>2. Caractéristiques techniques imposées par la grande vitesse</w:t>
      </w:r>
    </w:p>
    <w:p>
      <w:pPr>
        <w:spacing w:after="120"/>
      </w:pPr>
      <w:r>
        <w:rPr>
          <w:sz w:val="22"/>
        </w:rPr>
        <w:t>L exploitation à plus de 200 ou 250 km/h impose des exigences strictes :</w:t>
      </w:r>
    </w:p>
    <w:p>
      <w:pPr>
        <w:spacing w:after="120"/>
      </w:pPr>
      <w:r>
        <w:rPr>
          <w:b/>
        </w:rPr>
        <w:t xml:space="preserve">1. Signalisation en cabine obligatoire : </w:t>
      </w:r>
      <w:r>
        <w:rPr>
          <w:sz w:val="22"/>
        </w:rPr>
        <w:t xml:space="preserve"> À 250 km/h et plus, les signaux latéraux le long des voies défilent trop rapidement pour être perçus par l œil humain. Les indications de signalisation et les vitesses limites sont donc obligatoirement affichées directement sur le pupitre de conduite en cabine (systèmes TVM, ERTMS niveau 2).</w:t>
      </w:r>
    </w:p>
    <w:p>
      <w:pPr>
        <w:spacing w:after="120"/>
      </w:pPr>
      <w:r>
        <w:rPr>
          <w:b/>
        </w:rPr>
        <w:t xml:space="preserve">2. Suppression absolue des passages à niveau : </w:t>
      </w:r>
      <w:r>
        <w:rPr>
          <w:sz w:val="22"/>
        </w:rPr>
        <w:t xml:space="preserve"> Tout croisement à niveau avec des routes est rigoureusement interdit sur une ligne à grande vitesse. Tous les franchissements s effectuent par des ponts supérieurs ou inférieurs.</w:t>
      </w:r>
    </w:p>
    <w:p>
      <w:pPr>
        <w:spacing w:after="120"/>
      </w:pPr>
      <w:r>
        <w:rPr>
          <w:b/>
        </w:rPr>
        <w:t xml:space="preserve">3. Rayons de courbe très amples : </w:t>
      </w:r>
      <w:r>
        <w:rPr>
          <w:sz w:val="22"/>
        </w:rPr>
        <w:t xml:space="preserve"> Rayons de courbure minimaux de 4 000 à 7 000 mètres pour limiter les accélérations transversales ressenties par les passagers.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