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b/>
          <w:color w:val="C00000"/>
          <w:sz w:val="36"/>
        </w:rPr>
        <w:t>CAMRAIL — Reglement General de Securite et d Exploitation</w:t>
      </w:r>
    </w:p>
    <w:p>
      <w:r>
        <w:rPr>
          <w:sz w:val="18"/>
        </w:rPr>
        <w:t>Direction Générale et Sécurité Ferroviaire | Réf : SEC-REG-2026-05</w:t>
        <w:br/>
      </w:r>
    </w:p>
    <w:p>
      <w:pPr>
        <w:spacing w:before="240" w:after="120"/>
      </w:pPr>
      <w:r>
        <w:rPr>
          <w:b/>
          <w:color w:val="C00000"/>
          <w:sz w:val="28"/>
        </w:rPr>
        <w:t>1. Principes de sécurité et temps de repos</w:t>
      </w:r>
    </w:p>
    <w:p>
      <w:pPr>
        <w:spacing w:after="120"/>
      </w:pPr>
      <w:r>
        <w:rPr>
          <w:sz w:val="22"/>
        </w:rPr>
        <w:t>La sécurité des circulations constitue l impératif absolu de CAMRAIL. Tout agent constatant un risque grave ou une anomalie (rail cassé, signal éteint, obstacle) a le devoir d exercer immédiatement son droit d alerte.</w:t>
      </w:r>
    </w:p>
    <w:p>
      <w:pPr>
        <w:spacing w:after="120"/>
      </w:pPr>
      <w:r>
        <w:rPr>
          <w:sz w:val="22"/>
        </w:rPr>
        <w:t>Le temps de repos minimum obligatoire entre deux vacations de service pour les agents de conduite et le personnel roulant est fixé à douze (12) heures consécutives. La durée hebdomadaire maximale de travail ne peut excéder 48 heures.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