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NVIDIA Customer Concentration &amp; AI Infrastructure Value Chain</w:t>
      </w:r>
    </w:p>
    <w:p>
      <w:pPr>
        <w:jc w:val="center"/>
      </w:pPr>
      <w:r>
        <w:rPr>
          <w:b/>
        </w:rPr>
        <w:t>FY2027 H1 reconstruction | SEC facts separated from inference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NVIDIA discloses customer concentration but does not name the largest direct customers in current filings.</w:t>
      </w:r>
    </w:p>
    <w:p>
      <w:pPr>
        <w:pStyle w:val="ListBullet"/>
      </w:pPr>
      <w:r>
        <w:t>The analysis therefore separates evidence into four levels: SEC confirmed, official disclosure, mathematical inference, and analytical hypothesis.</w:t>
      </w:r>
    </w:p>
    <w:p>
      <w:pPr>
        <w:pStyle w:val="ListBullet"/>
      </w:pPr>
      <w:r>
        <w:t>Working reconstruction: D1 = Microsoft/Azure hypothesis (~45% confidence), D2 = Meta/other US CSP unresolved, D3 = AWS hypothesis (~50%). These identities are not SEC-confirmed.</w:t>
      </w:r>
    </w:p>
    <w:p>
      <w:pPr>
        <w:pStyle w:val="Heading1"/>
      </w:pPr>
      <w:r>
        <w:t>2. FY27 concentration reconstruction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Fingerprint</w:t>
            </w:r>
          </w:p>
        </w:tc>
        <w:tc>
          <w:tcPr>
            <w:tcW w:type="dxa" w:w="2045"/>
          </w:tcPr>
          <w:p>
            <w:r>
              <w:t>Q1</w:t>
            </w:r>
          </w:p>
        </w:tc>
        <w:tc>
          <w:tcPr>
            <w:tcW w:type="dxa" w:w="2045"/>
          </w:tcPr>
          <w:p>
            <w:r>
              <w:t>H1</w:t>
            </w:r>
          </w:p>
        </w:tc>
        <w:tc>
          <w:tcPr>
            <w:tcW w:type="dxa" w:w="2045"/>
          </w:tcPr>
          <w:p>
            <w:r>
              <w:t>Implied Q2</w:t>
            </w:r>
          </w:p>
        </w:tc>
        <w:tc>
          <w:tcPr>
            <w:tcW w:type="dxa" w:w="2045"/>
          </w:tcPr>
          <w:p>
            <w:r>
              <w:t>Working identity</w:t>
            </w:r>
          </w:p>
        </w:tc>
      </w:tr>
      <w:tr>
        <w:tc>
          <w:tcPr>
            <w:tcW w:type="dxa" w:w="2045"/>
          </w:tcPr>
          <w:p>
            <w:r>
              <w:t>D1</w:t>
            </w:r>
          </w:p>
        </w:tc>
        <w:tc>
          <w:tcPr>
            <w:tcW w:type="dxa" w:w="2045"/>
          </w:tcPr>
          <w:p>
            <w:r>
              <w:t>21%</w:t>
            </w:r>
          </w:p>
        </w:tc>
        <w:tc>
          <w:tcPr>
            <w:tcW w:type="dxa" w:w="2045"/>
          </w:tcPr>
          <w:p>
            <w:r>
              <w:t>15%</w:t>
            </w:r>
          </w:p>
        </w:tc>
        <w:tc>
          <w:tcPr>
            <w:tcW w:type="dxa" w:w="2045"/>
          </w:tcPr>
          <w:p>
            <w:r>
              <w:t>~9.9%</w:t>
            </w:r>
          </w:p>
        </w:tc>
        <w:tc>
          <w:tcPr>
            <w:tcW w:type="dxa" w:w="2045"/>
          </w:tcPr>
          <w:p>
            <w:r>
              <w:t>Microsoft / Azure (~45%)</w:t>
            </w:r>
          </w:p>
        </w:tc>
      </w:tr>
      <w:tr>
        <w:tc>
          <w:tcPr>
            <w:tcW w:type="dxa" w:w="2045"/>
          </w:tcPr>
          <w:p>
            <w:r>
              <w:t>D2</w:t>
            </w:r>
          </w:p>
        </w:tc>
        <w:tc>
          <w:tcPr>
            <w:tcW w:type="dxa" w:w="2045"/>
          </w:tcPr>
          <w:p>
            <w:r>
              <w:t>17%</w:t>
            </w:r>
          </w:p>
        </w:tc>
        <w:tc>
          <w:tcPr>
            <w:tcW w:type="dxa" w:w="2045"/>
          </w:tcPr>
          <w:p>
            <w:r>
              <w:t>13%</w:t>
            </w:r>
          </w:p>
        </w:tc>
        <w:tc>
          <w:tcPr>
            <w:tcW w:type="dxa" w:w="2045"/>
          </w:tcPr>
          <w:p>
            <w:r>
              <w:t>~9.6%</w:t>
            </w:r>
          </w:p>
        </w:tc>
        <w:tc>
          <w:tcPr>
            <w:tcW w:type="dxa" w:w="2045"/>
          </w:tcPr>
          <w:p>
            <w:r>
              <w:t>Meta / other US CSP, unresolved</w:t>
            </w:r>
          </w:p>
        </w:tc>
      </w:tr>
      <w:tr>
        <w:tc>
          <w:tcPr>
            <w:tcW w:type="dxa" w:w="2045"/>
          </w:tcPr>
          <w:p>
            <w:r>
              <w:t>D3</w:t>
            </w:r>
          </w:p>
        </w:tc>
        <w:tc>
          <w:tcPr>
            <w:tcW w:type="dxa" w:w="2045"/>
          </w:tcPr>
          <w:p>
            <w:r>
              <w:t>16%</w:t>
            </w:r>
          </w:p>
        </w:tc>
        <w:tc>
          <w:tcPr>
            <w:tcW w:type="dxa" w:w="2045"/>
          </w:tcPr>
          <w:p>
            <w:r>
              <w:t>16%</w:t>
            </w:r>
          </w:p>
        </w:tc>
        <w:tc>
          <w:tcPr>
            <w:tcW w:type="dxa" w:w="2045"/>
          </w:tcPr>
          <w:p>
            <w:r>
              <w:t>16.0%</w:t>
            </w:r>
          </w:p>
        </w:tc>
        <w:tc>
          <w:tcPr>
            <w:tcW w:type="dxa" w:w="2045"/>
          </w:tcPr>
          <w:p>
            <w:r>
              <w:t>AWS (~50%)</w:t>
            </w:r>
          </w:p>
        </w:tc>
      </w:tr>
    </w:tbl>
    <w:p>
      <w:r>
        <w:t>Math basis: Q1 revenue $81.615B; Q2 $96.221B; H1 $177.837B. The above is the only clean permutation that leaves just one Q2 customer at or above the 10% disclosure threshold.</w:t>
      </w:r>
    </w:p>
    <w:p>
      <w:r>
        <w:rPr>
          <w:b/>
        </w:rPr>
        <w:t xml:space="preserve">Caveat: </w:t>
      </w:r>
      <w:r>
        <w:t>NVIDIA has explicitly warned that Customer A/B/C labels may refer to different customers in different periods. D1/D2/D3 are our own analytical fingerprints.</w:t>
      </w:r>
    </w:p>
    <w:p>
      <w:pPr>
        <w:pStyle w:val="Heading1"/>
      </w:pPr>
      <w:r>
        <w:t>3. Geography elimination logic</w:t>
      </w:r>
    </w:p>
    <w:p>
      <w:r>
        <w:t>Q1 geography: US $63.769B; Taiwan $12.006B; China/HK $4.550B; Other $1.290B.</w:t>
      </w:r>
    </w:p>
    <w:p>
      <w:r>
        <w:t>Q1 top-customer revenue equivalents were ~$17.14B, ~$13.87B and ~$13.06B. Each exceeds all Q1 Taiwan-headquartered revenue. The strongest inference is that the three largest Q1 direct customers were overwhelmingly likely to be US-headquartered direct customers.</w:t>
      </w:r>
    </w:p>
    <w:p>
      <w:r>
        <w:t>Q2 Taiwan revenue rose to $26.985B while US revenue declined to $60.074B. This is consistent with a procurement / booking-route shift toward Taiwan direct entities, though NVIDIA does not disclose that causal explanation.</w:t>
      </w:r>
    </w:p>
    <w:p>
      <w:pPr>
        <w:pStyle w:val="Heading1"/>
      </w:pPr>
      <w:r>
        <w:t>4. Accounts receivable cross-check</w:t>
      </w:r>
    </w:p>
    <w:p>
      <w:r>
        <w:t>Q1 AR = $40.710B; largest direct customers represented 30%, 18%, 16%. Q2 AR = $63.059B, up ~55% q/q; top five represented 22%, 14%, 13%, 11%, 10% (70% combined).</w:t>
      </w:r>
    </w:p>
    <w:p>
      <w:r>
        <w:t>Interpretation: AR grew materially faster than revenue, consistent with heavier late-quarter shipment / acceptance timing. Revenue rank and AR rank should not be mapped mechanically.</w:t>
      </w:r>
    </w:p>
    <w:p>
      <w:pPr>
        <w:pStyle w:val="Heading1"/>
      </w:pPr>
      <w:r>
        <w:t>5. Microsoft candidate</w:t>
      </w:r>
    </w:p>
    <w:p>
      <w:pPr>
        <w:pStyle w:val="ListBullet"/>
      </w:pPr>
      <w:r>
        <w:t>Servers/network/software gross PP&amp;E: $171.351B at Dec-25 → $190.883B at Mar-26 → $215.874B at Jun-26.</w:t>
      </w:r>
    </w:p>
    <w:p>
      <w:pPr>
        <w:pStyle w:val="ListBullet"/>
      </w:pPr>
      <w:r>
        <w:t>PP&amp;E purchases remaining in AP: $22.6B at Mar-26 and $26.7B at Jun-26.</w:t>
      </w:r>
    </w:p>
    <w:p>
      <w:pPr>
        <w:pStyle w:val="ListBullet"/>
      </w:pPr>
      <w:r>
        <w:t>NVIDIA/Microsoft disclosed &gt;100,000 Blackwell Ultra GPUs in GB300 NVL72 systems globally.</w:t>
      </w:r>
    </w:p>
    <w:p>
      <w:pPr>
        <w:pStyle w:val="ListBullet"/>
      </w:pPr>
      <w:r>
        <w:t>Working view: strongest fit for D1's front-loaded Q1 pattern; ~45% confidence, not confirmed.</w:t>
      </w:r>
    </w:p>
    <w:p>
      <w:pPr>
        <w:pStyle w:val="Heading1"/>
      </w:pPr>
      <w:r>
        <w:t>6. AWS candidate</w:t>
      </w:r>
    </w:p>
    <w:p>
      <w:pPr>
        <w:pStyle w:val="ListBullet"/>
      </w:pPr>
      <w:r>
        <w:t>Q1 cash capex $43.2B; Q2 $53.1B; H1 $96.3B, with the majority of technology-infrastructure investment supporting AWS.</w:t>
      </w:r>
    </w:p>
    <w:p>
      <w:pPr>
        <w:pStyle w:val="ListBullet"/>
      </w:pPr>
      <w:r>
        <w:t>Q1 AWS PP&amp;E net additions $41.516B.</w:t>
      </w:r>
    </w:p>
    <w:p>
      <w:pPr>
        <w:pStyle w:val="ListBullet"/>
      </w:pPr>
      <w:r>
        <w:t>AWS/NVIDIA disclosed plans for &gt;1M NVIDIA GPUs starting in 2026, plus another 2M in 2027-2028.</w:t>
      </w:r>
    </w:p>
    <w:p>
      <w:pPr>
        <w:pStyle w:val="ListBullet"/>
      </w:pPr>
      <w:r>
        <w:t>Working view: strongest fit for stable D3 16% fingerprint; ~50% confidence, not confirmed.</w:t>
      </w:r>
    </w:p>
    <w:p>
      <w:pPr>
        <w:pStyle w:val="Heading1"/>
      </w:pPr>
      <w:r>
        <w:t>7. Meta candidate</w:t>
      </w:r>
    </w:p>
    <w:p>
      <w:pPr>
        <w:pStyle w:val="ListBullet"/>
      </w:pPr>
      <w:r>
        <w:t>Q1 PP&amp;E purchases $19.0B; Q2 capex incl. finance leases $31.08B; 2026 capex outlook roughly $130B-$145B.</w:t>
      </w:r>
    </w:p>
    <w:p>
      <w:pPr>
        <w:pStyle w:val="ListBullet"/>
      </w:pPr>
      <w:r>
        <w:t>Servers/network assets rose from $98.040B at Dec-25 to $119.683B at Jun-26; construction in progress rose to $80.345B.</w:t>
      </w:r>
    </w:p>
    <w:p>
      <w:pPr>
        <w:pStyle w:val="ListBullet"/>
      </w:pPr>
      <w:r>
        <w:t>NVIDIA described a Meta partnership involving millions of Blackwell/Rubin GPUs.</w:t>
      </w:r>
    </w:p>
    <w:p>
      <w:pPr>
        <w:pStyle w:val="ListBullet"/>
      </w:pPr>
      <w:r>
        <w:t>Working view: huge economic NVIDIA customer but direct invoice can be fragmented across direct hardware, ODMs and third-party clouds; plausible D2, unresolved.</w:t>
      </w:r>
    </w:p>
    <w:p>
      <w:pPr>
        <w:pStyle w:val="Heading1"/>
      </w:pPr>
      <w:r>
        <w:t>8. Other candidates</w:t>
      </w:r>
    </w:p>
    <w:p>
      <w:pPr>
        <w:pStyle w:val="ListBullet"/>
      </w:pPr>
      <w:r>
        <w:t>Google: very large capex (~$80.6B H1), but heavy TPU usage lowers confidence as a top NVIDIA direct customer.</w:t>
      </w:r>
    </w:p>
    <w:p>
      <w:pPr>
        <w:pStyle w:val="ListBullet"/>
      </w:pPr>
      <w:r>
        <w:t>Oracle: huge AI infrastructure commitments, but filings indicate some customers prepay for or supply GPUs, weakening direct-invoice mapping.</w:t>
      </w:r>
    </w:p>
    <w:p>
      <w:pPr>
        <w:pStyle w:val="ListBullet"/>
      </w:pPr>
      <w:r>
        <w:t>CoreWeave: 100% NVIDIA GPU fleet, but scale makes ~$13B-$17B per quarter of direct NVIDIA purchases unlikely.</w:t>
      </w:r>
    </w:p>
    <w:p>
      <w:pPr>
        <w:pStyle w:val="Heading1"/>
      </w:pPr>
      <w:r>
        <w:t>9. ODM / procurement-route framework</w:t>
      </w:r>
    </w:p>
    <w:p>
      <w:r>
        <w:t>1. NVIDIA invoice customer</w:t>
      </w:r>
    </w:p>
    <w:p>
      <w:r>
        <w:t>2. GPU economic owner</w:t>
      </w:r>
    </w:p>
    <w:p>
      <w:r>
        <w:t>3. ODM / system assembler</w:t>
      </w:r>
    </w:p>
    <w:p>
      <w:r>
        <w:t>4. Compute consumer</w:t>
      </w:r>
    </w:p>
    <w:p>
      <w:r>
        <w:t>Example: NVIDIA GPU → Foxconn assembly → Microsoft datacenter → OpenAI workload. If Microsoft owns the PO, NVIDIA geography can be US even though Foxconn assembles in Taiwan. If Foxconn owns the PO, geography can be Taiwan.</w:t>
      </w:r>
    </w:p>
    <w:p>
      <w:pPr>
        <w:pStyle w:val="Heading1"/>
      </w:pPr>
      <w:r>
        <w:t>10. Working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Candidate</w:t>
            </w:r>
          </w:p>
        </w:tc>
        <w:tc>
          <w:tcPr>
            <w:tcW w:type="dxa" w:w="2556"/>
          </w:tcPr>
          <w:p>
            <w:r>
              <w:t>Direct fit</w:t>
            </w:r>
          </w:p>
        </w:tc>
        <w:tc>
          <w:tcPr>
            <w:tcW w:type="dxa" w:w="2556"/>
          </w:tcPr>
          <w:p>
            <w:r>
              <w:t>Key evidence</w:t>
            </w:r>
          </w:p>
        </w:tc>
        <w:tc>
          <w:tcPr>
            <w:tcW w:type="dxa" w:w="2556"/>
          </w:tcPr>
          <w:p>
            <w:r>
              <w:t>Current view</w:t>
            </w:r>
          </w:p>
        </w:tc>
      </w:tr>
      <w:tr>
        <w:tc>
          <w:tcPr>
            <w:tcW w:type="dxa" w:w="2556"/>
          </w:tcPr>
          <w:p>
            <w:r>
              <w:t>Microsoft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PP&amp;E additions; &gt;100k GB300 deployment</w:t>
            </w:r>
          </w:p>
        </w:tc>
        <w:tc>
          <w:tcPr>
            <w:tcW w:type="dxa" w:w="2556"/>
          </w:tcPr>
          <w:p>
            <w:r>
              <w:t>Best fit D1, ~45%</w:t>
            </w:r>
          </w:p>
        </w:tc>
      </w:tr>
      <w:tr>
        <w:tc>
          <w:tcPr>
            <w:tcW w:type="dxa" w:w="2556"/>
          </w:tcPr>
          <w:p>
            <w:r>
              <w:t>AWS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Massive AWS infra spend; &gt;1M+ NVIDIA GPU plan</w:t>
            </w:r>
          </w:p>
        </w:tc>
        <w:tc>
          <w:tcPr>
            <w:tcW w:type="dxa" w:w="2556"/>
          </w:tcPr>
          <w:p>
            <w:r>
              <w:t>Best fit D3, ~50%</w:t>
            </w:r>
          </w:p>
        </w:tc>
      </w:tr>
      <w:tr>
        <w:tc>
          <w:tcPr>
            <w:tcW w:type="dxa" w:w="2556"/>
          </w:tcPr>
          <w:p>
            <w:r>
              <w:t>Meta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Huge capex; millions of NVIDIA GPUs; route fragmented</w:t>
            </w:r>
          </w:p>
        </w:tc>
        <w:tc>
          <w:tcPr>
            <w:tcW w:type="dxa" w:w="2556"/>
          </w:tcPr>
          <w:p>
            <w:r>
              <w:t>Plausible D2</w:t>
            </w:r>
          </w:p>
        </w:tc>
      </w:tr>
      <w:tr>
        <w:tc>
          <w:tcPr>
            <w:tcW w:type="dxa" w:w="2556"/>
          </w:tcPr>
          <w:p>
            <w:r>
              <w:t>Google</w:t>
            </w:r>
          </w:p>
        </w:tc>
        <w:tc>
          <w:tcPr>
            <w:tcW w:type="dxa" w:w="2556"/>
          </w:tcPr>
          <w:p>
            <w:r>
              <w:t>Medium</w:t>
            </w:r>
          </w:p>
        </w:tc>
        <w:tc>
          <w:tcPr>
            <w:tcW w:type="dxa" w:w="2556"/>
          </w:tcPr>
          <w:p>
            <w:r>
              <w:t>Huge capex but TPU-heavy</w:t>
            </w:r>
          </w:p>
        </w:tc>
        <w:tc>
          <w:tcPr>
            <w:tcW w:type="dxa" w:w="2556"/>
          </w:tcPr>
          <w:p>
            <w:r>
              <w:t>Lower probability</w:t>
            </w:r>
          </w:p>
        </w:tc>
      </w:tr>
      <w:tr>
        <w:tc>
          <w:tcPr>
            <w:tcW w:type="dxa" w:w="2556"/>
          </w:tcPr>
          <w:p>
            <w:r>
              <w:t>Oracle</w:t>
            </w:r>
          </w:p>
        </w:tc>
        <w:tc>
          <w:tcPr>
            <w:tcW w:type="dxa" w:w="2556"/>
          </w:tcPr>
          <w:p>
            <w:r>
              <w:t>Low-Med</w:t>
            </w:r>
          </w:p>
        </w:tc>
        <w:tc>
          <w:tcPr>
            <w:tcW w:type="dxa" w:w="2556"/>
          </w:tcPr>
          <w:p>
            <w:r>
              <w:t>AI commitments but customer-supplied/prepaid GPUs</w:t>
            </w:r>
          </w:p>
        </w:tc>
        <w:tc>
          <w:tcPr>
            <w:tcW w:type="dxa" w:w="2556"/>
          </w:tcPr>
          <w:p>
            <w:r>
              <w:t>Weak direct mapping</w:t>
            </w:r>
          </w:p>
        </w:tc>
      </w:tr>
      <w:tr>
        <w:tc>
          <w:tcPr>
            <w:tcW w:type="dxa" w:w="2556"/>
          </w:tcPr>
          <w:p>
            <w:r>
              <w:t>CoreWeave</w:t>
            </w:r>
          </w:p>
        </w:tc>
        <w:tc>
          <w:tcPr>
            <w:tcW w:type="dxa" w:w="2556"/>
          </w:tcPr>
          <w:p>
            <w:r>
              <w:t>Lower scale</w:t>
            </w:r>
          </w:p>
        </w:tc>
        <w:tc>
          <w:tcPr>
            <w:tcW w:type="dxa" w:w="2556"/>
          </w:tcPr>
          <w:p>
            <w:r>
              <w:t>100% NVIDIA GPU fleet</w:t>
            </w:r>
          </w:p>
        </w:tc>
        <w:tc>
          <w:tcPr>
            <w:tcW w:type="dxa" w:w="2556"/>
          </w:tcPr>
          <w:p>
            <w:r>
              <w:t>Unlikely top direct</w:t>
            </w:r>
          </w:p>
        </w:tc>
      </w:tr>
    </w:tbl>
    <w:p>
      <w:pPr>
        <w:pStyle w:val="Heading1"/>
      </w:pPr>
      <w:r>
        <w:t>11. What is not proven</w:t>
      </w:r>
    </w:p>
    <w:p>
      <w:pPr>
        <w:pStyle w:val="ListBullet"/>
      </w:pPr>
      <w:r>
        <w:t>Customer A/B/C persistent identity mappings.</w:t>
      </w:r>
    </w:p>
    <w:p>
      <w:pPr>
        <w:pStyle w:val="ListBullet"/>
      </w:pPr>
      <w:r>
        <w:t>D3 = AWS or D1 = Microsoft as confirmed fact.</w:t>
      </w:r>
    </w:p>
    <w:p>
      <w:pPr>
        <w:pStyle w:val="ListBullet"/>
      </w:pPr>
      <w:r>
        <w:t>OpenAI as NVIDIA's named anonymous Q2 AI research/deployment customer.</w:t>
      </w:r>
    </w:p>
    <w:p>
      <w:pPr>
        <w:pStyle w:val="ListBullet"/>
      </w:pPr>
      <w:r>
        <w:t>Taiwan revenue as a direct proxy for Foxconn/Quanta demand.</w:t>
      </w:r>
    </w:p>
    <w:p>
      <w:pPr>
        <w:pStyle w:val="ListBullet"/>
      </w:pPr>
      <w:r>
        <w:t>Meta's total AI capex flowing directly to NVIDIA.</w:t>
      </w:r>
    </w:p>
    <w:p>
      <w:pPr>
        <w:pStyle w:val="Heading1"/>
      </w:pPr>
      <w:r>
        <w:t>12. Source links</w:t>
      </w:r>
    </w:p>
    <w:p>
      <w:r>
        <w:t>NVIDIA FY27 Q2 10-Q: https://www.sec.gov/Archives/edgar/data/1045810/000104581026000075/nvda-20260726.htm</w:t>
      </w:r>
    </w:p>
    <w:p>
      <w:r>
        <w:t>NVIDIA FY27 Q1 10-Q: https://www.sec.gov/Archives/edgar/data/1045810/000104581026000052/nvda-20260426.htm</w:t>
      </w:r>
    </w:p>
    <w:p>
      <w:r>
        <w:t>NVIDIA FY26 10-K: https://www.sec.gov/Archives/edgar/data/1045810/000104581026000021/nvda-20260125.htm</w:t>
      </w:r>
    </w:p>
    <w:p>
      <w:r>
        <w:t>Microsoft Mar-26 10-Q: https://www.sec.gov/Archives/edgar/data/789019/000119312526191507/msft-20260331.htm</w:t>
      </w:r>
    </w:p>
    <w:p>
      <w:r>
        <w:t>Microsoft Jun-26 filing: https://www.sec.gov/Archives/edgar/data/789019/000119312526323660/msft-20260630.htm</w:t>
      </w:r>
    </w:p>
    <w:p>
      <w:r>
        <w:t>Amazon Q1 2026: https://www.sec.gov/Archives/edgar/data/1018724/000101872426000014/amzn-20260331.htm</w:t>
      </w:r>
    </w:p>
    <w:p>
      <w:r>
        <w:t>Amazon Q2 2026: https://www.sec.gov/Archives/edgar/data/1018724/000101872426000026/amzn-20260630.htm</w:t>
      </w:r>
    </w:p>
    <w:p>
      <w:r>
        <w:t>Meta Q1 2026: https://www.sec.gov/Archives/edgar/data/1326801/000162828026028526/meta-20260331.htm</w:t>
      </w:r>
    </w:p>
    <w:p>
      <w:r>
        <w:t>Meta Q2 2026: https://www.sec.gov/Archives/edgar/data/1326801/000162828026050705/meta-20260630.htm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