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NVIDIA 고객 집중도 &amp; AI 인프라 가치사슬</w:t>
      </w:r>
    </w:p>
    <w:p>
      <w:pPr>
        <w:jc w:val="center"/>
      </w:pPr>
      <w:r>
        <w:rPr>
          <w:b/>
        </w:rPr>
        <w:t>FY2027 상반기 재구성 | SEC 확인 사실과 추론을 분리</w:t>
      </w:r>
    </w:p>
    <w:p>
      <w:pPr>
        <w:pStyle w:val="Heading1"/>
      </w:pPr>
      <w:r>
        <w:t>1. 요약</w:t>
      </w:r>
    </w:p>
    <w:p>
      <w:pPr>
        <w:pStyle w:val="ListBullet"/>
      </w:pPr>
      <w:r>
        <w:t>NVIDIA는 고객 집중도를 공시하지만 현재 제출 서류에서 최대 직접고객의 이름은 밝히지 않는다.</w:t>
      </w:r>
    </w:p>
    <w:p>
      <w:pPr>
        <w:pStyle w:val="ListBullet"/>
      </w:pPr>
      <w:r>
        <w:t>따라서 이 분석은 근거를 네 단계로 나눈다. SEC 확인, 공식 발표, 수학적 추론, 분석적 가설.</w:t>
      </w:r>
    </w:p>
    <w:p>
      <w:pPr>
        <w:pStyle w:val="ListBullet"/>
      </w:pPr>
      <w:r>
        <w:t>잠정 재구성: D1 = Microsoft/Azure 가설(확신도 ~45%), D2 = Meta 또는 다른 미국 CSP로 미확정, D3 = AWS 가설(~50%). 이 정체들은 SEC가 확인한 것이 아니다.</w:t>
      </w:r>
    </w:p>
    <w:p>
      <w:pPr>
        <w:pStyle w:val="Heading1"/>
      </w:pPr>
      <w:r>
        <w:t>2. FY27 집중도 재구성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t>지문</w:t>
            </w:r>
          </w:p>
        </w:tc>
        <w:tc>
          <w:tcPr>
            <w:tcW w:type="dxa" w:w="2045"/>
          </w:tcPr>
          <w:p>
            <w:r>
              <w:t>1분기</w:t>
            </w:r>
          </w:p>
        </w:tc>
        <w:tc>
          <w:tcPr>
            <w:tcW w:type="dxa" w:w="2045"/>
          </w:tcPr>
          <w:p>
            <w:r>
              <w:t>상반기</w:t>
            </w:r>
          </w:p>
        </w:tc>
        <w:tc>
          <w:tcPr>
            <w:tcW w:type="dxa" w:w="2045"/>
          </w:tcPr>
          <w:p>
            <w:r>
              <w:t>추정 2분기</w:t>
            </w:r>
          </w:p>
        </w:tc>
        <w:tc>
          <w:tcPr>
            <w:tcW w:type="dxa" w:w="2045"/>
          </w:tcPr>
          <w:p>
            <w:r>
              <w:t>잠정 정체</w:t>
            </w:r>
          </w:p>
        </w:tc>
      </w:tr>
      <w:tr>
        <w:tc>
          <w:tcPr>
            <w:tcW w:type="dxa" w:w="2045"/>
          </w:tcPr>
          <w:p>
            <w:r>
              <w:t>D1</w:t>
            </w:r>
          </w:p>
        </w:tc>
        <w:tc>
          <w:tcPr>
            <w:tcW w:type="dxa" w:w="2045"/>
          </w:tcPr>
          <w:p>
            <w:r>
              <w:t>21%</w:t>
            </w:r>
          </w:p>
        </w:tc>
        <w:tc>
          <w:tcPr>
            <w:tcW w:type="dxa" w:w="2045"/>
          </w:tcPr>
          <w:p>
            <w:r>
              <w:t>15%</w:t>
            </w:r>
          </w:p>
        </w:tc>
        <w:tc>
          <w:tcPr>
            <w:tcW w:type="dxa" w:w="2045"/>
          </w:tcPr>
          <w:p>
            <w:r>
              <w:t>~9.9%</w:t>
            </w:r>
          </w:p>
        </w:tc>
        <w:tc>
          <w:tcPr>
            <w:tcW w:type="dxa" w:w="2045"/>
          </w:tcPr>
          <w:p>
            <w:r>
              <w:t>Microsoft / Azure (~45%)</w:t>
            </w:r>
          </w:p>
        </w:tc>
      </w:tr>
      <w:tr>
        <w:tc>
          <w:tcPr>
            <w:tcW w:type="dxa" w:w="2045"/>
          </w:tcPr>
          <w:p>
            <w:r>
              <w:t>D2</w:t>
            </w:r>
          </w:p>
        </w:tc>
        <w:tc>
          <w:tcPr>
            <w:tcW w:type="dxa" w:w="2045"/>
          </w:tcPr>
          <w:p>
            <w:r>
              <w:t>17%</w:t>
            </w:r>
          </w:p>
        </w:tc>
        <w:tc>
          <w:tcPr>
            <w:tcW w:type="dxa" w:w="2045"/>
          </w:tcPr>
          <w:p>
            <w:r>
              <w:t>13%</w:t>
            </w:r>
          </w:p>
        </w:tc>
        <w:tc>
          <w:tcPr>
            <w:tcW w:type="dxa" w:w="2045"/>
          </w:tcPr>
          <w:p>
            <w:r>
              <w:t>~9.6%</w:t>
            </w:r>
          </w:p>
        </w:tc>
        <w:tc>
          <w:tcPr>
            <w:tcW w:type="dxa" w:w="2045"/>
          </w:tcPr>
          <w:p>
            <w:r>
              <w:t>Meta / 다른 미국 CSP, 미확정</w:t>
            </w:r>
          </w:p>
        </w:tc>
      </w:tr>
      <w:tr>
        <w:tc>
          <w:tcPr>
            <w:tcW w:type="dxa" w:w="2045"/>
          </w:tcPr>
          <w:p>
            <w:r>
              <w:t>D3</w:t>
            </w:r>
          </w:p>
        </w:tc>
        <w:tc>
          <w:tcPr>
            <w:tcW w:type="dxa" w:w="2045"/>
          </w:tcPr>
          <w:p>
            <w:r>
              <w:t>16%</w:t>
            </w:r>
          </w:p>
        </w:tc>
        <w:tc>
          <w:tcPr>
            <w:tcW w:type="dxa" w:w="2045"/>
          </w:tcPr>
          <w:p>
            <w:r>
              <w:t>16%</w:t>
            </w:r>
          </w:p>
        </w:tc>
        <w:tc>
          <w:tcPr>
            <w:tcW w:type="dxa" w:w="2045"/>
          </w:tcPr>
          <w:p>
            <w:r>
              <w:t>16.0%</w:t>
            </w:r>
          </w:p>
        </w:tc>
        <w:tc>
          <w:tcPr>
            <w:tcW w:type="dxa" w:w="2045"/>
          </w:tcPr>
          <w:p>
            <w:r>
              <w:t>AWS (~50%)</w:t>
            </w:r>
          </w:p>
        </w:tc>
      </w:tr>
    </w:tbl>
    <w:p>
      <w:r>
        <w:t>계산 근거: 1분기 매출 $81.615B, 2분기 $96.221B, 상반기 $177.837B. 위 조합은 2분기에 공시 기준선 10% 이상 고객을 하나만 남기는 유일하게 깔끔한 배열이다.</w:t>
      </w:r>
    </w:p>
    <w:p>
      <w:r>
        <w:rPr>
          <w:b/>
        </w:rPr>
        <w:t xml:space="preserve">주의: </w:t>
      </w:r>
      <w:r>
        <w:t>NVIDIA는 Customer A/B/C 표기가 기간마다 다른 고객을 가리킬 수 있다고 명시적으로 경고했다. D1/D2/D3은 우리가 만든 분석용 지문이다.</w:t>
      </w:r>
    </w:p>
    <w:p>
      <w:pPr>
        <w:pStyle w:val="Heading1"/>
      </w:pPr>
      <w:r>
        <w:t>3. 지역 소거 논리</w:t>
      </w:r>
    </w:p>
    <w:p>
      <w:r>
        <w:t>1분기 지역별: 미국 $63.769B, 대만 $12.006B, 중국/홍콩 $4.550B, 기타 $1.290B.</w:t>
      </w:r>
    </w:p>
    <w:p>
      <w:r>
        <w:t>1분기 상위 고객의 매출 환산액은 각각 ~$17.14B, ~$13.87B, ~$13.06B였다. 각각이 1분기 대만 본사 고객 매출 전체를 넘는다. 가장 단단한 추론은 1분기 최대 직접고객 3곳이 미국에 본사를 둔 직접고객이었을 가능성이 압도적으로 높다는 것이다.</w:t>
      </w:r>
    </w:p>
    <w:p>
      <w:r>
        <w:t>2분기 대만 매출은 $26.985B로 늘고 미국 매출은 $60.074B로 줄었다. 조달/계상 경로가 대만 법인 쪽으로 이동했다는 설명과 맞아떨어지지만, NVIDIA가 그 인과를 공시하지는 않았다.</w:t>
      </w:r>
    </w:p>
    <w:p>
      <w:pPr>
        <w:pStyle w:val="Heading1"/>
      </w:pPr>
      <w:r>
        <w:t>4. 매출채권 교차 검증</w:t>
      </w:r>
    </w:p>
    <w:p>
      <w:r>
        <w:t>1분기 매출채권 $40.710B, 최대 직접고객 비중 30%, 18%, 16%. 2분기 매출채권 $63.059B로 전분기 대비 ~55% 증가, 상위 5곳이 22%, 14%, 13%, 11%, 10% (합계 70%).</w:t>
      </w:r>
    </w:p>
    <w:p>
      <w:r>
        <w:t>해석: 매출채권이 매출보다 뚜렷하게 빠르게 늘었고, 이는 분기 후반 출하/검수 비중이 컸다는 설명과 맞는다. 매출 순위와 매출채권 순위를 기계적으로 대응시키면 안 된다.</w:t>
      </w:r>
    </w:p>
    <w:p>
      <w:pPr>
        <w:pStyle w:val="Heading1"/>
      </w:pPr>
      <w:r>
        <w:t>5. Microsoft 후보</w:t>
      </w:r>
    </w:p>
    <w:p>
      <w:pPr>
        <w:pStyle w:val="ListBullet"/>
      </w:pPr>
      <w:r>
        <w:t>서버/네트워크/소프트웨어 총 유형자산: 2025년 12월 $171.351B → 2026년 3월 $190.883B → 2026년 6월 $215.874B.</w:t>
      </w:r>
    </w:p>
    <w:p>
      <w:pPr>
        <w:pStyle w:val="ListBullet"/>
      </w:pPr>
      <w:r>
        <w:t>매입채무에 남은 유형자산 매입액: 2026년 3월 $22.6B, 2026년 6월 $26.7B.</w:t>
      </w:r>
    </w:p>
    <w:p>
      <w:pPr>
        <w:pStyle w:val="ListBullet"/>
      </w:pPr>
      <w:r>
        <w:t>NVIDIA/Microsoft는 GB300 NVL72 시스템에 Blackwell Ultra GPU &gt;100,000개를 전 세계에 배치했다고 밝혔다.</w:t>
      </w:r>
    </w:p>
    <w:p>
      <w:pPr>
        <w:pStyle w:val="ListBullet"/>
      </w:pPr>
      <w:r>
        <w:t>잠정 판단: 1분기에 몰린 D1 패턴에 가장 잘 맞는다. 확신도 ~45%, 확인된 사실 아님.</w:t>
      </w:r>
    </w:p>
    <w:p>
      <w:pPr>
        <w:pStyle w:val="Heading1"/>
      </w:pPr>
      <w:r>
        <w:t>6. AWS 후보</w:t>
      </w:r>
    </w:p>
    <w:p>
      <w:pPr>
        <w:pStyle w:val="ListBullet"/>
      </w:pPr>
      <w:r>
        <w:t>1분기 현금 설비투자 $43.2B, 2분기 $53.1B, 상반기 $96.3B이며 기술 인프라 투자 대부분이 AWS를 뒷받침한다.</w:t>
      </w:r>
    </w:p>
    <w:p>
      <w:pPr>
        <w:pStyle w:val="ListBullet"/>
      </w:pPr>
      <w:r>
        <w:t>1분기 AWS 유형자산 순증 $41.516B.</w:t>
      </w:r>
    </w:p>
    <w:p>
      <w:pPr>
        <w:pStyle w:val="ListBullet"/>
      </w:pPr>
      <w:r>
        <w:t>AWS/NVIDIA는 2026년부터 NVIDIA GPU &gt;100만 개, 이어 2027-2028년에 200만 개를 추가한다고 밝혔다.</w:t>
      </w:r>
    </w:p>
    <w:p>
      <w:pPr>
        <w:pStyle w:val="ListBullet"/>
      </w:pPr>
      <w:r>
        <w:t>잠정 판단: 16%로 안정적인 D3 지문에 가장 잘 맞는다. 확신도 ~50%, 확인된 사실 아님.</w:t>
      </w:r>
    </w:p>
    <w:p>
      <w:pPr>
        <w:pStyle w:val="Heading1"/>
      </w:pPr>
      <w:r>
        <w:t>7. Meta 후보</w:t>
      </w:r>
    </w:p>
    <w:p>
      <w:pPr>
        <w:pStyle w:val="ListBullet"/>
      </w:pPr>
      <w:r>
        <w:t>1분기 유형자산 매입 $19.0B, 금융리스 포함 2분기 설비투자 $31.08B, 2026년 설비투자 전망 약 $130B-$145B.</w:t>
      </w:r>
    </w:p>
    <w:p>
      <w:pPr>
        <w:pStyle w:val="ListBullet"/>
      </w:pPr>
      <w:r>
        <w:t>서버/네트워크 자산은 2025년 12월 $98.040B에서 2026년 6월 $119.683B로 늘었고, 건설중인자산은 $80.345B로 증가했다.</w:t>
      </w:r>
    </w:p>
    <w:p>
      <w:pPr>
        <w:pStyle w:val="ListBullet"/>
      </w:pPr>
      <w:r>
        <w:t>NVIDIA는 Blackwell/Rubin GPU 수백만 개가 얽힌 Meta 협력을 설명했다.</w:t>
      </w:r>
    </w:p>
    <w:p>
      <w:pPr>
        <w:pStyle w:val="ListBullet"/>
      </w:pPr>
      <w:r>
        <w:t>잠정 판단: 경제적으로 거대한 NVIDIA 고객이지만 직접 청구가 직접 조달, ODM, 제3자 클라우드로 쪼개질 수 있다. D2 자리가 유력하나 미확정.</w:t>
      </w:r>
    </w:p>
    <w:p>
      <w:pPr>
        <w:pStyle w:val="Heading1"/>
      </w:pPr>
      <w:r>
        <w:t>8. 기타 후보</w:t>
      </w:r>
    </w:p>
    <w:p>
      <w:pPr>
        <w:pStyle w:val="ListBullet"/>
      </w:pPr>
      <w:r>
        <w:t>Google: 설비투자가 매우 크지만(상반기 ~$80.6B) TPU 비중이 높아 NVIDIA 최상위 직접고객일 확신도는 낮다.</w:t>
      </w:r>
    </w:p>
    <w:p>
      <w:pPr>
        <w:pStyle w:val="ListBullet"/>
      </w:pPr>
      <w:r>
        <w:t>Oracle: AI 인프라 약정은 막대하지만, 일부 고객이 GPU 대금을 선지급하거나 GPU를 직접 공급한다고 제출 서류에 나타나 직접 청구 대응이 약해진다.</w:t>
      </w:r>
    </w:p>
    <w:p>
      <w:pPr>
        <w:pStyle w:val="ListBullet"/>
      </w:pPr>
      <w:r>
        <w:t>CoreWeave: GPU 전량이 NVIDIA지만 규모상 분기당 ~$13B-$17B의 직접 구매는 어렵다.</w:t>
      </w:r>
    </w:p>
    <w:p>
      <w:pPr>
        <w:pStyle w:val="Heading1"/>
      </w:pPr>
      <w:r>
        <w:t>9. ODM / 조달 경로 프레임</w:t>
      </w:r>
    </w:p>
    <w:p>
      <w:r>
        <w:t>1. NVIDIA 청구 고객</w:t>
      </w:r>
    </w:p>
    <w:p>
      <w:r>
        <w:t>2. GPU 경제적 소유자</w:t>
      </w:r>
    </w:p>
    <w:p>
      <w:r>
        <w:t>3. ODM / 시스템 조립사</w:t>
      </w:r>
    </w:p>
    <w:p>
      <w:r>
        <w:t>4. 컴퓨트 소비자</w:t>
      </w:r>
    </w:p>
    <w:p>
      <w:r>
        <w:t>예시: NVIDIA GPU → Foxconn 조립 → Microsoft 데이터센터 → OpenAI 워크로드. Microsoft가 발주서를 보유하면 Foxconn이 대만에서 조립해도 NVIDIA 지역은 미국이 될 수 있다. Foxconn이 발주서를 보유하면 지역은 대만이 된다.</w:t>
      </w:r>
    </w:p>
    <w:p>
      <w:pPr>
        <w:pStyle w:val="Heading1"/>
      </w:pPr>
      <w:r>
        <w:t>10. 잠정 순위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후보</w:t>
            </w:r>
          </w:p>
        </w:tc>
        <w:tc>
          <w:tcPr>
            <w:tcW w:type="dxa" w:w="2556"/>
          </w:tcPr>
          <w:p>
            <w:r>
              <w:t>직접 적합도</w:t>
            </w:r>
          </w:p>
        </w:tc>
        <w:tc>
          <w:tcPr>
            <w:tcW w:type="dxa" w:w="2556"/>
          </w:tcPr>
          <w:p>
            <w:r>
              <w:t>핵심 근거</w:t>
            </w:r>
          </w:p>
        </w:tc>
        <w:tc>
          <w:tcPr>
            <w:tcW w:type="dxa" w:w="2556"/>
          </w:tcPr>
          <w:p>
            <w:r>
              <w:t>현재 판단</w:t>
            </w:r>
          </w:p>
        </w:tc>
      </w:tr>
      <w:tr>
        <w:tc>
          <w:tcPr>
            <w:tcW w:type="dxa" w:w="2556"/>
          </w:tcPr>
          <w:p>
            <w:r>
              <w:t>Microsoft</w:t>
            </w:r>
          </w:p>
        </w:tc>
        <w:tc>
          <w:tcPr>
            <w:tcW w:type="dxa" w:w="2556"/>
          </w:tcPr>
          <w:p>
            <w:r>
              <w:t>높음</w:t>
            </w:r>
          </w:p>
        </w:tc>
        <w:tc>
          <w:tcPr>
            <w:tcW w:type="dxa" w:w="2556"/>
          </w:tcPr>
          <w:p>
            <w:r>
              <w:t>유형자산 증설, GB300 &gt;10만 개 배치</w:t>
            </w:r>
          </w:p>
        </w:tc>
        <w:tc>
          <w:tcPr>
            <w:tcW w:type="dxa" w:w="2556"/>
          </w:tcPr>
          <w:p>
            <w:r>
              <w:t>D1 최적, ~45%</w:t>
            </w:r>
          </w:p>
        </w:tc>
      </w:tr>
      <w:tr>
        <w:tc>
          <w:tcPr>
            <w:tcW w:type="dxa" w:w="2556"/>
          </w:tcPr>
          <w:p>
            <w:r>
              <w:t>AWS</w:t>
            </w:r>
          </w:p>
        </w:tc>
        <w:tc>
          <w:tcPr>
            <w:tcW w:type="dxa" w:w="2556"/>
          </w:tcPr>
          <w:p>
            <w:r>
              <w:t>높음</w:t>
            </w:r>
          </w:p>
        </w:tc>
        <w:tc>
          <w:tcPr>
            <w:tcW w:type="dxa" w:w="2556"/>
          </w:tcPr>
          <w:p>
            <w:r>
              <w:t>AWS 인프라 지출 막대, NVIDIA GPU &gt;100만 개 계획</w:t>
            </w:r>
          </w:p>
        </w:tc>
        <w:tc>
          <w:tcPr>
            <w:tcW w:type="dxa" w:w="2556"/>
          </w:tcPr>
          <w:p>
            <w:r>
              <w:t>D3 최적, ~50%</w:t>
            </w:r>
          </w:p>
        </w:tc>
      </w:tr>
      <w:tr>
        <w:tc>
          <w:tcPr>
            <w:tcW w:type="dxa" w:w="2556"/>
          </w:tcPr>
          <w:p>
            <w:r>
              <w:t>Meta</w:t>
            </w:r>
          </w:p>
        </w:tc>
        <w:tc>
          <w:tcPr>
            <w:tcW w:type="dxa" w:w="2556"/>
          </w:tcPr>
          <w:p>
            <w:r>
              <w:t>중간</w:t>
            </w:r>
          </w:p>
        </w:tc>
        <w:tc>
          <w:tcPr>
            <w:tcW w:type="dxa" w:w="2556"/>
          </w:tcPr>
          <w:p>
            <w:r>
              <w:t>설비투자 막대, NVIDIA GPU 수백만 개, 다만 경로 분산</w:t>
            </w:r>
          </w:p>
        </w:tc>
        <w:tc>
          <w:tcPr>
            <w:tcW w:type="dxa" w:w="2556"/>
          </w:tcPr>
          <w:p>
            <w:r>
              <w:t>D2 유력</w:t>
            </w:r>
          </w:p>
        </w:tc>
      </w:tr>
      <w:tr>
        <w:tc>
          <w:tcPr>
            <w:tcW w:type="dxa" w:w="2556"/>
          </w:tcPr>
          <w:p>
            <w:r>
              <w:t>Google</w:t>
            </w:r>
          </w:p>
        </w:tc>
        <w:tc>
          <w:tcPr>
            <w:tcW w:type="dxa" w:w="2556"/>
          </w:tcPr>
          <w:p>
            <w:r>
              <w:t>중간</w:t>
            </w:r>
          </w:p>
        </w:tc>
        <w:tc>
          <w:tcPr>
            <w:tcW w:type="dxa" w:w="2556"/>
          </w:tcPr>
          <w:p>
            <w:r>
              <w:t>설비투자 크지만 TPU 비중 높음</w:t>
            </w:r>
          </w:p>
        </w:tc>
        <w:tc>
          <w:tcPr>
            <w:tcW w:type="dxa" w:w="2556"/>
          </w:tcPr>
          <w:p>
            <w:r>
              <w:t>확률 낮음</w:t>
            </w:r>
          </w:p>
        </w:tc>
      </w:tr>
      <w:tr>
        <w:tc>
          <w:tcPr>
            <w:tcW w:type="dxa" w:w="2556"/>
          </w:tcPr>
          <w:p>
            <w:r>
              <w:t>Oracle</w:t>
            </w:r>
          </w:p>
        </w:tc>
        <w:tc>
          <w:tcPr>
            <w:tcW w:type="dxa" w:w="2556"/>
          </w:tcPr>
          <w:p>
            <w:r>
              <w:t>중하</w:t>
            </w:r>
          </w:p>
        </w:tc>
        <w:tc>
          <w:tcPr>
            <w:tcW w:type="dxa" w:w="2556"/>
          </w:tcPr>
          <w:p>
            <w:r>
              <w:t>AI 약정 있으나 고객 공급/선지급 GPU</w:t>
            </w:r>
          </w:p>
        </w:tc>
        <w:tc>
          <w:tcPr>
            <w:tcW w:type="dxa" w:w="2556"/>
          </w:tcPr>
          <w:p>
            <w:r>
              <w:t>직접 대응 약함</w:t>
            </w:r>
          </w:p>
        </w:tc>
      </w:tr>
      <w:tr>
        <w:tc>
          <w:tcPr>
            <w:tcW w:type="dxa" w:w="2556"/>
          </w:tcPr>
          <w:p>
            <w:r>
              <w:t>CoreWeave</w:t>
            </w:r>
          </w:p>
        </w:tc>
        <w:tc>
          <w:tcPr>
            <w:tcW w:type="dxa" w:w="2556"/>
          </w:tcPr>
          <w:p>
            <w:r>
              <w:t>규모 작음</w:t>
            </w:r>
          </w:p>
        </w:tc>
        <w:tc>
          <w:tcPr>
            <w:tcW w:type="dxa" w:w="2556"/>
          </w:tcPr>
          <w:p>
            <w:r>
              <w:t>GPU 전량 NVIDIA</w:t>
            </w:r>
          </w:p>
        </w:tc>
        <w:tc>
          <w:tcPr>
            <w:tcW w:type="dxa" w:w="2556"/>
          </w:tcPr>
          <w:p>
            <w:r>
              <w:t>최상위 직접고객 가능성 낮음</w:t>
            </w:r>
          </w:p>
        </w:tc>
      </w:tr>
    </w:tbl>
    <w:p>
      <w:pPr>
        <w:pStyle w:val="Heading1"/>
      </w:pPr>
      <w:r>
        <w:t>11. 입증되지 않은 것</w:t>
      </w:r>
    </w:p>
    <w:p>
      <w:pPr>
        <w:pStyle w:val="ListBullet"/>
      </w:pPr>
      <w:r>
        <w:t>Customer A/B/C를 기간을 넘는 고정 정체로 대응시키는 것.</w:t>
      </w:r>
    </w:p>
    <w:p>
      <w:pPr>
        <w:pStyle w:val="ListBullet"/>
      </w:pPr>
      <w:r>
        <w:t>D3 = AWS 또는 D1 = Microsoft를 확인된 사실로 두는 것.</w:t>
      </w:r>
    </w:p>
    <w:p>
      <w:pPr>
        <w:pStyle w:val="ListBullet"/>
      </w:pPr>
      <w:r>
        <w:t>OpenAI를 NVIDIA가 지목한 익명 2분기 AI 연구/배치 고객으로 두는 것.</w:t>
      </w:r>
    </w:p>
    <w:p>
      <w:pPr>
        <w:pStyle w:val="ListBullet"/>
      </w:pPr>
      <w:r>
        <w:t>대만 매출을 Foxconn/Quanta 수요의 직접 대리지표로 쓰는 것.</w:t>
      </w:r>
    </w:p>
    <w:p>
      <w:pPr>
        <w:pStyle w:val="ListBullet"/>
      </w:pPr>
      <w:r>
        <w:t>Meta의 AI 설비투자 전액이 NVIDIA로 흘러간다고 보는 것.</w:t>
      </w:r>
    </w:p>
    <w:p>
      <w:pPr>
        <w:pStyle w:val="Heading1"/>
      </w:pPr>
      <w:r>
        <w:t>12. 출처 링크</w:t>
      </w:r>
    </w:p>
    <w:p>
      <w:r>
        <w:t>NVIDIA FY27 2분기 10-Q: https://www.sec.gov/Archives/edgar/data/1045810/000104581026000075/nvda-20260726.htm</w:t>
      </w:r>
    </w:p>
    <w:p>
      <w:r>
        <w:t>NVIDIA FY27 1분기 10-Q: https://www.sec.gov/Archives/edgar/data/1045810/000104581026000052/nvda-20260426.htm</w:t>
      </w:r>
    </w:p>
    <w:p>
      <w:r>
        <w:t>NVIDIA FY26 10-K: https://www.sec.gov/Archives/edgar/data/1045810/000104581026000021/nvda-20260125.htm</w:t>
      </w:r>
    </w:p>
    <w:p>
      <w:r>
        <w:t>Microsoft 2026년 3월 10-Q: https://www.sec.gov/Archives/edgar/data/789019/000119312526191507/msft-20260331.htm</w:t>
      </w:r>
    </w:p>
    <w:p>
      <w:r>
        <w:t>Microsoft 2026년 6월 서류: https://www.sec.gov/Archives/edgar/data/789019/000119312526323660/msft-20260630.htm</w:t>
      </w:r>
    </w:p>
    <w:p>
      <w:r>
        <w:t>Amazon 2026년 1분기: https://www.sec.gov/Archives/edgar/data/1018724/000101872426000014/amzn-20260331.htm</w:t>
      </w:r>
    </w:p>
    <w:p>
      <w:r>
        <w:t>Amazon 2026년 2분기: https://www.sec.gov/Archives/edgar/data/1018724/000101872426000026/amzn-20260630.htm</w:t>
      </w:r>
    </w:p>
    <w:p>
      <w:r>
        <w:t>Meta 2026년 1분기: https://www.sec.gov/Archives/edgar/data/1326801/000162828026028526/meta-20260331.htm</w:t>
      </w:r>
    </w:p>
    <w:p>
      <w:r>
        <w:t>Meta 2026년 2분기: https://www.sec.gov/Archives/edgar/data/1326801/000162828026050705/meta-20260630.htm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