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球狀星團潮汐尾與</w:t>
        <w:br/>
        <w:t>質量流失率研究方法</w:t>
      </w:r>
    </w:p>
    <w:p>
      <w:pPr>
        <w:pStyle w:val="Subtitle"/>
      </w:pPr>
      <w:r>
        <w:t>以 Gaia 觀測與粒子噴灑模擬建立可檢驗的推論流程</w:t>
      </w:r>
    </w:p>
    <w:p>
      <w:r>
        <w:t>國際科學展覽研究方法　繁體中文版　方法版本 4</w:t>
      </w:r>
    </w:p>
    <w:p>
      <w:pPr>
        <w:pStyle w:val="Heading1"/>
      </w:pPr>
      <w:r>
        <w:t>一 研究目的與推論範圍</w:t>
      </w:r>
    </w:p>
    <w:p>
      <w:r>
        <w:t>本研究比較九個銀河系球狀星團的外圍恆星分布，探討潮汐尾的可見程度與恆星逃逸率之間的關係。我們以真實 Gaia 場星資料建立觀測樣本，以有來源的星團參數及銀河引力勢產生粒子噴灑模型，再經過觀測選擇模型，和實際星數分布比較。主要待估量是指定歷史模型下、由模型人口所代表的平均恆星逃逸質量率。</w:t>
      </w:r>
    </w:p>
    <w:p>
      <w:r>
        <w:t>潮汐尾是否可見，不只取決於失星多少，也受到距離、消光、前背景星密度、軌道投影及觀測完整率影響。因此，「沒有看到尾巴」不直接等於「沒有流失質量」；各星團之間的關聯也不能單憑九個樣本證明因果關係。</w:t>
      </w:r>
    </w:p>
    <w:p>
      <w:pPr>
        <w:pStyle w:val="Heading2"/>
      </w:pPr>
      <w:r>
        <w:t>研究問題</w:t>
      </w:r>
    </w:p>
    <w:p>
      <w:r>
        <w:t>1　觀測是否支持與星團軌道及逃逸模型相容的外圍訊號？</w:t>
        <w:br/>
        <w:t>2　回溯時間 T 與平均逃逸率能否被資料分別限制？</w:t>
        <w:br/>
        <w:t>3　人口模型、觀測校正、背景與動力學假設對推論造成多大影響？</w:t>
        <w:br/>
        <w:t>4　哪些星團只能報告可觀測訊號星數或條件式範圍，而不能報告已驗證的絕對逃逸率？</w:t>
      </w:r>
    </w:p>
    <w:p>
      <w:pPr>
        <w:pStyle w:val="Heading2"/>
      </w:pPr>
      <w:r>
        <w:t>方法與執行狀態</w:t>
      </w:r>
    </w:p>
    <w:p>
      <w:r>
        <w:t>本文件同時列出已實作的方法與正式推論前必須完成的驗證。九個星團的原始 Gaia 場與採用參數已建立輸入審核及選星輸出；Pal 5 的加密網格已啟動。其餘八個星團仍需各自的人口模型與品質／誤差校正。所有星團的完整加密網格與科學驗證尚未完成，本文不將試跑最佳值視為正式測量。</w:t>
      </w:r>
    </w:p>
    <w:p>
      <w:r>
        <w:br w:type="page"/>
      </w:r>
    </w:p>
    <w:p>
      <w:pPr>
        <w:pStyle w:val="Heading1"/>
      </w:pPr>
      <w:r>
        <w:t>二 研究樣本與採用參數</w:t>
      </w:r>
    </w:p>
    <w:p>
      <w:r>
        <w:t>樣本包括 M30、NGC 288、Pal 5、M92、NGC 2298、M5、NGC 5466、ω Cen 與 NGC 3201。這是事先指定的比較樣本，不是隨機抽取的銀河系星團普查。別名以 NGC 編號統一，Pal 5 保留 Pal5 識別碼。</w:t>
      </w:r>
    </w:p>
    <w:tbl>
      <w:tblPr>
        <w:tblW w:type="auto" w:w="0"/>
        <w:tblLayout w:type="fixed"/>
        <w:tblLook w:firstColumn="1" w:firstRow="1" w:lastColumn="0" w:lastRow="0" w:noHBand="0" w:noVBand="1" w:val="04A0"/>
      </w:tblPr>
      <w:tblGrid>
        <w:gridCol w:w="1928"/>
        <w:gridCol w:w="1928"/>
        <w:gridCol w:w="1928"/>
        <w:gridCol w:w="1928"/>
        <w:gridCol w:w="1928"/>
      </w:tblGrid>
      <w:tr>
        <w:trPr>
          <w:cantSplit/>
          <w:tblHeader/>
        </w:trPr>
        <w:tc>
          <w:tcPr>
            <w:tcW w:type="dxa" w:w="1928"/>
            <w:shd w:fill="EDEDED"/>
            <w:tcBorders>
              <w:top w:val="single" w:sz="4" w:color="BFBFBF"/>
              <w:left w:val="single" w:sz="4" w:color="BFBFBF"/>
              <w:bottom w:val="single" w:sz="4" w:color="BFBFBF"/>
              <w:right w:val="single" w:sz="4" w:color="BFBFBF"/>
            </w:tcBorders>
          </w:tcPr>
          <w:p>
            <w:pPr>
              <w:spacing w:after="80" w:before="80" w:line="264" w:lineRule="auto"/>
            </w:pPr>
            <w:r>
              <w:rPr>
                <w:b/>
                <w:sz w:val="18"/>
              </w:rPr>
              <w:t>星團</w:t>
            </w:r>
          </w:p>
        </w:tc>
        <w:tc>
          <w:tcPr>
            <w:tcW w:type="dxa" w:w="1304"/>
            <w:shd w:fill="EDEDED"/>
            <w:tcBorders>
              <w:top w:val="single" w:sz="4" w:color="BFBFBF"/>
              <w:left w:val="single" w:sz="4" w:color="BFBFBF"/>
              <w:bottom w:val="single" w:sz="4" w:color="BFBFBF"/>
              <w:right w:val="single" w:sz="4" w:color="BFBFBF"/>
            </w:tcBorders>
          </w:tcPr>
          <w:p>
            <w:pPr>
              <w:spacing w:after="80" w:before="80" w:line="264" w:lineRule="auto"/>
            </w:pPr>
            <w:r>
              <w:rPr>
                <w:b/>
                <w:sz w:val="18"/>
              </w:rPr>
              <w:t>距離</w:t>
              <w:br/>
              <w:t>kpc</w:t>
            </w:r>
          </w:p>
        </w:tc>
        <w:tc>
          <w:tcPr>
            <w:tcW w:type="dxa" w:w="1928"/>
            <w:shd w:fill="EDEDED"/>
            <w:tcBorders>
              <w:top w:val="single" w:sz="4" w:color="BFBFBF"/>
              <w:left w:val="single" w:sz="4" w:color="BFBFBF"/>
              <w:bottom w:val="single" w:sz="4" w:color="BFBFBF"/>
              <w:right w:val="single" w:sz="4" w:color="BFBFBF"/>
            </w:tcBorders>
          </w:tcPr>
          <w:p>
            <w:pPr>
              <w:spacing w:after="80" w:before="80" w:line="264" w:lineRule="auto"/>
            </w:pPr>
            <w:r>
              <w:rPr>
                <w:b/>
                <w:sz w:val="18"/>
              </w:rPr>
              <w:t>現今質量</w:t>
              <w:br/>
              <w:t>M☉</w:t>
            </w:r>
          </w:p>
        </w:tc>
        <w:tc>
          <w:tcPr>
            <w:tcW w:type="dxa" w:w="2268"/>
            <w:shd w:fill="EDEDED"/>
            <w:tcBorders>
              <w:top w:val="single" w:sz="4" w:color="BFBFBF"/>
              <w:left w:val="single" w:sz="4" w:color="BFBFBF"/>
              <w:bottom w:val="single" w:sz="4" w:color="BFBFBF"/>
              <w:right w:val="single" w:sz="4" w:color="BFBFBF"/>
            </w:tcBorders>
          </w:tcPr>
          <w:p>
            <w:pPr>
              <w:spacing w:after="80" w:before="80" w:line="264" w:lineRule="auto"/>
            </w:pPr>
            <w:r>
              <w:rPr>
                <w:b/>
                <w:sz w:val="18"/>
              </w:rPr>
              <w:t>三維半質量</w:t>
              <w:br/>
              <w:t>半徑 pc</w:t>
            </w:r>
          </w:p>
        </w:tc>
        <w:tc>
          <w:tcPr>
            <w:tcW w:type="dxa" w:w="1984"/>
            <w:shd w:fill="EDEDED"/>
            <w:tcBorders>
              <w:top w:val="single" w:sz="4" w:color="BFBFBF"/>
              <w:left w:val="single" w:sz="4" w:color="BFBFBF"/>
              <w:bottom w:val="single" w:sz="4" w:color="BFBFBF"/>
              <w:right w:val="single" w:sz="4" w:color="BFBFBF"/>
            </w:tcBorders>
          </w:tcPr>
          <w:p>
            <w:pPr>
              <w:spacing w:after="80" w:before="80" w:line="264" w:lineRule="auto"/>
            </w:pPr>
            <w:r>
              <w:rPr>
                <w:b/>
                <w:sz w:val="18"/>
              </w:rPr>
              <w:t>實際場半徑</w:t>
              <w:br/>
              <w:t>deg</w:t>
            </w:r>
          </w:p>
        </w:tc>
      </w:tr>
      <w:tr>
        <w:trPr>
          <w:cantSplit/>
        </w:trPr>
        <w:tc>
          <w:tcPr>
            <w:tcW w:type="dxa" w:w="1928"/>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M30</w:t>
            </w:r>
          </w:p>
        </w:tc>
        <w:tc>
          <w:tcPr>
            <w:tcW w:type="dxa" w:w="1304"/>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8.46</w:t>
            </w:r>
          </w:p>
        </w:tc>
        <w:tc>
          <w:tcPr>
            <w:tcW w:type="dxa" w:w="1928"/>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1.21e+05</w:t>
            </w:r>
          </w:p>
        </w:tc>
        <w:tc>
          <w:tcPr>
            <w:tcW w:type="dxa" w:w="2268"/>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4.27</w:t>
            </w:r>
          </w:p>
        </w:tc>
        <w:tc>
          <w:tcPr>
            <w:tcW w:type="dxa" w:w="1984"/>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5.00</w:t>
            </w:r>
          </w:p>
        </w:tc>
      </w:tr>
      <w:tr>
        <w:trPr>
          <w:cantSplit/>
        </w:trPr>
        <w:tc>
          <w:tcPr>
            <w:tcW w:type="dxa" w:w="1928"/>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NGC 288</w:t>
            </w:r>
          </w:p>
        </w:tc>
        <w:tc>
          <w:tcPr>
            <w:tcW w:type="dxa" w:w="1304"/>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8.99</w:t>
            </w:r>
          </w:p>
        </w:tc>
        <w:tc>
          <w:tcPr>
            <w:tcW w:type="dxa" w:w="1928"/>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9.62e+04</w:t>
            </w:r>
          </w:p>
        </w:tc>
        <w:tc>
          <w:tcPr>
            <w:tcW w:type="dxa" w:w="2268"/>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8.56</w:t>
            </w:r>
          </w:p>
        </w:tc>
        <w:tc>
          <w:tcPr>
            <w:tcW w:type="dxa" w:w="1984"/>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5.00</w:t>
            </w:r>
          </w:p>
        </w:tc>
      </w:tr>
      <w:tr>
        <w:trPr>
          <w:cantSplit/>
        </w:trPr>
        <w:tc>
          <w:tcPr>
            <w:tcW w:type="dxa" w:w="1928"/>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Pal 5</w:t>
            </w:r>
          </w:p>
        </w:tc>
        <w:tc>
          <w:tcPr>
            <w:tcW w:type="dxa" w:w="1304"/>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21.94</w:t>
            </w:r>
          </w:p>
        </w:tc>
        <w:tc>
          <w:tcPr>
            <w:tcW w:type="dxa" w:w="1928"/>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1.34e+04</w:t>
            </w:r>
          </w:p>
        </w:tc>
        <w:tc>
          <w:tcPr>
            <w:tcW w:type="dxa" w:w="2268"/>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27.63</w:t>
            </w:r>
          </w:p>
        </w:tc>
        <w:tc>
          <w:tcPr>
            <w:tcW w:type="dxa" w:w="1984"/>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5.00</w:t>
            </w:r>
          </w:p>
        </w:tc>
      </w:tr>
      <w:tr>
        <w:trPr>
          <w:cantSplit/>
        </w:trPr>
        <w:tc>
          <w:tcPr>
            <w:tcW w:type="dxa" w:w="1928"/>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M92</w:t>
            </w:r>
          </w:p>
        </w:tc>
        <w:tc>
          <w:tcPr>
            <w:tcW w:type="dxa" w:w="1304"/>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8.50</w:t>
            </w:r>
          </w:p>
        </w:tc>
        <w:tc>
          <w:tcPr>
            <w:tcW w:type="dxa" w:w="1928"/>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2.73e+05</w:t>
            </w:r>
          </w:p>
        </w:tc>
        <w:tc>
          <w:tcPr>
            <w:tcW w:type="dxa" w:w="2268"/>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3.59</w:t>
            </w:r>
          </w:p>
        </w:tc>
        <w:tc>
          <w:tcPr>
            <w:tcW w:type="dxa" w:w="1984"/>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4.00</w:t>
            </w:r>
          </w:p>
        </w:tc>
      </w:tr>
      <w:tr>
        <w:trPr>
          <w:cantSplit/>
        </w:trPr>
        <w:tc>
          <w:tcPr>
            <w:tcW w:type="dxa" w:w="1928"/>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NGC 2298</w:t>
            </w:r>
          </w:p>
        </w:tc>
        <w:tc>
          <w:tcPr>
            <w:tcW w:type="dxa" w:w="1304"/>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9.83</w:t>
            </w:r>
          </w:p>
        </w:tc>
        <w:tc>
          <w:tcPr>
            <w:tcW w:type="dxa" w:w="1928"/>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4.98e+04</w:t>
            </w:r>
          </w:p>
        </w:tc>
        <w:tc>
          <w:tcPr>
            <w:tcW w:type="dxa" w:w="2268"/>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3.20</w:t>
            </w:r>
          </w:p>
        </w:tc>
        <w:tc>
          <w:tcPr>
            <w:tcW w:type="dxa" w:w="1984"/>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3.00</w:t>
            </w:r>
          </w:p>
        </w:tc>
      </w:tr>
      <w:tr>
        <w:trPr>
          <w:cantSplit/>
        </w:trPr>
        <w:tc>
          <w:tcPr>
            <w:tcW w:type="dxa" w:w="1928"/>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M5</w:t>
            </w:r>
          </w:p>
        </w:tc>
        <w:tc>
          <w:tcPr>
            <w:tcW w:type="dxa" w:w="1304"/>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7.48</w:t>
            </w:r>
          </w:p>
        </w:tc>
        <w:tc>
          <w:tcPr>
            <w:tcW w:type="dxa" w:w="1928"/>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3.92e+05</w:t>
            </w:r>
          </w:p>
        </w:tc>
        <w:tc>
          <w:tcPr>
            <w:tcW w:type="dxa" w:w="2268"/>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5.60</w:t>
            </w:r>
          </w:p>
        </w:tc>
        <w:tc>
          <w:tcPr>
            <w:tcW w:type="dxa" w:w="1984"/>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5.00</w:t>
            </w:r>
          </w:p>
        </w:tc>
      </w:tr>
      <w:tr>
        <w:trPr>
          <w:cantSplit/>
        </w:trPr>
        <w:tc>
          <w:tcPr>
            <w:tcW w:type="dxa" w:w="1928"/>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NGC 5466</w:t>
            </w:r>
          </w:p>
        </w:tc>
        <w:tc>
          <w:tcPr>
            <w:tcW w:type="dxa" w:w="1304"/>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16.12</w:t>
            </w:r>
          </w:p>
        </w:tc>
        <w:tc>
          <w:tcPr>
            <w:tcW w:type="dxa" w:w="1928"/>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5.61e+04</w:t>
            </w:r>
          </w:p>
        </w:tc>
        <w:tc>
          <w:tcPr>
            <w:tcW w:type="dxa" w:w="2268"/>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13.75</w:t>
            </w:r>
          </w:p>
        </w:tc>
        <w:tc>
          <w:tcPr>
            <w:tcW w:type="dxa" w:w="1984"/>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5.00</w:t>
            </w:r>
          </w:p>
        </w:tc>
      </w:tr>
      <w:tr>
        <w:trPr>
          <w:cantSplit/>
        </w:trPr>
        <w:tc>
          <w:tcPr>
            <w:tcW w:type="dxa" w:w="1928"/>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ω Cen</w:t>
            </w:r>
          </w:p>
        </w:tc>
        <w:tc>
          <w:tcPr>
            <w:tcW w:type="dxa" w:w="1304"/>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5.43</w:t>
            </w:r>
          </w:p>
        </w:tc>
        <w:tc>
          <w:tcPr>
            <w:tcW w:type="dxa" w:w="1928"/>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3.94e+06</w:t>
            </w:r>
          </w:p>
        </w:tc>
        <w:tc>
          <w:tcPr>
            <w:tcW w:type="dxa" w:w="2268"/>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10.42</w:t>
            </w:r>
          </w:p>
        </w:tc>
        <w:tc>
          <w:tcPr>
            <w:tcW w:type="dxa" w:w="1984"/>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7.91</w:t>
            </w:r>
          </w:p>
        </w:tc>
      </w:tr>
      <w:tr>
        <w:trPr>
          <w:cantSplit/>
        </w:trPr>
        <w:tc>
          <w:tcPr>
            <w:tcW w:type="dxa" w:w="1928"/>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NGC 3201</w:t>
            </w:r>
          </w:p>
        </w:tc>
        <w:tc>
          <w:tcPr>
            <w:tcW w:type="dxa" w:w="1304"/>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4.74</w:t>
            </w:r>
          </w:p>
        </w:tc>
        <w:tc>
          <w:tcPr>
            <w:tcW w:type="dxa" w:w="1928"/>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1.93e+05</w:t>
            </w:r>
          </w:p>
        </w:tc>
        <w:tc>
          <w:tcPr>
            <w:tcW w:type="dxa" w:w="2268"/>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8.68</w:t>
            </w:r>
          </w:p>
        </w:tc>
        <w:tc>
          <w:tcPr>
            <w:tcW w:type="dxa" w:w="1984"/>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3.98</w:t>
            </w:r>
          </w:p>
        </w:tc>
      </w:tr>
    </w:tbl>
    <w:p>
      <w:r>
        <w:t>表 1　目前輸入目錄快照所採用的距離、質量、三維半質量半徑，以及本機原始場的實際半徑。這些是文獻目錄採用值，並非本研究重新測得，也不是對星流共同擬合的結果。</w:t>
      </w:r>
    </w:p>
    <w:p>
      <w:r>
        <w:t>六維相空間資料包括中心赤經、赤緯、距離、兩分量自行與視向速度，來源為 Baumgardt 星團目錄的軌道表；質量與半徑來自其綜合表 [1]。本研究凍結既有 master_clusters.csv 快照並保存來源與雜湊，避免分析途中靜默更新。現有本機快照未完整保留各參數的不確定性，正式系統誤差實驗需另由原表或文獻補足。</w:t>
      </w:r>
    </w:p>
    <w:p>
      <w:r>
        <w:t>投影半光半徑不等於三維半質量半徑。表中 r_hm 用於星團勢尺度；目錄的經驗截斷半徑 r_t 用於選星遮罩，兩者均不得直接稱為瞬時 Jacobi 半徑。</w:t>
      </w:r>
    </w:p>
    <w:p>
      <w:pPr>
        <w:pStyle w:val="Heading2"/>
      </w:pPr>
      <w:r>
        <w:t>個別星團的模型適用性</w:t>
      </w:r>
    </w:p>
    <w:p>
      <w:r>
        <w:t>ω Cen 具有多重恆星族群，不能無驗證地套用單一 Pal 5 等時線。NGC 3201 的低銀緯、擁擠與差異消光需要額外校正。不同視野半徑、距離和背景的比較，必須透過各自的選擇函數處理。目錄中的既有外部 MLR 欄位不作為本次擬合的訓練答案或預先固定值。</w:t>
      </w:r>
    </w:p>
    <w:p>
      <w:r>
        <w:br w:type="page"/>
      </w:r>
    </w:p>
    <w:p>
      <w:pPr>
        <w:pStyle w:val="Heading1"/>
      </w:pPr>
      <w:r>
        <w:t>三 Gaia 資料與可重現的選星流程</w:t>
      </w:r>
    </w:p>
    <w:p>
      <w:r>
        <w:t>現有原始場資料來自 Gaia DR3 的資料鏡像查詢；查詢表為 gaia.dr3lite，資料檔旁的 JSON 保留中心、場半徑、自行下載框、G 星等上限及 TAP 端點。資料來源概念與測量內容依 Gaia DR3 文件 [2]。本批次明確使用可取得的原始 v1 場，不將缺少的擴大 v3 場當成已下載。原始下載的自行框已截斷樣本，故前向模型也必須重現相同框限。</w:t>
      </w:r>
    </w:p>
    <w:p>
      <w:pPr>
        <w:pStyle w:val="Heading2"/>
      </w:pPr>
      <w:r>
        <w:t>依序套用的條件</w:t>
      </w:r>
    </w:p>
    <w:p>
      <w:r>
        <w:t>先要求 RUWE &lt; 1.4、有效 BP−RP 顏色及 G &lt; 20.5，再依程式內顏色相關的 BP/RP flux-excess 修正與五倍寬度門檻去除可能污染測光。這些是目前專案的採用條件，不是對所有 Gaia 用途都唯一適當的標準。</w:t>
      </w:r>
    </w:p>
    <w:p>
      <w:r>
        <w:t>視差條件為與 1/d 的差值小於 3 倍該星的視差誤差再加 0.05 mas。自行條件使用兩分量殘差平方和，分母包含個別測量誤差與採用的內禀寬度，門檻為 6。現有選星的此項近似忽略自行誤差相關性；觀測擾動模型則要求協方差資料，兩者的角色不可混淆。</w:t>
      </w:r>
    </w:p>
    <w:p>
      <w:r>
        <w:t>將天空座標轉為以星團為中心的 gnomonic 投影，保留鄰近星團與缺資料區的遮罩。CMD 選擇來自內區候選星的經驗脊線：每 0.4 mag 計算顏色中位數與 MAD，半寬取 2 倍經換算的 MAD 與 0.06 mag 的較大者。脊線及軌道漂移修正決策對本次觀測凍結，模擬資料使用相同選擇。</w:t>
      </w:r>
    </w:p>
    <w:p>
      <w:r>
        <w:t>若脊線有效格數少於 3，現有程式會略過 CMD 篩選；這類樣本需標為選星未充分驗證，不能因程式可執行便進入正式 MLR 測量。自行、距離和星等沿軌道的漂移，依既有選星程式的決策處理並記錄。</w:t>
      </w:r>
    </w:p>
    <w:p>
      <w:pPr>
        <w:pStyle w:val="Heading2"/>
      </w:pPr>
      <w:r>
        <w:t>計數區域與背景</w:t>
      </w:r>
    </w:p>
    <w:p>
      <w:r>
        <w:t>擬合區域採用既有未遮罩像素，且 1.5 r_t &lt; R &lt; 0.9 R_test；R_test 是原選星程式的分析外界，不自動等於下載場半徑。以整數原始計數作 Poisson likelihood，不能把平滑顯著性圖當成獨立計數。每個步驟保存剩餘星數、遮罩、CMD 脊線、原始查詢與資料雜湊。</w:t>
      </w:r>
    </w:p>
    <w:p>
      <w:r>
        <w:t>背景圖由原分析的控制樣本與平滑場星模型建立，進入本模型後再擬合一個非負整體尺度 β。背景形狀及控制區仍須驗證；固定背景圖的條件式測試不包含背景估計本身的所有不確定性。</w:t>
      </w:r>
    </w:p>
    <w:p>
      <w:r>
        <w:br w:type="page"/>
      </w:r>
    </w:p>
    <w:p>
      <w:pPr>
        <w:pStyle w:val="Heading1"/>
      </w:pPr>
      <w:r>
        <w:t>四 銀河勢與星團逃逸模型</w:t>
      </w:r>
    </w:p>
    <w:p>
      <w:r>
        <w:t>基準採用 galpy 的 MWPotential2014：由核球、盤與暈組成的靜態、軸對稱銀河勢 [3]。目前積分使用 R₀ = 8 kpc、v₀ = 220 km/s，太陽高度 0.0208 kpc，並記錄太陽特殊運動與 galpy 座標慣例。以現今六維相空間回溯星團軌道，再將逃逸粒子積分到現在。這是採用勢下的軌道預測，不是銀河實際完整歷史。</w:t>
      </w:r>
    </w:p>
    <w:p>
      <w:pPr>
        <w:pStyle w:val="Heading2"/>
      </w:pPr>
      <w:r>
        <w:t>星團勢與質量定義</w:t>
      </w:r>
    </w:p>
    <w:p>
      <w:r>
        <w:t>星團採用 Plummer 勢，基準固定尺度 a。三維半質量半徑與尺度的關係為 r_hm ≈ 1.305a。令 τ ≥ 0 為向過去的時間，在恆定逃逸率模型中：</w:t>
      </w:r>
    </w:p>
    <w:p>
      <w:pPr>
        <w:spacing w:after="160"/>
        <w:jc w:val="center"/>
      </w:pPr>
      <m:oMathPara>
        <m:oMath>
          <m:sSub>
            <m:e>
              <m:r>
                <m:rPr>
                  <m:nor/>
                </m:rPr>
                <m:t>Φ</m:t>
              </m:r>
            </m:e>
            <m:sub>
              <m:r>
                <m:rPr>
                  <m:nor/>
                </m:rPr>
                <m:t>GC</m:t>
              </m:r>
            </m:sub>
          </m:sSub>
          <m:r>
            <m:rPr>
              <m:nor/>
            </m:rPr>
            <m:t>(r,τ) = −</m:t>
          </m:r>
          <m:f>
            <m:num>
              <m:r>
                <m:rPr>
                  <m:nor/>
                </m:rPr>
                <m:t>G </m:t>
              </m:r>
              <m:sSub>
                <m:e>
                  <m:r>
                    <m:rPr>
                      <m:nor/>
                    </m:rPr>
                    <m:t>M</m:t>
                  </m:r>
                </m:e>
                <m:sub>
                  <m:r>
                    <m:rPr>
                      <m:nor/>
                    </m:rPr>
                    <m:t>dyn</m:t>
                  </m:r>
                </m:sub>
              </m:sSub>
              <m:r>
                <m:rPr>
                  <m:nor/>
                </m:rPr>
                <m:t>(τ)</m:t>
              </m:r>
            </m:num>
            <m:den>
              <m:rad>
                <m:radPr>
                  <m:degHide m:val="1"/>
                </m:radPr>
                <m:deg/>
                <m:e>
                  <m:sSup>
                    <m:e>
                      <m:r>
                        <m:rPr>
                          <m:nor/>
                        </m:rPr>
                        <m:t>r</m:t>
                      </m:r>
                    </m:e>
                    <m:sup>
                      <m:r>
                        <m:rPr>
                          <m:nor/>
                        </m:rPr>
                        <m:t>2</m:t>
                      </m:r>
                    </m:sup>
                  </m:sSup>
                  <m:r>
                    <m:rPr>
                      <m:nor/>
                    </m:rPr>
                    <m:t> + </m:t>
                  </m:r>
                  <m:sSup>
                    <m:e>
                      <m:r>
                        <m:rPr>
                          <m:nor/>
                        </m:rPr>
                        <m:t>a</m:t>
                      </m:r>
                    </m:e>
                    <m:sup>
                      <m:r>
                        <m:rPr>
                          <m:nor/>
                        </m:rPr>
                        <m:t>2</m:t>
                      </m:r>
                    </m:sup>
                  </m:sSup>
                </m:e>
              </m:rad>
            </m:den>
          </m:f>
        </m:oMath>
      </m:oMathPara>
    </w:p>
    <w:p>
      <w:pPr>
        <w:spacing w:after="160"/>
        <w:jc w:val="center"/>
      </w:pPr>
      <m:oMathPara>
        <m:oMath>
          <m:sSub>
            <m:e>
              <m:r>
                <m:rPr>
                  <m:nor/>
                </m:rPr>
                <m:t>M</m:t>
              </m:r>
            </m:e>
            <m:sub>
              <m:r>
                <m:rPr>
                  <m:nor/>
                </m:rPr>
                <m:t>dyn</m:t>
              </m:r>
            </m:sub>
          </m:sSub>
          <m:r>
            <m:rPr>
              <m:nor/>
            </m:rPr>
            <m:t>(τ) = </m:t>
          </m:r>
          <m:sSub>
            <m:e>
              <m:r>
                <m:rPr>
                  <m:nor/>
                </m:rPr>
                <m:t>M</m:t>
              </m:r>
            </m:e>
            <m:sub>
              <m:r>
                <m:rPr>
                  <m:nor/>
                </m:rPr>
                <m:t>now</m:t>
              </m:r>
            </m:sub>
          </m:sSub>
          <m:r>
            <m:rPr>
              <m:nor/>
            </m:rPr>
            <m:t> + f Ṁ τ</m:t>
          </m:r>
        </m:oMath>
      </m:oMathPara>
    </w:p>
    <w:p>
      <w:r>
        <w:t>Ṁ 的單位為 M☉/Myr，代表人口模型所涵蓋之存活恆星的逃逸質量，不自動包含所有低質量星、殘骸或氣體。f 將這個人口質量率轉為動力學逃逸質量率；Pal 5 的 f = 1 是明示的條件式假設，未被當成測量。其他星團需各自給出可辯護的換算，不沿用 Pal 5 值。</w:t>
      </w:r>
    </w:p>
    <w:p>
      <w:r>
        <w:t>每個候選 Ṁ 都改變過去質量與逃逸後星團引力，故必須各自積分。僅對固定動力學模板乘一個振幅，屬於另一模型，不能與本研究的耦合質量歷史混用。輸出 M(−T)/M_now，評估固定尺度近似的適用範圍；大質量比並非自動物理不可能，但須在分析前設定適用性判準。</w:t>
      </w:r>
    </w:p>
    <w:p>
      <w:pPr>
        <w:pStyle w:val="Heading2"/>
      </w:pPr>
      <w:r>
        <w:t>粒子噴灑的物理角色</w:t>
      </w:r>
    </w:p>
    <w:p>
      <w:r>
        <w:t>使用 Chen 等人以 N-body 模擬校準的逃逸位置與速度分布，取樣領先與落後兩臂 [4]。此方法略過星團內部鬆弛，因此需要由研究者指定逃逸歷史；它本身不會預測真實 Ṁ。粒子在銀河與移動星團勢的共同作用下演化，基準忽略粒子自引力、動力摩擦、反衝與銀河勢的時間演化。</w:t>
      </w:r>
    </w:p>
    <w:p>
      <w:r>
        <w:t>L1 與 L2 是圓軌道共轉近似下的有效勢鞍點；實際逃逸發生在有限寬度區域，且可能延遲、再捕獲或沿偏心軌道改變出口條件。潮汐尾密度起伏不直接等於當時逃逸率的起伏 [5]。</w:t>
      </w:r>
    </w:p>
    <w:p>
      <w:r>
        <w:br w:type="page"/>
      </w:r>
    </w:p>
    <w:p>
      <w:pPr>
        <w:pStyle w:val="Heading1"/>
      </w:pPr>
      <w:r>
        <w:t>五 回溯時間與參數網格</w:t>
      </w:r>
    </w:p>
    <w:p>
      <w:r>
        <w:t>T 是納入模型的逃逸歷史長度，不是星團形成時間。恆定模型中，窗口內平均逃逸率等於每個時刻的指定率。首先檢查各逃逸年代經觀測選擇後對分析視野的貢獻；早期粒子若已離開視野或混入背景，資料可能無法辨識更大的 T。profile 形成平台不自動表示一個統計下限。將積分時間列為待估量有文獻先例，但本研究的觀測及 likelihood 與其不同 [6]。</w:t>
      </w:r>
    </w:p>
    <w:tbl>
      <w:tblPr>
        <w:tblW w:type="auto" w:w="0"/>
        <w:tblLayout w:type="fixed"/>
        <w:tblLook w:firstColumn="1" w:firstRow="1" w:lastColumn="0" w:lastRow="0" w:noHBand="0" w:noVBand="1" w:val="04A0"/>
      </w:tblPr>
      <w:tblGrid>
        <w:gridCol w:w="3213"/>
        <w:gridCol w:w="3213"/>
        <w:gridCol w:w="3213"/>
      </w:tblGrid>
      <w:tr>
        <w:trPr>
          <w:cantSplit/>
          <w:tblHeader/>
        </w:trPr>
        <w:tc>
          <w:tcPr>
            <w:tcW w:type="dxa" w:w="1928"/>
            <w:shd w:fill="EDEDED"/>
            <w:tcBorders>
              <w:top w:val="single" w:sz="4" w:color="BFBFBF"/>
              <w:left w:val="single" w:sz="4" w:color="BFBFBF"/>
              <w:bottom w:val="single" w:sz="4" w:color="BFBFBF"/>
              <w:right w:val="single" w:sz="4" w:color="BFBFBF"/>
            </w:tcBorders>
          </w:tcPr>
          <w:p>
            <w:pPr>
              <w:spacing w:after="80" w:before="80" w:line="264" w:lineRule="auto"/>
            </w:pPr>
            <w:r>
              <w:rPr>
                <w:b/>
                <w:sz w:val="18"/>
              </w:rPr>
              <w:t>設計量</w:t>
            </w:r>
          </w:p>
        </w:tc>
        <w:tc>
          <w:tcPr>
            <w:tcW w:type="dxa" w:w="3685"/>
            <w:shd w:fill="EDEDED"/>
            <w:tcBorders>
              <w:top w:val="single" w:sz="4" w:color="BFBFBF"/>
              <w:left w:val="single" w:sz="4" w:color="BFBFBF"/>
              <w:bottom w:val="single" w:sz="4" w:color="BFBFBF"/>
              <w:right w:val="single" w:sz="4" w:color="BFBFBF"/>
            </w:tcBorders>
          </w:tcPr>
          <w:p>
            <w:pPr>
              <w:spacing w:after="80" w:before="80" w:line="264" w:lineRule="auto"/>
            </w:pPr>
            <w:r>
              <w:rPr>
                <w:b/>
                <w:sz w:val="18"/>
              </w:rPr>
              <w:t>目前加密設定</w:t>
            </w:r>
          </w:p>
        </w:tc>
        <w:tc>
          <w:tcPr>
            <w:tcW w:type="dxa" w:w="3798"/>
            <w:shd w:fill="EDEDED"/>
            <w:tcBorders>
              <w:top w:val="single" w:sz="4" w:color="BFBFBF"/>
              <w:left w:val="single" w:sz="4" w:color="BFBFBF"/>
              <w:bottom w:val="single" w:sz="4" w:color="BFBFBF"/>
              <w:right w:val="single" w:sz="4" w:color="BFBFBF"/>
            </w:tcBorders>
          </w:tcPr>
          <w:p>
            <w:pPr>
              <w:spacing w:after="80" w:before="80" w:line="264" w:lineRule="auto"/>
            </w:pPr>
            <w:r>
              <w:rPr>
                <w:b/>
                <w:sz w:val="18"/>
              </w:rPr>
              <w:t>解釋</w:t>
            </w:r>
          </w:p>
        </w:tc>
      </w:tr>
      <w:tr>
        <w:trPr>
          <w:cantSplit/>
        </w:trPr>
        <w:tc>
          <w:tcPr>
            <w:tcW w:type="dxa" w:w="1928"/>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逃逸率 Ṁ</w:t>
            </w:r>
          </w:p>
        </w:tc>
        <w:tc>
          <w:tcPr>
            <w:tcW w:type="dxa" w:w="3685"/>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2 至 32 M☉/Myr，間距 1</w:t>
            </w:r>
          </w:p>
        </w:tc>
        <w:tc>
          <w:tcPr>
            <w:tcW w:type="dxa" w:w="3798"/>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31 個候選值，非文獻真值</w:t>
            </w:r>
          </w:p>
        </w:tc>
      </w:tr>
      <w:tr>
        <w:trPr>
          <w:cantSplit/>
        </w:trPr>
        <w:tc>
          <w:tcPr>
            <w:tcW w:type="dxa" w:w="1928"/>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T</w:t>
            </w:r>
          </w:p>
        </w:tc>
        <w:tc>
          <w:tcPr>
            <w:tcW w:type="dxa" w:w="3685"/>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100 至 2000 Myr，間距 100</w:t>
            </w:r>
          </w:p>
        </w:tc>
        <w:tc>
          <w:tcPr>
            <w:tcW w:type="dxa" w:w="3798"/>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20 個窗口，須符合年齡限制</w:t>
            </w:r>
          </w:p>
        </w:tc>
      </w:tr>
      <w:tr>
        <w:trPr>
          <w:cantSplit/>
        </w:trPr>
        <w:tc>
          <w:tcPr>
            <w:tcW w:type="dxa" w:w="1928"/>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獨立種子</w:t>
            </w:r>
          </w:p>
        </w:tc>
        <w:tc>
          <w:tcPr>
            <w:tcW w:type="dxa" w:w="3685"/>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1009、2027、3037</w:t>
            </w:r>
          </w:p>
        </w:tc>
        <w:tc>
          <w:tcPr>
            <w:tcW w:type="dxa" w:w="3798"/>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三組動力學抽樣</w:t>
            </w:r>
          </w:p>
        </w:tc>
      </w:tr>
      <w:tr>
        <w:trPr>
          <w:cantSplit/>
        </w:trPr>
        <w:tc>
          <w:tcPr>
            <w:tcW w:type="dxa" w:w="1928"/>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釋放間隔</w:t>
            </w:r>
          </w:p>
        </w:tc>
        <w:tc>
          <w:tcPr>
            <w:tcW w:type="dxa" w:w="3685"/>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0.25 Myr</w:t>
            </w:r>
          </w:p>
        </w:tc>
        <w:tc>
          <w:tcPr>
            <w:tcW w:type="dxa" w:w="3798"/>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每個時段、每臂一個示蹤粒子</w:t>
            </w:r>
          </w:p>
        </w:tc>
      </w:tr>
      <w:tr>
        <w:trPr>
          <w:cantSplit/>
        </w:trPr>
        <w:tc>
          <w:tcPr>
            <w:tcW w:type="dxa" w:w="1928"/>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最長模型粒子數</w:t>
            </w:r>
          </w:p>
        </w:tc>
        <w:tc>
          <w:tcPr>
            <w:tcW w:type="dxa" w:w="3685"/>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16,000／次</w:t>
            </w:r>
          </w:p>
        </w:tc>
        <w:tc>
          <w:tcPr>
            <w:tcW w:type="dxa" w:w="3798"/>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兩臂總計，非真實恆星數</w:t>
            </w:r>
          </w:p>
        </w:tc>
      </w:tr>
      <w:tr>
        <w:trPr>
          <w:cantSplit/>
        </w:trPr>
        <w:tc>
          <w:tcPr>
            <w:tcW w:type="dxa" w:w="1928"/>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完整單星團成本</w:t>
            </w:r>
          </w:p>
        </w:tc>
        <w:tc>
          <w:tcPr>
            <w:tcW w:type="dxa" w:w="3685"/>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93 次動力學、1,488,000 軌跡</w:t>
            </w:r>
          </w:p>
        </w:tc>
        <w:tc>
          <w:tcPr>
            <w:tcW w:type="dxa" w:w="3798"/>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31 個率乘三組種子</w:t>
            </w:r>
          </w:p>
        </w:tc>
      </w:tr>
    </w:tbl>
    <w:p>
      <w:r>
        <w:t>表 2　目前計畫的數值網格與成本。共有 620 個 T–Ṁ 格點；人口情境是額外干擾參數，不是新增觀測。這是可調整的計算設計，不保證適合所有星團。若接受集合觸及邊界，需擴大範圍或報告未受約束；不得把網格端點當成物理限制。</w:t>
      </w:r>
    </w:p>
    <w:p>
      <w:pPr>
        <w:pStyle w:val="Heading2"/>
      </w:pPr>
      <w:r>
        <w:t>粒子權重與窗口重用</w:t>
      </w:r>
    </w:p>
    <w:p>
      <w:r>
        <w:t>兩臂的總質量權重等於 ṀT。每個寬度 Δτ 的區間含兩顆示蹤粒子，因此每顆代表 ṀΔτ/2 的人口質量。增加粒子數應減少每顆權重，而不是增加真實逃逸量；模型粒子不等同一顆可觀測恆星。</w:t>
      </w:r>
    </w:p>
    <w:p>
      <w:r>
        <w:t>恆定率、相同現在狀態、相同質量歷史與勢、忽略粒子間引力時，每個 Ṁ 僅積分到 T_max 一次。較小 T 取釋放年代 τ ≤ T 的子集，保留原權重，不重新正規化。子集邊界須對齊分層釋放區間，並以獨立短窗口積分檢查一致性。隨 T 重新正規化的非恆定歷史通常不能直接沿用此法。</w:t>
      </w:r>
    </w:p>
    <w:p>
      <w:r>
        <w:br w:type="page"/>
      </w:r>
    </w:p>
    <w:p>
      <w:pPr>
        <w:pStyle w:val="Heading1"/>
      </w:pPr>
      <w:r>
        <w:t>六 從粒子質量預測可觀測恆星</w:t>
      </w:r>
    </w:p>
    <w:p>
      <w:r>
        <w:t>動力學輸出只有相空間、釋放時間與代表質量，沒有天然的 G 星等或 RUWE。不能對粒子任意填入這些數字，再宣稱已重現 Gaia 選擇。我們以有來源的恆星人口模型將單位質量換算為各演化階段與星等的預期星數，再以機率式觀測模型估計通過選擇的比例。</w:t>
      </w:r>
    </w:p>
    <w:p>
      <w:pPr>
        <w:pStyle w:val="Heading2"/>
      </w:pPr>
      <w:r>
        <w:t>人口與質量正規化</w:t>
      </w:r>
    </w:p>
    <w:p>
      <w:r>
        <w:t>使用官方 PARSEC 等時線與 Gaia EDR3／DR3 通帶 [7]。每個星團需採用有來源的年齡、總金屬量、消光與人口混合比例；[Fe/H] 不直接等於 alpha 增強人口的 [M/H]。等時線依現今存活恆星質量正規化，排除非物理終止點，記錄涵蓋的質量下限與是否包含殘骸。</w:t>
      </w:r>
    </w:p>
    <w:p>
      <w:r>
        <w:t>Pal 5 現有條件式基準採年齡 11 Gyr、縮放太陽元素比例的 [M/H] = −1.4、E(B−V) = 0.03；這些不是本次重新估計值。人口權重乘以 (m/0.5 M☉) 的 −1、0、+1 次方後重新正規化，僅作逃逸質量函數敏感度情境，不代表已量得的逃逸質量函數或信賴界限。其他星團不能照搬。</w:t>
      </w:r>
    </w:p>
    <w:p>
      <w:pPr>
        <w:pStyle w:val="Heading2"/>
      </w:pPr>
      <w:r>
        <w:t>入表完整率與條件品質通過率</w:t>
      </w:r>
    </w:p>
    <w:p>
      <w:r>
        <w:t>入表完整率使用官方 GaiaUnlimited TCG 地圖 [8]。已入表之後能否取得所需量測、通過品質條件，另外由各星團附近不經成員或品質篩選的 Gaia 母樣本校正。母樣本可由 random_index 獨立抽樣，但須拒絕 TAP 錯誤、溢出、重複來源或不完整下載；不可把查詢前 N 顆當成隨機樣本。</w:t>
      </w:r>
    </w:p>
    <w:p>
      <w:r>
        <w:t>先分開訓練與保留樣本，評估品質機率的支持範圍，再擬合完整母樣本。以位置、星等與顏色相近的真實母樣本星作誤差供體，保留天體測量協方差；不足供體或無校正支持的區域須明確標示。場星校正移轉至逃逸人口是否合適仍需檢查，並避免對同一漏失重複乘上完整率。</w:t>
      </w:r>
    </w:p>
    <w:p>
      <w:r>
        <w:t>對每個質量粒子累積人口節點的預期可觀測貢獻，再重現原始下載框、品質、視差、自行、CMD 與天空遮罩。現有視差零點僅使用明示的純量情境，尚非逐星零點校正；固定場內消光也不代替差異消光圖。這些限制納入系統誤差評估。</w:t>
      </w:r>
    </w:p>
    <w:p>
      <w:r>
        <w:br w:type="page"/>
      </w:r>
    </w:p>
    <w:p>
      <w:pPr>
        <w:pStyle w:val="Heading1"/>
      </w:pPr>
      <w:r>
        <w:t>七 觀測計數的統計比較</w:t>
      </w:r>
    </w:p>
    <w:p>
      <w:r>
        <w:t>以 n_j 表示第 j 個擬合像素的整數觀測計數，b_j 為背景期望圖，s_jk 為人口與觀測校正狀態 k 下的預測訊號。對指定 T、Ṁ 及人口情境，像素平均值為：</w:t>
      </w:r>
    </w:p>
    <w:p>
      <w:pPr>
        <w:spacing w:after="160"/>
        <w:jc w:val="center"/>
      </w:pPr>
      <m:oMathPara>
        <m:oMath>
          <m:sSub>
            <m:e>
              <m:r>
                <m:rPr>
                  <m:nor/>
                </m:rPr>
                <m:t>λ</m:t>
              </m:r>
            </m:e>
            <m:sub>
              <m:r>
                <m:rPr>
                  <m:nor/>
                </m:rPr>
                <m:t>jk</m:t>
              </m:r>
            </m:sub>
          </m:sSub>
          <m:r>
            <m:rPr>
              <m:nor/>
            </m:rPr>
            <m:t> = </m:t>
          </m:r>
          <m:sSub>
            <m:e>
              <m:r>
                <m:rPr>
                  <m:nor/>
                </m:rPr>
                <m:t>s</m:t>
              </m:r>
            </m:e>
            <m:sub>
              <m:r>
                <m:rPr>
                  <m:nor/>
                </m:rPr>
                <m:t>jk</m:t>
              </m:r>
            </m:sub>
          </m:sSub>
          <m:r>
            <m:rPr>
              <m:nor/>
            </m:rPr>
            <m:t>(T,Ṁ) + β </m:t>
          </m:r>
          <m:sSub>
            <m:e>
              <m:r>
                <m:rPr>
                  <m:nor/>
                </m:rPr>
                <m:t>b</m:t>
              </m:r>
            </m:e>
            <m:sub>
              <m:r>
                <m:rPr>
                  <m:nor/>
                </m:rPr>
                <m:t>j</m:t>
              </m:r>
            </m:sub>
          </m:sSub>
          <m:r>
            <m:rPr>
              <m:nor/>
            </m:rPr>
            <m:t>,　β ≥ 0</m:t>
          </m:r>
        </m:oMath>
      </m:oMathPara>
    </w:p>
    <w:p>
      <w:r>
        <w:t>條件於一個校正狀態，使用各像素 Poisson 機率的乘積；再對 K 個對齊校正狀態取等權混合。這些狀態不是 K 份獨立觀測，不能把混合寫成額外資料乘積。獨立動力學種子的訊號模板先平均，再建立同一個觀測的 likelihood。</w:t>
      </w:r>
    </w:p>
    <w:p>
      <w:pPr>
        <w:spacing w:after="160"/>
        <w:jc w:val="center"/>
      </w:pPr>
      <m:oMathPara>
        <m:oMath>
          <m:r>
            <m:rPr>
              <m:nor/>
            </m:rPr>
            <m:t>L(T,Ṁ,β) = </m:t>
          </m:r>
          <m:f>
            <m:num>
              <m:r>
                <m:rPr>
                  <m:nor/>
                </m:rPr>
                <m:t>1</m:t>
              </m:r>
            </m:num>
            <m:den>
              <m:r>
                <m:rPr>
                  <m:nor/>
                </m:rPr>
                <m:t>K</m:t>
              </m:r>
            </m:den>
          </m:f>
          <m:r>
            <m:rPr>
              <m:nor/>
            </m:rPr>
            <m:t> ∑</m:t>
          </m:r>
          <m:sSub>
            <m:e>
              <m:r>
                <m:rPr>
                  <m:nor/>
                </m:rPr>
                <m:t> </m:t>
              </m:r>
            </m:e>
            <m:sub>
              <m:r>
                <m:rPr>
                  <m:nor/>
                </m:rPr>
                <m:t>k</m:t>
              </m:r>
            </m:sub>
          </m:sSub>
          <m:r>
            <m:rPr>
              <m:nor/>
            </m:rPr>
            <m:t> ∏</m:t>
          </m:r>
          <m:sSub>
            <m:e>
              <m:r>
                <m:rPr>
                  <m:nor/>
                </m:rPr>
                <m:t> </m:t>
              </m:r>
            </m:e>
            <m:sub>
              <m:r>
                <m:rPr>
                  <m:nor/>
                </m:rPr>
                <m:t>j</m:t>
              </m:r>
            </m:sub>
          </m:sSub>
          <m:r>
            <m:rPr>
              <m:nor/>
            </m:rPr>
            <m:t> Poisson(</m:t>
          </m:r>
          <m:sSub>
            <m:e>
              <m:r>
                <m:rPr>
                  <m:nor/>
                </m:rPr>
                <m:t>n</m:t>
              </m:r>
            </m:e>
            <m:sub>
              <m:r>
                <m:rPr>
                  <m:nor/>
                </m:rPr>
                <m:t>j</m:t>
              </m:r>
            </m:sub>
          </m:sSub>
          <m:r>
            <m:rPr>
              <m:nor/>
            </m:rPr>
            <m:t> | </m:t>
          </m:r>
          <m:sSub>
            <m:e>
              <m:r>
                <m:rPr>
                  <m:nor/>
                </m:rPr>
                <m:t>λ</m:t>
              </m:r>
            </m:e>
            <m:sub>
              <m:r>
                <m:rPr>
                  <m:nor/>
                </m:rPr>
                <m:t>jk</m:t>
              </m:r>
            </m:sub>
          </m:sSub>
          <m:r>
            <m:rPr>
              <m:nor/>
            </m:rPr>
            <m:t>)</m:t>
          </m:r>
        </m:oMath>
      </m:oMathPara>
    </w:p>
    <w:p>
      <w:r>
        <w:t>背景尺度 β 對每個候選模型作 profile；混合 likelihood 可能多峰，現有程式使用具有全域界限檢查的最佳化。人口情境採離散 profile，而不是默認為已知。基準只使用位置像素的計數；自行與 CMD 已用於選星，不額外將相同證據獨立相乘。未來若加入運動 likelihood，須使用選擇後的聯合分布。</w:t>
      </w:r>
    </w:p>
    <w:p>
      <w:pPr>
        <w:spacing w:after="160"/>
        <w:jc w:val="center"/>
      </w:pPr>
      <m:oMathPara>
        <m:oMath>
          <m:r>
            <m:rPr>
              <m:nor/>
            </m:rPr>
            <m:t>q(T,Ṁ) = 2 [ NLL(T,Ṁ) − </m:t>
          </m:r>
          <m:sSub>
            <m:e>
              <m:r>
                <m:rPr>
                  <m:nor/>
                </m:rPr>
                <m:t>NLL</m:t>
              </m:r>
            </m:e>
            <m:sub>
              <m:r>
                <m:rPr>
                  <m:nor/>
                </m:rPr>
                <m:t>min</m:t>
              </m:r>
            </m:sub>
          </m:sSub>
          <m:r>
            <m:rPr>
              <m:nor/>
            </m:rPr>
            <m:t> ]</m:t>
          </m:r>
        </m:oMath>
      </m:oMathPara>
    </w:p>
    <w:p>
      <w:r>
        <w:t>每個 T–Ṁ 格點的 q 已對人口情境與背景尺度取最佳值，越小越吻合，最佳格點為 0。q 是相對比較，不是「吻合百分比」，也不保證最佳模型的絕對吻合度良好。</w:t>
      </w:r>
    </w:p>
    <w:p>
      <w:pPr>
        <w:pStyle w:val="Heading2"/>
      </w:pPr>
      <w:r>
        <w:t>Heatmap 與 profile 的輸出</w:t>
      </w:r>
    </w:p>
    <w:p>
      <w:r>
        <w:t>Heatmap 以 T 為橫軸、Ṁ 為縱軸，顏色表示 q；標出實際計算節點與最佳節點。空白格點不插值補值。人口 profile 後，對 T 再取最小值得到率的 profile；對 Ṁ 取最小值得到時間的 profile。校準完成後以標記標出接受的二維節點，避免把離散格點間的畫圖色塊誤解為已積分的連續區域。</w:t>
      </w:r>
    </w:p>
    <w:p>
      <w:r>
        <w:t>各模型與背景一併合併相同的 4×4 不重疊像素，只作加總，不平滑觀測整數計數。此設定來自 Pal 5 的獨立密度測試，其他星團仍需檢查角尺度、尾巴寬度與星數；不是通用最佳分箱。</w:t>
      </w:r>
    </w:p>
    <w:p>
      <w:r>
        <w:br w:type="page"/>
      </w:r>
    </w:p>
    <w:p>
      <w:pPr>
        <w:pStyle w:val="Heading1"/>
      </w:pPr>
      <w:r>
        <w:t>八 百分之九十五信賴集合的校準</w:t>
      </w:r>
    </w:p>
    <w:p>
      <w:r>
        <w:t>本研究以模擬校準 likelihood-ratio 統計量，再反推信賴集合，不直接把所有格點套用固定的卡方門檻 [9]。這是頻率學派信賴集合，不是參數有 95% 後驗機率位於其中。其涵蓋範圍受凍結模板、有限參數網格與指定干擾情境所限制。</w:t>
      </w:r>
    </w:p>
    <w:p>
      <w:r>
        <w:t>對每個注入真值 (T、Ṁ、人口情境) 及事前指定的背景尺度，從凍結的校正狀態混合抽一個狀態，再抽樣 Poisson 計數。每組模擬資料都重新擬合完整格點與背景尺度，分別記錄率 profile、時間 profile、以及 T–Ṁ 聯合統計量。</w:t>
      </w:r>
    </w:p>
    <w:p>
      <w:r>
        <w:t>若校準組有 m 次重複，取排序第 ceil[0.95(m+1)] 個統計量為門檻；若所需排序大於 m，門檻設為無限大，不假裝小樣本足以校準有限界限。同一待估座標的多個干擾真值，取其門檻最大值，再與觀測 q 比較。此處的干擾穩健性只涵蓋明確測試的有限背景與人口格點。</w:t>
      </w:r>
    </w:p>
    <w:p>
      <w:r>
        <w:t>目前可執行的起始配置為每個真值 200 次校準與另外 300 次保留測試；20+20 次只作流程試跑，不足以宣稱精確 95% 涵蓋。保留組不得再次拿來選門檻，並輸出各真值的實際涵蓋比例及 Wilson 95% 區間。有限排序修正保證的是重複校準樣本與新觀測下的邊際性質，不代表某一次固定門檻對所有條件都有精確 95% 涵蓋率。</w:t>
      </w:r>
    </w:p>
    <w:p>
      <w:pPr>
        <w:pStyle w:val="Heading2"/>
      </w:pPr>
      <w:r>
        <w:t>如何解讀輸出</w:t>
      </w:r>
    </w:p>
    <w:p>
      <w:r>
        <w:t>一維率與時間的信賴集合分別校準；兩者的直積不是二維 95% 聯合區域。接受集合可能不連通，須保留實際節點清單；最小到最大值的包絡不可當成所有中間值都通過的連續區間。若集合觸及網格邊界，需擴大網格或誠實報告缺乏限制，不能把邊界當成測得上限或下限。</w:t>
      </w:r>
    </w:p>
    <w:p>
      <w:r>
        <w:t>凍結模板內的涵蓋率不包含離散格點之間的真值、獨立高密度模板、人口／銀河勢錯配或背景形狀誤差。九個星團若另作「是否偵測到尾巴」的多重檢定，需要專門的背景零訊號模擬與事前定義的多重比較控制；本信賴集合不是九次偵測的整體顯著性。</w:t>
      </w:r>
    </w:p>
    <w:p>
      <w:r>
        <w:br w:type="page"/>
      </w:r>
    </w:p>
    <w:p>
      <w:pPr>
        <w:pStyle w:val="Heading1"/>
      </w:pPr>
      <w:r>
        <w:t>九 數值收斂與科學驗證</w:t>
      </w:r>
    </w:p>
    <w:p>
      <w:r>
        <w:t>軟體測試通過只代表已檢查的程式行為，不能取代物理驗證。正式推論至少包含下列四項；所有容忍度與排除規則應在檢視正式最佳結果前記錄。</w:t>
      </w:r>
    </w:p>
    <w:p>
      <w:pPr>
        <w:pStyle w:val="Heading2"/>
      </w:pPr>
      <w:r>
        <w:t>一 權重與動力學檢查</w:t>
      </w:r>
    </w:p>
    <w:p>
      <w:r>
        <w:t>驗證兩臂總權重等於 ṀT，子集窗口不重新正規化；以匹配釋放狀態的獨立短窗口檢查重用誤差。使用更嚴格積分精度、更多軌道快取點與不同粒子密度，檢查位置、速度、預期星數、空間分布與 q 的穩定性。固定質量勢的能量檢查不直接適用於時變移動星團勢。</w:t>
      </w:r>
    </w:p>
    <w:p>
      <w:pPr>
        <w:pStyle w:val="Heading2"/>
      </w:pPr>
      <w:r>
        <w:t>二 模板取樣誤差</w:t>
      </w:r>
    </w:p>
    <w:p>
      <w:r>
        <w:t>使用多組獨立動力學種子估計平均模板的標準誤。初步門檻為：累積占訊號 90% 的主要像素，模板標準誤小於該像素預期總計數平方根的 0.1 倍。另對事前定義的遠尾合併區域計算誤差，保留像素間協方差；不能只檢查最亮像素。必要時增加粒子或合併像素，並檢查尾巴結構是否因此喪失。</w:t>
      </w:r>
    </w:p>
    <w:p>
      <w:r>
        <w:t>分層粒子加權可輔助估計有效粒子數，但不能忽略同一粒子衍生人口／觀測抽樣的相關性。從同一密集模型稀疏抽出的模板不是獨立種子；其差異可作解析度診斷，不能代替獨立實驗的變異估計。</w:t>
      </w:r>
    </w:p>
    <w:p>
      <w:pPr>
        <w:pStyle w:val="Heading2"/>
      </w:pPr>
      <w:r>
        <w:t>三 已知答案回收與模型錯配</w:t>
      </w:r>
    </w:p>
    <w:p>
      <w:r>
        <w:t>至少測試網格中間、邊界附近、接近偵測極限的低訊號，以及低於和高於視野可辨識年代的 T。檢查回收偏差、信賴集合涵蓋、集合寬度與失敗率。進一步用獨立高密度模板、格點間真值、不同人口、不同背景與不同銀河勢注入，評估模型錯配。現有有限格點校準未自動完成所有這些測試。</w:t>
      </w:r>
    </w:p>
    <w:p>
      <w:pPr>
        <w:pStyle w:val="Heading2"/>
      </w:pPr>
      <w:r>
        <w:t>四 絕對吻合度與系統誤差</w:t>
      </w:r>
    </w:p>
    <w:p>
      <w:r>
        <w:t>檢查資料減模型的殘差、尾巴方向、寬度及分區計數；以模擬資料重新擬合校準 Poisson deviance 等絕對吻合指標。對距離、自行、視向速度、現在質量、尺度、消光、人口質量函數、完整率、背景及銀河勢作敏感度實驗。情境最佳值的範圍不是自動的信賴區間。若無法解除人口可見星數與 Ṁ 的退化，報告可辨識組合或條件式值，不強制產生唯一 MLR。</w:t>
      </w:r>
    </w:p>
    <w:p>
      <w:r>
        <w:br w:type="page"/>
      </w:r>
    </w:p>
    <w:p>
      <w:pPr>
        <w:pStyle w:val="Heading1"/>
      </w:pPr>
      <w:r>
        <w:t>十 結果報告與可重現性</w:t>
      </w:r>
    </w:p>
    <w:p>
      <w:pPr>
        <w:pStyle w:val="Heading2"/>
      </w:pPr>
      <w:r>
        <w:t>正式物理測量的報告條件</w:t>
      </w:r>
    </w:p>
    <w:p>
      <w:r>
        <w:t>只有當人口質量基準與單位質量轉換、完整率和品質校正的支持範圍、背景控制區、數值收斂、回收偏差與涵蓋率，以及主要系統誤差均有足夠證據時，才報告模型適用範圍內已驗證的絕對逃逸率。部分校正仍為假設時，只報告明示條件的 MLR；缺少可信質量轉換時，主要報告選中的訊號星數與模型比較。</w:t>
      </w:r>
    </w:p>
    <w:p>
      <w:pPr>
        <w:pStyle w:val="Heading2"/>
      </w:pPr>
      <w:r>
        <w:t>目前實際執行狀態</w:t>
      </w:r>
    </w:p>
    <w:tbl>
      <w:tblPr>
        <w:tblW w:type="auto" w:w="0"/>
        <w:tblLayout w:type="fixed"/>
        <w:tblLook w:firstColumn="1" w:firstRow="1" w:lastColumn="0" w:lastRow="0" w:noHBand="0" w:noVBand="1" w:val="04A0"/>
      </w:tblPr>
      <w:tblGrid>
        <w:gridCol w:w="4819"/>
        <w:gridCol w:w="4819"/>
      </w:tblGrid>
      <w:tr>
        <w:trPr>
          <w:cantSplit/>
          <w:tblHeader/>
        </w:trPr>
        <w:tc>
          <w:tcPr>
            <w:tcW w:type="dxa" w:w="3515"/>
            <w:shd w:fill="EDEDED"/>
            <w:tcBorders>
              <w:top w:val="single" w:sz="4" w:color="BFBFBF"/>
              <w:left w:val="single" w:sz="4" w:color="BFBFBF"/>
              <w:bottom w:val="single" w:sz="4" w:color="BFBFBF"/>
              <w:right w:val="single" w:sz="4" w:color="BFBFBF"/>
            </w:tcBorders>
          </w:tcPr>
          <w:p>
            <w:pPr>
              <w:spacing w:after="80" w:before="80" w:line="264" w:lineRule="auto"/>
            </w:pPr>
            <w:r>
              <w:rPr>
                <w:b/>
                <w:sz w:val="18"/>
              </w:rPr>
              <w:t>工作項目</w:t>
            </w:r>
          </w:p>
        </w:tc>
        <w:tc>
          <w:tcPr>
            <w:tcW w:type="dxa" w:w="5896"/>
            <w:shd w:fill="EDEDED"/>
            <w:tcBorders>
              <w:top w:val="single" w:sz="4" w:color="BFBFBF"/>
              <w:left w:val="single" w:sz="4" w:color="BFBFBF"/>
              <w:bottom w:val="single" w:sz="4" w:color="BFBFBF"/>
              <w:right w:val="single" w:sz="4" w:color="BFBFBF"/>
            </w:tcBorders>
          </w:tcPr>
          <w:p>
            <w:pPr>
              <w:spacing w:after="80" w:before="80" w:line="264" w:lineRule="auto"/>
            </w:pPr>
            <w:r>
              <w:rPr>
                <w:b/>
                <w:sz w:val="18"/>
              </w:rPr>
              <w:t>2026 年 10 月 30 日狀態</w:t>
            </w:r>
          </w:p>
        </w:tc>
      </w:tr>
      <w:tr>
        <w:trPr>
          <w:cantSplit/>
        </w:trPr>
        <w:tc>
          <w:tcPr>
            <w:tcW w:type="dxa" w:w="3515"/>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九個星團原始場與參數審核</w:t>
            </w:r>
          </w:p>
        </w:tc>
        <w:tc>
          <w:tcPr>
            <w:tcW w:type="dxa" w:w="5896"/>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已建立來源、實際視野與採用參數快照</w:t>
            </w:r>
          </w:p>
        </w:tc>
      </w:tr>
      <w:tr>
        <w:trPr>
          <w:cantSplit/>
        </w:trPr>
        <w:tc>
          <w:tcPr>
            <w:tcW w:type="dxa" w:w="3515"/>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九個星團觀測選星輸出</w:t>
            </w:r>
          </w:p>
        </w:tc>
        <w:tc>
          <w:tcPr>
            <w:tcW w:type="dxa" w:w="5896"/>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已產生，採用明示的原始 v1 視野</w:t>
            </w:r>
          </w:p>
        </w:tc>
      </w:tr>
      <w:tr>
        <w:trPr>
          <w:cantSplit/>
        </w:trPr>
        <w:tc>
          <w:tcPr>
            <w:tcW w:type="dxa" w:w="3515"/>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Pal 5 加密 T–Ṁ 網格</w:t>
            </w:r>
          </w:p>
        </w:tc>
        <w:tc>
          <w:tcPr>
            <w:tcW w:type="dxa" w:w="5896"/>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已啟動；尚無完整網格結果</w:t>
            </w:r>
          </w:p>
        </w:tc>
      </w:tr>
      <w:tr>
        <w:trPr>
          <w:cantSplit/>
        </w:trPr>
        <w:tc>
          <w:tcPr>
            <w:tcW w:type="dxa" w:w="3515"/>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其他八個星團 MLR 擬合</w:t>
            </w:r>
          </w:p>
        </w:tc>
        <w:tc>
          <w:tcPr>
            <w:tcW w:type="dxa" w:w="5896"/>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未啟動；缺各自的人口或觀測校正</w:t>
            </w:r>
          </w:p>
        </w:tc>
      </w:tr>
      <w:tr>
        <w:trPr>
          <w:cantSplit/>
        </w:trPr>
        <w:tc>
          <w:tcPr>
            <w:tcW w:type="dxa" w:w="3515"/>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95% 有限網格校準程式</w:t>
            </w:r>
          </w:p>
        </w:tc>
        <w:tc>
          <w:tcPr>
            <w:tcW w:type="dxa" w:w="5896"/>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已實作並完成既有粗網格流程試跑</w:t>
            </w:r>
          </w:p>
        </w:tc>
      </w:tr>
      <w:tr>
        <w:trPr>
          <w:cantSplit/>
        </w:trPr>
        <w:tc>
          <w:tcPr>
            <w:tcW w:type="dxa" w:w="3515"/>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九個星團正式物理 MLR</w:t>
            </w:r>
          </w:p>
        </w:tc>
        <w:tc>
          <w:tcPr>
            <w:tcW w:type="dxa" w:w="5896"/>
            <w:shd w:fill="FFFFFF"/>
            <w:tcBorders>
              <w:top w:val="single" w:sz="4" w:color="BFBFBF"/>
              <w:left w:val="single" w:sz="4" w:color="BFBFBF"/>
              <w:bottom w:val="single" w:sz="4" w:color="BFBFBF"/>
              <w:right w:val="single" w:sz="4" w:color="BFBFBF"/>
            </w:tcBorders>
          </w:tcPr>
          <w:p>
            <w:pPr>
              <w:spacing w:after="80" w:before="80" w:line="264" w:lineRule="auto"/>
            </w:pPr>
            <w:r>
              <w:rPr>
                <w:b w:val="0"/>
                <w:sz w:val="18"/>
              </w:rPr>
              <w:t>尚未完成驗證，不宣稱已有測量</w:t>
            </w:r>
          </w:p>
        </w:tc>
      </w:tr>
    </w:tbl>
    <w:p>
      <w:r>
        <w:t>表 3　方法功能、資料準備與物理測量的狀態分開記錄。試跑圖可作流程檢查，不能作正式結果表。</w:t>
      </w:r>
    </w:p>
    <w:p>
      <w:pPr>
        <w:pStyle w:val="Heading2"/>
      </w:pPr>
      <w:r>
        <w:t>每個星團應保存的資料產品</w:t>
      </w:r>
    </w:p>
    <w:p>
      <w:r>
        <w:t>保存原始查詢及下載狀態、觀測與校正檔案雜湊、星團參數來源和不確定性、軟體版本與亂數種子、選星與遮罩、粒子釋放時間及質量權重、M(t)、預期訊號與背景、T–Ṁ 網格、heatmap、profile、95% 接受節點、涵蓋率、收斂及系統誤差報告。公開儲存庫排除憑證、原始大型資料、暫存檔與完整模擬輸出，但保留可重現程式與必要的來源說明。</w:t>
      </w:r>
    </w:p>
    <w:p>
      <w:r>
        <w:t>程式使用 prescribed_mass_history_v1 標記耦合質量歷史，並另存 mass_basis、振幅政策、校正來源及窗口語意。舊固定動力學自由振幅結果使用不同模型名稱；不得重新換標籤後混入本分析。科展報告的結果章應只引用已完成計算與驗證的輸出，並以本節狀態表為更新依據。</w:t>
      </w:r>
    </w:p>
    <w:p>
      <w:r>
        <w:br w:type="page"/>
      </w:r>
    </w:p>
    <w:p>
      <w:pPr>
        <w:pStyle w:val="Heading1"/>
      </w:pPr>
      <w:r>
        <w:t>十一 參考文獻與資料來源</w:t>
      </w:r>
    </w:p>
    <w:p>
      <w:pPr>
        <w:keepNext/>
        <w:spacing w:line="252" w:lineRule="auto"/>
      </w:pPr>
      <w:r>
        <w:rPr>
          <w:b/>
          <w:sz w:val="19"/>
        </w:rPr>
        <w:t>1　Baumgardt 星團參數目錄</w:t>
      </w:r>
    </w:p>
    <w:p>
      <w:pPr>
        <w:keepNext/>
        <w:spacing w:after="40" w:line="252" w:lineRule="auto"/>
      </w:pPr>
      <w:r>
        <w:rPr>
          <w:sz w:val="19"/>
        </w:rPr>
        <w:t>六維相空間來源為 orbits_table.txt；質量與三維半質量半徑來源為 combined_table.txt。本研究實際採用既有目錄快照，並保留雜湊。</w:t>
      </w:r>
    </w:p>
    <w:p>
      <w:pPr>
        <w:spacing w:after="80" w:line="252" w:lineRule="auto"/>
      </w:pPr>
      <w:r>
        <w:rPr>
          <w:sz w:val="16"/>
        </w:rPr>
        <w:t>https://people.smp.uq.edu.au/HolgerBaumgardt/globular/orbits_table.txt</w:t>
        <w:br/>
        <w:t>https://people.smp.uq.edu.au/HolgerBaumgardt/globular/combined_table.txt</w:t>
      </w:r>
    </w:p>
    <w:p>
      <w:pPr>
        <w:keepNext/>
        <w:spacing w:line="252" w:lineRule="auto"/>
      </w:pPr>
      <w:r>
        <w:rPr>
          <w:b/>
          <w:sz w:val="19"/>
        </w:rPr>
        <w:t>2　Gaia DR3 官方文件</w:t>
      </w:r>
    </w:p>
    <w:p>
      <w:pPr>
        <w:keepNext/>
        <w:spacing w:after="40" w:line="252" w:lineRule="auto"/>
      </w:pPr>
      <w:r>
        <w:rPr>
          <w:sz w:val="19"/>
        </w:rPr>
        <w:t>資料欄位、誤差、資料釋出及使用限制。</w:t>
      </w:r>
    </w:p>
    <w:p>
      <w:pPr>
        <w:spacing w:after="80" w:line="252" w:lineRule="auto"/>
      </w:pPr>
      <w:r>
        <w:rPr>
          <w:sz w:val="16"/>
        </w:rPr>
        <w:t>https://www.cosmos.esa.int/web/gaia/dr3</w:t>
      </w:r>
    </w:p>
    <w:p>
      <w:pPr>
        <w:keepNext/>
        <w:spacing w:line="252" w:lineRule="auto"/>
      </w:pPr>
      <w:r>
        <w:rPr>
          <w:b/>
          <w:sz w:val="19"/>
        </w:rPr>
        <w:t>3　Bovy 2015</w:t>
      </w:r>
    </w:p>
    <w:p>
      <w:pPr>
        <w:keepNext/>
        <w:spacing w:after="40" w:line="252" w:lineRule="auto"/>
      </w:pPr>
      <w:r>
        <w:rPr>
          <w:sz w:val="19"/>
        </w:rPr>
        <w:t>galpy: A python Library for Galactic Dynamics。銀河勢與軌道積分框架。</w:t>
      </w:r>
    </w:p>
    <w:p>
      <w:pPr>
        <w:spacing w:after="80" w:line="252" w:lineRule="auto"/>
      </w:pPr>
      <w:r>
        <w:rPr>
          <w:sz w:val="16"/>
        </w:rPr>
        <w:t>https://docs.galpy.org/en/latest/reference/potential.html</w:t>
      </w:r>
    </w:p>
    <w:p>
      <w:pPr>
        <w:keepLines/>
        <w:spacing w:line="269" w:lineRule="auto" w:after="220"/>
        <w:ind w:left="312" w:hanging="312"/>
      </w:pPr>
      <w:r>
        <w:rPr>
          <w:sz w:val="20"/>
        </w:rPr>
        <w:t>4. Chen, Y., Valluri, M., Gnedin, O. Y., &amp; Ash, N. (2025). Improved particle spray algorithm for modeling globular cluster streams. ApJS, 276, 32.</w:t>
      </w:r>
    </w:p>
    <w:p>
      <w:pPr>
        <w:keepLines/>
        <w:spacing w:line="269" w:lineRule="auto" w:after="220"/>
        <w:ind w:left="312" w:hanging="312"/>
      </w:pPr>
      <w:r>
        <w:rPr>
          <w:sz w:val="20"/>
        </w:rPr>
        <w:t>5. Küpper, A. H. W., Kroupa, P., Baumgardt, H., &amp; Heggie, D. C. (2010). Tidal tails of star clusters. MNRAS, 401, 105.</w:t>
      </w:r>
    </w:p>
    <w:p>
      <w:pPr>
        <w:keepLines/>
        <w:spacing w:line="269" w:lineRule="auto" w:after="220"/>
        <w:ind w:left="312" w:hanging="312"/>
      </w:pPr>
      <w:r>
        <w:rPr>
          <w:sz w:val="20"/>
        </w:rPr>
        <w:t>6. Küpper, A. H. W., et al. (2015). Globular cluster streams as Galactic high-precision scales—The poster child Palomar 5. ApJ, 803, 80.</w:t>
      </w:r>
    </w:p>
    <w:p>
      <w:pPr>
        <w:keepLines/>
        <w:spacing w:line="269" w:lineRule="auto" w:after="220"/>
        <w:ind w:left="312" w:hanging="312"/>
      </w:pPr>
      <w:r>
        <w:rPr>
          <w:sz w:val="20"/>
        </w:rPr>
        <w:t>7. PARSEC/CMD Team. (n.d.). CMD 3.8: Stellar isochrones and synthetic photometry [Web service]. https://stev.oapd.inaf.it/cgi-bin/cmd_3.8 (Accessed October 30, 2026).</w:t>
      </w:r>
    </w:p>
    <w:p>
      <w:pPr>
        <w:keepLines/>
        <w:spacing w:line="269" w:lineRule="auto" w:after="220"/>
        <w:ind w:left="312" w:hanging="312"/>
      </w:pPr>
      <w:r>
        <w:rPr>
          <w:sz w:val="20"/>
        </w:rPr>
        <w:t>8. GaiaUnlimited Collaboration. (n.d.). GaiaUnlimited documentation [Software documentation]. https://gaiaunlimited.readthedocs.io/ (Accessed October 30, 2026).</w:t>
      </w:r>
    </w:p>
    <w:p>
      <w:pPr>
        <w:keepLines/>
        <w:spacing w:line="269" w:lineRule="auto" w:after="220"/>
        <w:ind w:left="312" w:hanging="312"/>
      </w:pPr>
      <w:r>
        <w:rPr>
          <w:sz w:val="20"/>
        </w:rPr>
        <w:t>9. Cowan, G. (2023). Statistics. In Particle Data Group, Review of Particle Physics (2023 update). https://pdg.lbl.gov/2023/reviews/rpp2022-rev-statistics.pdf</w:t>
      </w:r>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研究方法版本 4　｜　2026 年 10 月 30 日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球狀星團潮汐尾與質量流失率研究方法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1" w:lineRule="auto"/>
    </w:pPr>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ascii="Microsoft JhengHei" w:hAnsi="Microsoft JhengHe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120"/>
      <w:outlineLvl w:val="1"/>
    </w:pPr>
    <w:rPr>
      <w:rFonts w:asciiTheme="majorHAnsi" w:eastAsiaTheme="majorEastAsia" w:hAnsiTheme="majorHAnsi" w:cstheme="majorBidi" w:ascii="Microsoft JhengHei" w:hAnsi="Microsoft JhengHei" w:eastAsia="Microsoft Jheng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Microsoft JhengHei" w:hAnsi="Microsoft JhengHei" w:eastAsia="Microsoft JhengHe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球狀星團潮汐尾與質量流失率研究方法</dc:title>
  <dc:subject>國際科展研究方法與驗證規範</dc:subject>
  <dc:creator/>
  <cp:keywords>Gaia DR3, globular cluster, particle spray, mass loss rate</cp:keywords>
  <dc:description>generated by python-docx</dc:description>
  <cp:lastModifiedBy/>
  <cp:revision>1</cp:revision>
  <dcterms:created xsi:type="dcterms:W3CDTF">2013-12-23T23:15:00Z</dcterms:created>
  <dcterms:modified xsi:type="dcterms:W3CDTF">2013-12-23T23:15:00Z</dcterms:modified>
  <cp:category/>
</cp:coreProperties>
</file>