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球狀星團潮汐尾與</w:t>
        <w:br/>
        <w:t>質量流失率研究方法</w:t>
      </w:r>
    </w:p>
    <w:p>
      <w:pPr>
        <w:pStyle w:val="Subtitle"/>
      </w:pPr>
      <w:r>
        <w:t>Gaia 觀測與實測質量函數的貝葉斯推論</w:t>
      </w:r>
    </w:p>
    <w:p>
      <w:pPr>
        <w:widowControl/>
      </w:pPr>
      <w:r>
        <w:t>國際科展研究方法報告　繁體中文版　方法版本 5</w:t>
      </w:r>
    </w:p>
    <w:p>
      <w:pPr>
        <w:widowControl/>
      </w:pPr>
      <w:r>
        <w:t>版本日期：2026 年 10 月 31 日。本文是可重現的研究方法與驗證規範；已完成的程式功能、條件式分析及尚待完成的物理驗證分開記錄。</w:t>
      </w:r>
    </w:p>
    <w:p>
      <w:pPr>
        <w:pStyle w:val="Heading1"/>
      </w:pPr>
      <w:r>
        <w:t>一 研究目的與樣本</w:t>
      </w:r>
    </w:p>
    <w:p>
      <w:pPr>
        <w:widowControl/>
      </w:pPr>
      <w:r>
        <w:t>本研究利用 Gaia 恆星資料與粒子噴灑模擬，探討銀河系球狀星團外圍恆星結構與恆星逃逸率的關係。我們將模型經過與觀測一致的選擇程序，和研究區域內的星數分布比較，推論模型所代表存活恆星的平均逃逸質量率，並檢查回溯時間與人口模型造成的退化。</w:t>
      </w:r>
    </w:p>
    <w:p>
      <w:pPr>
        <w:widowControl/>
      </w:pPr>
      <w:r>
        <w:t>主要結果應是條件式後驗分布及其不確定性，而非只引用最小 q 的網格點。最吻合的模型不自動具有最高準確度；尾巴不可見也不直接表示沒有失星。跨星團比較須同時考慮距離、消光、前背景、投影方向與觀測完整率。</w:t>
      </w:r>
    </w:p>
    <w:p>
      <w:pPr>
        <w:pStyle w:val="Heading2"/>
      </w:pPr>
      <w:r>
        <w:t>研究問題</w:t>
      </w:r>
    </w:p>
    <w:p>
      <w:pPr>
        <w:widowControl/>
      </w:pPr>
      <w:r>
        <w:t>我們檢查觀測是否支持與星團動力學相容的外圍訊號、MLR 與回溯時間能否被分別限制，以及人口、背景與觀測校正是否主導推論。本文的統計主方法為貝葉斯邊際化；頻率派的 profile likelihood 與回收校準保留為獨立診斷。</w:t>
      </w:r>
    </w:p>
    <w:p>
      <w:pPr>
        <w:pStyle w:val="Heading2"/>
      </w:pPr>
      <w:r>
        <w:t>事先指定的比較樣本</w:t>
      </w:r>
    </w:p>
    <w:p>
      <w:pPr>
        <w:widowControl/>
      </w:pPr>
      <w:r>
        <w:t>樣本共 29 個：ESO 452-SC11、NGC 288、NGC 362、NGC 1851、NGC 2298、NGC 3201、NGC 5466、M80、M4、NGC 6139、M92、NGC 6366、NGC 6397、M30、Pal 5、M5、NGC 6144、M107、NGC 6535、ω Cen、NGC 5286、M62、M19、NGC 6304、NGC 6355、NGC 6541、M22、M15 與 M2。這是指定樣本，不能當作隨機普查。</w:t>
      </w:r>
    </w:p>
    <w:p>
      <w:pPr>
        <w:widowControl/>
      </w:pPr>
      <w:r>
        <w:t>新版實測人口流程先以已有完整動力學及自身校正的 Pal 5、NGC 288 執行。其餘星團依資料審核與人口適用性逐一處理，不能借用 Pal 5 的品質、誤差或人口分布替代。</w:t>
      </w:r>
    </w:p>
    <w:p>
      <w:r>
        <w:br w:type="page"/>
      </w:r>
    </w:p>
    <w:p>
      <w:pPr>
        <w:pStyle w:val="Heading1"/>
      </w:pPr>
      <w:r>
        <w:t>二 參數與質量定義</w:t>
      </w:r>
    </w:p>
    <w:p>
      <w:pPr>
        <w:widowControl/>
      </w:pPr>
      <w:r>
        <w:t>令 t=0 為採用相空間目錄的現在參考時刻，過去為 t&lt;0，回溯範圍為 −T≤t≤0。T 表示模型涵蓋的逃逸歷史，不自動等於星團形成至今的年齡。資料審核須核對位置、自行與參考歷元；不能把電腦執行日期當成新的觀測歷元。</w:t>
      </w:r>
    </w:p>
    <w:p>
      <w:pPr>
        <w:keepLines/>
        <w:spacing w:before="60" w:after="180"/>
        <w:jc w:val="center"/>
      </w:pPr>
      <m:oMathPara>
        <m:oMath>
          <m:r>
            <w:rPr>
              <w:rFonts w:ascii="Cambria Math" w:hAnsi="Cambria Math"/>
              <w:sz w:val="22"/>
            </w:rPr>
            <m:t xml:space="preserve">R = </m:t>
          </m:r>
          <m:f>
            <m:num>
              <m:r>
                <w:rPr>
                  <w:rFonts w:ascii="Cambria Math" w:hAnsi="Cambria Math"/>
                  <w:sz w:val="22"/>
                </w:rPr>
                <m:t xml:space="preserve">1</m:t>
              </m:r>
            </m:num>
            <m:den>
              <m:r>
                <w:rPr>
                  <w:rFonts w:ascii="Cambria Math" w:hAnsi="Cambria Math"/>
                  <w:sz w:val="22"/>
                </w:rPr>
                <m:t xml:space="preserve">T</m:t>
              </m:r>
            </m:den>
          </m:f>
          <m:nary>
            <m:naryPr>
              <m:chr m:val="∫"/>
              <m:limLoc m:val="subSup"/>
            </m:naryPr>
            <m:sub>
              <m:r>
                <w:rPr>
                  <w:rFonts w:ascii="Cambria Math" w:hAnsi="Cambria Math"/>
                  <w:sz w:val="22"/>
                </w:rPr>
                <m:t xml:space="preserve">−T</m:t>
              </m:r>
            </m:sub>
            <m:sup>
              <m:r>
                <w:rPr>
                  <w:rFonts w:ascii="Cambria Math" w:hAnsi="Cambria Math"/>
                  <w:sz w:val="22"/>
                </w:rPr>
                <m:t xml:space="preserve">0</m:t>
              </m:r>
            </m:sup>
            <m:e>
              <m:sSub>
                <m:e>
                  <m:r>
                    <w:rPr>
                      <w:rFonts w:ascii="Cambria Math" w:hAnsi="Cambria Math"/>
                      <w:sz w:val="22"/>
                    </w:rPr>
                    <m:t xml:space="preserve">Ṁ</m:t>
                  </m:r>
                </m:e>
                <m:sub>
                  <m:r>
                    <w:rPr>
                      <w:rFonts w:ascii="Cambria Math" w:hAnsi="Cambria Math"/>
                      <w:sz w:val="22"/>
                    </w:rPr>
                    <m:t xml:space="preserve">esc</m:t>
                  </m:r>
                </m:sub>
              </m:sSub>
              <m:r>
                <w:rPr>
                  <w:rFonts w:ascii="Cambria Math" w:hAnsi="Cambria Math"/>
                  <w:sz w:val="22"/>
                </w:rPr>
                <m:t xml:space="preserve">(t) dt</m:t>
              </m:r>
            </m:e>
          </m:nary>
          <m:r>
            <w:rPr>
              <w:rFonts w:ascii="Cambria Math" w:hAnsi="Cambria Math"/>
              <w:sz w:val="22"/>
            </w:rPr>
            <m:t xml:space="preserve">,   </m:t>
          </m:r>
          <m:sSub>
            <m:e>
              <m:r>
                <w:rPr>
                  <w:rFonts w:ascii="Cambria Math" w:hAnsi="Cambria Math"/>
                  <w:sz w:val="22"/>
                </w:rPr>
                <m:t xml:space="preserve">Ṁ</m:t>
              </m:r>
            </m:e>
            <m:sub>
              <m:r>
                <w:rPr>
                  <w:rFonts w:ascii="Cambria Math" w:hAnsi="Cambria Math"/>
                  <w:sz w:val="22"/>
                </w:rPr>
                <m:t xml:space="preserve">esc</m:t>
              </m:r>
            </m:sub>
          </m:sSub>
          <m:r>
            <w:rPr>
              <w:rFonts w:ascii="Cambria Math" w:hAnsi="Cambria Math"/>
              <w:sz w:val="22"/>
            </w:rPr>
            <m:t xml:space="preserve">(t) ≥ 0</m:t>
          </m:r>
          <m:r>
            <w:rPr>
              <w:rFonts w:ascii="Cambria Math" w:hAnsi="Cambria Math"/>
              <w:sz w:val="22"/>
            </w:rPr>
            <m:t xml:space="preserve">     (1)</m:t>
          </m:r>
        </m:oMath>
      </m:oMathPara>
    </w:p>
    <w:p>
      <w:pPr>
        <w:widowControl/>
      </w:pPr>
      <w:r>
        <w:t>R 的單位為 M☉/Myr，即太陽質量每百萬年。基準模型採恆定率，因此 R 同時是瞬時與該窗口的平均逃逸率；氣體形式的恆星演化損失不包含在此定義內。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91"/>
        <w:gridCol w:w="5669"/>
        <w:gridCol w:w="2778"/>
      </w:tblGrid>
      <w:tr>
        <w:trPr>
          <w:cantSplit/>
          <w:tblHeader/>
        </w:trPr>
        <w:tc>
          <w:tcPr>
            <w:tcW w:type="dxa" w:w="1191"/>
            <w:vAlign w:val="center"/>
            <w:shd w:fill="E7EE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/>
                <w:sz w:val="20"/>
              </w:rPr>
              <w:t>符號</w:t>
            </w:r>
          </w:p>
        </w:tc>
        <w:tc>
          <w:tcPr>
            <w:tcW w:type="dxa" w:w="5669"/>
            <w:vAlign w:val="center"/>
            <w:shd w:fill="E7EE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/>
                <w:sz w:val="20"/>
              </w:rPr>
              <w:t>定義</w:t>
            </w:r>
          </w:p>
        </w:tc>
        <w:tc>
          <w:tcPr>
            <w:tcW w:type="dxa" w:w="2778"/>
            <w:vAlign w:val="center"/>
            <w:shd w:fill="E7EE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/>
                <w:sz w:val="20"/>
              </w:rPr>
              <w:t>單位或範圍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566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模型所代表的平均恆星逃逸率</w:t>
            </w:r>
          </w:p>
        </w:tc>
        <w:tc>
          <w:tcPr>
            <w:tcW w:type="dxa" w:w="277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M☉/Myr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T</w:t>
            </w:r>
          </w:p>
        </w:tc>
        <w:tc>
          <w:tcPr>
            <w:tcW w:type="dxa" w:w="5669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回溯窗口長度</w:t>
            </w:r>
          </w:p>
        </w:tc>
        <w:tc>
          <w:tcPr>
            <w:tcW w:type="dxa" w:w="2778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Myr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m:oMath>
              <m:sSub>
                <m:e>
                  <m:r>
                    <w:rPr>
                      <w:rFonts w:ascii="Cambria Math" w:hAnsi="Cambria Math"/>
                      <w:sz w:val="22"/>
                    </w:rPr>
                    <m:t xml:space="preserve">M</m:t>
                  </m:r>
                </m:e>
                <m:sub>
                  <m:r>
                    <w:rPr>
                      <w:rFonts w:ascii="Cambria Math" w:hAnsi="Cambria Math"/>
                      <w:sz w:val="22"/>
                    </w:rPr>
                    <m:t xml:space="preserve">dyn</m:t>
                  </m:r>
                </m:sub>
              </m:sSub>
            </m:oMath>
          </w:p>
        </w:tc>
        <w:tc>
          <w:tcPr>
            <w:tcW w:type="dxa" w:w="566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星團總動力學質量</w:t>
            </w:r>
          </w:p>
        </w:tc>
        <w:tc>
          <w:tcPr>
            <w:tcW w:type="dxa" w:w="277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M☉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a</w:t>
            </w:r>
          </w:p>
        </w:tc>
        <w:tc>
          <w:tcPr>
            <w:tcW w:type="dxa" w:w="5669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Plummer 尺度半徑</w:t>
            </w:r>
          </w:p>
        </w:tc>
        <w:tc>
          <w:tcPr>
            <w:tcW w:type="dxa" w:w="2778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pc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β</w:t>
            </w:r>
          </w:p>
        </w:tc>
        <w:tc>
          <w:tcPr>
            <w:tcW w:type="dxa" w:w="566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背景星數正規化</w:t>
            </w:r>
          </w:p>
        </w:tc>
        <w:tc>
          <w:tcPr>
            <w:tcW w:type="dxa" w:w="277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無因次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m:oMath>
              <m:sSub>
                <m:e>
                  <m:r>
                    <w:rPr>
                      <w:rFonts w:ascii="Cambria Math" w:hAnsi="Cambria Math"/>
                      <w:sz w:val="22"/>
                    </w:rPr>
                    <m:t xml:space="preserve">α</m:t>
                  </m:r>
                </m:e>
                <m:sub>
                  <m:r>
                    <w:rPr>
                      <w:rFonts w:ascii="Cambria Math" w:hAnsi="Cambria Math"/>
                      <w:sz w:val="22"/>
                    </w:rPr>
                    <m:t xml:space="preserve">GC</m:t>
                  </m:r>
                </m:sub>
              </m:sSub>
            </m:oMath>
          </w:p>
        </w:tc>
        <w:tc>
          <w:tcPr>
            <w:tcW w:type="dxa" w:w="5669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祖星團全域現今質量函數斜率</w:t>
            </w:r>
          </w:p>
        </w:tc>
        <w:tc>
          <w:tcPr>
            <w:tcW w:type="dxa" w:w="2778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冪次斜率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δ</w:t>
            </w:r>
          </w:p>
        </w:tc>
        <w:tc>
          <w:tcPr>
            <w:tcW w:type="dxa" w:w="566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逃逸族群相對全域斜率的偏移</w:t>
            </w:r>
          </w:p>
        </w:tc>
        <w:tc>
          <w:tcPr>
            <w:tcW w:type="dxa" w:w="277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獨立情境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f</w:t>
            </w:r>
          </w:p>
        </w:tc>
        <w:tc>
          <w:tcPr>
            <w:tcW w:type="dxa" w:w="5669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動力學與所代表人口的逃逸質量換算</w:t>
            </w:r>
          </w:p>
        </w:tc>
        <w:tc>
          <w:tcPr>
            <w:tcW w:type="dxa" w:w="2778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基準假設為 1</w:t>
            </w:r>
          </w:p>
        </w:tc>
      </w:tr>
    </w:tbl>
    <w:p>
      <w:pPr>
        <w:spacing w:after="20"/>
      </w:pPr>
    </w:p>
    <w:p>
      <w:pPr>
        <w:widowControl/>
      </w:pPr>
      <w:r>
        <w:t>總動力學質量、等時線所代表的存活恆星質量與選中的明亮星質量必須區分。每組人口記錄 mass_basis、質量下限、初始或現今質量，以及是否納入殘骸。低質量星與殘骸不能同時在人口權重及 f 中重複補正。</w:t>
      </w:r>
    </w:p>
    <w:p>
      <w:pPr>
        <w:keepLines/>
        <w:spacing w:before="60" w:after="180"/>
        <w:jc w:val="center"/>
      </w:pPr>
      <m:oMathPara>
        <m:oMath>
          <m:sSub>
            <m:e>
              <m:r>
                <w:rPr>
                  <w:rFonts w:ascii="Cambria Math" w:hAnsi="Cambria Math"/>
                  <w:sz w:val="22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2"/>
                </w:rPr>
                <m:t xml:space="preserve">dyn</m:t>
              </m:r>
            </m:sub>
          </m:sSub>
          <m:r>
            <w:rPr>
              <w:rFonts w:ascii="Cambria Math" w:hAnsi="Cambria Math"/>
              <w:sz w:val="22"/>
            </w:rPr>
            <m:t xml:space="preserve">(t) = </m:t>
          </m:r>
          <m:sSub>
            <m:e>
              <m:r>
                <w:rPr>
                  <w:rFonts w:ascii="Cambria Math" w:hAnsi="Cambria Math"/>
                  <w:sz w:val="22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2"/>
                </w:rPr>
                <m:t xml:space="preserve">dyn,0</m:t>
              </m:r>
            </m:sub>
          </m:sSub>
          <m:r>
            <w:rPr>
              <w:rFonts w:ascii="Cambria Math" w:hAnsi="Cambria Math"/>
              <w:sz w:val="22"/>
            </w:rPr>
            <m:t xml:space="preserve"> + f R |t|</m:t>
          </m:r>
          <m:r>
            <w:rPr>
              <w:rFonts w:ascii="Cambria Math" w:hAnsi="Cambria Math"/>
              <w:sz w:val="22"/>
            </w:rPr>
            <m:t xml:space="preserve">     (2)</m:t>
          </m:r>
        </m:oMath>
      </m:oMathPara>
    </w:p>
    <w:p>
      <w:pPr>
        <w:widowControl/>
      </w:pPr>
      <w:r>
        <w:t>此質量歷史限於恆定逃逸率及明示的質量範圍。f=1、固定尺度及沒有額外風／殘骸演化均屬條件假設，不是已測得的物理關係。</w:t>
      </w:r>
    </w:p>
    <w:p>
      <w:r>
        <w:br w:type="page"/>
      </w:r>
    </w:p>
    <w:p>
      <w:pPr>
        <w:pStyle w:val="Heading1"/>
      </w:pPr>
      <w:r>
        <w:t>三 觀測資料與選星程序</w:t>
      </w:r>
    </w:p>
    <w:p>
      <w:pPr>
        <w:pStyle w:val="Heading2"/>
      </w:pPr>
      <w:r>
        <w:t>採用參數與原始資料</w:t>
      </w:r>
    </w:p>
    <w:p>
      <w:pPr>
        <w:widowControl/>
      </w:pPr>
      <w:r>
        <w:t>星團中心、距離、自行、視向速度、現今質量及三維半質量半徑，取自專案保存的 Baumgardt 相關目錄快照。年齡、金屬量與消光逐顆記錄文獻來源，不把投影半光半徑直接代入三維半質量半徑。採用值與不確定性缺漏均須明列，並保存來源檔案雜湊 [1,12]。</w:t>
      </w:r>
    </w:p>
    <w:p>
      <w:pPr>
        <w:widowControl/>
      </w:pPr>
      <w:r>
        <w:t>觀測樣本來自已凍結的 Gaia 場及其查詢中繼資料，不預設來自某個名為 data 的資料夾。每顆星團保存實際查詢半徑、星等與自行下載範圍、查詢狀態、缺失天空區塊、欄位定義與選星程式版本。原始場若只有 5°，不得因採用目錄列出 10° 就宣稱已分析 10°。</w:t>
      </w:r>
    </w:p>
    <w:p>
      <w:pPr>
        <w:pStyle w:val="Heading2"/>
      </w:pPr>
      <w:r>
        <w:t>一致的觀測選擇</w:t>
      </w:r>
    </w:p>
    <w:p>
      <w:pPr>
        <w:widowControl/>
      </w:pPr>
      <w:r>
        <w:t>品質、視差、自行與顏色星等圖選擇，沿用凍結的選星程式。記錄每一步保留的星數、鄰近星團遮罩、被排除的核心區域及研究範圍。模擬星經加入觀測誤差後，套用同一套科學選擇；不因某個模型比較吻合就改變切選。</w:t>
      </w:r>
    </w:p>
    <w:p>
      <w:pPr>
        <w:widowControl/>
      </w:pPr>
      <w:r>
        <w:t>品質與誤差校正另用各星團的未經成員／品質切選的 Gaia 母樣本。該母樣本可包含已記錄的天空、星等與獨立 random_index 抽樣，不能先用自行、視差或 RUWE 切選後，再估計這些條件的通過率。資料抽樣比例不是整個 Gaia 目錄的完整率。</w:t>
      </w:r>
    </w:p>
    <w:p>
      <w:pPr>
        <w:pStyle w:val="Heading2"/>
      </w:pPr>
      <w:r>
        <w:t>背景與研究像素</w:t>
      </w:r>
    </w:p>
    <w:p>
      <w:pPr>
        <w:widowControl/>
      </w:pPr>
      <w:r>
        <w:t>將候選星投影到星團中心的切平面，統計固定網格中的整數星數。以同一遮罩對觀測、背景與訊號作互斥像素加總；目前生產流程把原始像素按 4×4 區塊彙整。邊界與被遮罩的區域須按實際包含的像素處理，不能用插值星數代替整數計數。</w:t>
      </w:r>
    </w:p>
    <w:p>
      <w:pPr>
        <w:widowControl/>
      </w:pPr>
      <w:r>
        <w:t>目前背景形狀採凍結的場星估計，再允許正規化 β 變動。背景形狀、消光及掃描造成的空間結構尚須控制區與替代背景驗證；只積分 β 並不能涵蓋所有背景系統誤差。</w:t>
      </w:r>
    </w:p>
    <w:p>
      <w:r>
        <w:br w:type="page"/>
      </w:r>
    </w:p>
    <w:p>
      <w:pPr>
        <w:pStyle w:val="Heading1"/>
      </w:pPr>
      <w:r>
        <w:t>四 動力學模型與逃逸粒子</w:t>
      </w:r>
    </w:p>
    <w:p>
      <w:pPr>
        <w:pStyle w:val="Heading2"/>
      </w:pPr>
      <w:r>
        <w:t>銀河勢與星團軌道</w:t>
      </w:r>
    </w:p>
    <w:p>
      <w:pPr>
        <w:widowControl/>
      </w:pPr>
      <w:r>
        <w:t>基準銀河模型使用 galpy 的 MWPotential2014，從星團現在的六維相空間座標回溯軌道，再將釋放粒子積分到參考現在。保存太陽位置與速度、座標與單位轉換、積分器及容許誤差。固定銀河勢不是完整重建星團的形成或吸積環境 [2]。</w:t>
      </w:r>
    </w:p>
    <w:p>
      <w:pPr>
        <w:pStyle w:val="Heading2"/>
      </w:pPr>
      <w:r>
        <w:t>星團引力勢</w:t>
      </w:r>
    </w:p>
    <w:p>
      <w:pPr>
        <w:keepLines/>
        <w:spacing w:before="60" w:after="180"/>
        <w:jc w:val="center"/>
      </w:pPr>
      <m:oMathPara>
        <m:oMath>
          <m:sSub>
            <m:e>
              <m:r>
                <w:rPr>
                  <w:rFonts w:ascii="Cambria Math" w:hAnsi="Cambria Math"/>
                  <w:sz w:val="22"/>
                </w:rPr>
                <m:t xml:space="preserve">Φ</m:t>
              </m:r>
            </m:e>
            <m:sub>
              <m:r>
                <w:rPr>
                  <w:rFonts w:ascii="Cambria Math" w:hAnsi="Cambria Math"/>
                  <w:sz w:val="22"/>
                </w:rPr>
                <m:t xml:space="preserve">GC</m:t>
              </m:r>
            </m:sub>
          </m:sSub>
          <m:r>
            <w:rPr>
              <w:rFonts w:ascii="Cambria Math" w:hAnsi="Cambria Math"/>
              <w:sz w:val="22"/>
            </w:rPr>
            <m:t xml:space="preserve">(r,t) = −</m:t>
          </m:r>
          <m:f>
            <m:num>
              <m:r>
                <w:rPr>
                  <w:rFonts w:ascii="Cambria Math" w:hAnsi="Cambria Math"/>
                  <w:sz w:val="22"/>
                </w:rPr>
                <m:t xml:space="preserve">G </m:t>
              </m:r>
              <m:sSub>
                <m:e>
                  <m:r>
                    <w:rPr>
                      <w:rFonts w:ascii="Cambria Math" w:hAnsi="Cambria Math"/>
                      <w:sz w:val="22"/>
                    </w:rPr>
                    <m:t xml:space="preserve">M</m:t>
                  </m:r>
                </m:e>
                <m:sub>
                  <m:r>
                    <w:rPr>
                      <w:rFonts w:ascii="Cambria Math" w:hAnsi="Cambria Math"/>
                      <w:sz w:val="22"/>
                    </w:rPr>
                    <m:t xml:space="preserve">dyn</m:t>
                  </m:r>
                </m:sub>
              </m:sSub>
              <m:r>
                <w:rPr>
                  <w:rFonts w:ascii="Cambria Math" w:hAnsi="Cambria Math"/>
                  <w:sz w:val="22"/>
                </w:rPr>
                <m:t xml:space="preserve">(t)</m:t>
              </m:r>
            </m:num>
            <m:den>
              <m:rad>
                <m:radPr>
                  <m:degHide m:val="1"/>
                </m:radPr>
                <m:deg/>
                <m:e>
                  <m:sSup>
                    <m:e>
                      <m:r>
                        <w:rPr>
                          <w:rFonts w:ascii="Cambria Math" w:hAnsi="Cambria Math"/>
                          <w:sz w:val="22"/>
                        </w:rPr>
                        <m:t xml:space="preserve">r</m:t>
                      </m:r>
                    </m:e>
                    <m:sup>
                      <m:r>
                        <w:rPr>
                          <w:rFonts w:ascii="Cambria Math" w:hAnsi="Cambria Math"/>
                          <w:sz w:val="22"/>
                        </w:rPr>
                        <m:t xml:space="preserve">2</m:t>
                      </m:r>
                    </m:sup>
                  </m:sSup>
                  <m:r>
                    <w:rPr>
                      <w:rFonts w:ascii="Cambria Math" w:hAnsi="Cambria Math"/>
                      <w:sz w:val="22"/>
                    </w:rPr>
                    <m:t xml:space="preserve"> + </m:t>
                  </m:r>
                  <m:sSup>
                    <m:e>
                      <m:r>
                        <w:rPr>
                          <w:rFonts w:ascii="Cambria Math" w:hAnsi="Cambria Math"/>
                          <w:sz w:val="22"/>
                        </w:rPr>
                        <m:t xml:space="preserve">a</m:t>
                      </m:r>
                    </m:e>
                    <m:sup>
                      <m:r>
                        <w:rPr>
                          <w:rFonts w:ascii="Cambria Math" w:hAnsi="Cambria Math"/>
                          <w:sz w:val="22"/>
                        </w:rPr>
                        <m:t xml:space="preserve"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2"/>
            </w:rPr>
            <m:t xml:space="preserve">     (3)</m:t>
          </m:r>
        </m:oMath>
      </m:oMathPara>
    </w:p>
    <w:p>
      <w:pPr>
        <w:widowControl/>
      </w:pPr>
      <w:r>
        <w:t xml:space="preserve">星團採 Plummer 勢，尺度 a 由三維半質量半徑 </w:t>
      </w:r>
      <m:oMath>
        <m:sSub>
          <m:e>
            <m:r>
              <w:rPr>
                <w:rFonts w:ascii="Cambria Math" w:hAnsi="Cambria Math"/>
                <w:sz w:val="22"/>
              </w:rPr>
              <m:t xml:space="preserve">r</m:t>
            </m:r>
          </m:e>
          <m:sub>
            <m:r>
              <w:rPr>
                <w:rFonts w:ascii="Cambria Math" w:hAnsi="Cambria Math"/>
                <w:sz w:val="22"/>
              </w:rPr>
              <m:t xml:space="preserve">hm</m:t>
            </m:r>
          </m:sub>
        </m:sSub>
      </m:oMath>
      <w:r>
        <w:t>≈1.305a 換算。此關係只適用於 Plummer 模型。基準 a 固定，並以式（2）更新質量；R 不同會改變釋放條件及後續軌跡，因此不能把所有 R 都當成同一動力學圖的自由振幅。</w:t>
      </w:r>
    </w:p>
    <w:p>
      <w:pPr>
        <w:widowControl/>
      </w:pPr>
      <w:r>
        <w:t xml:space="preserve">事先檢查 </w:t>
      </w:r>
      <m:oMath>
        <m:sSub>
          <m:e>
            <m:r>
              <w:rPr>
                <w:rFonts w:ascii="Cambria Math" w:hAnsi="Cambria Math"/>
                <w:sz w:val="22"/>
              </w:rPr>
              <m:t xml:space="preserve">M</m:t>
            </m:r>
          </m:e>
          <m:sub>
            <m:r>
              <w:rPr>
                <w:rFonts w:ascii="Cambria Math" w:hAnsi="Cambria Math"/>
                <w:sz w:val="22"/>
              </w:rPr>
              <m:t xml:space="preserve">dyn</m:t>
            </m:r>
          </m:sub>
        </m:sSub>
      </m:oMath>
      <w:r>
        <w:t>(−T)/</w:t>
      </w:r>
      <m:oMath>
        <m:sSub>
          <m:e>
            <m:r>
              <w:rPr>
                <w:rFonts w:ascii="Cambria Math" w:hAnsi="Cambria Math"/>
                <w:sz w:val="22"/>
              </w:rPr>
              <m:t xml:space="preserve">M</m:t>
            </m:r>
          </m:e>
          <m:sub>
            <m:r>
              <w:rPr>
                <w:rFonts w:ascii="Cambria Math" w:hAnsi="Cambria Math"/>
                <w:sz w:val="22"/>
              </w:rPr>
              <m:t xml:space="preserve">dyn,0</m:t>
            </m:r>
          </m:sub>
        </m:sSub>
      </m:oMath>
      <w:r>
        <w:t xml:space="preserve"> 及尺度近似的適用性。大質量比不自動等於物理不可能；有獨立依據的排除規則應在看過最佳結果前訂定。固定尺度近似超出驗證範圍時，要標示適用性未驗證。</w:t>
      </w:r>
    </w:p>
    <w:p>
      <w:pPr>
        <w:pStyle w:val="Heading2"/>
      </w:pPr>
      <w:r>
        <w:t>粒子噴灑的物理範圍</w:t>
      </w:r>
    </w:p>
    <w:p>
      <w:pPr>
        <w:widowControl/>
      </w:pPr>
      <w:r>
        <w:t>以 Chen 等人的 N-body 校準 particle spray 配方取樣逃逸位置與速度 [3]。它略過內部雙體鬆弛的逐星計算，所以逃逸率由研究模型另外指定。L1、L2 是圓軌道共轉近似的有效勢鞍點；偏心軌道不能視為兩個固定出口。</w:t>
      </w:r>
    </w:p>
    <w:p>
      <w:pPr>
        <w:widowControl/>
      </w:pPr>
      <w:r>
        <w:t>示蹤粒子在銀河與星團聯合勢中運動，基準忽略示蹤粒子間引力、動力摩擦與反衝。這套方法不是完整 N-body 演化，也不是逐顆判定第一次超過臨界能量；可見的尾巴密度峰還可能來自運動堆積，不直接代表該時刻的逃逸率峰 [4]。</w:t>
      </w:r>
    </w:p>
    <w:p>
      <w:r>
        <w:br w:type="page"/>
      </w:r>
    </w:p>
    <w:p>
      <w:pPr>
        <w:pStyle w:val="Heading1"/>
      </w:pPr>
      <w:r>
        <w:t>五 回溯時間與數值取樣</w:t>
      </w:r>
    </w:p>
    <w:p>
      <w:pPr>
        <w:widowControl/>
      </w:pPr>
      <w:r>
        <w:t>基準先比較恆定 R；與軌道相位相關的逃逸增強及延遲屬後續模型。若令逃逸歷史為 R h(t)，必須聲明 h(t) 的非負性與窗口正規化；若正規化隨 T 改變，不能直接沿用恆定率的窗口重用規則。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91"/>
        <w:gridCol w:w="6746"/>
      </w:tblGrid>
      <w:tr>
        <w:trPr>
          <w:cantSplit/>
          <w:tblHeader/>
        </w:trPr>
        <w:tc>
          <w:tcPr>
            <w:tcW w:type="dxa" w:w="2891"/>
            <w:vAlign w:val="center"/>
            <w:shd w:fill="E7EE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/>
                <w:sz w:val="20"/>
              </w:rPr>
              <w:t>設計項目</w:t>
            </w:r>
          </w:p>
        </w:tc>
        <w:tc>
          <w:tcPr>
            <w:tcW w:type="dxa" w:w="6746"/>
            <w:vAlign w:val="center"/>
            <w:shd w:fill="E7EE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/>
                <w:sz w:val="20"/>
              </w:rPr>
              <w:t>目前基準設定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MLR 網格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1 至 31 M☉/Myr，間距 2，共 16 點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回溯時間網格</w:t>
            </w:r>
          </w:p>
        </w:tc>
        <w:tc>
          <w:tcPr>
            <w:tcW w:type="dxa" w:w="6746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100 至 2000 Myr，間距 100，共 20 點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動力學亂數種子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1009、2027、3037，共 3 組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釋放時間分層</w:t>
            </w:r>
          </w:p>
        </w:tc>
        <w:tc>
          <w:tcPr>
            <w:tcW w:type="dxa" w:w="6746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每 0.25 Myr，前後兩尾各 1 顆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單次最大窗口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16000 顆示蹤粒子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每顆星團的動力學</w:t>
            </w:r>
          </w:p>
        </w:tc>
        <w:tc>
          <w:tcPr>
            <w:tcW w:type="dxa" w:w="6746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16 個 R × 3 個種子，共 48 組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人口與觀測取樣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5 個 MF 求積節點；8 個品質狀態；32 次觀測抽樣</w:t>
            </w:r>
          </w:p>
        </w:tc>
      </w:tr>
    </w:tbl>
    <w:p>
      <w:pPr>
        <w:spacing w:after="20"/>
      </w:pPr>
    </w:p>
    <w:p>
      <w:pPr>
        <w:widowControl/>
      </w:pPr>
      <w:r>
        <w:t>在每一釋放時間層內均勻抽取釋放時刻；前、後尾基準等分總質量。釋放間隔不是積分器步長。每個等權示蹤粒子的質量代表量為：</w:t>
      </w:r>
    </w:p>
    <w:p>
      <w:pPr>
        <w:keepLines/>
        <w:spacing w:before="60" w:after="180"/>
        <w:jc w:val="center"/>
      </w:pPr>
      <m:oMathPara>
        <m:oMath>
          <m:sSub>
            <m:e>
              <m:r>
                <w:rPr>
                  <w:rFonts w:ascii="Cambria Math" w:hAnsi="Cambria Math"/>
                  <w:sz w:val="22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2"/>
                </w:rPr>
                <m:t xml:space="preserve">i</m:t>
              </m:r>
            </m:sub>
          </m:sSub>
          <m:r>
            <w:rPr>
              <w:rFonts w:ascii="Cambria Math" w:hAnsi="Cambria Math"/>
              <w:sz w:val="22"/>
            </w:rPr>
            <m:t xml:space="preserve"> = </m:t>
          </m:r>
          <m:f>
            <m:num>
              <m:r>
                <w:rPr>
                  <w:rFonts w:ascii="Cambria Math" w:hAnsi="Cambria Math"/>
                  <w:sz w:val="22"/>
                </w:rPr>
                <m:t xml:space="preserve">R Δt</m:t>
              </m:r>
            </m:num>
            <m:den>
              <m:r>
                <w:rPr>
                  <w:rFonts w:ascii="Cambria Math" w:hAnsi="Cambria Math"/>
                  <w:sz w:val="22"/>
                </w:rPr>
                <m:t xml:space="preserve">2</m:t>
              </m:r>
            </m:den>
          </m:f>
          <m:r>
            <w:rPr>
              <w:rFonts w:ascii="Cambria Math" w:hAnsi="Cambria Math"/>
              <w:sz w:val="22"/>
            </w:rPr>
            <m:t xml:space="preserve">,    </m:t>
          </m:r>
          <m:nary>
            <m:naryPr>
              <m:chr m:val="∑"/>
              <m:limLoc m:val="subSup"/>
            </m:naryPr>
            <m:sub>
              <m:r>
                <w:rPr>
                  <w:rFonts w:ascii="Cambria Math" w:hAnsi="Cambria Math"/>
                  <w:sz w:val="22"/>
                </w:rPr>
                <m:t xml:space="preserve">i</m:t>
              </m:r>
            </m:sub>
            <m:sup>
              <m:r>
                <w:rPr>
                  <w:rFonts w:ascii="Cambria Math" w:hAnsi="Cambria Math"/>
                  <w:sz w:val="22"/>
                </w:rPr>
                <m:t xml:space="preserve">N</m:t>
              </m:r>
            </m:sup>
            <m:e>
              <m:sSub>
                <m:e>
                  <m:r>
                    <w:rPr>
                      <w:rFonts w:ascii="Cambria Math" w:hAnsi="Cambria Math"/>
                      <w:sz w:val="22"/>
                    </w:rPr>
                    <m:t xml:space="preserve">w</m:t>
                  </m:r>
                </m:e>
                <m:sub>
                  <m:r>
                    <w:rPr>
                      <w:rFonts w:ascii="Cambria Math" w:hAnsi="Cambria Math"/>
                      <w:sz w:val="22"/>
                    </w:rPr>
                    <m:t xml:space="preserve">i</m:t>
                  </m:r>
                </m:sub>
              </m:sSub>
            </m:e>
          </m:nary>
          <m:r>
            <w:rPr>
              <w:rFonts w:ascii="Cambria Math" w:hAnsi="Cambria Math"/>
              <w:sz w:val="22"/>
            </w:rPr>
            <m:t xml:space="preserve"> = R T</m:t>
          </m:r>
          <m:r>
            <w:rPr>
              <w:rFonts w:ascii="Cambria Math" w:hAnsi="Cambria Math"/>
              <w:sz w:val="22"/>
            </w:rPr>
            <m:t xml:space="preserve">     (4)</m:t>
          </m:r>
        </m:oMath>
      </m:oMathPara>
    </w:p>
    <w:p>
      <w:pPr>
        <w:widowControl/>
      </w:pPr>
      <w:r>
        <w:t>對每個 R 與種子只計算一次最大窗口。較短 T 保留釋放年代在 −T 以後的粒子，維持原有權重，不重新正規化；此重用須通過獨立短窗口重跑檢查。人口權重或觀測抽樣相同時可共享數值工作，但不能把不同 R 的軌跡合併。</w:t>
      </w:r>
    </w:p>
    <w:p>
      <w:pPr>
        <w:widowControl/>
      </w:pPr>
      <w:r>
        <w:t>先檢查不同逃逸年代對研究視野的可觀測貢獻。若較早粒子已離開視野，T 的後驗可能主要由先驗決定。平台不自動構成 T 的下限，更不能解讀為星團形成時間；延長網格前需檢查模型環境及數值成本。</w:t>
      </w:r>
    </w:p>
    <w:p>
      <w:r>
        <w:br w:type="page"/>
      </w:r>
    </w:p>
    <w:p>
      <w:pPr>
        <w:pStyle w:val="Heading1"/>
      </w:pPr>
      <w:r>
        <w:t>六 有外部量測依據的人口模型</w:t>
      </w:r>
    </w:p>
    <w:p>
      <w:pPr>
        <w:widowControl/>
      </w:pPr>
      <w:r>
        <w:t>原有 tilt=−1、0、+1 只作敏感度比較，不當成三個同樣可信的人口。新版使用祖星團全域現今質量函數的外部量測；以下式定義斜率，Salpeter 的 α 是 −2.3。保存官方資料表與雜湊，並識別以綠色標記的間接估計，不將其默認為直接量測 [1,5]。</w:t>
      </w:r>
    </w:p>
    <w:p>
      <w:pPr>
        <w:keepLines/>
        <w:spacing w:before="60" w:after="180"/>
        <w:jc w:val="center"/>
      </w:pPr>
      <m:oMathPara>
        <m:oMath>
          <m:f>
            <m:num>
              <m:r>
                <w:rPr>
                  <w:rFonts w:ascii="Cambria Math" w:hAnsi="Cambria Math"/>
                  <w:sz w:val="22"/>
                </w:rPr>
                <m:t xml:space="preserve">dN</m:t>
              </m:r>
            </m:num>
            <m:den>
              <m:r>
                <w:rPr>
                  <w:rFonts w:ascii="Cambria Math" w:hAnsi="Cambria Math"/>
                  <w:sz w:val="22"/>
                </w:rPr>
                <m:t xml:space="preserve">dm</m:t>
              </m:r>
            </m:den>
          </m:f>
          <m:r>
            <w:rPr>
              <w:rFonts w:ascii="Cambria Math" w:hAnsi="Cambria Math"/>
              <w:sz w:val="22"/>
            </w:rPr>
            <m:t xml:space="preserve"> ∝ </m:t>
          </m:r>
          <m:sSup>
            <m:e>
              <m:r>
                <w:rPr>
                  <w:rFonts w:ascii="Cambria Math" w:hAnsi="Cambria Math"/>
                  <w:sz w:val="22"/>
                </w:rPr>
                <m:t xml:space="preserve">m</m:t>
              </m:r>
            </m:e>
            <m:sup>
              <m:r>
                <w:rPr>
                  <w:rFonts w:ascii="Cambria Math" w:hAnsi="Cambria Math"/>
                  <w:sz w:val="22"/>
                </w:rPr>
                <m:t xml:space="preserve">α</m:t>
              </m:r>
            </m:sup>
          </m:sSup>
          <m:r>
            <w:rPr>
              <w:rFonts w:ascii="Cambria Math" w:hAnsi="Cambria Math"/>
              <w:sz w:val="22"/>
            </w:rPr>
            <m:t xml:space="preserve">     (5)</m:t>
          </m:r>
        </m:oMath>
      </m:oMathPara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1701"/>
        <w:gridCol w:w="1928"/>
        <w:gridCol w:w="3969"/>
      </w:tblGrid>
      <w:tr>
        <w:trPr>
          <w:cantSplit/>
          <w:tblHeader/>
        </w:trPr>
        <w:tc>
          <w:tcPr>
            <w:tcW w:type="dxa" w:w="2041"/>
            <w:vAlign w:val="center"/>
            <w:shd w:fill="E7EE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/>
                <w:sz w:val="20"/>
              </w:rPr>
              <w:t>星團</w:t>
            </w:r>
          </w:p>
        </w:tc>
        <w:tc>
          <w:tcPr>
            <w:tcW w:type="dxa" w:w="1701"/>
            <w:vAlign w:val="center"/>
            <w:shd w:fill="E7EE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2"/>
                    </w:rPr>
                    <m:t xml:space="preserve">α</m:t>
                  </m:r>
                </m:e>
                <m:sub>
                  <m:r>
                    <w:rPr>
                      <w:rFonts w:ascii="Cambria Math" w:hAnsi="Cambria Math"/>
                      <w:sz w:val="22"/>
                    </w:rPr>
                    <m:t xml:space="preserve">GC</m:t>
                  </m:r>
                </m:sub>
              </m:sSub>
            </m:oMath>
          </w:p>
        </w:tc>
        <w:tc>
          <w:tcPr>
            <w:tcW w:type="dxa" w:w="1928"/>
            <w:vAlign w:val="center"/>
            <w:shd w:fill="E7EE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/>
                <w:sz w:val="20"/>
              </w:rPr>
              <w:t>量測誤差</w:t>
            </w:r>
          </w:p>
        </w:tc>
        <w:tc>
          <w:tcPr>
            <w:tcW w:type="dxa" w:w="3969"/>
            <w:vAlign w:val="center"/>
            <w:shd w:fill="E7EE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/>
                <w:sz w:val="20"/>
              </w:rPr>
              <w:t>量測質量範圍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Pal 5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−0.84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0.19</w:t>
            </w:r>
          </w:p>
        </w:tc>
        <w:tc>
          <w:tcPr>
            <w:tcW w:type="dxa" w:w="396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0.29–0.81 M☉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NGC 288</w:t>
            </w:r>
          </w:p>
        </w:tc>
        <w:tc>
          <w:tcPr>
            <w:tcW w:type="dxa" w:w="1701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−0.66</w:t>
            </w:r>
          </w:p>
        </w:tc>
        <w:tc>
          <w:tcPr>
            <w:tcW w:type="dxa" w:w="1928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0.11</w:t>
            </w:r>
          </w:p>
        </w:tc>
        <w:tc>
          <w:tcPr>
            <w:tcW w:type="dxa" w:w="3969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0.22–0.82 M☉</w:t>
            </w:r>
          </w:p>
        </w:tc>
      </w:tr>
    </w:tbl>
    <w:p>
      <w:pPr>
        <w:spacing w:after="20"/>
      </w:pPr>
    </w:p>
    <w:p>
      <w:pPr>
        <w:widowControl/>
      </w:pPr>
      <w:r>
        <w:t>目前等時線採用值為：Pal 5 年齡 11 Gyr、[M/H]=−1.40；NGC288 年齡 11.5 Gyr、[M/H]=−1.32，兩者的基準 E(B−V) 均為 0.03。這些是條件式採用值，不是本研究重測；scaled-solar 的 [M/H] 不能自動等同含 α 元素增豐的光譜 [Fe/H]。</w:t>
      </w:r>
    </w:p>
    <w:p>
      <w:pPr>
        <w:keepLines/>
        <w:spacing w:before="60" w:after="180"/>
        <w:jc w:val="center"/>
      </w:pPr>
      <m:oMathPara>
        <m:oMath>
          <m:sSub>
            <m:e>
              <m:r>
                <w:rPr>
                  <w:rFonts w:ascii="Cambria Math" w:hAnsi="Cambria Math"/>
                  <w:sz w:val="22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2"/>
                </w:rPr>
                <m:t xml:space="preserve">esc</m:t>
              </m:r>
            </m:sub>
          </m:sSub>
          <m:r>
            <w:rPr>
              <w:rFonts w:ascii="Cambria Math" w:hAnsi="Cambria Math"/>
              <w:sz w:val="22"/>
            </w:rPr>
            <m:t xml:space="preserve"> = </m:t>
          </m:r>
          <m:sSub>
            <m:e>
              <m:r>
                <w:rPr>
                  <w:rFonts w:ascii="Cambria Math" w:hAnsi="Cambria Math"/>
                  <w:sz w:val="22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2"/>
                </w:rPr>
                <m:t xml:space="preserve">GC</m:t>
              </m:r>
            </m:sub>
          </m:sSub>
          <m:r>
            <w:rPr>
              <w:rFonts w:ascii="Cambria Math" w:hAnsi="Cambria Math"/>
              <w:sz w:val="22"/>
            </w:rPr>
            <m:t xml:space="preserve"> + δ,    </m:t>
          </m:r>
          <m:sSub>
            <m:e>
              <m:r>
                <w:rPr>
                  <w:rFonts w:ascii="Cambria Math" w:hAnsi="Cambria Math"/>
                  <w:sz w:val="22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2"/>
                </w:rPr>
                <m:t xml:space="preserve">GC</m:t>
              </m:r>
            </m:sub>
          </m:sSub>
          <m:r>
            <w:rPr>
              <w:rFonts w:ascii="Cambria Math" w:hAnsi="Cambria Math"/>
              <w:sz w:val="22"/>
            </w:rPr>
            <m:t xml:space="preserve"> ∼ N(μ, </m:t>
          </m:r>
          <m:sSup>
            <m:e>
              <m:r>
                <w:rPr>
                  <w:rFonts w:ascii="Cambria Math" w:hAnsi="Cambria Math"/>
                  <w:sz w:val="22"/>
                </w:rPr>
                <m:t xml:space="preserve">σ</m:t>
              </m:r>
            </m:e>
            <m:sup>
              <m:r>
                <w:rPr>
                  <w:rFonts w:ascii="Cambria Math" w:hAnsi="Cambria Math"/>
                  <w:sz w:val="22"/>
                </w:rPr>
                <m:t xml:space="preserve">2</m:t>
              </m:r>
            </m:sup>
          </m:sSup>
          <m:r>
            <w:rPr>
              <w:rFonts w:ascii="Cambria Math" w:hAnsi="Cambria Math"/>
              <w:sz w:val="22"/>
            </w:rPr>
            <m:t xml:space="preserve">)</m:t>
          </m:r>
          <m:r>
            <w:rPr>
              <w:rFonts w:ascii="Cambria Math" w:hAnsi="Cambria Math"/>
              <w:sz w:val="22"/>
            </w:rPr>
            <m:t xml:space="preserve">     (6)</m:t>
          </m:r>
        </m:oMath>
      </m:oMathPara>
    </w:p>
    <w:p>
      <w:pPr>
        <w:widowControl/>
      </w:pPr>
      <w:r>
        <w:t>高斯分布是用量測平均與所報誤差建立的條件近似。δ=0 假設逃逸族群與祖星團全域質量函數相同；δ=−0.5、−1 分別測試較偏向低質量星的逃逸族群。三種 δ 是分開的轉移假設，沒有量測依據時不給它們任意等權機率。文獻採全域質量函數作修正，也不等於實測了逃逸族群 [6,7]。</w:t>
      </w:r>
    </w:p>
    <w:p>
      <w:pPr>
        <w:widowControl/>
      </w:pPr>
      <w:r>
        <w:t xml:space="preserve">以五點 Gauss–Hermite 求積傳播 </w:t>
      </w:r>
      <m:oMath>
        <m:sSub>
          <m:e>
            <m:r>
              <w:rPr>
                <w:rFonts w:ascii="Cambria Math" w:hAnsi="Cambria Math"/>
                <w:sz w:val="22"/>
              </w:rPr>
              <m:t xml:space="preserve">α</m:t>
            </m:r>
          </m:e>
          <m:sub>
            <m:r>
              <w:rPr>
                <w:rFonts w:ascii="Cambria Math" w:hAnsi="Cambria Math"/>
                <w:sz w:val="22"/>
              </w:rPr>
              <m:t xml:space="preserve">GC</m:t>
            </m:r>
          </m:sub>
        </m:sSub>
      </m:oMath>
      <w:r>
        <w:t xml:space="preserve"> 的量測不確定性；求積權重不是手動調整 q 的權重，也不是五個等機率模型。以較高階求積另跑相同資料，檢查後驗與分位數穩定性。</w:t>
      </w:r>
    </w:p>
    <w:p>
      <w:pPr>
        <w:pStyle w:val="Heading2"/>
      </w:pPr>
      <w:r>
        <w:t>等時線權重與不可見質量</w:t>
      </w:r>
    </w:p>
    <w:p>
      <w:pPr>
        <w:widowControl/>
      </w:pPr>
      <w:r>
        <w:t>採官方 PARSEC 等時線與 Gaia 通帶，核對回傳年齡及金屬量與請求一致 [8]。利用主序星的初始／現今質量映射作數目求積；演化後的節點保留細小的祖星質量間隔，不把每列等時線當成等機率，也不將巨星經風損失後的質量視為新的出生質量。</w:t>
      </w:r>
    </w:p>
    <w:p>
      <w:pPr>
        <w:widowControl/>
      </w:pPr>
      <w:r>
        <w:t>每組人口以實際存活質量正規化。量測範圍外的單斜率延伸仍屬外推；等時線下限外的暗星、殘骸與雙星沒有自動補回。scaled-solar 金屬量、氦與差異消光的近似亦須保留為限制，不能只靠人口先驗宣稱得到完整星團的絕對質量流失率。</w:t>
      </w:r>
    </w:p>
    <w:p>
      <w:r>
        <w:br w:type="page"/>
      </w:r>
    </w:p>
    <w:p>
      <w:pPr>
        <w:pStyle w:val="Heading1"/>
      </w:pPr>
      <w:r>
        <w:t>七 觀測模板與計數似然</w:t>
      </w:r>
    </w:p>
    <w:p>
      <w:pPr>
        <w:pStyle w:val="Heading2"/>
      </w:pPr>
      <w:r>
        <w:t>模擬資料通過觀測程序</w:t>
      </w:r>
    </w:p>
    <w:p>
      <w:pPr>
        <w:widowControl/>
      </w:pPr>
      <w:r>
        <w:t>將粒子質量代表量轉為各人口節點的預期星數，再依粒子距離、等時線與明示消光產生無雜訊星等。Gaia 入表完整率使用指定版本的選擇函數；欄位可用率與品質通過率由各星團母樣本估計。入表完整率不自動包含後續 RUWE、顏色、自行與 CMD 條件 [10,11]。</w:t>
      </w:r>
    </w:p>
    <w:p>
      <w:pPr>
        <w:widowControl/>
      </w:pPr>
      <w:r>
        <w:t>觀測誤差從自身 Gaia 母樣本的星等、顏色與天空位置鄰近捐贈星抽取，保留視差及兩分量自行的協方差。加入量測擾動後再套用凍結的科學選星。品質校正狀態由每個 cell 的 Beta 分布抽樣，同一 cell 的機率在該狀態內共用，不逐粒子獨立重抽。</w:t>
      </w:r>
    </w:p>
    <w:p>
      <w:pPr>
        <w:widowControl/>
      </w:pPr>
      <w:r>
        <w:t>32 次觀測抽樣用於積分測量雜訊；8 個品質校正狀態表示校正不確定性。3 組獨立動力學種子先平均預期模板，再評估校正狀態的 mixture likelihood；其有限動力學取樣誤差另作收斂診斷，不能把觀測重抽當成新增獨立軌跡。</w:t>
      </w:r>
    </w:p>
    <w:p>
      <w:pPr>
        <w:pStyle w:val="Heading2"/>
      </w:pPr>
      <w:r>
        <w:t>Poisson mixture likelihood</w:t>
      </w:r>
    </w:p>
    <w:p>
      <w:pPr>
        <w:keepLines/>
        <w:spacing w:before="60" w:after="180"/>
        <w:jc w:val="center"/>
      </w:pPr>
      <m:oMathPara>
        <m:oMath>
          <m:sSub>
            <m:e>
              <m:r>
                <w:rPr>
                  <w:rFonts w:ascii="Cambria Math" w:hAnsi="Cambria Math"/>
                  <w:sz w:val="22"/>
                </w:rPr>
                <m:t xml:space="preserve">λ</m:t>
              </m:r>
            </m:e>
            <m:sub>
              <m:r>
                <w:rPr>
                  <w:rFonts w:ascii="Cambria Math" w:hAnsi="Cambria Math"/>
                  <w:sz w:val="22"/>
                </w:rPr>
                <m:t xml:space="preserve">jc</m:t>
              </m:r>
            </m:sub>
          </m:sSub>
          <m:r>
            <w:rPr>
              <w:rFonts w:ascii="Cambria Math" w:hAnsi="Cambria Math"/>
              <w:sz w:val="22"/>
            </w:rPr>
            <m:t xml:space="preserve"> = </m:t>
          </m:r>
          <m:sSub>
            <m:e>
              <m:r>
                <w:rPr>
                  <w:rFonts w:ascii="Cambria Math" w:hAnsi="Cambria Math"/>
                  <w:sz w:val="22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2"/>
                </w:rPr>
                <m:t xml:space="preserve">jc</m:t>
              </m:r>
            </m:sub>
          </m:sSub>
          <m:r>
            <w:rPr>
              <w:rFonts w:ascii="Cambria Math" w:hAnsi="Cambria Math"/>
              <w:sz w:val="22"/>
            </w:rPr>
            <m:t xml:space="preserve">(R,T,α) + β </m:t>
          </m:r>
          <m:sSub>
            <m:e>
              <m:r>
                <w:rPr>
                  <w:rFonts w:ascii="Cambria Math" w:hAnsi="Cambria Math"/>
                  <w:sz w:val="22"/>
                </w:rPr>
                <m:t xml:space="preserve">b</m:t>
              </m:r>
            </m:e>
            <m:sub>
              <m:r>
                <w:rPr>
                  <w:rFonts w:ascii="Cambria Math" w:hAnsi="Cambria Math"/>
                  <w:sz w:val="22"/>
                </w:rPr>
                <m:t xml:space="preserve">j</m:t>
              </m:r>
            </m:sub>
          </m:sSub>
          <m:r>
            <w:rPr>
              <w:rFonts w:ascii="Cambria Math" w:hAnsi="Cambria Math"/>
              <w:sz w:val="22"/>
            </w:rPr>
            <m:t xml:space="preserve">     (7)</m:t>
          </m:r>
        </m:oMath>
      </m:oMathPara>
    </w:p>
    <w:p>
      <w:pPr>
        <w:widowControl/>
      </w:pPr>
      <m:oMath>
        <m:sSub>
          <m:e>
            <m:r>
              <w:rPr>
                <w:rFonts w:ascii="Cambria Math" w:hAnsi="Cambria Math"/>
                <w:sz w:val="22"/>
              </w:rPr>
              <m:t xml:space="preserve">n</m:t>
            </m:r>
          </m:e>
          <m:sub>
            <m:r>
              <w:rPr>
                <w:rFonts w:ascii="Cambria Math" w:hAnsi="Cambria Math"/>
                <w:sz w:val="22"/>
              </w:rPr>
              <m:t xml:space="preserve">j</m:t>
            </m:r>
          </m:sub>
        </m:sSub>
      </m:oMath>
      <w:r>
        <w:t xml:space="preserve"> 是第 j 個研究像素的整數觀測星數，</w:t>
      </w:r>
      <m:oMath>
        <m:sSub>
          <m:e>
            <m:r>
              <w:rPr>
                <w:rFonts w:ascii="Cambria Math" w:hAnsi="Cambria Math"/>
                <w:sz w:val="22"/>
              </w:rPr>
              <m:t xml:space="preserve">b</m:t>
            </m:r>
          </m:e>
          <m:sub>
            <m:r>
              <w:rPr>
                <w:rFonts w:ascii="Cambria Math" w:hAnsi="Cambria Math"/>
                <w:sz w:val="22"/>
              </w:rPr>
              <m:t xml:space="preserve">j</m:t>
            </m:r>
          </m:sub>
        </m:sSub>
      </m:oMath>
      <w:r>
        <w:t xml:space="preserve"> 是凍結背景模板，</w:t>
      </w:r>
      <m:oMath>
        <m:sSub>
          <m:e>
            <m:r>
              <w:rPr>
                <w:rFonts w:ascii="Cambria Math" w:hAnsi="Cambria Math"/>
                <w:sz w:val="22"/>
              </w:rPr>
              <m:t xml:space="preserve">s</m:t>
            </m:r>
          </m:e>
          <m:sub>
            <m:r>
              <w:rPr>
                <w:rFonts w:ascii="Cambria Math" w:hAnsi="Cambria Math"/>
                <w:sz w:val="22"/>
              </w:rPr>
              <m:t xml:space="preserve">jc</m:t>
            </m:r>
          </m:sub>
        </m:sSub>
      </m:oMath>
      <w:r>
        <w:t xml:space="preserve"> 是第 c 個品質校正狀態下的預期訊號星數。模型的單位是每個擬合像素的星數，而非經平滑後的非整數觀測。</w:t>
      </w:r>
    </w:p>
    <w:p>
      <w:pPr>
        <w:keepLines/>
        <w:spacing w:before="60" w:after="180"/>
        <w:jc w:val="center"/>
      </w:pPr>
      <m:oMathPara>
        <m:oMath>
          <m:r>
            <w:rPr>
              <w:rFonts w:ascii="Cambria Math" w:hAnsi="Cambria Math"/>
              <w:sz w:val="22"/>
            </w:rPr>
            <m:t xml:space="preserve">L(D | R,T,β,α) = </m:t>
          </m:r>
          <m:f>
            <m:num>
              <m:r>
                <w:rPr>
                  <w:rFonts w:ascii="Cambria Math" w:hAnsi="Cambria Math"/>
                  <w:sz w:val="22"/>
                </w:rPr>
                <m:t xml:space="preserve">1</m:t>
              </m:r>
            </m:num>
            <m:den>
              <m:r>
                <w:rPr>
                  <w:rFonts w:ascii="Cambria Math" w:hAnsi="Cambria Math"/>
                  <w:sz w:val="22"/>
                </w:rPr>
                <m:t xml:space="preserve">C</m:t>
              </m:r>
            </m:den>
          </m:f>
          <m:nary>
            <m:naryPr>
              <m:chr m:val="∑"/>
              <m:limLoc m:val="subSup"/>
            </m:naryPr>
            <m:sub>
              <m:r>
                <w:rPr>
                  <w:rFonts w:ascii="Cambria Math" w:hAnsi="Cambria Math"/>
                  <w:sz w:val="22"/>
                </w:rPr>
                <m:t xml:space="preserve">c=1</m:t>
              </m:r>
            </m:sub>
            <m:sup>
              <m:r>
                <w:rPr>
                  <w:rFonts w:ascii="Cambria Math" w:hAnsi="Cambria Math"/>
                  <w:sz w:val="22"/>
                </w:rPr>
                <m:t xml:space="preserve">C</m:t>
              </m:r>
            </m:sup>
            <m:e>
              <m:nary>
                <m:naryPr>
                  <m:chr m:val="∏"/>
                  <m:limLoc m:val="subSup"/>
                </m:naryPr>
                <m:sub>
                  <m:r>
                    <w:rPr>
                      <w:rFonts w:ascii="Cambria Math" w:hAnsi="Cambria Math"/>
                      <w:sz w:val="22"/>
                    </w:rPr>
                    <m:t xml:space="preserve">j=1</m:t>
                  </m:r>
                </m:sub>
                <m:sup>
                  <m:r>
                    <w:rPr>
                      <w:rFonts w:ascii="Cambria Math" w:hAnsi="Cambria Math"/>
                      <w:sz w:val="22"/>
                    </w:rPr>
                    <m:t xml:space="preserve">J</m:t>
                  </m:r>
                </m:sup>
                <m:e>
                  <m:r>
                    <w:rPr>
                      <w:rFonts w:ascii="Cambria Math" w:hAnsi="Cambria Math"/>
                      <w:sz w:val="22"/>
                    </w:rPr>
                    <m:t xml:space="preserve">Poisson(</m:t>
                  </m:r>
                  <m:sSub>
                    <m:e>
                      <m:r>
                        <w:rPr>
                          <w:rFonts w:ascii="Cambria Math" w:hAnsi="Cambria Math"/>
                          <w:sz w:val="22"/>
                        </w:rPr>
                        <m:t xml:space="preserve">n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</w:rPr>
                        <m:t xml:space="preserve">j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</w:rPr>
                    <m:t xml:space="preserve"> | </m:t>
                  </m:r>
                  <m:sSub>
                    <m:e>
                      <m:r>
                        <w:rPr>
                          <w:rFonts w:ascii="Cambria Math" w:hAnsi="Cambria Math"/>
                          <w:sz w:val="22"/>
                        </w:rPr>
                        <m:t xml:space="preserve">λ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</w:rPr>
                        <m:t xml:space="preserve">jc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</w:rPr>
                    <m:t xml:space="preserve">)</m:t>
                  </m:r>
                </m:e>
              </m:nary>
            </m:e>
          </m:nary>
          <m:r>
            <w:rPr>
              <w:rFonts w:ascii="Cambria Math" w:hAnsi="Cambria Math"/>
              <w:sz w:val="22"/>
            </w:rPr>
            <m:t xml:space="preserve">     (8)</m:t>
          </m:r>
        </m:oMath>
      </m:oMathPara>
    </w:p>
    <w:p>
      <w:pPr>
        <w:widowControl/>
      </w:pPr>
      <w:r>
        <w:t>狀態之間平均的是 likelihood，不是先平均不同狀態的 log-likelihood。基準只使用空間計數；若未來加入星等或運動 likelihood，須建立一致的聯合或條件模型，避免重複計算已用於選星的同一份證據。</w:t>
      </w:r>
    </w:p>
    <w:p>
      <w:r>
        <w:br w:type="page"/>
      </w:r>
    </w:p>
    <w:p>
      <w:pPr>
        <w:pStyle w:val="Heading1"/>
      </w:pPr>
      <w:r>
        <w:t>八 貝葉斯邊際化與先驗</w:t>
      </w:r>
    </w:p>
    <w:p>
      <w:pPr>
        <w:widowControl/>
      </w:pPr>
      <w:r>
        <w:t>Küpper 等人以 MCMC 探索參數，並對未知積分時間等干擾參數邊際化 [9]。本研究先用既有離散網格直接積分，保留不同參數組合的支持程度；不直接把背景已取最佳值的 profiled q 正規化成後驗。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91"/>
        <w:gridCol w:w="4989"/>
        <w:gridCol w:w="3458"/>
      </w:tblGrid>
      <w:tr>
        <w:trPr>
          <w:cantSplit/>
          <w:tblHeader/>
        </w:trPr>
        <w:tc>
          <w:tcPr>
            <w:tcW w:type="dxa" w:w="1191"/>
            <w:vAlign w:val="center"/>
            <w:shd w:fill="E7EE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/>
                <w:sz w:val="20"/>
              </w:rPr>
              <w:t>參數</w:t>
            </w:r>
          </w:p>
        </w:tc>
        <w:tc>
          <w:tcPr>
            <w:tcW w:type="dxa" w:w="4989"/>
            <w:vAlign w:val="center"/>
            <w:shd w:fill="E7EE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/>
                <w:sz w:val="20"/>
              </w:rPr>
              <w:t>基準先驗或處理</w:t>
            </w:r>
          </w:p>
        </w:tc>
        <w:tc>
          <w:tcPr>
            <w:tcW w:type="dxa" w:w="3458"/>
            <w:vAlign w:val="center"/>
            <w:shd w:fill="E7EE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/>
                <w:sz w:val="20"/>
              </w:rPr>
              <w:t>敏感度檢查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498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在供應的 1–31 M☉/Myr 內均勻</w:t>
            </w:r>
          </w:p>
        </w:tc>
        <w:tc>
          <w:tcPr>
            <w:tcW w:type="dxa" w:w="345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同範圍的對數均勻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T</w:t>
            </w:r>
          </w:p>
        </w:tc>
        <w:tc>
          <w:tcPr>
            <w:tcW w:type="dxa" w:w="4989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在供應的 100–2000 Myr 內均勻</w:t>
            </w:r>
          </w:p>
        </w:tc>
        <w:tc>
          <w:tcPr>
            <w:tcW w:type="dxa" w:w="3458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同範圍的對數均勻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β</w:t>
            </w:r>
          </w:p>
        </w:tc>
        <w:tc>
          <w:tcPr>
            <w:tcW w:type="dxa" w:w="498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0–5 的均勻先驗</w:t>
            </w:r>
          </w:p>
        </w:tc>
        <w:tc>
          <w:tcPr>
            <w:tcW w:type="dxa" w:w="345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改變上界另跑；檢查端點影響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m:oMath>
              <m:sSub>
                <m:e>
                  <m:r>
                    <w:rPr>
                      <w:rFonts w:ascii="Cambria Math" w:hAnsi="Cambria Math"/>
                      <w:sz w:val="22"/>
                    </w:rPr>
                    <m:t xml:space="preserve">α</m:t>
                  </m:r>
                </m:e>
                <m:sub>
                  <m:r>
                    <w:rPr>
                      <w:rFonts w:ascii="Cambria Math" w:hAnsi="Cambria Math"/>
                      <w:sz w:val="22"/>
                    </w:rPr>
                    <m:t xml:space="preserve">GC</m:t>
                  </m:r>
                </m:sub>
              </m:sSub>
            </m:oMath>
          </w:p>
        </w:tc>
        <w:tc>
          <w:tcPr>
            <w:tcW w:type="dxa" w:w="4989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量測平均與誤差的高斯近似</w:t>
            </w:r>
          </w:p>
        </w:tc>
        <w:tc>
          <w:tcPr>
            <w:tcW w:type="dxa" w:w="3458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較高階求積與外推模型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δ</w:t>
            </w:r>
          </w:p>
        </w:tc>
        <w:tc>
          <w:tcPr>
            <w:tcW w:type="dxa" w:w="498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0、−0.5、−1 各自條件式分析</w:t>
            </w:r>
          </w:p>
        </w:tc>
        <w:tc>
          <w:tcPr>
            <w:tcW w:type="dxa" w:w="345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不任意平均為單一後驗</w:t>
            </w:r>
          </w:p>
        </w:tc>
      </w:tr>
    </w:tbl>
    <w:p>
      <w:pPr>
        <w:spacing w:after="20"/>
      </w:pPr>
    </w:p>
    <w:p>
      <w:pPr>
        <w:widowControl/>
      </w:pPr>
      <w:r>
        <w:t>R 與 T 的線性／對數均勻組合共比較四種。有限範圍是明示的先驗支持，不是由資料證明的物理界限。非均勻網格使用梯形積分體積，不能因某區域取點較密就給予更多先驗機率。</w:t>
      </w:r>
    </w:p>
    <w:p>
      <w:pPr>
        <w:keepLines/>
        <w:spacing w:before="60" w:after="180"/>
        <w:jc w:val="center"/>
      </w:pPr>
      <m:oMathPara>
        <m:oMath>
          <m:r>
            <w:rPr>
              <w:rFonts w:ascii="Cambria Math" w:hAnsi="Cambria Math"/>
              <w:sz w:val="22"/>
            </w:rPr>
            <m:t xml:space="preserve">p(R | D,δ) ∝ π(R) </m:t>
          </m:r>
          <m:nary>
            <m:naryPr>
              <m:chr m:val="∑"/>
              <m:limLoc m:val="subSup"/>
            </m:naryPr>
            <m:sub>
              <m:r>
                <w:rPr>
                  <w:rFonts w:ascii="Cambria Math" w:hAnsi="Cambria Math"/>
                  <w:sz w:val="22"/>
                </w:rPr>
                <m:t xml:space="preserve">k=1</m:t>
              </m:r>
            </m:sub>
            <m:sup>
              <m:r>
                <w:rPr>
                  <w:rFonts w:ascii="Cambria Math" w:hAnsi="Cambria Math"/>
                  <w:sz w:val="22"/>
                </w:rPr>
                <m:t xml:space="preserve">K</m:t>
              </m:r>
            </m:sup>
            <m:e>
              <m:sSub>
                <m:e>
                  <m:r>
                    <w:rPr>
                      <w:rFonts w:ascii="Cambria Math" w:hAnsi="Cambria Math"/>
                      <w:sz w:val="22"/>
                    </w:rPr>
                    <m:t xml:space="preserve">w</m:t>
                  </m:r>
                </m:e>
                <m:sub>
                  <m:r>
                    <w:rPr>
                      <w:rFonts w:ascii="Cambria Math" w:hAnsi="Cambria Math"/>
                      <w:sz w:val="22"/>
                    </w:rPr>
                    <m:t xml:space="preserve">k</m:t>
                  </m:r>
                </m:sub>
              </m:sSub>
              <m:r>
                <w:rPr>
                  <w:rFonts w:ascii="Cambria Math" w:hAnsi="Cambria Math"/>
                  <w:sz w:val="22"/>
                </w:rPr>
                <m:t xml:space="preserve"> </m:t>
              </m:r>
              <m:sSub>
                <m:e>
                  <m:r>
                    <w:rPr>
                      <w:rFonts w:ascii="Cambria Math" w:hAnsi="Cambria Math"/>
                      <w:sz w:val="22"/>
                    </w:rPr>
                    <m:t xml:space="preserve">Z</m:t>
                  </m:r>
                </m:e>
                <m:sub>
                  <m:r>
                    <w:rPr>
                      <w:rFonts w:ascii="Cambria Math" w:hAnsi="Cambria Math"/>
                      <w:sz w:val="22"/>
                    </w:rPr>
                    <m:t xml:space="preserve">k</m:t>
                  </m:r>
                </m:sub>
              </m:sSub>
              <m:r>
                <w:rPr>
                  <w:rFonts w:ascii="Cambria Math" w:hAnsi="Cambria Math"/>
                  <w:sz w:val="22"/>
                </w:rPr>
                <m:t xml:space="preserve">(R)</m:t>
              </m:r>
            </m:e>
          </m:nary>
          <m:r>
            <w:rPr>
              <w:rFonts w:ascii="Cambria Math" w:hAnsi="Cambria Math"/>
              <w:sz w:val="22"/>
            </w:rPr>
            <m:t xml:space="preserve">     (9)</m:t>
          </m:r>
        </m:oMath>
      </m:oMathPara>
    </w:p>
    <w:p>
      <w:pPr>
        <w:keepLines/>
        <w:spacing w:before="60" w:after="180"/>
        <w:jc w:val="center"/>
      </w:pPr>
      <m:oMathPara>
        <m:oMath>
          <m:sSub>
            <m:e>
              <m:r>
                <w:rPr>
                  <w:rFonts w:ascii="Cambria Math" w:hAnsi="Cambria Math"/>
                  <w:sz w:val="22"/>
                </w:rPr>
                <m:t xml:space="preserve">Z</m:t>
              </m:r>
            </m:e>
            <m:sub>
              <m:r>
                <w:rPr>
                  <w:rFonts w:ascii="Cambria Math" w:hAnsi="Cambria Math"/>
                  <w:sz w:val="22"/>
                </w:rPr>
                <m:t xml:space="preserve">k</m:t>
              </m:r>
            </m:sub>
          </m:sSub>
          <m:r>
            <w:rPr>
              <w:rFonts w:ascii="Cambria Math" w:hAnsi="Cambria Math"/>
              <w:sz w:val="22"/>
            </w:rPr>
            <m:t xml:space="preserve">(R) = </m:t>
          </m:r>
          <m:nary>
            <m:naryPr>
              <m:chr m:val="∫"/>
              <m:limLoc m:val="subSup"/>
            </m:naryPr>
            <m:sub>
              <m:sSub>
                <m:e>
                  <m:r>
                    <w:rPr>
                      <w:rFonts w:ascii="Cambria Math" w:hAnsi="Cambria Math"/>
                      <w:sz w:val="22"/>
                    </w:rPr>
                    <m:t xml:space="preserve">T</m:t>
                  </m:r>
                </m:e>
                <m:sub>
                  <m:r>
                    <w:rPr>
                      <w:rFonts w:ascii="Cambria Math" w:hAnsi="Cambria Math"/>
                      <w:sz w:val="22"/>
                    </w:rPr>
                    <m:t xml:space="preserve">min</m:t>
                  </m:r>
                </m:sub>
              </m:sSub>
            </m:sub>
            <m:sup>
              <m:sSub>
                <m:e>
                  <m:r>
                    <w:rPr>
                      <w:rFonts w:ascii="Cambria Math" w:hAnsi="Cambria Math"/>
                      <w:sz w:val="22"/>
                    </w:rPr>
                    <m:t xml:space="preserve">T</m:t>
                  </m:r>
                </m:e>
                <m:sub>
                  <m:r>
                    <w:rPr>
                      <w:rFonts w:ascii="Cambria Math" w:hAnsi="Cambria Math"/>
                      <w:sz w:val="22"/>
                    </w:rPr>
                    <m:t xml:space="preserve">max</m:t>
                  </m:r>
                </m:sub>
              </m:sSub>
            </m:sup>
            <m:e>
              <m:nary>
                <m:naryPr>
                  <m:chr m:val="∫"/>
                  <m:limLoc m:val="subSup"/>
                </m:naryPr>
                <m:sub>
                  <m:r>
                    <w:rPr>
                      <w:rFonts w:ascii="Cambria Math" w:hAnsi="Cambria Math"/>
                      <w:sz w:val="22"/>
                    </w:rPr>
                    <m:t xml:space="preserve">0</m:t>
                  </m:r>
                </m:sub>
                <m:sup>
                  <m:r>
                    <w:rPr>
                      <w:rFonts w:ascii="Cambria Math" w:hAnsi="Cambria Math"/>
                      <w:sz w:val="22"/>
                    </w:rPr>
                    <m:t xml:space="preserve">5</m:t>
                  </m:r>
                </m:sup>
                <m:e>
                  <m:r>
                    <w:rPr>
                      <w:rFonts w:ascii="Cambria Math" w:hAnsi="Cambria Math"/>
                      <w:sz w:val="22"/>
                    </w:rPr>
                    <m:t xml:space="preserve">L(D | R,T,β,</m:t>
                  </m:r>
                  <m:sSub>
                    <m:e>
                      <m:r>
                        <w:rPr>
                          <w:rFonts w:ascii="Cambria Math" w:hAnsi="Cambria Math"/>
                          <w:sz w:val="22"/>
                        </w:rPr>
                        <m:t xml:space="preserve">α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</w:rPr>
                        <m:t xml:space="preserve">k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</w:rPr>
                    <m:t xml:space="preserve">) π(T) π(β) dβ dT</m:t>
                  </m:r>
                </m:e>
              </m:nary>
            </m:e>
          </m:nary>
          <m:r>
            <w:rPr>
              <w:rFonts w:ascii="Cambria Math" w:hAnsi="Cambria Math"/>
              <w:sz w:val="22"/>
            </w:rPr>
            <m:t xml:space="preserve">     (10)</m:t>
          </m:r>
        </m:oMath>
      </m:oMathPara>
    </w:p>
    <w:p>
      <w:pPr>
        <w:widowControl/>
      </w:pPr>
      <m:oMath>
        <m:sSub>
          <m:e>
            <m:r>
              <w:rPr>
                <w:rFonts w:ascii="Cambria Math" w:hAnsi="Cambria Math"/>
                <w:sz w:val="22"/>
              </w:rPr>
              <m:t xml:space="preserve">α</m:t>
            </m:r>
          </m:e>
          <m:sub>
            <m:r>
              <w:rPr>
                <w:rFonts w:ascii="Cambria Math" w:hAnsi="Cambria Math"/>
                <w:sz w:val="22"/>
              </w:rPr>
              <m:t xml:space="preserve">k</m:t>
            </m:r>
          </m:sub>
        </m:sSub>
      </m:oMath>
      <w:r>
        <w:t xml:space="preserve"> 已包含該情境的 δ，</w:t>
      </w:r>
      <m:oMath>
        <m:sSub>
          <m:e>
            <m:r>
              <w:rPr>
                <w:rFonts w:ascii="Cambria Math" w:hAnsi="Cambria Math"/>
                <w:sz w:val="22"/>
              </w:rPr>
              <m:t xml:space="preserve">w</m:t>
            </m:r>
          </m:e>
          <m:sub>
            <m:r>
              <w:rPr>
                <w:rFonts w:ascii="Cambria Math" w:hAnsi="Cambria Math"/>
                <w:sz w:val="22"/>
              </w:rPr>
              <m:t xml:space="preserve">k</m:t>
            </m:r>
          </m:sub>
        </m:sSub>
      </m:oMath>
      <w:r>
        <w:t xml:space="preserve"> 為量測質量函數不確定性的求積權重。β 的積分重新評估原始 Poisson mixture，最佳背景值只用於數值縮放，不代替積分。高斯量測資訊只使用一次，不在節點權重外再乘同一份量測 likelihood。</w:t>
      </w:r>
    </w:p>
    <w:p>
      <w:pPr>
        <w:widowControl/>
      </w:pPr>
      <w:r>
        <w:t>舊 tilt 網格沒有經驗人口先驗時，各自報告條件式後驗。新版若資料對 R 與人口轉換仍有退化，應保留此退化並檢查先驗敏感度，而非藉由 MCMC 或邊際化宣稱退化已消失。</w:t>
      </w:r>
    </w:p>
    <w:p>
      <w:r>
        <w:br w:type="page"/>
      </w:r>
    </w:p>
    <w:p>
      <w:pPr>
        <w:pStyle w:val="Heading1"/>
      </w:pPr>
      <w:r>
        <w:t>九 結果摘要與模型診斷</w:t>
      </w:r>
    </w:p>
    <w:p>
      <w:pPr>
        <w:pStyle w:val="Heading2"/>
      </w:pPr>
      <w:r>
        <w:t>後驗分布與區間</w:t>
      </w:r>
    </w:p>
    <w:p>
      <w:pPr>
        <w:widowControl/>
      </w:pPr>
      <w:r>
        <w:t>保存一維 R、T 邊際密度及其聯合分布，報告中位數、中央 68% 與 95% 可信區間。分位數從分段線性密度積分求得，不使用離散節點的累積機率直接取代連續區間。若有多峰，保留完整分布與峰位置，因為中位數可能位於兩峰間的低密度區。</w:t>
      </w:r>
    </w:p>
    <w:p>
      <w:pPr>
        <w:widowControl/>
      </w:pPr>
      <w:r>
        <w:t>可信區間是給定先驗、資料與模型下的後驗範圍，不等於頻率派的信賴區間。人口最佳值的跨度也不是任一種區間。若分布持續靠近 MLR 或 T 的網格邊界，要明示截斷與求積解析度，不把先驗邊界製造的窄區間當成物理上限。</w:t>
      </w:r>
    </w:p>
    <w:p>
      <w:pPr>
        <w:pStyle w:val="Heading2"/>
      </w:pPr>
      <w:r>
        <w:t>可見星數與質量轉換</w:t>
      </w:r>
    </w:p>
    <w:p>
      <w:pPr>
        <w:keepLines/>
        <w:spacing w:before="60" w:after="180"/>
        <w:jc w:val="center"/>
      </w:pPr>
      <m:oMathPara>
        <m:oMath>
          <m:r>
            <w:rPr>
              <w:rFonts w:ascii="Cambria Math" w:hAnsi="Cambria Math"/>
              <w:sz w:val="22"/>
            </w:rPr>
            <m:t xml:space="preserve">η(R,T,α) = </m:t>
          </m:r>
          <m:f>
            <m:num>
              <m:sSub>
                <m:e>
                  <m:r>
                    <w:rPr>
                      <w:rFonts w:ascii="Cambria Math" w:hAnsi="Cambria Math"/>
                      <w:sz w:val="22"/>
                    </w:rPr>
                    <m:t xml:space="preserve">N</m:t>
                  </m:r>
                </m:e>
                <m:sub>
                  <m:r>
                    <w:rPr>
                      <w:rFonts w:ascii="Cambria Math" w:hAnsi="Cambria Math"/>
                      <w:sz w:val="22"/>
                    </w:rPr>
                    <m:t xml:space="preserve">selected</m:t>
                  </m:r>
                </m:sub>
              </m:sSub>
            </m:num>
            <m:den>
              <m:r>
                <w:rPr>
                  <w:rFonts w:ascii="Cambria Math" w:hAnsi="Cambria Math"/>
                  <w:sz w:val="22"/>
                </w:rPr>
                <m:t xml:space="preserve">R T</m:t>
              </m:r>
            </m:den>
          </m:f>
          <m:r>
            <w:rPr>
              <w:rFonts w:ascii="Cambria Math" w:hAnsi="Cambria Math"/>
              <w:sz w:val="22"/>
            </w:rPr>
            <m:t xml:space="preserve">     (11)</m:t>
          </m:r>
        </m:oMath>
      </m:oMathPara>
    </w:p>
    <w:p>
      <w:pPr>
        <w:widowControl/>
      </w:pPr>
      <w:r>
        <w:t>η 表示該模型窗口內，每單位所代表逃逸質量產生多少顆通過選星的星。它同時包含人口、動力學、視野、時間與觀測選擇，不是只由光度函數決定的固定常數。以共同 T 比較不同人口的 η，再檢查各最佳窗口，避免把不同窗口的星數直接當成相同量。</w:t>
      </w:r>
    </w:p>
    <w:p>
      <w:pPr>
        <w:pStyle w:val="Heading2"/>
      </w:pPr>
      <w:r>
        <w:t>空間殘差與相對吻合度</w:t>
      </w:r>
    </w:p>
    <w:p>
      <w:pPr>
        <w:widowControl/>
      </w:pPr>
      <w:r>
        <w:t>對代表性模型輸出觀測、擬合背景、訊號、總預期與 Pearson 殘差圖，並保持相同像素與色階。這些殘差使用校正狀態的平均預測，只供描述，不是顯著性地圖，也不等於 mixture likelihood 的 q。若要報絕對吻合度，需生成含背景與選擇程序的偽資料，重新擬合並校準統計量。</w:t>
      </w:r>
    </w:p>
    <w:p>
      <w:pPr>
        <w:widowControl/>
      </w:pPr>
      <w:r>
        <w:t>保留 q=2[ℓmax−ℓ(θ)] 與 profile 作為相對吻合度診斷，但不給 q 事後乘權重以偏好某個文獻數值。Pal 5 的既有約 5 M☉/Myr 估計可作外部比較；必須先對齊質量定義、觀測範圍與時間尺度，不能強制重現。</w:t>
      </w:r>
    </w:p>
    <w:p>
      <w:r>
        <w:br w:type="page"/>
      </w:r>
    </w:p>
    <w:p>
      <w:pPr>
        <w:pStyle w:val="Heading1"/>
      </w:pPr>
      <w:r>
        <w:t>十 驗證規範與報告條件</w:t>
      </w:r>
    </w:p>
    <w:p>
      <w:pPr>
        <w:widowControl/>
      </w:pPr>
      <w:r>
        <w:t>軟體測試通過只代表相應邏輯與數值檢查成立，不能取代對實際星團的科學驗證。正式解釋之前，須分別完成數值、觀測轉移、背景、人口與推論回收的檢查。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7143"/>
      </w:tblGrid>
      <w:tr>
        <w:trPr>
          <w:cantSplit/>
          <w:tblHeader/>
        </w:trPr>
        <w:tc>
          <w:tcPr>
            <w:tcW w:type="dxa" w:w="2494"/>
            <w:vAlign w:val="center"/>
            <w:shd w:fill="E7EE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/>
                <w:sz w:val="20"/>
              </w:rPr>
              <w:t>驗證項目</w:t>
            </w:r>
          </w:p>
        </w:tc>
        <w:tc>
          <w:tcPr>
            <w:tcW w:type="dxa" w:w="7143"/>
            <w:vAlign w:val="center"/>
            <w:shd w:fill="E7EE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/>
                <w:sz w:val="20"/>
              </w:rPr>
              <w:t>需要記錄的證據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動力學與窗口重用</w:t>
            </w:r>
          </w:p>
        </w:tc>
        <w:tc>
          <w:tcPr>
            <w:tcW w:type="dxa" w:w="714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獨立短窗口重跑；軌跡與權重差異；包版本與輸入雜湊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粒子與觀測求積</w:t>
            </w:r>
          </w:p>
        </w:tc>
        <w:tc>
          <w:tcPr>
            <w:tcW w:type="dxa" w:w="7143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2 倍及 4 倍粒子密度、獨立種子；較多觀測抽樣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人口及背景積分</w:t>
            </w:r>
          </w:p>
        </w:tc>
        <w:tc>
          <w:tcPr>
            <w:tcW w:type="dxa" w:w="714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MF 求積 5 點對較高階；β 先驗上界與積分容許誤差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模板取樣雜訊</w:t>
            </w:r>
          </w:p>
        </w:tc>
        <w:tc>
          <w:tcPr>
            <w:tcW w:type="dxa" w:w="7143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獨立動力學種子的像素誤差與尾巴遠段合併區域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觀測校正</w:t>
            </w:r>
          </w:p>
        </w:tc>
        <w:tc>
          <w:tcPr>
            <w:tcW w:type="dxa" w:w="714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母樣本保留集檢查；入表、可用率及品質通過率分開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背景與偽訊號</w:t>
            </w:r>
          </w:p>
        </w:tc>
        <w:tc>
          <w:tcPr>
            <w:tcW w:type="dxa" w:w="7143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控制區、替代背景形狀及重新擬合的偽資料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推論回收</w:t>
            </w:r>
          </w:p>
        </w:tc>
        <w:tc>
          <w:tcPr>
            <w:tcW w:type="dxa" w:w="714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已知真值、模型失配、偏差、區間行為及邊界敏感度</w:t>
            </w:r>
          </w:p>
        </w:tc>
      </w:tr>
    </w:tbl>
    <w:p>
      <w:pPr>
        <w:spacing w:after="20"/>
      </w:pPr>
    </w:p>
    <w:p>
      <w:pPr>
        <w:widowControl/>
      </w:pPr>
      <w:r>
        <w:t>模板雜訊先檢查累積占訊號前 90% 的像素，目標為模板平均的標準誤低於該像素 Poisson 尺度的十分之一；另外檢查事先定義的尾巴遠段合併區。這是數值診斷，不是只有總星數收斂就算通過，也不把少量種子估計的變異當成精確已知。</w:t>
      </w:r>
    </w:p>
    <w:p>
      <w:pPr>
        <w:widowControl/>
      </w:pPr>
      <w:r>
        <w:t>回收情境至少涵蓋：真值位於網格中間、接近邊界、尾巴接近偵測極限，以及 T 位於可辨識時間尺度以下與以上。再注入人口、背景、消光及軌道失配，檢查模型不正確時的偏差。貝葉斯可信區間與頻率派涵蓋率分開命名；可信區間本身不承諾逐真值的 95% 頻率涵蓋率。</w:t>
      </w:r>
    </w:p>
    <w:p>
      <w:pPr>
        <w:widowControl/>
      </w:pPr>
      <w:r>
        <w:t>只有人口質量定義與單位質量校驗、選擇校正支持範圍、背景控制、數值收斂及回收測試均有證據時，才討論可靠的絕對流失率。未通過者仍可報條件式分布或可觀測訊號星數，但必須保留限制。</w:t>
      </w:r>
    </w:p>
    <w:p>
      <w:r>
        <w:br w:type="page"/>
      </w:r>
    </w:p>
    <w:p>
      <w:pPr>
        <w:pStyle w:val="Heading1"/>
      </w:pPr>
      <w:r>
        <w:t>十一 執行狀態與可重現資料</w:t>
      </w:r>
    </w:p>
    <w:p>
      <w:pPr>
        <w:widowControl/>
      </w:pPr>
      <w:r>
        <w:t>本版對應已提交的邊際化與實測 MF 程式版本 09ee6a8。程式已通過 90 項軟體測試，包含背景積分與解析截斷 Gamma 解的比較、非均勻網格與分位數、人口符號與正規化，以及原生模板重分析。這不代表所有星團已完成物理驗證。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6463"/>
      </w:tblGrid>
      <w:tr>
        <w:trPr>
          <w:cantSplit/>
          <w:tblHeader/>
        </w:trPr>
        <w:tc>
          <w:tcPr>
            <w:tcW w:type="dxa" w:w="3175"/>
            <w:vAlign w:val="center"/>
            <w:shd w:fill="E7EE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/>
                <w:sz w:val="20"/>
              </w:rPr>
              <w:t>項目</w:t>
            </w:r>
          </w:p>
        </w:tc>
        <w:tc>
          <w:tcPr>
            <w:tcW w:type="dxa" w:w="6463"/>
            <w:vAlign w:val="center"/>
            <w:shd w:fill="E7EE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/>
                <w:sz w:val="20"/>
              </w:rPr>
              <w:t>本版記錄的狀態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舊人口模型的 Pal 5 與 NGC288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已有完整條件式網格，保留供方法比較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原始 likelihood 的邊際化</w:t>
            </w:r>
          </w:p>
        </w:tc>
        <w:tc>
          <w:tcPr>
            <w:tcW w:type="dxa" w:w="6463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已實作；Pal 5 舊人口情境的第一輪分析已產出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實測 MF 新人口模型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已建立；先處理 Pal 5，再接續 NGC288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新人口模型的完整後驗</w:t>
            </w:r>
          </w:p>
        </w:tc>
        <w:tc>
          <w:tcPr>
            <w:tcW w:type="dxa" w:w="6463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本版尚未全部完成，不列新的正式 MLR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其餘比較星團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依各自資料及模型審核排程；部分有缺資料或執行錯誤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20"/>
              </w:rPr>
              <w:t>絕對物理流失率與完整驗證</w:t>
            </w:r>
          </w:p>
        </w:tc>
        <w:tc>
          <w:tcPr>
            <w:tcW w:type="dxa" w:w="6463"/>
            <w:vAlign w:val="center"/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center"/>
            </w:pPr>
            <w:r>
              <w:rPr>
                <w:b w:val="0"/>
                <w:sz w:val="20"/>
              </w:rPr>
              <w:t>尚未宣稱完成</w:t>
            </w:r>
          </w:p>
        </w:tc>
      </w:tr>
    </w:tbl>
    <w:p>
      <w:pPr>
        <w:spacing w:after="20"/>
      </w:pPr>
    </w:p>
    <w:p>
      <w:pPr>
        <w:widowControl/>
      </w:pPr>
      <w:r>
        <w:t>本表為 2026 年 10 月 31 日編製時的狀態截點，不會隨背景程序自動更新。即時進度另讀取執行紀錄；不能將排入佇列、選星完成或動力學沿用，當成完整後驗與科學驗證均完成。</w:t>
      </w:r>
    </w:p>
    <w:p>
      <w:pPr>
        <w:pStyle w:val="Heading2"/>
      </w:pPr>
      <w:r>
        <w:t>保存與重現</w:t>
      </w:r>
    </w:p>
    <w:p>
      <w:pPr>
        <w:widowControl/>
      </w:pPr>
      <w:r>
        <w:t>每顆星團保存原始查詢與完整性紀錄、實際研究範圍、選星與遮罩、採用參數及其來源、等時線請求與回傳值、官方 MF 表快照及雜湊、母樣本校正、軟體與包版本、亂數種子、M(t)、釋放時間與質量代表量、預期訊號及背景、網格與後驗積分的凍結計畫。</w:t>
      </w:r>
    </w:p>
    <w:p>
      <w:pPr>
        <w:widowControl/>
      </w:pPr>
      <w:r>
        <w:t>新版輸出分別保存在 empirical_mf_v1 的各個 offset 情境；後驗報告包含明示先驗、積分誤差、密度陣列、區間與限制。舊結果不覆寫，不改來源標籤後混入新模型。不同求積階數或先驗支持使用新標籤，避免悄悄改寫同一個執行計畫。</w:t>
      </w:r>
    </w:p>
    <w:p>
      <w:pPr>
        <w:widowControl/>
      </w:pPr>
      <w:r>
        <w:t>本方法的主要限制仍包括：靜態銀河勢、固定星團尺度、採用軌道與消光、背景形狀、全域至逃逸人口的轉移，以及不可見質量外推。未來的時間變動逃逸模型與 N-body 對照，應另建模型版本並通過相同驗證。</w:t>
      </w:r>
    </w:p>
    <w:p>
      <w:r>
        <w:br w:type="page"/>
      </w:r>
    </w:p>
    <w:p>
      <w:pPr>
        <w:pStyle w:val="Heading1"/>
      </w:pPr>
      <w:r>
        <w:t>十二 參考文獻與資料來源</w:t>
      </w:r>
    </w:p>
    <w:p>
      <w:pPr>
        <w:keepLines/>
        <w:spacing w:after="160" w:line="259" w:lineRule="auto"/>
        <w:ind w:left="312" w:hanging="312"/>
      </w:pPr>
      <w:r>
        <w:rPr>
          <w:sz w:val="20"/>
        </w:rPr>
        <w:t>1. Baumgardt, H., et al. (2026 年 10 月 31 日存取). Galactic globular cluster database and structural parameters. 官方目錄與既有參數快照。</w:t>
      </w:r>
      <w:hyperlink r:id="rId11">
        <w:r>
          <w:rPr>
            <w:color w:val="245A81"/>
          </w:rPr>
          <w:t>　資料連結</w:t>
        </w:r>
      </w:hyperlink>
    </w:p>
    <w:p>
      <w:pPr>
        <w:keepLines/>
        <w:spacing w:after="160" w:line="259" w:lineRule="auto"/>
        <w:ind w:left="312" w:hanging="312"/>
      </w:pPr>
      <w:r>
        <w:rPr>
          <w:sz w:val="20"/>
        </w:rPr>
        <w:t>2. Bovy, J. (2015). galpy: A Python Library for Galactic Dynamics. ApJS, 216, 29.</w:t>
      </w:r>
      <w:hyperlink r:id="rId12">
        <w:r>
          <w:rPr>
            <w:color w:val="245A81"/>
          </w:rPr>
          <w:t>　資料連結</w:t>
        </w:r>
      </w:hyperlink>
    </w:p>
    <w:p>
      <w:pPr>
        <w:keepLines/>
        <w:spacing w:after="160" w:line="259" w:lineRule="auto"/>
        <w:ind w:left="312" w:hanging="312"/>
      </w:pPr>
      <w:r>
        <w:rPr>
          <w:sz w:val="20"/>
        </w:rPr>
        <w:t>3. Chen, Y., Valluri, M., Gnedin, O. Y., &amp; Ash, N. (2025). Improved particle spray algorithm for modeling globular cluster streams. arXiv:2408.01496v3，ApJS 接受稿。</w:t>
      </w:r>
      <w:hyperlink r:id="rId13">
        <w:r>
          <w:rPr>
            <w:color w:val="245A81"/>
          </w:rPr>
          <w:t>　資料連結</w:t>
        </w:r>
      </w:hyperlink>
    </w:p>
    <w:p>
      <w:pPr>
        <w:keepLines/>
        <w:spacing w:after="160" w:line="259" w:lineRule="auto"/>
        <w:ind w:left="312" w:hanging="312"/>
      </w:pPr>
      <w:r>
        <w:rPr>
          <w:sz w:val="20"/>
        </w:rPr>
        <w:t>4. Küpper, A. H. W., Kroupa, P., Baumgardt, H., &amp; Heggie, D. C. (2010). Tidal tails of star clusters. MNRAS, 401, 105.</w:t>
      </w:r>
      <w:hyperlink r:id="rId14">
        <w:r>
          <w:rPr>
            <w:color w:val="245A81"/>
          </w:rPr>
          <w:t>　資料連結</w:t>
        </w:r>
      </w:hyperlink>
    </w:p>
    <w:p>
      <w:pPr>
        <w:keepLines/>
        <w:spacing w:after="160" w:line="259" w:lineRule="auto"/>
        <w:ind w:left="312" w:hanging="312"/>
      </w:pPr>
      <w:r>
        <w:rPr>
          <w:sz w:val="20"/>
        </w:rPr>
        <w:t>5. Baumgardt, H., Hénault-Brunet, V., Dickson, N., &amp; Sollima, A. (2023). Evidence for a bottom-light initial mass function in massive star clusters. MNRAS, 521, 3991.</w:t>
      </w:r>
      <w:hyperlink r:id="rId15">
        <w:r>
          <w:rPr>
            <w:color w:val="245A81"/>
          </w:rPr>
          <w:t>　資料連結</w:t>
        </w:r>
      </w:hyperlink>
    </w:p>
    <w:p>
      <w:pPr>
        <w:keepLines/>
        <w:spacing w:after="160" w:line="259" w:lineRule="auto"/>
        <w:ind w:left="312" w:hanging="312"/>
      </w:pPr>
      <w:r>
        <w:rPr>
          <w:sz w:val="20"/>
        </w:rPr>
        <w:t>6. Chen, Y., Li, H., &amp; Gnedin, O. Y. (2025). Stellar streams reveal the mass loss of globular clusters. arXiv:2411.19899v2，ApJL 接受稿。</w:t>
      </w:r>
      <w:hyperlink r:id="rId16">
        <w:r>
          <w:rPr>
            <w:color w:val="245A81"/>
          </w:rPr>
          <w:t>　資料連結</w:t>
        </w:r>
      </w:hyperlink>
    </w:p>
    <w:p>
      <w:pPr>
        <w:keepLines/>
        <w:spacing w:after="160" w:line="259" w:lineRule="auto"/>
        <w:ind w:left="312" w:hanging="312"/>
      </w:pPr>
      <w:r>
        <w:rPr>
          <w:sz w:val="20"/>
        </w:rPr>
        <w:t>7. Chen, Y., Gnedin, O. Y., &amp; Price-Whelan, A. M. (2026). StarStream on Gaia: Stream discovery and mass loss rate of globular clusters. arXiv:2510.14924v2，ApJS 接受稿。</w:t>
      </w:r>
      <w:hyperlink r:id="rId17">
        <w:r>
          <w:rPr>
            <w:color w:val="245A81"/>
          </w:rPr>
          <w:t>　資料連結</w:t>
        </w:r>
      </w:hyperlink>
    </w:p>
    <w:p>
      <w:pPr>
        <w:keepLines/>
        <w:spacing w:after="160" w:line="259" w:lineRule="auto"/>
        <w:ind w:left="312" w:hanging="312"/>
      </w:pPr>
      <w:r>
        <w:rPr>
          <w:sz w:val="20"/>
        </w:rPr>
        <w:t>8. Bressan, A., et al. (2012). PARSEC: stellar tracks and isochrones with the PAdova and TRieste Stellar Evolution Code. MNRAS, 427, 127. 等時線由官方 CMD 3.8 服務取得。</w:t>
      </w:r>
      <w:hyperlink r:id="rId18">
        <w:r>
          <w:rPr>
            <w:color w:val="245A81"/>
          </w:rPr>
          <w:t>　資料連結</w:t>
        </w:r>
      </w:hyperlink>
      <w:hyperlink r:id="rId19">
        <w:r>
          <w:rPr>
            <w:color w:val="245A81"/>
          </w:rPr>
          <w:t>　CMD 服務</w:t>
        </w:r>
      </w:hyperlink>
    </w:p>
    <w:p>
      <w:pPr>
        <w:keepLines/>
        <w:spacing w:after="160" w:line="259" w:lineRule="auto"/>
        <w:ind w:left="312" w:hanging="312"/>
      </w:pPr>
      <w:r>
        <w:rPr>
          <w:sz w:val="20"/>
        </w:rPr>
        <w:t>9. Küpper, A. H. W., et al. (2015). Globular Cluster Streams as Galactic High-Precision Scales — The Poster Child Palomar 5. ApJ, 803, 80.</w:t>
      </w:r>
      <w:hyperlink r:id="rId20">
        <w:r>
          <w:rPr>
            <w:color w:val="245A81"/>
          </w:rPr>
          <w:t>　資料連結</w:t>
        </w:r>
      </w:hyperlink>
    </w:p>
    <w:p>
      <w:pPr>
        <w:keepLines/>
        <w:spacing w:after="160" w:line="259" w:lineRule="auto"/>
        <w:ind w:left="312" w:hanging="312"/>
      </w:pPr>
      <w:r>
        <w:rPr>
          <w:sz w:val="20"/>
        </w:rPr>
        <w:t>10. ESA Gaia Collaboration. (2026 年 10 月 31 日存取). Gaia Data Release 3 documentation. 官方資料與欄位說明。</w:t>
      </w:r>
      <w:hyperlink r:id="rId21">
        <w:r>
          <w:rPr>
            <w:color w:val="245A81"/>
          </w:rPr>
          <w:t>　資料連結</w:t>
        </w:r>
      </w:hyperlink>
    </w:p>
    <w:p>
      <w:pPr>
        <w:keepLines/>
        <w:spacing w:after="160" w:line="259" w:lineRule="auto"/>
        <w:ind w:left="312" w:hanging="312"/>
      </w:pPr>
      <w:r>
        <w:rPr>
          <w:sz w:val="20"/>
        </w:rPr>
        <w:t>11. GaiaUnlimited contributors. (2026 年 10 月 31 日存取). GaiaUnlimited documentation. 選擇函數與完整率工具。</w:t>
      </w:r>
      <w:hyperlink r:id="rId22">
        <w:r>
          <w:rPr>
            <w:color w:val="245A81"/>
          </w:rPr>
          <w:t>　資料連結</w:t>
        </w:r>
      </w:hyperlink>
    </w:p>
    <w:p>
      <w:pPr>
        <w:keepLines/>
        <w:spacing w:after="160" w:line="259" w:lineRule="auto"/>
        <w:ind w:left="312" w:hanging="312"/>
      </w:pPr>
      <w:r>
        <w:rPr>
          <w:sz w:val="20"/>
        </w:rPr>
        <w:t>12. VandenBerg, D. A., Brogaard, K., Leaman, R., &amp; Casagrande, L. (2013). The Ages of 55 Globular Clusters as Determined Using an Improved Method Along with Color–Magnitude Diagram Constraints, and Their Implications for Broader Issues. ApJ, 775, 134.</w:t>
      </w:r>
      <w:hyperlink r:id="rId23">
        <w:r>
          <w:rPr>
            <w:color w:val="245A81"/>
          </w:rPr>
          <w:t>　資料連結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方法版本 5　｜　2026 年 10 月 31 日　｜　第 </w:t>
    </w:r>
    <w:fldSimple w:instr="PAGE"/>
    <w:r>
      <w:rPr>
        <w:sz w:val="16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000000"/>
        <w:sz w:val="16"/>
      </w:rPr>
      <w:t>球狀星團潮汐尾與質量流失率研究方法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Microsoft JhengHei" w:hAnsi="Microsoft JhengHei" w:eastAsia="Microsoft Jheng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18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0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Microsoft JhengHei" w:hAnsi="Microsoft JhengHei" w:eastAsia="Microsoft Jheng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people.smp.uq.edu.au/HolgerBaumgardt/globular/parameter.html" TargetMode="External"/><Relationship Id="rId12" Type="http://schemas.openxmlformats.org/officeDocument/2006/relationships/hyperlink" Target="https://doi.org/10.1088/0067-0049/216/2/29" TargetMode="External"/><Relationship Id="rId13" Type="http://schemas.openxmlformats.org/officeDocument/2006/relationships/hyperlink" Target="https://arxiv.org/abs/2408.01496v3" TargetMode="External"/><Relationship Id="rId14" Type="http://schemas.openxmlformats.org/officeDocument/2006/relationships/hyperlink" Target="https://arxiv.org/abs/0909.2619" TargetMode="External"/><Relationship Id="rId15" Type="http://schemas.openxmlformats.org/officeDocument/2006/relationships/hyperlink" Target="https://arxiv.org/abs/2303.01636" TargetMode="External"/><Relationship Id="rId16" Type="http://schemas.openxmlformats.org/officeDocument/2006/relationships/hyperlink" Target="https://arxiv.org/abs/2411.19899v2" TargetMode="External"/><Relationship Id="rId17" Type="http://schemas.openxmlformats.org/officeDocument/2006/relationships/hyperlink" Target="https://arxiv.org/abs/2510.14924v2" TargetMode="External"/><Relationship Id="rId18" Type="http://schemas.openxmlformats.org/officeDocument/2006/relationships/hyperlink" Target="https://arxiv.org/abs/1208.4498" TargetMode="External"/><Relationship Id="rId19" Type="http://schemas.openxmlformats.org/officeDocument/2006/relationships/hyperlink" Target="https://stev.oapd.inaf.it/cgi-bin/cmd_3.8" TargetMode="External"/><Relationship Id="rId20" Type="http://schemas.openxmlformats.org/officeDocument/2006/relationships/hyperlink" Target="https://arxiv.org/abs/1502.02658" TargetMode="External"/><Relationship Id="rId21" Type="http://schemas.openxmlformats.org/officeDocument/2006/relationships/hyperlink" Target="https://www.cosmos.esa.int/web/gaia/dr3" TargetMode="External"/><Relationship Id="rId22" Type="http://schemas.openxmlformats.org/officeDocument/2006/relationships/hyperlink" Target="https://gaiaunlimited.readthedocs.io/" TargetMode="External"/><Relationship Id="rId23" Type="http://schemas.openxmlformats.org/officeDocument/2006/relationships/hyperlink" Target="https://arxiv.org/abs/1308.22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球狀星團潮汐尾與質量流失率研究方法</dc:title>
  <dc:subject>國際科展研究方法 實測質量函數與貝葉斯邊際化</dc:subject>
  <dc:creator/>
  <cp:keywords>Gaia DR3, globular cluster, particle spray, mass loss rate</cp:keywords>
  <dc:description>方法版本 5；不將軟體驗證或條件式後驗宣稱為正式物理測量。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