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widowControl/>
        <w:spacing w:before="0" w:after="120" w:line="269" w:lineRule="auto"/>
        <w:jc w:val="center"/>
        <w:rPr/>
      </w:pPr>
      <w:r>
        <w:rPr>
          <w:rFonts w:ascii="Times New Roman" w:hAnsi="Times New Roman" w:eastAsia="新細明體"/>
          <w:b/>
          <w:color w:val="000000"/>
          <w:sz w:val="38"/>
        </w:rPr>
        <w:t>球狀星團潮汐尾與質量流失率研究方法</w:t>
      </w:r>
    </w:p>
    <w:p>
      <w:pPr>
        <w:pStyle w:val="Heading1"/>
        <w:keepNext/>
        <w:widowControl/>
        <w:spacing w:lineRule="auto" w:line="269" w:before="120" w:after="60"/>
        <w:rPr/>
      </w:pPr>
      <w:r>
        <w:rPr>
          <w:rFonts w:ascii="Times New Roman" w:hAnsi="Times New Roman" w:cs="Gungsuh" w:eastAsia="新細明體"/>
          <w:b/>
          <w:bCs/>
          <w:color w:val="000000"/>
          <w:sz w:val="30"/>
          <w:szCs w:val="32"/>
        </w:rPr>
        <w:t>參、研究過程或方法</w:t>
      </w:r>
    </w:p>
    <w:p>
      <w:pPr>
        <w:pStyle w:val="Heading2"/>
        <w:keepNext/>
        <w:widowControl/>
        <w:spacing w:lineRule="auto" w:line="269" w:before="120" w:after="60"/>
        <w:rPr/>
      </w:pPr>
      <w:r>
        <w:rPr>
          <w:rFonts w:ascii="Times New Roman" w:hAnsi="Times New Roman" w:cs="Gungsuh" w:eastAsia="新細明體"/>
          <w:b/>
          <w:bCs/>
          <w:color w:val="000000"/>
          <w:sz w:val="26"/>
          <w:szCs w:val="28"/>
        </w:rPr>
        <w:t>一、研究流程</w:t>
      </w:r>
    </w:p>
    <w:p>
      <w:pPr>
        <w:pStyle w:val="normal1"/>
        <w:widowControl/>
        <w:spacing w:lineRule="auto" w:line="269" w:before="0" w:after="60"/>
        <w:ind w:firstLine="480"/>
        <w:jc w:val="both"/>
        <w:rPr/>
      </w:pPr>
      <w:r>
        <w:rPr>
          <w:rFonts w:ascii="Times New Roman" w:hAnsi="Times New Roman" w:eastAsia="新細明體"/>
          <w:color w:val="000000"/>
          <w:sz w:val="24"/>
        </w:rPr>
        <w:t>本研究結合 Gaia 第三次資料釋出（Data Release 3，DR3）恆星計數、粒子噴灑與恆星人口模型，推論所代表存活恆星的平均質量流失率。研究流程見圖一；各項驗證的完成狀態與條件式估計分開記錄。</w:t>
      </w:r>
    </w:p>
    <w:p>
      <w:pPr>
        <w:keepNext/>
        <w:widowControl/>
        <w:spacing w:line="269" w:lineRule="auto" w:before="0" w:after="0"/>
        <w:ind w:firstLine="0"/>
        <w:jc w:val="center"/>
      </w:pPr>
      <w:r>
        <w:drawing>
          <wp:inline xmlns:a="http://schemas.openxmlformats.org/drawingml/2006/main">
            <wp:extent cx="5760720" cy="1305763"/>
            <wp:docPr id="1" name="Picture 1"/>
            <wp:cNvGraphicFramePr>
              <a:graphicFrameLocks noChangeAspect="1"/>
            </wp:cNvGraphicFramePr>
            <a:graphic>
              <a:graphicData uri="http://schemas.openxmlformats.org/drawingml/2006/picture">
                <pic:pic>
                  <pic:nvPicPr>
                    <pic:cNvPr id="0" name="workflow.png"/>
                    <pic:cNvPicPr/>
                  </pic:nvPicPr>
                  <pic:blipFill>
                    <a:blip r:embed="rId8"/>
                    <a:stretch>
                      <a:fillRect/>
                    </a:stretch>
                  </pic:blipFill>
                  <pic:spPr>
                    <a:xfrm>
                      <a:off x="0" y="0"/>
                      <a:ext cx="5760720" cy="1305763"/>
                    </a:xfrm>
                    <a:prstGeom prst="rect"/>
                  </pic:spPr>
                </pic:pic>
              </a:graphicData>
            </a:graphic>
          </wp:inline>
        </w:drawing>
      </w:r>
    </w:p>
    <w:p>
      <w:pPr>
        <w:widowControl/>
        <w:spacing w:line="269" w:lineRule="auto" w:before="0" w:after="60"/>
        <w:ind w:firstLine="0"/>
        <w:jc w:val="center"/>
      </w:pPr>
      <w:r>
        <w:rPr>
          <w:rFonts w:ascii="Times New Roman" w:hAnsi="Times New Roman" w:eastAsia="新細明體"/>
          <w:color w:val="000000"/>
          <w:sz w:val="20"/>
        </w:rPr>
        <w:t>圖一　研究流程　觀測與模擬經相同選星程序後，以星數模型比較。</w:t>
      </w:r>
    </w:p>
    <w:p>
      <w:pPr>
        <w:pStyle w:val="Heading2"/>
        <w:keepNext/>
        <w:widowControl/>
        <w:spacing w:lineRule="auto" w:line="269" w:before="120" w:after="60"/>
        <w:rPr/>
      </w:pPr>
      <w:r>
        <w:rPr>
          <w:rFonts w:ascii="Times New Roman" w:hAnsi="Times New Roman" w:cs="Gungsuh" w:eastAsia="新細明體"/>
          <w:b/>
          <w:bCs/>
          <w:color w:val="000000"/>
          <w:sz w:val="26"/>
          <w:szCs w:val="28"/>
        </w:rPr>
        <w:t>二、研究樣本與參數定義</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（一）比較樣本</w:t>
      </w:r>
    </w:p>
    <w:p>
      <w:pPr>
        <w:pStyle w:val="normal1"/>
        <w:widowControl/>
        <w:spacing w:lineRule="auto" w:line="269" w:before="0" w:after="60"/>
        <w:ind w:firstLine="480"/>
        <w:jc w:val="both"/>
        <w:rPr/>
      </w:pPr>
      <w:r>
        <w:rPr>
          <w:rFonts w:ascii="Times New Roman" w:hAnsi="Times New Roman" w:eastAsia="新細明體"/>
          <w:color w:val="000000"/>
          <w:sz w:val="24"/>
        </w:rPr>
        <w:t>比較樣本共 29 個：ESO 452-SC11、NGC 288、NGC 362、NGC 1851、NGC 2298、NGC 3201、NGC 5466、NGC 6093（M80）、NGC 6121（M4）、NGC 6139、NGC 6341（M92）、NGC 6366、NGC 6397、NGC 7099（M30）、Pal 5、NGC 5904（M5）、NGC 6144、NGC 6171（M107）、NGC 6535、NGC 5139（ω Cen）、NGC 5286、NGC 6266（M62）、NGC 6273（M19）、NGC 6304、NGC 6355、NGC 6541、NGC 6656（M22）、NGC 7078（M15）與 NGC 7089（M2）。以 Pal 5 與 NGC 288 說明人口設定；其餘逐一審核資料，不共用這兩者的校正，也不預設 29 個星團皆已完成推論。</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（二）參數定義</w:t>
      </w:r>
    </w:p>
    <w:p>
      <w:pPr>
        <w:pStyle w:val="normal1"/>
        <w:widowControl/>
        <w:spacing w:lineRule="auto" w:line="269" w:before="0" w:after="60"/>
        <w:ind w:firstLine="480"/>
        <w:jc w:val="both"/>
        <w:rPr/>
      </w:pPr>
      <w:r>
        <w:rPr>
          <w:rFonts w:ascii="Times New Roman" w:hAnsi="Times New Roman" w:cs="Gungsuh" w:eastAsia="新細明體"/>
          <w:color w:val="000000"/>
          <w:sz w:val="24"/>
        </w:rPr>
        <w:t xml:space="preserve">以星團相空間目錄的參考時刻為 </w:t>
      </w:r>
      <w:r>
        <w:rPr>
          <w:rFonts w:eastAsia="新細明體" w:cs="Gungsuh" w:ascii="Times New Roman" w:hAnsi="Times New Roman"/>
          <w:color w:val="000000"/>
          <w:sz w:val="24"/>
        </w:rPr>
        <w:t>t</w:t>
      </w:r>
      <w:r>
        <w:rPr>
          <w:rFonts w:ascii="Times New Roman" w:hAnsi="Times New Roman" w:cs="Gungsuh" w:eastAsia="新細明體"/>
          <w:color w:val="000000"/>
          <w:sz w:val="24"/>
        </w:rPr>
        <w:t>＝</w:t>
      </w:r>
      <w:r>
        <w:rPr>
          <w:rFonts w:eastAsia="新細明體" w:cs="Gungsuh" w:ascii="Times New Roman" w:hAnsi="Times New Roman"/>
          <w:color w:val="000000"/>
          <w:sz w:val="24"/>
        </w:rPr>
        <w:t>0</w:t>
      </w:r>
      <w:r>
        <w:rPr>
          <w:rFonts w:ascii="Times New Roman" w:hAnsi="Times New Roman" w:cs="Gungsuh" w:eastAsia="新細明體"/>
          <w:color w:val="000000"/>
          <w:sz w:val="24"/>
        </w:rPr>
        <w:t xml:space="preserve">，過去時間記為 </w:t>
      </w:r>
      <w:r>
        <w:rPr>
          <w:rFonts w:eastAsia="新細明體" w:cs="Gungsuh" w:ascii="Times New Roman" w:hAnsi="Times New Roman"/>
          <w:color w:val="000000"/>
          <w:sz w:val="24"/>
        </w:rPr>
        <w:t>t</w:t>
      </w:r>
      <w:r>
        <w:rPr>
          <w:rFonts w:ascii="Times New Roman" w:hAnsi="Times New Roman" w:cs="Gungsuh" w:eastAsia="新細明體"/>
          <w:color w:val="000000"/>
          <w:sz w:val="24"/>
        </w:rPr>
        <w:t>＜</w:t>
      </w:r>
      <w:r>
        <w:rPr>
          <w:rFonts w:eastAsia="新細明體" w:cs="Gungsuh" w:ascii="Times New Roman" w:hAnsi="Times New Roman"/>
          <w:color w:val="000000"/>
          <w:sz w:val="24"/>
        </w:rPr>
        <w:t>0</w:t>
      </w:r>
      <w:r>
        <w:rPr>
          <w:rFonts w:ascii="Times New Roman" w:hAnsi="Times New Roman" w:cs="Gungsuh" w:eastAsia="新細明體"/>
          <w:color w:val="000000"/>
          <w:sz w:val="24"/>
        </w:rPr>
        <w:t>，回溯範圍為 −</w:t>
      </w:r>
      <w:r>
        <w:rPr>
          <w:rFonts w:eastAsia="新細明體" w:cs="Gungsuh" w:ascii="Times New Roman" w:hAnsi="Times New Roman"/>
          <w:color w:val="000000"/>
          <w:sz w:val="24"/>
        </w:rPr>
        <w:t>T≤t≤0</w:t>
      </w:r>
      <w:r>
        <w:rPr>
          <w:rFonts w:ascii="Times New Roman" w:hAnsi="Times New Roman" w:cs="Gungsuh" w:eastAsia="新細明體"/>
          <w:color w:val="000000"/>
          <w:sz w:val="24"/>
        </w:rPr>
        <w:t>。</w:t>
      </w:r>
      <w:r>
        <w:rPr>
          <w:rFonts w:eastAsia="新細明體" w:cs="Gungsuh" w:ascii="Times New Roman" w:hAnsi="Times New Roman"/>
          <w:color w:val="000000"/>
          <w:sz w:val="24"/>
        </w:rPr>
        <w:t xml:space="preserve">T </w:t>
      </w:r>
      <w:r>
        <w:rPr>
          <w:rFonts w:ascii="Times New Roman" w:hAnsi="Times New Roman" w:cs="Gungsuh" w:eastAsia="新細明體"/>
          <w:color w:val="000000"/>
          <w:sz w:val="24"/>
        </w:rPr>
        <w:t>表示模型涵蓋的逃逸歷史長度，與星團形成至今的年齡不同。</w:t>
      </w:r>
    </w:p>
    <w:p>
      <w:pPr>
        <w:pStyle w:val="normal1"/>
        <w:keepNext/>
        <w:widowControl/>
        <w:spacing w:lineRule="auto" w:line="269" w:before="0" w:after="60"/>
        <w:ind w:firstLine="480"/>
        <w:jc w:val="both"/>
        <w:rPr/>
      </w:pPr>
      <w:r>
        <w:rPr>
          <w:rFonts w:ascii="Times New Roman" w:hAnsi="Times New Roman" w:eastAsia="新細明體"/>
          <w:color w:val="000000"/>
          <w:sz w:val="24"/>
        </w:rPr>
        <w:t>平均質量流失率 R 定義為</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r>
            <m:t xml:space="preserve">R</m:t>
          </m:r>
          <m:r>
            <m:rPr>
              <m:lit/>
              <m:nor/>
            </m:rPr>
            <m:t xml:space="preserve"> </m:t>
          </m:r>
          <m:r>
            <m:rPr>
              <m:lit/>
              <m:nor/>
            </m:rPr>
            <m:t xml:space="preserve">=</m:t>
          </m:r>
          <m:r>
            <m:rPr>
              <m:lit/>
              <m:nor/>
            </m:rPr>
            <m:t xml:space="preserve"> </m:t>
          </m:r>
          <m:f>
            <m:num>
              <m:r>
                <m:t xml:space="preserve">1</m:t>
              </m:r>
            </m:num>
            <m:den>
              <m:r>
                <m:t xml:space="preserve">T</m:t>
              </m:r>
            </m:den>
          </m:f>
          <m:nary>
            <m:naryPr>
              <m:chr m:val="∫"/>
            </m:naryPr>
            <m:sub>
              <m:r>
                <m:t xml:space="preserve">−</m:t>
              </m:r>
              <m:r>
                <m:t xml:space="preserve">T</m:t>
              </m:r>
            </m:sub>
            <m:sup>
              <m:r>
                <m:t xml:space="preserve">0</m:t>
              </m:r>
            </m:sup>
            <m:e>
              <m:sSub>
                <m:e>
                  <m:r>
                    <m:t xml:space="preserve">Ṁ</m:t>
                  </m:r>
                </m:e>
                <m:sub>
                  <m:r>
                    <m:t xml:space="preserve">esc</m:t>
                  </m:r>
                </m:sub>
              </m:sSub>
              <m:r>
                <m:t xml:space="preserve">(</m:t>
              </m:r>
              <m:r>
                <m:t xml:space="preserve">t</m:t>
              </m:r>
              <m:r>
                <m:t xml:space="preserve">)</m:t>
              </m:r>
              <m:r>
                <m:rPr>
                  <m:lit/>
                  <m:nor/>
                </m:rPr>
                <m:t xml:space="preserve"> </m:t>
              </m:r>
              <m:r>
                <m:t xml:space="preserve">dt</m:t>
              </m:r>
              <m:r>
                <m:t xml:space="preserve">,</m:t>
              </m:r>
              <m:r>
                <m:rPr>
                  <m:lit/>
                  <m:nor/>
                </m:rPr>
                <m:t xml:space="preserve"> </m:t>
              </m:r>
              <m:r>
                <m:rPr>
                  <m:lit/>
                  <m:nor/>
                </m:rPr>
                <m:t xml:space="preserve"> </m:t>
              </m:r>
              <m:r>
                <m:rPr>
                  <m:lit/>
                  <m:nor/>
                </m:rPr>
                <m:t xml:space="preserve"> </m:t>
              </m:r>
              <m:sSub>
                <m:e>
                  <m:r>
                    <m:t xml:space="preserve">Ṁ</m:t>
                  </m:r>
                </m:e>
                <m:sub>
                  <m:r>
                    <m:t xml:space="preserve">esc</m:t>
                  </m:r>
                </m:sub>
              </m:sSub>
              <m:r>
                <m:t xml:space="preserve">(</m:t>
              </m:r>
              <m:r>
                <m:t xml:space="preserve">t</m:t>
              </m:r>
              <m:r>
                <m:t xml:space="preserve">)</m:t>
              </m:r>
              <m:r>
                <m:rPr>
                  <m:lit/>
                  <m:nor/>
                </m:rPr>
                <m:t xml:space="preserve"> </m:t>
              </m:r>
              <m:r>
                <m:t xml:space="preserve">≥</m:t>
              </m:r>
              <m:r>
                <m:rPr>
                  <m:lit/>
                  <m:nor/>
                </m:rPr>
                <m:t xml:space="preserve"> </m:t>
              </m:r>
              <m:r>
                <m:t xml:space="preserve">0</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1</m:t>
              </m:r>
              <m:r>
                <m:t xml:space="preserve">)</m:t>
              </m:r>
            </m:e>
          </m:nary>
        </m:oMath>
      </m:oMathPara>
    </w:p>
    <w:p>
      <w:pPr>
        <w:pStyle w:val="normal1"/>
        <w:widowControl/>
        <w:spacing w:lineRule="auto" w:line="269" w:before="0" w:after="60"/>
        <w:ind w:firstLine="480"/>
        <w:jc w:val="both"/>
        <w:rPr/>
      </w:pPr>
      <w:r>
        <w:rPr>
          <w:rFonts w:ascii="Times New Roman" w:hAnsi="Times New Roman" w:eastAsia="新細明體"/>
          <w:color w:val="000000"/>
          <w:sz w:val="24"/>
        </w:rPr>
        <w:t>R 的單位為 M☉/Myr。本研究的「質量流失率」專指模型所代表存活恆星的平均逃逸質量率，不含氣體形式的恆星演化損失。基準採恆定率，因此瞬時率與回溯窗口平均率相同。</w:t>
      </w:r>
    </w:p>
    <w:p>
      <w:pPr>
        <w:widowControl/>
        <w:spacing w:line="269" w:lineRule="auto" w:before="0" w:after="60"/>
      </w:pPr>
      <w:r>
        <w:rPr>
          <w:rFonts w:ascii="Times New Roman" w:hAnsi="Times New Roman" w:eastAsia="新細明體"/>
          <w:color w:val="000000"/>
          <w:sz w:val="24"/>
        </w:rPr>
        <w:t>總動力學質量、人口模型所代表質量與可見星質量分別記錄。人口權重與 f 不重複補正暗星、殘骸或未涵蓋質量區間。</w:t>
      </w:r>
    </w:p>
    <w:p>
      <w:pPr>
        <w:pStyle w:val="normal1"/>
        <w:keepNext/>
        <w:widowControl/>
        <w:spacing w:lineRule="auto" w:line="269" w:before="0" w:after="60"/>
        <w:ind w:firstLine="480"/>
        <w:jc w:val="both"/>
        <w:rPr/>
      </w:pPr>
      <w:r>
        <w:rPr>
          <w:rFonts w:ascii="Times New Roman" w:hAnsi="Times New Roman" w:eastAsia="新細明體"/>
          <w:color w:val="000000"/>
          <w:sz w:val="24"/>
        </w:rPr>
        <w:t xml:space="preserve">以 </w:t>
      </w:r>
      <w:r>
        <w:rPr>
          <w:rFonts w:ascii="Times New Roman" w:hAnsi="Times New Roman" w:eastAsia="新細明體"/>
          <w:i/>
          <w:color w:val="000000"/>
          <w:sz w:val="24"/>
        </w:rPr>
        <w:t>M</w:t>
      </w:r>
      <w:r>
        <w:rPr>
          <w:rFonts w:ascii="Times New Roman" w:hAnsi="Times New Roman" w:eastAsia="新細明體"/>
          <w:color w:val="000000"/>
          <w:sz w:val="24"/>
          <w:vertAlign w:val="subscript"/>
        </w:rPr>
        <w:t>dyn,0</w:t>
      </w:r>
      <w:r>
        <w:rPr>
          <w:rFonts w:ascii="Times New Roman" w:hAnsi="Times New Roman" w:eastAsia="新細明體"/>
          <w:color w:val="000000"/>
          <w:sz w:val="24"/>
        </w:rPr>
        <w:t xml:space="preserve"> 為現今星團總動力學質量，過去的質量歷史設定為</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sSub>
            <m:e>
              <m:r>
                <m:t xml:space="preserve">M</m:t>
              </m:r>
            </m:e>
            <m:sub>
              <m:r>
                <m:t xml:space="preserve">dyn</m:t>
              </m:r>
            </m:sub>
          </m:sSub>
          <m:r>
            <m:t xml:space="preserve">(</m:t>
          </m:r>
          <m:r>
            <m:t xml:space="preserve">t</m:t>
          </m:r>
          <m:r>
            <m:t xml:space="preserve">)</m:t>
          </m:r>
          <m:r>
            <m:rPr>
              <m:lit/>
              <m:nor/>
            </m:rPr>
            <m:t xml:space="preserve"> </m:t>
          </m:r>
          <m:r>
            <m:rPr>
              <m:lit/>
              <m:nor/>
            </m:rPr>
            <m:t xml:space="preserve">=</m:t>
          </m:r>
          <m:r>
            <m:rPr>
              <m:lit/>
              <m:nor/>
            </m:rPr>
            <m:t xml:space="preserve"> </m:t>
          </m:r>
          <m:sSub>
            <m:e>
              <m:r>
                <m:t xml:space="preserve">M</m:t>
              </m:r>
            </m:e>
            <m:sub>
              <m:r>
                <m:t xml:space="preserve">dyn</m:t>
              </m:r>
              <m:r>
                <m:t xml:space="preserve">,</m:t>
              </m:r>
              <m:r>
                <m:t xml:space="preserve">0</m:t>
              </m:r>
            </m:sub>
          </m:sSub>
          <m:r>
            <m:rPr>
              <m:lit/>
              <m:nor/>
            </m:rPr>
            <m:t xml:space="preserve"> </m:t>
          </m:r>
          <m:r>
            <m:rPr>
              <m:lit/>
              <m:nor/>
            </m:rPr>
            <m:t xml:space="preserve">+</m:t>
          </m:r>
          <m:r>
            <m:rPr>
              <m:lit/>
              <m:nor/>
            </m:rPr>
            <m:t xml:space="preserve"> </m:t>
          </m:r>
          <m:r>
            <m:t xml:space="preserve">f</m:t>
          </m:r>
          <m:r>
            <m:rPr>
              <m:lit/>
              <m:nor/>
            </m:rPr>
            <m:t xml:space="preserve"> </m:t>
          </m:r>
          <m:r>
            <m:t xml:space="preserve">R</m:t>
          </m:r>
          <m:r>
            <m:rPr>
              <m:lit/>
              <m:nor/>
            </m:rPr>
            <m:t xml:space="preserve"> </m:t>
          </m:r>
          <m:r>
            <m:rPr>
              <m:lit/>
              <m:nor/>
            </m:rPr>
            <m:t xml:space="preserve">|</m:t>
          </m:r>
          <m:r>
            <m:t xml:space="preserve">t</m:t>
          </m:r>
          <m:r>
            <m:rPr>
              <m:lit/>
              <m:nor/>
            </m:rPr>
            <m:t xml:space="preserve">|</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2</m:t>
          </m:r>
          <m:r>
            <m:t xml:space="preserve">)</m:t>
          </m:r>
        </m:oMath>
      </m:oMathPara>
    </w:p>
    <w:p>
      <w:pPr>
        <w:pStyle w:val="normal1"/>
        <w:keepNext/>
        <w:widowControl/>
        <w:spacing w:lineRule="auto" w:line="269" w:before="0" w:after="60"/>
        <w:ind w:firstLine="0"/>
        <w:jc w:val="center"/>
        <w:rPr/>
      </w:pPr>
      <w:r>
        <w:rPr>
          <w:rFonts w:ascii="Times New Roman" w:hAnsi="Times New Roman" w:cs="Gungsuh" w:eastAsia="新細明體"/>
          <w:b/>
          <w:bCs/>
          <w:color w:val="000000"/>
          <w:sz w:val="22"/>
          <w:szCs w:val="22"/>
        </w:rPr>
        <w:t>表二　符號與定義</w:t>
      </w:r>
    </w:p>
    <w:tbl>
      <w:tblPr>
        <w:tblStyle w:val="Table2"/>
        <w:tblW w:w="9216" w:type="dxa"/>
        <w:jc w:val="center"/>
        <w:tblInd w:w="0" w:type="dxa"/>
        <w:tblLayout w:type="fixed"/>
        <w:tblCellMar>
          <w:top w:w="80" w:type="dxa"/>
          <w:start w:w="100" w:type="dxa"/>
          <w:bottom w:w="80" w:type="dxa"/>
          <w:end w:w="100" w:type="dxa"/>
        </w:tblCellMar>
        <w:tblLook w:val="0400"/>
        <w:tblBorders>
          <w:top w:val="single" w:sz="6" w:color="D9D9D9"/>
          <w:left w:val="single" w:sz="6" w:color="D9D9D9"/>
          <w:bottom w:val="single" w:sz="6" w:color="D9D9D9"/>
          <w:right w:val="single" w:sz="6" w:color="D9D9D9"/>
          <w:insideH w:val="single" w:sz="6" w:color="D9D9D9"/>
          <w:insideV w:val="single" w:sz="6" w:color="D9D9D9"/>
        </w:tblBorders>
      </w:tblPr>
      <w:tblGrid>
        <w:gridCol w:w="907"/>
        <w:gridCol w:w="4876"/>
        <w:gridCol w:w="3402"/>
      </w:tblGrid>
      <w:tr>
        <w:trPr>
          <w:tblHeader w:val="true"/>
          <w:cantSplit w:val="true"/>
        </w:trPr>
        <w:tc>
          <w:tcPr>
            <w:tcW w:w="907"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符號</w:t>
            </w:r>
          </w:p>
        </w:tc>
        <w:tc>
          <w:tcPr>
            <w:tcW w:w="4876"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定義</w:t>
            </w:r>
          </w:p>
        </w:tc>
        <w:tc>
          <w:tcPr>
            <w:tcW w:w="3402"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單位或範圍</w:t>
            </w:r>
          </w:p>
        </w:tc>
      </w:tr>
      <w:tr>
        <w:trPr>
          <w:cantSplit w:val="true"/>
        </w:trPr>
        <w:tc>
          <w:tcPr>
            <w:tcW w:w="907"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R</w:t>
            </w:r>
          </w:p>
        </w:tc>
        <w:tc>
          <w:tcPr>
            <w:tcW w:w="4876"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所代表存活恆星的平均質量流失率</w:t>
            </w:r>
          </w:p>
        </w:tc>
        <w:tc>
          <w:tcPr>
            <w:tcW w:w="3402"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ascii="Times New Roman" w:hAnsi="Times New Roman"/>
                <w:color w:val="000000"/>
                <w:sz w:val="22"/>
                <w:szCs w:val="20"/>
              </w:rPr>
              <w:t>M☉/Myr</w:t>
            </w:r>
          </w:p>
        </w:tc>
      </w:tr>
      <w:tr>
        <w:trPr>
          <w:cantSplit w:val="true"/>
        </w:trPr>
        <w:tc>
          <w:tcPr>
            <w:tcW w:w="907"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T</w:t>
            </w:r>
          </w:p>
        </w:tc>
        <w:tc>
          <w:tcPr>
            <w:tcW w:w="4876"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回溯時間長度</w:t>
            </w:r>
          </w:p>
        </w:tc>
        <w:tc>
          <w:tcPr>
            <w:tcW w:w="3402"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ascii="Times New Roman" w:hAnsi="Times New Roman"/>
                <w:color w:val="000000"/>
                <w:sz w:val="22"/>
                <w:szCs w:val="20"/>
              </w:rPr>
              <w:t>Myr</w:t>
            </w:r>
          </w:p>
        </w:tc>
      </w:tr>
      <w:tr>
        <w:trPr>
          <w:cantSplit w:val="true"/>
        </w:trPr>
        <w:tc>
          <w:tcPr>
            <w:tcW w:w="907"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eastAsia="新細明體"/>
                <w:color w:val="000000"/>
                <w:sz w:val="22"/>
              </w:rPr>
            </w:r>
            <m:oMathPara xmlns:m="http://schemas.openxmlformats.org/officeDocument/2006/math">
              <m:oMathParaPr>
                <m:jc m:val="center"/>
              </m:oMathParaPr>
              <m:oMath>
                <m:sSub>
                  <m:e>
                    <m:r>
                      <m:t xml:space="preserve">M</m:t>
                    </m:r>
                  </m:e>
                  <m:sub>
                    <m:r>
                      <m:t xml:space="preserve">dyn</m:t>
                    </m:r>
                  </m:sub>
                </m:sSub>
              </m:oMath>
            </m:oMathPara>
          </w:p>
        </w:tc>
        <w:tc>
          <w:tcPr>
            <w:tcW w:w="4876"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星團總動力學質量</w:t>
            </w:r>
          </w:p>
        </w:tc>
        <w:tc>
          <w:tcPr>
            <w:tcW w:w="3402"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ascii="Times New Roman" w:hAnsi="Times New Roman"/>
                <w:color w:val="000000"/>
                <w:sz w:val="22"/>
                <w:szCs w:val="20"/>
              </w:rPr>
              <w:t>M☉</w:t>
            </w:r>
          </w:p>
        </w:tc>
      </w:tr>
      <w:tr>
        <w:trPr>
          <w:cantSplit w:val="true"/>
        </w:trPr>
        <w:tc>
          <w:tcPr>
            <w:tcW w:w="907"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a</w:t>
            </w:r>
          </w:p>
        </w:tc>
        <w:tc>
          <w:tcPr>
            <w:tcW w:w="4876"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 xml:space="preserve">Plummer </w:t>
            </w:r>
            <w:r>
              <w:rPr>
                <w:rFonts w:ascii="Times New Roman" w:hAnsi="Times New Roman" w:cs="Gungsuh" w:eastAsia="新細明體"/>
                <w:color w:val="000000"/>
                <w:sz w:val="22"/>
                <w:szCs w:val="20"/>
              </w:rPr>
              <w:t>尺度半徑</w:t>
            </w:r>
          </w:p>
        </w:tc>
        <w:tc>
          <w:tcPr>
            <w:tcW w:w="3402"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ascii="Times New Roman" w:hAnsi="Times New Roman"/>
                <w:color w:val="000000"/>
                <w:sz w:val="22"/>
                <w:szCs w:val="20"/>
              </w:rPr>
              <w:t>pc</w:t>
            </w:r>
          </w:p>
        </w:tc>
      </w:tr>
      <w:tr>
        <w:trPr>
          <w:cantSplit w:val="true"/>
        </w:trPr>
        <w:tc>
          <w:tcPr>
            <w:tcW w:w="907"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β</w:t>
            </w:r>
          </w:p>
        </w:tc>
        <w:tc>
          <w:tcPr>
            <w:tcW w:w="4876"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背景星數正規化</w:t>
            </w:r>
          </w:p>
        </w:tc>
        <w:tc>
          <w:tcPr>
            <w:tcW w:w="3402"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無因次</w:t>
            </w:r>
          </w:p>
        </w:tc>
      </w:tr>
      <w:tr>
        <w:trPr>
          <w:cantSplit w:val="true"/>
        </w:trPr>
        <w:tc>
          <w:tcPr>
            <w:tcW w:w="907"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eastAsia="新細明體"/>
                <w:color w:val="000000"/>
                <w:sz w:val="22"/>
              </w:rPr>
            </w:r>
            <m:oMathPara xmlns:m="http://schemas.openxmlformats.org/officeDocument/2006/math">
              <m:oMathParaPr>
                <m:jc m:val="center"/>
              </m:oMathParaPr>
              <m:oMath>
                <m:sSub>
                  <m:e>
                    <m:r>
                      <m:t xml:space="preserve">α</m:t>
                    </m:r>
                  </m:e>
                  <m:sub>
                    <m:r>
                      <m:t xml:space="preserve">GC</m:t>
                    </m:r>
                  </m:sub>
                </m:sSub>
              </m:oMath>
            </m:oMathPara>
          </w:p>
        </w:tc>
        <w:tc>
          <w:tcPr>
            <w:tcW w:w="4876"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母星團全域現今質量函數斜率</w:t>
            </w:r>
          </w:p>
        </w:tc>
        <w:tc>
          <w:tcPr>
            <w:tcW w:w="3402"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冪次斜率</w:t>
            </w:r>
          </w:p>
        </w:tc>
      </w:tr>
      <w:tr>
        <w:trPr>
          <w:cantSplit w:val="true"/>
        </w:trPr>
        <w:tc>
          <w:tcPr>
            <w:tcW w:w="907"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δ</w:t>
            </w:r>
          </w:p>
        </w:tc>
        <w:tc>
          <w:tcPr>
            <w:tcW w:w="4876"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逃逸人口與母星團人口的斜率差</w:t>
            </w:r>
          </w:p>
        </w:tc>
        <w:tc>
          <w:tcPr>
            <w:tcW w:w="3402"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0</w:t>
            </w:r>
            <w:r>
              <w:rPr>
                <w:rFonts w:ascii="Times New Roman" w:hAnsi="Times New Roman" w:cs="Gungsuh" w:eastAsia="新細明體"/>
                <w:color w:val="000000"/>
                <w:sz w:val="22"/>
                <w:szCs w:val="20"/>
              </w:rPr>
              <w:t>、−</w:t>
            </w:r>
            <w:r>
              <w:rPr>
                <w:rFonts w:eastAsia="新細明體" w:cs="Gungsuh" w:ascii="Times New Roman" w:hAnsi="Times New Roman"/>
                <w:color w:val="000000"/>
                <w:sz w:val="22"/>
                <w:szCs w:val="20"/>
              </w:rPr>
              <w:t>0.5</w:t>
            </w:r>
            <w:r>
              <w:rPr>
                <w:rFonts w:ascii="Times New Roman" w:hAnsi="Times New Roman" w:cs="Gungsuh" w:eastAsia="新細明體"/>
                <w:color w:val="000000"/>
                <w:sz w:val="22"/>
                <w:szCs w:val="20"/>
              </w:rPr>
              <w:t>、−</w:t>
            </w:r>
            <w:r>
              <w:rPr>
                <w:rFonts w:eastAsia="新細明體" w:cs="Gungsuh" w:ascii="Times New Roman" w:hAnsi="Times New Roman"/>
                <w:color w:val="000000"/>
                <w:sz w:val="22"/>
                <w:szCs w:val="20"/>
              </w:rPr>
              <w:t>1</w:t>
            </w:r>
            <w:r>
              <w:rPr>
                <w:rFonts w:ascii="Times New Roman" w:hAnsi="Times New Roman" w:cs="Gungsuh" w:eastAsia="新細明體"/>
                <w:color w:val="000000"/>
                <w:sz w:val="22"/>
                <w:szCs w:val="20"/>
              </w:rPr>
              <w:t>；分開分析</w:t>
            </w:r>
          </w:p>
        </w:tc>
      </w:tr>
      <w:tr>
        <w:trPr>
          <w:cantSplit w:val="true"/>
        </w:trPr>
        <w:tc>
          <w:tcPr>
            <w:tcW w:w="907"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f</w:t>
            </w:r>
          </w:p>
        </w:tc>
        <w:tc>
          <w:tcPr>
            <w:tcW w:w="4876"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總動力學逃逸質量損失率與 R 的比值</w:t>
            </w:r>
          </w:p>
        </w:tc>
        <w:tc>
          <w:tcPr>
            <w:tcW w:w="3402"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 xml:space="preserve">基準假設為 </w:t>
            </w:r>
            <w:r>
              <w:rPr>
                <w:rFonts w:eastAsia="新細明體" w:cs="Gungsuh" w:ascii="Times New Roman" w:hAnsi="Times New Roman"/>
                <w:color w:val="000000"/>
                <w:sz w:val="22"/>
                <w:szCs w:val="20"/>
              </w:rPr>
              <w:t>1</w:t>
            </w:r>
          </w:p>
        </w:tc>
      </w:tr>
    </w:tbl>
    <w:p>
      <w:pPr>
        <w:pStyle w:val="Heading2"/>
        <w:keepNext/>
        <w:widowControl/>
        <w:spacing w:lineRule="auto" w:line="269" w:before="120" w:after="60"/>
        <w:rPr/>
      </w:pPr>
      <w:r>
        <w:rPr>
          <w:rFonts w:ascii="Times New Roman" w:hAnsi="Times New Roman" w:cs="Gungsuh" w:eastAsia="新細明體"/>
          <w:b/>
          <w:bCs/>
          <w:color w:val="000000"/>
          <w:sz w:val="26"/>
          <w:szCs w:val="28"/>
        </w:rPr>
        <w:t>三、觀測資料與選星程序</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（一）星團參數與觀測資料</w:t>
      </w:r>
    </w:p>
    <w:p>
      <w:pPr>
        <w:pStyle w:val="normal1"/>
        <w:widowControl/>
        <w:spacing w:lineRule="auto" w:line="269" w:before="0" w:after="60"/>
        <w:ind w:firstLine="480"/>
        <w:jc w:val="both"/>
        <w:rPr/>
      </w:pPr>
      <w:r>
        <w:rPr>
          <w:rFonts w:ascii="Times New Roman" w:hAnsi="Times New Roman" w:eastAsia="新細明體"/>
          <w:color w:val="000000"/>
          <w:sz w:val="24"/>
        </w:rPr>
        <w:t>中心、距離、自行、視向速度、現今質量與三維半質量半徑取自 Baumgardt 目錄快照 [1]；年齡、金屬量與消光另記文獻來源 [12]。Gaia DR3 觀測場保存實際查詢半徑、選星條件、缺失區域與來源雜湊，區分規劃視野與實際取得的資料。</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（二）背景與研究像素</w:t>
      </w:r>
    </w:p>
    <w:p>
      <w:pPr>
        <w:pStyle w:val="normal1"/>
        <w:widowControl/>
        <w:spacing w:lineRule="auto" w:line="269" w:before="0" w:after="60"/>
        <w:ind w:firstLine="480"/>
        <w:jc w:val="both"/>
        <w:rPr/>
      </w:pPr>
      <w:r>
        <w:rPr>
          <w:rFonts w:ascii="Times New Roman" w:hAnsi="Times New Roman" w:eastAsia="新細明體"/>
          <w:color w:val="000000"/>
          <w:sz w:val="24"/>
        </w:rPr>
        <w:t>將候選星投影至星團中心的切平面，在固定網格中統計整數星數。觀測、背景與訊號共用遮罩，並以互不重疊的 4×4 像素區塊加總；邊界依實際有效像素處理，不插值觀測星數。</w:t>
      </w:r>
    </w:p>
    <w:p>
      <w:pPr>
        <w:pStyle w:val="normal1"/>
        <w:widowControl/>
        <w:spacing w:lineRule="auto" w:line="269" w:before="0" w:after="60"/>
        <w:ind w:firstLine="480"/>
        <w:jc w:val="both"/>
        <w:rPr/>
      </w:pPr>
      <w:r>
        <w:rPr>
          <w:rFonts w:ascii="Times New Roman" w:hAnsi="Times New Roman" w:eastAsia="新細明體"/>
          <w:color w:val="000000"/>
          <w:sz w:val="24"/>
        </w:rPr>
        <w:t>背景空間形狀由場星估計並固定，以 β 調整正規化。β 的不確定性不涵蓋背景形狀誤差；後者須以獨立控制區及替代背景模型檢查。</w:t>
      </w:r>
    </w:p>
    <w:p>
      <w:pPr>
        <w:pStyle w:val="Heading2"/>
        <w:keepNext/>
        <w:widowControl/>
        <w:spacing w:lineRule="auto" w:line="269" w:before="120" w:after="60"/>
        <w:rPr/>
      </w:pPr>
      <w:r>
        <w:rPr>
          <w:rFonts w:ascii="Times New Roman" w:hAnsi="Times New Roman" w:cs="Gungsuh" w:eastAsia="新細明體"/>
          <w:b/>
          <w:bCs/>
          <w:color w:val="000000"/>
          <w:sz w:val="26"/>
          <w:szCs w:val="28"/>
        </w:rPr>
        <w:t>四、動力學模型與逃逸粒子</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（一）銀河勢與星團軌道</w:t>
      </w:r>
    </w:p>
    <w:p>
      <w:pPr>
        <w:pStyle w:val="normal1"/>
        <w:widowControl/>
        <w:spacing w:lineRule="auto" w:line="269" w:before="0" w:after="60"/>
        <w:ind w:firstLine="480"/>
        <w:jc w:val="both"/>
        <w:rPr/>
      </w:pPr>
      <w:r>
        <w:rPr>
          <w:rFonts w:ascii="Times New Roman" w:hAnsi="Times New Roman" w:eastAsia="新細明體"/>
          <w:color w:val="000000"/>
          <w:sz w:val="24"/>
        </w:rPr>
        <w:t>以 galpy 1.12.0 的 MWPotential2014 為基準銀河勢 [2]，由現今六維座標回溯星團軌道，再將粒子積分至參考時刻。保存太陽位置與速度、座標、單位、積分容許誤差及實際套件版本。基準單位尺度為 8 kpc 與 220 km/s。</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（二）星團引力勢</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sSub>
            <m:e>
              <m:r>
                <m:t xml:space="preserve">Φ</m:t>
              </m:r>
            </m:e>
            <m:sub>
              <m:r>
                <m:t xml:space="preserve">GC</m:t>
              </m:r>
            </m:sub>
          </m:sSub>
          <m:r>
            <m:t xml:space="preserve">(</m:t>
          </m:r>
          <m:r>
            <m:t xml:space="preserve">r</m:t>
          </m:r>
          <m:r>
            <m:t xml:space="preserve">,</m:t>
          </m:r>
          <m:r>
            <m:t xml:space="preserve">t</m:t>
          </m:r>
          <m:r>
            <m:t xml:space="preserve">)</m:t>
          </m:r>
          <m:r>
            <m:rPr>
              <m:lit/>
              <m:nor/>
            </m:rPr>
            <m:t xml:space="preserve"> </m:t>
          </m:r>
          <m:r>
            <m:rPr>
              <m:lit/>
              <m:nor/>
            </m:rPr>
            <m:t xml:space="preserve">=</m:t>
          </m:r>
          <m:r>
            <m:rPr>
              <m:lit/>
              <m:nor/>
            </m:rPr>
            <m:t xml:space="preserve"> </m:t>
          </m:r>
          <m:r>
            <m:t xml:space="preserve">−</m:t>
          </m:r>
          <m:f>
            <m:num>
              <m:r>
                <m:t xml:space="preserve">G</m:t>
              </m:r>
              <m:r>
                <m:rPr>
                  <m:lit/>
                  <m:nor/>
                </m:rPr>
                <m:t xml:space="preserve"> </m:t>
              </m:r>
              <m:sSub>
                <m:e>
                  <m:r>
                    <m:t xml:space="preserve">M</m:t>
                  </m:r>
                </m:e>
                <m:sub>
                  <m:r>
                    <m:t xml:space="preserve">dyn</m:t>
                  </m:r>
                </m:sub>
              </m:sSub>
              <m:r>
                <m:t xml:space="preserve">(</m:t>
              </m:r>
              <m:r>
                <m:t xml:space="preserve">t</m:t>
              </m:r>
              <m:r>
                <m:t xml:space="preserve">)</m:t>
              </m:r>
            </m:num>
            <m:den>
              <m:rad>
                <m:radPr>
                  <m:degHide m:val="1"/>
                </m:radPr>
                <m:deg/>
                <m:e>
                  <m:sSup>
                    <m:e>
                      <m:r>
                        <m:t xml:space="preserve">r</m:t>
                      </m:r>
                    </m:e>
                    <m:sup>
                      <m:r>
                        <m:t xml:space="preserve">2</m:t>
                      </m:r>
                    </m:sup>
                  </m:sSup>
                  <m:r>
                    <m:rPr>
                      <m:lit/>
                      <m:nor/>
                    </m:rPr>
                    <m:t xml:space="preserve"> </m:t>
                  </m:r>
                  <m:r>
                    <m:rPr>
                      <m:lit/>
                      <m:nor/>
                    </m:rPr>
                    <m:t xml:space="preserve">+</m:t>
                  </m:r>
                  <m:r>
                    <m:rPr>
                      <m:lit/>
                      <m:nor/>
                    </m:rPr>
                    <m:t xml:space="preserve"> </m:t>
                  </m:r>
                  <m:sSup>
                    <m:e>
                      <m:r>
                        <m:t xml:space="preserve">a</m:t>
                      </m:r>
                    </m:e>
                    <m:sup>
                      <m:r>
                        <m:t xml:space="preserve">2</m:t>
                      </m:r>
                    </m:sup>
                  </m:sSup>
                </m:e>
              </m:rad>
            </m:den>
          </m:f>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3</m:t>
          </m:r>
          <m:r>
            <m:t xml:space="preserve">)</m:t>
          </m:r>
        </m:oMath>
      </m:oMathPara>
    </w:p>
    <w:p>
      <w:pPr>
        <w:pStyle w:val="normal1"/>
        <w:widowControl/>
        <w:spacing w:lineRule="auto" w:line="269" w:before="0" w:after="60"/>
        <w:ind w:firstLine="480"/>
        <w:jc w:val="both"/>
        <w:rPr/>
      </w:pPr>
      <w:r>
        <w:rPr>
          <w:rFonts w:ascii="Times New Roman" w:hAnsi="Times New Roman" w:eastAsia="新細明體"/>
          <w:color w:val="000000"/>
          <w:sz w:val="24"/>
        </w:rPr>
        <w:t xml:space="preserve">其中 r 為距星團中心的三維距離，G 為重力常數。Plummer 模型的三維半質量半徑與尺度半徑關係為 </w:t>
      </w:r>
      <m:oMath xmlns:m="http://schemas.openxmlformats.org/officeDocument/2006/math">
        <m:sSub>
          <m:e>
            <m:r>
              <m:t xml:space="preserve">r</m:t>
            </m:r>
          </m:e>
          <m:sub>
            <m:r>
              <m:t xml:space="preserve">hm</m:t>
            </m:r>
          </m:sub>
        </m:sSub>
      </m:oMath>
      <w:r>
        <w:rPr>
          <w:rFonts w:ascii="Times New Roman" w:hAnsi="Times New Roman" w:eastAsia="新細明體"/>
          <w:color w:val="000000"/>
          <w:sz w:val="24"/>
        </w:rPr>
        <w:t>≈1.305a。基準固定 a，質量依式（2）變化；f＝1 為所代表人口與動力學逃逸質量率相同的條件假設。</w:t>
      </w:r>
    </w:p>
    <w:p>
      <w:pPr>
        <w:widowControl/>
        <w:spacing w:line="269" w:lineRule="auto" w:before="0" w:after="60"/>
      </w:pPr>
      <w:r>
        <w:rPr>
          <w:rFonts w:ascii="Times New Roman" w:hAnsi="Times New Roman" w:eastAsia="新細明體"/>
          <w:color w:val="000000"/>
          <w:sz w:val="24"/>
        </w:rPr>
        <w:t xml:space="preserve">以 </w:t>
      </w:r>
      <w:r>
        <w:rPr>
          <w:rFonts w:ascii="Times New Roman" w:hAnsi="Times New Roman" w:eastAsia="新細明體"/>
          <w:i/>
          <w:color w:val="000000"/>
          <w:sz w:val="24"/>
        </w:rPr>
        <w:t>M</w:t>
      </w:r>
      <w:r>
        <w:rPr>
          <w:rFonts w:ascii="Times New Roman" w:hAnsi="Times New Roman" w:eastAsia="新細明體"/>
          <w:color w:val="000000"/>
          <w:sz w:val="24"/>
          <w:vertAlign w:val="subscript"/>
        </w:rPr>
        <w:t>dyn</w:t>
      </w:r>
      <w:r>
        <w:rPr>
          <w:rFonts w:ascii="Times New Roman" w:hAnsi="Times New Roman" w:eastAsia="新細明體"/>
          <w:color w:val="000000"/>
          <w:sz w:val="24"/>
        </w:rPr>
        <w:t>(−T)/</w:t>
      </w:r>
      <w:r>
        <w:rPr>
          <w:rFonts w:ascii="Times New Roman" w:hAnsi="Times New Roman" w:eastAsia="新細明體"/>
          <w:i/>
          <w:color w:val="000000"/>
          <w:sz w:val="24"/>
        </w:rPr>
        <w:t>M</w:t>
      </w:r>
      <w:r>
        <w:rPr>
          <w:rFonts w:ascii="Times New Roman" w:hAnsi="Times New Roman" w:eastAsia="新細明體"/>
          <w:color w:val="000000"/>
          <w:sz w:val="24"/>
          <w:vertAlign w:val="subscript"/>
        </w:rPr>
        <w:t>dyn,0</w:t>
      </w:r>
      <w:r>
        <w:rPr>
          <w:rFonts w:ascii="Times New Roman" w:hAnsi="Times New Roman" w:eastAsia="新細明體"/>
          <w:color w:val="000000"/>
          <w:sz w:val="24"/>
        </w:rPr>
        <w:t xml:space="preserve"> 檢查固定尺度近似。Pal 5 採 </w:t>
      </w:r>
      <w:r>
        <w:rPr>
          <w:rFonts w:ascii="Times New Roman" w:hAnsi="Times New Roman" w:eastAsia="新細明體"/>
          <w:i/>
          <w:color w:val="000000"/>
          <w:sz w:val="24"/>
        </w:rPr>
        <w:t>M</w:t>
      </w:r>
      <w:r>
        <w:rPr>
          <w:rFonts w:ascii="Times New Roman" w:hAnsi="Times New Roman" w:eastAsia="新細明體"/>
          <w:color w:val="000000"/>
          <w:sz w:val="24"/>
          <w:vertAlign w:val="subscript"/>
        </w:rPr>
        <w:t>dyn,0</w:t>
      </w:r>
      <w:r>
        <w:rPr>
          <w:rFonts w:ascii="Times New Roman" w:hAnsi="Times New Roman" w:eastAsia="新細明體"/>
          <w:color w:val="000000"/>
          <w:sz w:val="24"/>
        </w:rPr>
        <w:t>＝13400 M☉、f＝1 時，R＝31 M☉/Myr、T＝2000 Myr 對應約 5.63 倍現今質量；此不自動違反物理，但結構演化近似須驗證。排除規則須有獨立依據，不得依擬合結果事後裁切。</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（三）粒子噴灑的物理範圍</w:t>
      </w:r>
    </w:p>
    <w:p>
      <w:pPr>
        <w:pStyle w:val="normal1"/>
        <w:widowControl/>
        <w:spacing w:lineRule="auto" w:line="269" w:before="0" w:after="60"/>
        <w:ind w:firstLine="480"/>
        <w:jc w:val="both"/>
        <w:rPr/>
      </w:pPr>
      <w:r>
        <w:rPr>
          <w:rFonts w:ascii="Times New Roman" w:hAnsi="Times New Roman" w:eastAsia="新細明體"/>
          <w:color w:val="000000"/>
          <w:sz w:val="24"/>
        </w:rPr>
        <w:t>以 galpy 的 chen24spraydf，依 Chen 等人的 N-body 校準分布抽取逃逸位置與速度 [3]，在銀河與星團聯合勢中積分（圖二）。模型指定逃逸率，忽略示蹤粒子間引力、動力摩擦與星團反衝。潮汐尾中的局部密度峰也可能由運動學上的堆積造成 [4]。</w:t>
      </w:r>
    </w:p>
    <w:p>
      <w:pPr>
        <w:keepNext/>
        <w:widowControl/>
        <w:spacing w:line="269" w:lineRule="auto" w:before="0" w:after="0"/>
        <w:ind w:firstLine="0"/>
        <w:jc w:val="center"/>
      </w:pPr>
      <w:r>
        <w:drawing>
          <wp:inline xmlns:a="http://schemas.openxmlformats.org/drawingml/2006/main">
            <wp:extent cx="5760720" cy="1113739"/>
            <wp:docPr id="2" name="Picture 2"/>
            <wp:cNvGraphicFramePr>
              <a:graphicFrameLocks noChangeAspect="1"/>
            </wp:cNvGraphicFramePr>
            <a:graphic>
              <a:graphicData uri="http://schemas.openxmlformats.org/drawingml/2006/picture">
                <pic:pic>
                  <pic:nvPicPr>
                    <pic:cNvPr id="0" name="spray.png"/>
                    <pic:cNvPicPr/>
                  </pic:nvPicPr>
                  <pic:blipFill>
                    <a:blip r:embed="rId9"/>
                    <a:stretch>
                      <a:fillRect/>
                    </a:stretch>
                  </pic:blipFill>
                  <pic:spPr>
                    <a:xfrm>
                      <a:off x="0" y="0"/>
                      <a:ext cx="5760720" cy="1113739"/>
                    </a:xfrm>
                    <a:prstGeom prst="rect"/>
                  </pic:spPr>
                </pic:pic>
              </a:graphicData>
            </a:graphic>
          </wp:inline>
        </w:drawing>
      </w:r>
    </w:p>
    <w:p>
      <w:pPr>
        <w:widowControl/>
        <w:spacing w:line="269" w:lineRule="auto" w:before="0" w:after="60"/>
        <w:ind w:firstLine="0"/>
        <w:jc w:val="center"/>
      </w:pPr>
      <w:r>
        <w:rPr>
          <w:rFonts w:ascii="Times New Roman" w:hAnsi="Times New Roman" w:eastAsia="新細明體"/>
          <w:color w:val="000000"/>
          <w:sz w:val="20"/>
        </w:rPr>
        <w:t>圖二　粒子噴灑示意　非比例、非擬合結果；位置與速度由校準分布抽樣。</w:t>
      </w:r>
    </w:p>
    <w:p>
      <w:pPr>
        <w:pStyle w:val="Heading2"/>
        <w:keepNext/>
        <w:widowControl/>
        <w:spacing w:lineRule="auto" w:line="269" w:before="120" w:after="60"/>
        <w:rPr/>
      </w:pPr>
      <w:r>
        <w:rPr>
          <w:rFonts w:ascii="Times New Roman" w:hAnsi="Times New Roman" w:cs="Gungsuh" w:eastAsia="新細明體"/>
          <w:b/>
          <w:bCs/>
          <w:color w:val="000000"/>
          <w:sz w:val="26"/>
          <w:szCs w:val="28"/>
        </w:rPr>
        <w:t>五、回溯時間與數值取樣</w:t>
      </w:r>
    </w:p>
    <w:p>
      <w:pPr>
        <w:pStyle w:val="normal1"/>
        <w:keepNext/>
        <w:widowControl/>
        <w:spacing w:lineRule="auto" w:line="269" w:before="0" w:after="60"/>
        <w:ind w:firstLine="480"/>
        <w:jc w:val="both"/>
        <w:rPr/>
      </w:pPr>
      <w:r>
        <w:rPr>
          <w:rFonts w:ascii="Times New Roman" w:hAnsi="Times New Roman" w:eastAsia="新細明體"/>
          <w:color w:val="000000"/>
          <w:sz w:val="24"/>
        </w:rPr>
        <w:t>每 0.25 Myr 為一個釋放時間層，層內均勻抽取時刻，前、後尾各放置一顆示蹤粒子，等分該層逃逸質量。釋放間隔與積分器步長分開設定。每顆粒子的質量權重為</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sSub>
            <m:e>
              <m:r>
                <m:t xml:space="preserve">w</m:t>
              </m:r>
            </m:e>
            <m:sub>
              <m:r>
                <m:t xml:space="preserve">i</m:t>
              </m:r>
            </m:sub>
          </m:sSub>
          <m:r>
            <m:rPr>
              <m:lit/>
              <m:nor/>
            </m:rPr>
            <m:t xml:space="preserve"> </m:t>
          </m:r>
          <m:r>
            <m:rPr>
              <m:lit/>
              <m:nor/>
            </m:rPr>
            <m:t xml:space="preserve">=</m:t>
          </m:r>
          <m:r>
            <m:rPr>
              <m:lit/>
              <m:nor/>
            </m:rPr>
            <m:t xml:space="preserve"> </m:t>
          </m:r>
          <m:f>
            <m:num>
              <m:r>
                <m:t xml:space="preserve">R</m:t>
              </m:r>
              <m:r>
                <m:rPr>
                  <m:lit/>
                  <m:nor/>
                </m:rPr>
                <m:t xml:space="preserve"> </m:t>
              </m:r>
              <m:r>
                <m:t xml:space="preserve">Δt</m:t>
              </m:r>
            </m:num>
            <m:den>
              <m:r>
                <m:t xml:space="preserve">2</m:t>
              </m:r>
            </m:den>
          </m:f>
          <m:r>
            <m:t xml:space="preserve">,</m:t>
          </m:r>
          <m:r>
            <m:rPr>
              <m:lit/>
              <m:nor/>
            </m:rPr>
            <m:t xml:space="preserve"> </m:t>
          </m:r>
          <m:r>
            <m:rPr>
              <m:lit/>
              <m:nor/>
            </m:rPr>
            <m:t xml:space="preserve"> </m:t>
          </m:r>
          <m:r>
            <m:rPr>
              <m:lit/>
              <m:nor/>
            </m:rPr>
            <m:t xml:space="preserve"> </m:t>
          </m:r>
          <m:r>
            <m:rPr>
              <m:lit/>
              <m:nor/>
            </m:rPr>
            <m:t xml:space="preserve"> </m:t>
          </m:r>
          <m:nary>
            <m:naryPr>
              <m:chr m:val="∑"/>
            </m:naryPr>
            <m:sub>
              <m:r>
                <m:t xml:space="preserve">i</m:t>
              </m:r>
            </m:sub>
            <m:sup>
              <m:r>
                <m:t xml:space="preserve">N</m:t>
              </m:r>
            </m:sup>
            <m:e>
              <m:sSub>
                <m:e>
                  <m:r>
                    <m:t xml:space="preserve">w</m:t>
                  </m:r>
                </m:e>
                <m:sub>
                  <m:r>
                    <m:t xml:space="preserve">i</m:t>
                  </m:r>
                </m:sub>
              </m:sSub>
              <m:r>
                <m:rPr>
                  <m:lit/>
                  <m:nor/>
                </m:rPr>
                <m:t xml:space="preserve"> </m:t>
              </m:r>
              <m:r>
                <m:rPr>
                  <m:lit/>
                  <m:nor/>
                </m:rPr>
                <m:t xml:space="preserve">=</m:t>
              </m:r>
              <m:r>
                <m:rPr>
                  <m:lit/>
                  <m:nor/>
                </m:rPr>
                <m:t xml:space="preserve"> </m:t>
              </m:r>
              <m:r>
                <m:t xml:space="preserve">R</m:t>
              </m:r>
              <m:r>
                <m:rPr>
                  <m:lit/>
                  <m:nor/>
                </m:rPr>
                <m:t xml:space="preserve"> </m:t>
              </m:r>
              <m:r>
                <m:t xml:space="preserve">T</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4</m:t>
              </m:r>
              <m:r>
                <m:t xml:space="preserve">)</m:t>
              </m:r>
            </m:e>
          </m:nary>
        </m:oMath>
      </m:oMathPara>
    </w:p>
    <w:p>
      <w:pPr>
        <w:pStyle w:val="normal1"/>
        <w:widowControl/>
        <w:spacing w:lineRule="auto" w:line="269" w:before="0" w:after="60"/>
        <w:ind w:firstLine="480"/>
        <w:jc w:val="both"/>
        <w:rPr/>
      </w:pPr>
      <w:r>
        <w:rPr>
          <w:rFonts w:ascii="Times New Roman" w:hAnsi="Times New Roman" w:eastAsia="新細明體"/>
          <w:color w:val="000000"/>
          <w:sz w:val="24"/>
        </w:rPr>
        <w:t xml:space="preserve">其中 </w:t>
      </w:r>
      <w:r>
        <w:rPr>
          <w:rFonts w:ascii="Times New Roman" w:hAnsi="Times New Roman" w:eastAsia="新細明體"/>
          <w:i/>
          <w:color w:val="000000"/>
          <w:sz w:val="24"/>
        </w:rPr>
        <w:t>w</w:t>
      </w:r>
      <w:r>
        <w:rPr>
          <w:rFonts w:ascii="Times New Roman" w:hAnsi="Times New Roman" w:eastAsia="新細明體"/>
          <w:color w:val="000000"/>
          <w:sz w:val="24"/>
          <w:vertAlign w:val="subscript"/>
        </w:rPr>
        <w:t>i</w:t>
      </w:r>
      <w:r>
        <w:rPr>
          <w:rFonts w:ascii="Times New Roman" w:hAnsi="Times New Roman" w:eastAsia="新細明體"/>
          <w:color w:val="000000"/>
          <w:sz w:val="24"/>
        </w:rPr>
        <w:t xml:space="preserve"> 為第 i 粒子的代表質量，Δt 為釋放時間層寬度，N 為窗口內總粒子數。每組 R 與亂數種子只需積分一次最大回溯時間；較短 T 取 t≥−T 的子集，保留原權重、不重新正規化，並以獨立短窗口重跑驗證。不同 R 改變質量歷史，仍須分別積分。</w:t>
      </w:r>
    </w:p>
    <w:p>
      <w:pPr>
        <w:pStyle w:val="normal1"/>
        <w:widowControl/>
        <w:spacing w:lineRule="auto" w:line="269" w:before="0" w:after="60"/>
        <w:ind w:firstLine="480"/>
        <w:jc w:val="both"/>
        <w:rPr>
          <w:rFonts w:ascii="Times New Roman" w:hAnsi="Times New Roman" w:eastAsia="新細明體" w:cs="Gungsuh"/>
          <w:color w:val="000000"/>
          <w:sz w:val="24"/>
        </w:rPr>
      </w:pPr>
      <w:r>
        <w:rPr>
          <w:rFonts w:ascii="Times New Roman" w:hAnsi="Times New Roman" w:eastAsia="新細明體"/>
          <w:color w:val="000000"/>
          <w:sz w:val="24"/>
        </w:rPr>
        <w:t>依釋放年代檢查視野內的預期星數貢獻。較早粒子離開視野後，T 可能主要受先驗支配；後驗平台不自動構成 T 的下限，也不代表星團形成時間。粒子數是否足夠，須由模板取樣誤差與後驗收斂判定。</w:t>
      </w:r>
    </w:p>
    <w:p>
      <w:pPr>
        <w:pStyle w:val="normal1"/>
        <w:keepNext/>
        <w:widowControl/>
        <w:spacing w:lineRule="auto" w:line="269" w:before="0" w:after="60"/>
        <w:ind w:firstLine="0"/>
        <w:jc w:val="center"/>
        <w:rPr/>
      </w:pPr>
      <w:r>
        <w:rPr>
          <w:rFonts w:ascii="Times New Roman" w:hAnsi="Times New Roman" w:cs="Gungsuh" w:eastAsia="新細明體"/>
          <w:b/>
          <w:bCs/>
          <w:color w:val="000000"/>
          <w:sz w:val="22"/>
          <w:szCs w:val="22"/>
        </w:rPr>
        <w:t>表三　數值網格與取樣設定</w:t>
      </w:r>
    </w:p>
    <w:tbl>
      <w:tblPr>
        <w:tblStyle w:val="Table3"/>
        <w:tblW w:w="9216" w:type="dxa"/>
        <w:jc w:val="center"/>
        <w:tblInd w:w="0" w:type="dxa"/>
        <w:tblLayout w:type="fixed"/>
        <w:tblCellMar>
          <w:top w:w="80" w:type="dxa"/>
          <w:start w:w="100" w:type="dxa"/>
          <w:bottom w:w="80" w:type="dxa"/>
          <w:end w:w="100" w:type="dxa"/>
        </w:tblCellMar>
        <w:tblLook w:val="0400"/>
        <w:tblBorders>
          <w:top w:val="single" w:sz="6" w:color="D9D9D9"/>
          <w:left w:val="single" w:sz="6" w:color="D9D9D9"/>
          <w:bottom w:val="single" w:sz="6" w:color="D9D9D9"/>
          <w:right w:val="single" w:sz="6" w:color="D9D9D9"/>
          <w:insideH w:val="single" w:sz="6" w:color="D9D9D9"/>
          <w:insideV w:val="single" w:sz="6" w:color="D9D9D9"/>
        </w:tblBorders>
      </w:tblPr>
      <w:tblGrid>
        <w:gridCol w:w="3402"/>
        <w:gridCol w:w="5783"/>
      </w:tblGrid>
      <w:tr>
        <w:trPr>
          <w:tblHeader w:val="true"/>
          <w:cantSplit w:val="true"/>
        </w:trPr>
        <w:tc>
          <w:tcPr>
            <w:tcW w:w="3402"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設計項目</w:t>
            </w:r>
          </w:p>
        </w:tc>
        <w:tc>
          <w:tcPr>
            <w:tcW w:w="5783"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基準設定</w:t>
            </w:r>
          </w:p>
        </w:tc>
      </w:tr>
      <w:tr>
        <w:trPr>
          <w:cantSplit w:val="true"/>
        </w:trPr>
        <w:tc>
          <w:tcPr>
            <w:tcW w:w="3402"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eastAsia="新細明體"/>
                <w:color w:val="000000"/>
                <w:sz w:val="22"/>
              </w:rPr>
              <w:t>質量流失率網格</w:t>
            </w:r>
          </w:p>
        </w:tc>
        <w:tc>
          <w:tcPr>
            <w:tcW w:w="5783"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 xml:space="preserve">1 </w:t>
            </w:r>
            <w:r>
              <w:rPr>
                <w:rFonts w:ascii="Times New Roman" w:hAnsi="Times New Roman" w:cs="Gungsuh" w:eastAsia="新細明體"/>
                <w:color w:val="000000"/>
                <w:sz w:val="22"/>
                <w:szCs w:val="20"/>
              </w:rPr>
              <w:t xml:space="preserve">至 </w:t>
            </w:r>
            <w:r>
              <w:rPr>
                <w:rFonts w:eastAsia="新細明體" w:cs="Gungsuh" w:ascii="Times New Roman" w:hAnsi="Times New Roman"/>
                <w:color w:val="000000"/>
                <w:sz w:val="22"/>
                <w:szCs w:val="20"/>
              </w:rPr>
              <w:t>31 M☉/Myr</w:t>
            </w:r>
            <w:r>
              <w:rPr>
                <w:rFonts w:ascii="Times New Roman" w:hAnsi="Times New Roman" w:cs="Gungsuh" w:eastAsia="新細明體"/>
                <w:color w:val="000000"/>
                <w:sz w:val="22"/>
                <w:szCs w:val="20"/>
              </w:rPr>
              <w:t xml:space="preserve">，間距 </w:t>
            </w:r>
            <w:r>
              <w:rPr>
                <w:rFonts w:eastAsia="新細明體" w:cs="Gungsuh" w:ascii="Times New Roman" w:hAnsi="Times New Roman"/>
                <w:color w:val="000000"/>
                <w:sz w:val="22"/>
                <w:szCs w:val="20"/>
              </w:rPr>
              <w:t>2</w:t>
            </w:r>
            <w:r>
              <w:rPr>
                <w:rFonts w:ascii="Times New Roman" w:hAnsi="Times New Roman" w:cs="Gungsuh" w:eastAsia="新細明體"/>
                <w:color w:val="000000"/>
                <w:sz w:val="22"/>
                <w:szCs w:val="20"/>
              </w:rPr>
              <w:t xml:space="preserve">，共 </w:t>
            </w:r>
            <w:r>
              <w:rPr>
                <w:rFonts w:eastAsia="新細明體" w:cs="Gungsuh" w:ascii="Times New Roman" w:hAnsi="Times New Roman"/>
                <w:color w:val="000000"/>
                <w:sz w:val="22"/>
                <w:szCs w:val="20"/>
              </w:rPr>
              <w:t xml:space="preserve">16 </w:t>
            </w:r>
            <w:r>
              <w:rPr>
                <w:rFonts w:ascii="Times New Roman" w:hAnsi="Times New Roman" w:cs="Gungsuh" w:eastAsia="新細明體"/>
                <w:color w:val="000000"/>
                <w:sz w:val="22"/>
                <w:szCs w:val="20"/>
              </w:rPr>
              <w:t>點</w:t>
            </w:r>
          </w:p>
        </w:tc>
      </w:tr>
      <w:tr>
        <w:trPr>
          <w:cantSplit w:val="true"/>
        </w:trPr>
        <w:tc>
          <w:tcPr>
            <w:tcW w:w="3402"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color w:val="000000"/>
                <w:sz w:val="22"/>
                <w:szCs w:val="20"/>
              </w:rPr>
              <w:t>回溯時間網格</w:t>
            </w:r>
          </w:p>
        </w:tc>
        <w:tc>
          <w:tcPr>
            <w:tcW w:w="5783"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 xml:space="preserve">100 </w:t>
            </w:r>
            <w:r>
              <w:rPr>
                <w:rFonts w:ascii="Times New Roman" w:hAnsi="Times New Roman" w:cs="Gungsuh" w:eastAsia="新細明體"/>
                <w:color w:val="000000"/>
                <w:sz w:val="22"/>
                <w:szCs w:val="20"/>
              </w:rPr>
              <w:t xml:space="preserve">至 </w:t>
            </w:r>
            <w:r>
              <w:rPr>
                <w:rFonts w:eastAsia="新細明體" w:cs="Gungsuh" w:ascii="Times New Roman" w:hAnsi="Times New Roman"/>
                <w:color w:val="000000"/>
                <w:sz w:val="22"/>
                <w:szCs w:val="20"/>
              </w:rPr>
              <w:t>2000 Myr</w:t>
            </w:r>
            <w:r>
              <w:rPr>
                <w:rFonts w:ascii="Times New Roman" w:hAnsi="Times New Roman" w:cs="Gungsuh" w:eastAsia="新細明體"/>
                <w:color w:val="000000"/>
                <w:sz w:val="22"/>
                <w:szCs w:val="20"/>
              </w:rPr>
              <w:t xml:space="preserve">，間距 </w:t>
            </w:r>
            <w:r>
              <w:rPr>
                <w:rFonts w:eastAsia="新細明體" w:cs="Gungsuh" w:ascii="Times New Roman" w:hAnsi="Times New Roman"/>
                <w:color w:val="000000"/>
                <w:sz w:val="22"/>
                <w:szCs w:val="20"/>
              </w:rPr>
              <w:t>100</w:t>
            </w:r>
            <w:r>
              <w:rPr>
                <w:rFonts w:ascii="Times New Roman" w:hAnsi="Times New Roman" w:cs="Gungsuh" w:eastAsia="新細明體"/>
                <w:color w:val="000000"/>
                <w:sz w:val="22"/>
                <w:szCs w:val="20"/>
              </w:rPr>
              <w:t xml:space="preserve">，共 </w:t>
            </w:r>
            <w:r>
              <w:rPr>
                <w:rFonts w:eastAsia="新細明體" w:cs="Gungsuh" w:ascii="Times New Roman" w:hAnsi="Times New Roman"/>
                <w:color w:val="000000"/>
                <w:sz w:val="22"/>
                <w:szCs w:val="20"/>
              </w:rPr>
              <w:t xml:space="preserve">20 </w:t>
            </w:r>
            <w:r>
              <w:rPr>
                <w:rFonts w:ascii="Times New Roman" w:hAnsi="Times New Roman" w:cs="Gungsuh" w:eastAsia="新細明體"/>
                <w:color w:val="000000"/>
                <w:sz w:val="22"/>
                <w:szCs w:val="20"/>
              </w:rPr>
              <w:t>點</w:t>
            </w:r>
          </w:p>
        </w:tc>
      </w:tr>
      <w:tr>
        <w:trPr>
          <w:cantSplit w:val="true"/>
        </w:trPr>
        <w:tc>
          <w:tcPr>
            <w:tcW w:w="3402"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color w:val="000000"/>
                <w:sz w:val="22"/>
                <w:szCs w:val="20"/>
              </w:rPr>
              <w:t>動力學亂數種子</w:t>
            </w:r>
          </w:p>
        </w:tc>
        <w:tc>
          <w:tcPr>
            <w:tcW w:w="5783"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1009</w:t>
            </w:r>
            <w:r>
              <w:rPr>
                <w:rFonts w:ascii="Times New Roman" w:hAnsi="Times New Roman" w:cs="Gungsuh" w:eastAsia="新細明體"/>
                <w:color w:val="000000"/>
                <w:sz w:val="22"/>
                <w:szCs w:val="20"/>
              </w:rPr>
              <w:t>、</w:t>
            </w:r>
            <w:r>
              <w:rPr>
                <w:rFonts w:eastAsia="新細明體" w:cs="Gungsuh" w:ascii="Times New Roman" w:hAnsi="Times New Roman"/>
                <w:color w:val="000000"/>
                <w:sz w:val="22"/>
                <w:szCs w:val="20"/>
              </w:rPr>
              <w:t>2027</w:t>
            </w:r>
            <w:r>
              <w:rPr>
                <w:rFonts w:ascii="Times New Roman" w:hAnsi="Times New Roman" w:cs="Gungsuh" w:eastAsia="新細明體"/>
                <w:color w:val="000000"/>
                <w:sz w:val="22"/>
                <w:szCs w:val="20"/>
              </w:rPr>
              <w:t>、</w:t>
            </w:r>
            <w:r>
              <w:rPr>
                <w:rFonts w:eastAsia="新細明體" w:cs="Gungsuh" w:ascii="Times New Roman" w:hAnsi="Times New Roman"/>
                <w:color w:val="000000"/>
                <w:sz w:val="22"/>
                <w:szCs w:val="20"/>
              </w:rPr>
              <w:t>3037</w:t>
            </w:r>
            <w:r>
              <w:rPr>
                <w:rFonts w:ascii="Times New Roman" w:hAnsi="Times New Roman" w:cs="Gungsuh" w:eastAsia="新細明體"/>
                <w:color w:val="000000"/>
                <w:sz w:val="22"/>
                <w:szCs w:val="20"/>
              </w:rPr>
              <w:t xml:space="preserve">，共 </w:t>
            </w:r>
            <w:r>
              <w:rPr>
                <w:rFonts w:eastAsia="新細明體" w:cs="Gungsuh" w:ascii="Times New Roman" w:hAnsi="Times New Roman"/>
                <w:color w:val="000000"/>
                <w:sz w:val="22"/>
                <w:szCs w:val="20"/>
              </w:rPr>
              <w:t xml:space="preserve">3 </w:t>
            </w:r>
            <w:r>
              <w:rPr>
                <w:rFonts w:ascii="Times New Roman" w:hAnsi="Times New Roman" w:cs="Gungsuh" w:eastAsia="新細明體"/>
                <w:color w:val="000000"/>
                <w:sz w:val="22"/>
                <w:szCs w:val="20"/>
              </w:rPr>
              <w:t>組</w:t>
            </w:r>
          </w:p>
        </w:tc>
      </w:tr>
      <w:tr>
        <w:trPr>
          <w:cantSplit w:val="true"/>
        </w:trPr>
        <w:tc>
          <w:tcPr>
            <w:tcW w:w="3402"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color w:val="000000"/>
                <w:sz w:val="22"/>
                <w:szCs w:val="20"/>
              </w:rPr>
              <w:t>釋放時間分層</w:t>
            </w:r>
          </w:p>
        </w:tc>
        <w:tc>
          <w:tcPr>
            <w:tcW w:w="5783"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 xml:space="preserve">每 </w:t>
            </w:r>
            <w:r>
              <w:rPr>
                <w:rFonts w:eastAsia="新細明體" w:cs="Gungsuh" w:ascii="Times New Roman" w:hAnsi="Times New Roman"/>
                <w:color w:val="000000"/>
                <w:sz w:val="22"/>
                <w:szCs w:val="20"/>
              </w:rPr>
              <w:t>0.25 Myr</w:t>
            </w:r>
            <w:r>
              <w:rPr>
                <w:rFonts w:ascii="Times New Roman" w:hAnsi="Times New Roman" w:cs="Gungsuh" w:eastAsia="新細明體"/>
                <w:color w:val="000000"/>
                <w:sz w:val="22"/>
                <w:szCs w:val="20"/>
              </w:rPr>
              <w:t xml:space="preserve">，前後兩尾各 </w:t>
            </w:r>
            <w:r>
              <w:rPr>
                <w:rFonts w:eastAsia="新細明體" w:cs="Gungsuh" w:ascii="Times New Roman" w:hAnsi="Times New Roman"/>
                <w:color w:val="000000"/>
                <w:sz w:val="22"/>
                <w:szCs w:val="20"/>
              </w:rPr>
              <w:t xml:space="preserve">1 </w:t>
            </w:r>
            <w:r>
              <w:rPr>
                <w:rFonts w:ascii="Times New Roman" w:hAnsi="Times New Roman" w:cs="Gungsuh" w:eastAsia="新細明體"/>
                <w:color w:val="000000"/>
                <w:sz w:val="22"/>
                <w:szCs w:val="20"/>
              </w:rPr>
              <w:t>顆</w:t>
            </w:r>
          </w:p>
        </w:tc>
      </w:tr>
      <w:tr>
        <w:trPr>
          <w:cantSplit w:val="true"/>
        </w:trPr>
        <w:tc>
          <w:tcPr>
            <w:tcW w:w="3402"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color w:val="000000"/>
                <w:sz w:val="22"/>
                <w:szCs w:val="20"/>
              </w:rPr>
              <w:t>最大回溯時間的示蹤粒子數</w:t>
            </w:r>
          </w:p>
        </w:tc>
        <w:tc>
          <w:tcPr>
            <w:tcW w:w="5783"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16000</w:t>
            </w:r>
          </w:p>
        </w:tc>
      </w:tr>
      <w:tr>
        <w:trPr>
          <w:cantSplit w:val="true"/>
        </w:trPr>
        <w:tc>
          <w:tcPr>
            <w:tcW w:w="3402"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eastAsia="新細明體"/>
                <w:color w:val="000000"/>
                <w:sz w:val="22"/>
              </w:rPr>
              <w:t>每個星團的動力學積分</w:t>
            </w:r>
          </w:p>
        </w:tc>
        <w:tc>
          <w:tcPr>
            <w:tcW w:w="5783"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 xml:space="preserve">16 </w:t>
            </w:r>
            <w:r>
              <w:rPr>
                <w:rFonts w:ascii="Times New Roman" w:hAnsi="Times New Roman" w:cs="Gungsuh" w:eastAsia="新細明體"/>
                <w:color w:val="000000"/>
                <w:sz w:val="22"/>
                <w:szCs w:val="20"/>
              </w:rPr>
              <w:t xml:space="preserve">個 </w:t>
            </w:r>
            <w:r>
              <w:rPr>
                <w:rFonts w:eastAsia="新細明體" w:cs="Gungsuh" w:ascii="Times New Roman" w:hAnsi="Times New Roman"/>
                <w:color w:val="000000"/>
                <w:sz w:val="22"/>
                <w:szCs w:val="20"/>
              </w:rPr>
              <w:t xml:space="preserve">R × 3 </w:t>
            </w:r>
            <w:r>
              <w:rPr>
                <w:rFonts w:ascii="Times New Roman" w:hAnsi="Times New Roman" w:cs="Gungsuh" w:eastAsia="新細明體"/>
                <w:color w:val="000000"/>
                <w:sz w:val="22"/>
                <w:szCs w:val="20"/>
              </w:rPr>
              <w:t xml:space="preserve">個種子，共 </w:t>
            </w:r>
            <w:r>
              <w:rPr>
                <w:rFonts w:eastAsia="新細明體" w:cs="Gungsuh" w:ascii="Times New Roman" w:hAnsi="Times New Roman"/>
                <w:color w:val="000000"/>
                <w:sz w:val="22"/>
                <w:szCs w:val="20"/>
              </w:rPr>
              <w:t xml:space="preserve">48 </w:t>
            </w:r>
            <w:r>
              <w:rPr>
                <w:rFonts w:ascii="Times New Roman" w:hAnsi="Times New Roman" w:cs="Gungsuh" w:eastAsia="新細明體"/>
                <w:color w:val="000000"/>
                <w:sz w:val="22"/>
                <w:szCs w:val="20"/>
              </w:rPr>
              <w:t>組</w:t>
            </w:r>
          </w:p>
        </w:tc>
      </w:tr>
      <w:tr>
        <w:trPr>
          <w:cantSplit w:val="true"/>
        </w:trPr>
        <w:tc>
          <w:tcPr>
            <w:tcW w:w="3402"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color w:val="000000"/>
                <w:sz w:val="22"/>
                <w:szCs w:val="20"/>
              </w:rPr>
              <w:t>人口與觀測取樣</w:t>
            </w:r>
          </w:p>
        </w:tc>
        <w:tc>
          <w:tcPr>
            <w:tcW w:w="5783"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5 個質量函數求積節點；8 個品質狀態；32 次觀測抽樣</w:t>
            </w:r>
          </w:p>
        </w:tc>
      </w:tr>
    </w:tbl>
    <w:p>
      <w:pPr>
        <w:pStyle w:val="Heading2"/>
        <w:keepNext/>
        <w:widowControl/>
        <w:spacing w:lineRule="auto" w:line="269" w:before="120" w:after="60"/>
        <w:rPr/>
      </w:pPr>
      <w:r>
        <w:rPr>
          <w:rFonts w:ascii="Times New Roman" w:hAnsi="Times New Roman" w:cs="Gungsuh" w:eastAsia="新細明體"/>
          <w:b/>
          <w:bCs/>
          <w:color w:val="000000"/>
          <w:sz w:val="26"/>
          <w:szCs w:val="28"/>
        </w:rPr>
        <w:t>六、恆星人口與質量函數</w:t>
      </w:r>
    </w:p>
    <w:p>
      <w:pPr>
        <w:pStyle w:val="normal1"/>
        <w:widowControl/>
        <w:spacing w:lineRule="auto" w:line="269" w:before="0" w:after="60"/>
        <w:ind w:firstLine="480"/>
        <w:jc w:val="both"/>
        <w:rPr/>
      </w:pPr>
      <w:r>
        <w:rPr>
          <w:rFonts w:ascii="Times New Roman" w:hAnsi="Times New Roman" w:eastAsia="新細明體"/>
          <w:color w:val="000000"/>
          <w:sz w:val="24"/>
        </w:rPr>
        <w:t xml:space="preserve">質量函數（mass function，MF）以式（5）表示；m 為恆星質量，α 為分布斜率。星團全域現今人口記為 </w:t>
      </w:r>
      <m:oMath xmlns:m="http://schemas.openxmlformats.org/officeDocument/2006/math">
        <m:sSub>
          <m:e>
            <m:r>
              <m:t xml:space="preserve">α</m:t>
            </m:r>
          </m:e>
          <m:sub>
            <m:r>
              <m:t xml:space="preserve">GC</m:t>
            </m:r>
          </m:sub>
        </m:sSub>
      </m:oMath>
      <w:r>
        <w:rPr>
          <w:rFonts w:ascii="Times New Roman" w:hAnsi="Times New Roman" w:eastAsia="新細明體"/>
          <w:color w:val="000000"/>
          <w:sz w:val="24"/>
        </w:rPr>
        <w:t xml:space="preserve">，逃逸人口記為 </w:t>
      </w:r>
      <m:oMath xmlns:m="http://schemas.openxmlformats.org/officeDocument/2006/math">
        <m:sSub>
          <m:e>
            <m:r>
              <m:t xml:space="preserve">α</m:t>
            </m:r>
          </m:e>
          <m:sub>
            <m:r>
              <m:t xml:space="preserve">esc</m:t>
            </m:r>
          </m:sub>
        </m:sSub>
      </m:oMath>
      <w:r>
        <w:rPr>
          <w:rFonts w:ascii="Times New Roman" w:hAnsi="Times New Roman" w:eastAsia="新細明體"/>
          <w:color w:val="000000"/>
          <w:sz w:val="24"/>
        </w:rPr>
        <w:t>，δ 為兩者之差。Salpeter 初始質量函數在此記號下為 α＝−2.35，不能直接視為現今分布。母星團斜率取自全域質量函數研究，保存量測範圍、誤差及間接估計標記 [1,5]。</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f>
            <m:num>
              <m:r>
                <m:t xml:space="preserve">dN</m:t>
              </m:r>
            </m:num>
            <m:den>
              <m:r>
                <m:t xml:space="preserve">dm</m:t>
              </m:r>
            </m:den>
          </m:f>
          <m:r>
            <m:rPr>
              <m:lit/>
              <m:nor/>
            </m:rPr>
            <m:t xml:space="preserve"> </m:t>
          </m:r>
          <m:r>
            <m:t xml:space="preserve">∝</m:t>
          </m:r>
          <m:r>
            <m:rPr>
              <m:lit/>
              <m:nor/>
            </m:rPr>
            <m:t xml:space="preserve"> </m:t>
          </m:r>
          <m:sSup>
            <m:e>
              <m:r>
                <m:t xml:space="preserve">m</m:t>
              </m:r>
            </m:e>
            <m:sup>
              <m:r>
                <m:t xml:space="preserve">α</m:t>
              </m:r>
            </m:sup>
          </m:sSup>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5</m:t>
          </m:r>
          <m:r>
            <m:t xml:space="preserve">)</m:t>
          </m:r>
        </m:oMath>
      </m:oMathPara>
    </w:p>
    <w:p>
      <w:pPr>
        <w:pStyle w:val="normal1"/>
        <w:keepNext/>
        <w:widowControl/>
        <w:spacing w:lineRule="auto" w:line="269" w:before="0" w:after="60"/>
        <w:ind w:firstLine="0"/>
        <w:jc w:val="center"/>
        <w:rPr/>
      </w:pPr>
      <w:r>
        <w:rPr>
          <w:rFonts w:ascii="Times New Roman" w:hAnsi="Times New Roman" w:cs="Gungsuh" w:eastAsia="新細明體"/>
          <w:b/>
          <w:bCs/>
          <w:color w:val="000000"/>
          <w:sz w:val="22"/>
          <w:szCs w:val="22"/>
        </w:rPr>
        <w:t>表四　全域質量函數參數示例</w:t>
      </w:r>
    </w:p>
    <w:tbl>
      <w:tblPr>
        <w:tblStyle w:val="Table4"/>
        <w:tblW w:w="9216" w:type="dxa"/>
        <w:jc w:val="center"/>
        <w:tblInd w:w="0" w:type="dxa"/>
        <w:tblLayout w:type="fixed"/>
        <w:tblCellMar>
          <w:top w:w="80" w:type="dxa"/>
          <w:start w:w="100" w:type="dxa"/>
          <w:bottom w:w="80" w:type="dxa"/>
          <w:end w:w="100" w:type="dxa"/>
        </w:tblCellMar>
        <w:tblLook w:val="0400"/>
        <w:tblBorders>
          <w:top w:val="single" w:sz="6" w:color="D9D9D9"/>
          <w:left w:val="single" w:sz="6" w:color="D9D9D9"/>
          <w:bottom w:val="single" w:sz="6" w:color="D9D9D9"/>
          <w:right w:val="single" w:sz="6" w:color="D9D9D9"/>
          <w:insideH w:val="single" w:sz="6" w:color="D9D9D9"/>
          <w:insideV w:val="single" w:sz="6" w:color="D9D9D9"/>
        </w:tblBorders>
      </w:tblPr>
      <w:tblGrid>
        <w:gridCol w:w="1984"/>
        <w:gridCol w:w="1871"/>
        <w:gridCol w:w="2098"/>
        <w:gridCol w:w="3231"/>
      </w:tblGrid>
      <w:tr>
        <w:trPr>
          <w:tblHeader w:val="true"/>
          <w:cantSplit w:val="true"/>
        </w:trPr>
        <w:tc>
          <w:tcPr>
            <w:tcW w:w="1984"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星團</w:t>
            </w:r>
          </w:p>
        </w:tc>
        <w:tc>
          <w:tcPr>
            <w:tcW w:w="1871"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eastAsia="新細明體"/>
                <w:b/>
                <w:color w:val="000000"/>
                <w:sz w:val="22"/>
              </w:rPr>
            </w:r>
            <m:oMathPara xmlns:m="http://schemas.openxmlformats.org/officeDocument/2006/math">
              <m:oMathParaPr>
                <m:jc m:val="center"/>
              </m:oMathParaPr>
              <m:oMath>
                <m:sSub>
                  <m:e>
                    <m:r>
                      <m:t xml:space="preserve">α</m:t>
                    </m:r>
                  </m:e>
                  <m:sub>
                    <m:r>
                      <m:t xml:space="preserve">GC</m:t>
                    </m:r>
                  </m:sub>
                </m:sSub>
              </m:oMath>
            </m:oMathPara>
          </w:p>
        </w:tc>
        <w:tc>
          <w:tcPr>
            <w:tcW w:w="2098"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eastAsia="新細明體"/>
                <w:b/>
                <w:color w:val="000000"/>
                <w:sz w:val="22"/>
              </w:rPr>
              <w:t>斜率估計誤差</w:t>
            </w:r>
          </w:p>
        </w:tc>
        <w:tc>
          <w:tcPr>
            <w:tcW w:w="3231"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量測質量範圍</w:t>
            </w:r>
          </w:p>
        </w:tc>
      </w:tr>
      <w:tr>
        <w:trPr>
          <w:cantSplit w:val="true"/>
        </w:trPr>
        <w:tc>
          <w:tcPr>
            <w:tcW w:w="1984"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Pal 5</w:t>
            </w:r>
          </w:p>
        </w:tc>
        <w:tc>
          <w:tcPr>
            <w:tcW w:w="1871"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cs="Gungsuh" w:ascii="Times New Roman" w:hAnsi="Times New Roman"/>
                <w:color w:val="000000"/>
                <w:sz w:val="22"/>
                <w:szCs w:val="20"/>
              </w:rPr>
              <w:t>−</w:t>
            </w:r>
            <w:r>
              <w:rPr>
                <w:rFonts w:eastAsia="新細明體" w:cs="Gungsuh" w:ascii="Times New Roman" w:hAnsi="Times New Roman"/>
                <w:color w:val="000000"/>
                <w:sz w:val="22"/>
                <w:szCs w:val="20"/>
              </w:rPr>
              <w:t>0.84</w:t>
            </w:r>
          </w:p>
        </w:tc>
        <w:tc>
          <w:tcPr>
            <w:tcW w:w="2098"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0.19</w:t>
            </w:r>
          </w:p>
        </w:tc>
        <w:tc>
          <w:tcPr>
            <w:tcW w:w="3231"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0.29–0.81 M☉</w:t>
            </w:r>
          </w:p>
        </w:tc>
      </w:tr>
      <w:tr>
        <w:trPr>
          <w:cantSplit w:val="true"/>
        </w:trPr>
        <w:tc>
          <w:tcPr>
            <w:tcW w:w="1984"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NGC 288</w:t>
            </w:r>
          </w:p>
        </w:tc>
        <w:tc>
          <w:tcPr>
            <w:tcW w:w="1871"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cs="Gungsuh" w:ascii="Times New Roman" w:hAnsi="Times New Roman"/>
                <w:color w:val="000000"/>
                <w:sz w:val="22"/>
                <w:szCs w:val="20"/>
              </w:rPr>
              <w:t>−</w:t>
            </w:r>
            <w:r>
              <w:rPr>
                <w:rFonts w:eastAsia="新細明體" w:cs="Gungsuh" w:ascii="Times New Roman" w:hAnsi="Times New Roman"/>
                <w:color w:val="000000"/>
                <w:sz w:val="22"/>
                <w:szCs w:val="20"/>
              </w:rPr>
              <w:t>0.66</w:t>
            </w:r>
          </w:p>
        </w:tc>
        <w:tc>
          <w:tcPr>
            <w:tcW w:w="2098"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0.11</w:t>
            </w:r>
          </w:p>
        </w:tc>
        <w:tc>
          <w:tcPr>
            <w:tcW w:w="3231"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0.22–0.82 M☉</w:t>
            </w:r>
          </w:p>
        </w:tc>
      </w:tr>
    </w:tbl>
    <w:p>
      <w:pPr>
        <w:keepNext w:val="0"/>
        <w:widowControl/>
        <w:spacing w:line="269" w:lineRule="auto" w:before="0" w:after="60"/>
        <w:ind w:firstLine="0"/>
        <w:jc w:val="left"/>
      </w:pPr>
      <w:r>
        <w:rPr>
          <w:rFonts w:ascii="Times New Roman" w:hAnsi="Times New Roman" w:eastAsia="新細明體"/>
          <w:color w:val="000000"/>
          <w:sz w:val="20"/>
        </w:rPr>
        <w:t>註：表四採保存的官方目錄值；NGC 288 的斜率誤差為 0.11，原始 arXiv v1 表 3 為 0.12，兩者分別記錄。</w:t>
      </w:r>
    </w:p>
    <w:p>
      <w:pPr>
        <w:pStyle w:val="normal1"/>
        <w:keepNext/>
        <w:widowControl/>
        <w:spacing w:lineRule="auto" w:line="269" w:before="0" w:after="60"/>
        <w:ind w:firstLine="480"/>
        <w:jc w:val="both"/>
        <w:rPr/>
      </w:pPr>
      <w:r>
        <w:rPr>
          <w:rFonts w:ascii="Times New Roman" w:hAnsi="Times New Roman" w:eastAsia="新細明體"/>
          <w:color w:val="000000"/>
          <w:sz w:val="24"/>
        </w:rPr>
        <w:t>等時線依各星團年齡與成分選取。Pal 5 與 NGC 288 的基準年齡分別為 11、11.5 Gyr，[M/H] 為 −1.40、−1.32，E(B−V) 均為 0.03。此為條件式採用值；太陽元素比例等時線模型的 [M/H] 與光譜 [Fe/H] 分別記錄，含 α 元素增強時不可直接等同。逃逸人口斜率設定為</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sSub>
            <m:e>
              <m:r>
                <m:t xml:space="preserve">α</m:t>
              </m:r>
            </m:e>
            <m:sub>
              <m:r>
                <m:t xml:space="preserve">esc</m:t>
              </m:r>
            </m:sub>
          </m:sSub>
          <m:r>
            <m:rPr>
              <m:lit/>
              <m:nor/>
            </m:rPr>
            <m:t xml:space="preserve"> </m:t>
          </m:r>
          <m:r>
            <m:rPr>
              <m:lit/>
              <m:nor/>
            </m:rPr>
            <m:t xml:space="preserve">=</m:t>
          </m:r>
          <m:r>
            <m:rPr>
              <m:lit/>
              <m:nor/>
            </m:rPr>
            <m:t xml:space="preserve"> </m:t>
          </m:r>
          <m:sSub>
            <m:e>
              <m:r>
                <m:t xml:space="preserve">α</m:t>
              </m:r>
            </m:e>
            <m:sub>
              <m:r>
                <m:t xml:space="preserve">GC</m:t>
              </m:r>
            </m:sub>
          </m:sSub>
          <m:r>
            <m:rPr>
              <m:lit/>
              <m:nor/>
            </m:rPr>
            <m:t xml:space="preserve"> </m:t>
          </m:r>
          <m:r>
            <m:rPr>
              <m:lit/>
              <m:nor/>
            </m:rPr>
            <m:t xml:space="preserve">+</m:t>
          </m:r>
          <m:r>
            <m:rPr>
              <m:lit/>
              <m:nor/>
            </m:rPr>
            <m:t xml:space="preserve"> </m:t>
          </m:r>
          <m:r>
            <m:t xml:space="preserve">δ</m:t>
          </m:r>
          <m:r>
            <m:t xml:space="preserve">,</m:t>
          </m:r>
          <m:r>
            <m:rPr>
              <m:lit/>
              <m:nor/>
            </m:rPr>
            <m:t xml:space="preserve"> </m:t>
          </m:r>
          <m:r>
            <m:rPr>
              <m:lit/>
              <m:nor/>
            </m:rPr>
            <m:t xml:space="preserve"> </m:t>
          </m:r>
          <m:r>
            <m:rPr>
              <m:lit/>
              <m:nor/>
            </m:rPr>
            <m:t xml:space="preserve"> </m:t>
          </m:r>
          <m:r>
            <m:rPr>
              <m:lit/>
              <m:nor/>
            </m:rPr>
            <m:t xml:space="preserve"> </m:t>
          </m:r>
          <m:sSub>
            <m:e>
              <m:r>
                <m:t xml:space="preserve">α</m:t>
              </m:r>
            </m:e>
            <m:sub>
              <m:r>
                <m:t xml:space="preserve">GC</m:t>
              </m:r>
            </m:sub>
          </m:sSub>
          <m:r>
            <m:rPr>
              <m:lit/>
              <m:nor/>
            </m:rPr>
            <m:t xml:space="preserve"> </m:t>
          </m:r>
          <m:r>
            <m:t xml:space="preserve">∼</m:t>
          </m:r>
          <m:r>
            <m:rPr>
              <m:lit/>
              <m:nor/>
            </m:rPr>
            <m:t xml:space="preserve"> </m:t>
          </m:r>
          <m:r>
            <m:t xml:space="preserve">N</m:t>
          </m:r>
          <m:r>
            <m:t xml:space="preserve">(</m:t>
          </m:r>
          <m:r>
            <m:t xml:space="preserve">μ</m:t>
          </m:r>
          <m:r>
            <m:t xml:space="preserve">,</m:t>
          </m:r>
          <m:r>
            <m:rPr>
              <m:lit/>
              <m:nor/>
            </m:rPr>
            <m:t xml:space="preserve"> </m:t>
          </m:r>
          <m:sSup>
            <m:e>
              <m:r>
                <m:t xml:space="preserve">σ</m:t>
              </m:r>
            </m:e>
            <m:sup>
              <m:r>
                <m:t xml:space="preserve">2</m:t>
              </m:r>
            </m:sup>
          </m:sSup>
          <m:r>
            <m:t xml:space="preserve">)</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6</m:t>
          </m:r>
          <m:r>
            <m:t xml:space="preserve">)</m:t>
          </m:r>
        </m:oMath>
      </m:oMathPara>
    </w:p>
    <w:p>
      <w:pPr>
        <w:pStyle w:val="normal1"/>
        <w:widowControl/>
        <w:spacing w:lineRule="auto" w:line="269" w:before="0" w:after="60"/>
        <w:ind w:firstLine="480"/>
        <w:jc w:val="both"/>
        <w:rPr/>
      </w:pPr>
      <w:r>
        <w:rPr>
          <w:rFonts w:ascii="Times New Roman" w:hAnsi="Times New Roman" w:eastAsia="新細明體"/>
          <w:color w:val="000000"/>
          <w:sz w:val="24"/>
        </w:rPr>
        <w:t>以文獻量測平均值 μ 及其所報告的標準差 σ 作高斯近似。δ＝0 為逃逸人口與母星團現今分布相同的基準；−0.5、−1 測試低質量星優先逃逸的情境 [5–7]。三者不是實測機率，也未涵蓋全部可能歷史；未測 δ＞0，不表示物理上排除較偏向高質量的逃逸人口。</w:t>
      </w:r>
    </w:p>
    <w:p>
      <w:pPr>
        <w:pStyle w:val="normal1"/>
        <w:widowControl/>
        <w:spacing w:lineRule="auto" w:line="269" w:before="0" w:after="60"/>
        <w:ind w:firstLine="480"/>
        <w:jc w:val="both"/>
        <w:rPr/>
      </w:pPr>
      <w:r>
        <w:rPr>
          <w:rFonts w:ascii="Times New Roman" w:hAnsi="Times New Roman" w:eastAsia="新細明體"/>
          <w:color w:val="000000"/>
          <w:sz w:val="24"/>
        </w:rPr>
        <w:t xml:space="preserve">以五點 Gauss–Hermite 求積傳播 </w:t>
      </w:r>
      <m:oMath xmlns:m="http://schemas.openxmlformats.org/officeDocument/2006/math">
        <m:sSub>
          <m:e>
            <m:r>
              <m:t xml:space="preserve">α</m:t>
            </m:r>
          </m:e>
          <m:sub>
            <m:r>
              <m:t xml:space="preserve">GC</m:t>
            </m:r>
          </m:sub>
        </m:sSub>
      </m:oMath>
      <w:r>
        <w:rPr>
          <w:rFonts w:ascii="Times New Roman" w:hAnsi="Times New Roman" w:eastAsia="新細明體"/>
          <w:color w:val="000000"/>
          <w:sz w:val="24"/>
        </w:rPr>
        <w:t xml:space="preserve"> 的不確定性；各節點依求積權重積分，不視為等機率模型，並以較高階求積檢查穩定性。</w:t>
      </w:r>
    </w:p>
    <w:p>
      <w:pPr>
        <w:pStyle w:val="Heading3"/>
        <w:keepNext/>
        <w:widowControl/>
        <w:spacing w:lineRule="auto" w:line="269" w:before="120" w:after="60"/>
        <w:ind w:hanging="0" w:start="240"/>
        <w:rPr/>
      </w:pPr>
      <w:r>
        <w:rPr>
          <w:rFonts w:ascii="Times New Roman" w:hAnsi="Times New Roman" w:eastAsia="新細明體"/>
          <w:color w:val="000000"/>
          <w:sz w:val="24"/>
        </w:rPr>
        <w:t>（一）等時線權重與未納入的質量</w:t>
      </w:r>
    </w:p>
    <w:p>
      <w:pPr>
        <w:pStyle w:val="normal1"/>
        <w:widowControl/>
        <w:spacing w:lineRule="auto" w:line="269" w:before="0" w:after="60"/>
        <w:ind w:firstLine="480"/>
        <w:jc w:val="both"/>
        <w:rPr/>
      </w:pPr>
      <w:r>
        <w:rPr>
          <w:rFonts w:ascii="Times New Roman" w:hAnsi="Times New Roman" w:eastAsia="新細明體"/>
          <w:color w:val="000000"/>
          <w:sz w:val="24"/>
        </w:rPr>
        <w:t>使用 PARSEC（PAdova and TRieste Stellar Evolution Code）等時線與 Gaia 通帶 [8]。本機回傳檔記錄 CMD 3.8、PARSEC v1.2S 與 COLIBRI S_37＋S_35＋PR16；CMD 3.8 為服務版本。依初始與現今質量映射求積，演化後節點保留對應的初始質量間隔，不採等列權重。</w:t>
      </w:r>
    </w:p>
    <w:p>
      <w:pPr>
        <w:pStyle w:val="normal1"/>
        <w:widowControl/>
        <w:spacing w:lineRule="auto" w:line="269" w:before="0" w:after="60"/>
        <w:ind w:firstLine="480"/>
        <w:jc w:val="both"/>
        <w:rPr/>
      </w:pPr>
      <w:r>
        <w:rPr>
          <w:rFonts w:ascii="Times New Roman" w:hAnsi="Times New Roman" w:eastAsia="新細明體"/>
          <w:color w:val="000000"/>
          <w:sz w:val="24"/>
        </w:rPr>
        <w:t>人口權重依等時線涵蓋的存活恆星現今質量正規化；範圍外單斜率延伸屬外推。殘骸、未解析雙星及等時線下限外恆星不作未經約束的補正。驗證時分別量化量測區間外節點對選中預期星數與所代表存活質量的貢獻比例；尚未計算者標示未完成。</w:t>
      </w:r>
    </w:p>
    <w:p>
      <w:pPr>
        <w:pStyle w:val="Heading2"/>
        <w:keepNext/>
        <w:widowControl/>
        <w:spacing w:lineRule="auto" w:line="269" w:before="120" w:after="60"/>
        <w:rPr/>
      </w:pPr>
      <w:r>
        <w:rPr>
          <w:rFonts w:ascii="Times New Roman" w:hAnsi="Times New Roman" w:cs="Gungsuh" w:eastAsia="新細明體"/>
          <w:b/>
          <w:bCs/>
          <w:color w:val="000000"/>
          <w:sz w:val="26"/>
          <w:szCs w:val="28"/>
        </w:rPr>
        <w:t>七、觀測模板與計數模型</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（一）模擬資料通過觀測程序</w:t>
      </w:r>
    </w:p>
    <w:p>
      <w:pPr>
        <w:pStyle w:val="normal1"/>
        <w:widowControl/>
        <w:spacing w:lineRule="auto" w:line="269" w:before="0" w:after="60"/>
        <w:ind w:firstLine="480"/>
        <w:jc w:val="both"/>
        <w:rPr/>
      </w:pPr>
      <w:r>
        <w:rPr>
          <w:rFonts w:ascii="Times New Roman" w:hAnsi="Times New Roman" w:eastAsia="新細明體"/>
          <w:color w:val="000000"/>
          <w:sz w:val="24"/>
        </w:rPr>
        <w:t>由粒子質量權重換算預期恆星數，利用距離、等時線及消光得到無量測雜訊的星等。Gaia 目錄的收錄完整率、必要欄位可用率及品質通過率分別處理 [10,11]。品質量 RUWE 為重整化單位權重誤差（renormalised unit weight error）；CMD 指顏色－星等圖（color–magnitude diagram）。收錄完整率不包含這些後續選星條件。</w:t>
      </w:r>
    </w:p>
    <w:p>
      <w:pPr>
        <w:pStyle w:val="normal1"/>
        <w:widowControl/>
        <w:spacing w:lineRule="auto" w:line="269" w:before="0" w:after="60"/>
        <w:ind w:firstLine="480"/>
        <w:jc w:val="both"/>
        <w:rPr/>
      </w:pPr>
      <w:r>
        <w:rPr>
          <w:rFonts w:ascii="Times New Roman" w:hAnsi="Times New Roman" w:eastAsia="新細明體"/>
          <w:color w:val="000000"/>
          <w:sz w:val="24"/>
        </w:rPr>
        <w:t>由各星團未先經成員或品質切選的校正母樣本，抽取星等、顏色與天空位置相近的參考星誤差，保留視差與兩分量自行的協方差。擾動後套用相同選星條件；各校正網格的品質通過率以 Beta 分布抽樣，同一狀態內共用。</w:t>
      </w:r>
    </w:p>
    <w:p>
      <w:pPr>
        <w:pStyle w:val="normal1"/>
        <w:widowControl/>
        <w:spacing w:lineRule="auto" w:line="269" w:before="0" w:after="60"/>
        <w:ind w:firstLine="480"/>
        <w:jc w:val="both"/>
        <w:rPr/>
      </w:pPr>
      <w:r>
        <w:rPr>
          <w:rFonts w:ascii="Times New Roman" w:hAnsi="Times New Roman" w:eastAsia="新細明體"/>
          <w:color w:val="000000"/>
          <w:sz w:val="24"/>
        </w:rPr>
        <w:t>每組模板使用 32 次觀測抽樣與 8 個品質校正狀態。先平均 3 組動力學種子的預期模板，再計算各狀態的 Poisson 概似，最後依式（8）混合；有限動力學取樣誤差另行檢查。</w:t>
      </w:r>
    </w:p>
    <w:p>
      <w:pPr>
        <w:pStyle w:val="Heading3"/>
        <w:keepNext/>
        <w:widowControl/>
        <w:spacing w:lineRule="auto" w:line="269" w:before="120" w:after="60"/>
        <w:ind w:hanging="0" w:start="240"/>
        <w:rPr/>
      </w:pPr>
      <w:r>
        <w:rPr>
          <w:rFonts w:ascii="Times New Roman" w:hAnsi="Times New Roman" w:eastAsia="新細明體"/>
          <w:color w:val="000000"/>
          <w:sz w:val="24"/>
        </w:rPr>
        <w:t>（二）Poisson 混合模型與概似</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sSub>
            <m:e>
              <m:r>
                <m:t xml:space="preserve">λ</m:t>
              </m:r>
            </m:e>
            <m:sub>
              <m:r>
                <m:t xml:space="preserve">jc</m:t>
              </m:r>
            </m:sub>
          </m:sSub>
          <m:r>
            <m:rPr>
              <m:lit/>
              <m:nor/>
            </m:rPr>
            <m:t xml:space="preserve"> </m:t>
          </m:r>
          <m:r>
            <m:rPr>
              <m:lit/>
              <m:nor/>
            </m:rPr>
            <m:t xml:space="preserve">=</m:t>
          </m:r>
          <m:r>
            <m:rPr>
              <m:lit/>
              <m:nor/>
            </m:rPr>
            <m:t xml:space="preserve"> </m:t>
          </m:r>
          <m:sSub>
            <m:e>
              <m:r>
                <m:t xml:space="preserve">s</m:t>
              </m:r>
            </m:e>
            <m:sub>
              <m:r>
                <m:t xml:space="preserve">jc</m:t>
              </m:r>
            </m:sub>
          </m:sSub>
          <m:r>
            <m:t xml:space="preserve">(</m:t>
          </m:r>
          <m:r>
            <m:t xml:space="preserve">R</m:t>
          </m:r>
          <m:r>
            <m:t xml:space="preserve">,</m:t>
          </m:r>
          <m:r>
            <m:t xml:space="preserve">T</m:t>
          </m:r>
          <m:r>
            <m:t xml:space="preserve">,</m:t>
          </m:r>
          <m:r>
            <m:t xml:space="preserve">α</m:t>
          </m:r>
          <m:r>
            <m:t xml:space="preserve">)</m:t>
          </m:r>
          <m:r>
            <m:rPr>
              <m:lit/>
              <m:nor/>
            </m:rPr>
            <m:t xml:space="preserve"> </m:t>
          </m:r>
          <m:r>
            <m:rPr>
              <m:lit/>
              <m:nor/>
            </m:rPr>
            <m:t xml:space="preserve">+</m:t>
          </m:r>
          <m:r>
            <m:rPr>
              <m:lit/>
              <m:nor/>
            </m:rPr>
            <m:t xml:space="preserve"> </m:t>
          </m:r>
          <m:r>
            <m:t xml:space="preserve">β</m:t>
          </m:r>
          <m:r>
            <m:rPr>
              <m:lit/>
              <m:nor/>
            </m:rPr>
            <m:t xml:space="preserve"> </m:t>
          </m:r>
          <m:sSub>
            <m:e>
              <m:r>
                <m:t xml:space="preserve">b</m:t>
              </m:r>
            </m:e>
            <m:sub>
              <m:r>
                <m:t xml:space="preserve">j</m:t>
              </m:r>
            </m:sub>
          </m:sSub>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7</m:t>
          </m:r>
          <m:r>
            <m:t xml:space="preserve">)</m:t>
          </m:r>
        </m:oMath>
      </m:oMathPara>
    </w:p>
    <w:p>
      <w:pPr>
        <w:pStyle w:val="normal1"/>
        <w:widowControl/>
        <w:spacing w:lineRule="auto" w:line="269" w:before="0" w:after="60"/>
        <w:ind w:firstLine="480"/>
        <w:jc w:val="both"/>
        <w:rPr/>
      </w:pPr>
      <w:r>
        <w:rPr>
          <w:rFonts w:ascii="Times New Roman" w:hAnsi="Times New Roman" w:eastAsia="新細明體"/>
          <w:color w:val="000000"/>
          <w:sz w:val="24"/>
        </w:rPr>
        <w:t>其中，</w:t>
      </w:r>
      <m:oMath xmlns:m="http://schemas.openxmlformats.org/officeDocument/2006/math">
        <m:sSub>
          <m:e>
            <m:r>
              <m:t xml:space="preserve">n</m:t>
            </m:r>
          </m:e>
          <m:sub>
            <m:r>
              <m:t xml:space="preserve">j</m:t>
            </m:r>
          </m:sub>
        </m:sSub>
      </m:oMath>
      <w:r>
        <w:rPr>
          <w:rFonts w:ascii="Times New Roman" w:hAnsi="Times New Roman" w:eastAsia="新細明體"/>
          <w:color w:val="000000"/>
          <w:sz w:val="24"/>
        </w:rPr>
        <w:t xml:space="preserve"> 為第 j 像素的整數觀測星數，</w:t>
      </w:r>
      <m:oMath xmlns:m="http://schemas.openxmlformats.org/officeDocument/2006/math">
        <m:sSub>
          <m:e>
            <m:r>
              <m:t xml:space="preserve">b</m:t>
            </m:r>
          </m:e>
          <m:sub>
            <m:r>
              <m:t xml:space="preserve">j</m:t>
            </m:r>
          </m:sub>
        </m:sSub>
      </m:oMath>
      <w:r>
        <w:rPr>
          <w:rFonts w:ascii="Times New Roman" w:hAnsi="Times New Roman" w:eastAsia="新細明體"/>
          <w:color w:val="000000"/>
          <w:sz w:val="24"/>
        </w:rPr>
        <w:t xml:space="preserve"> 為固定背景模板，</w:t>
      </w:r>
      <m:oMath xmlns:m="http://schemas.openxmlformats.org/officeDocument/2006/math">
        <m:sSub>
          <m:e>
            <m:r>
              <m:t xml:space="preserve">s</m:t>
            </m:r>
          </m:e>
          <m:sub>
            <m:r>
              <m:t xml:space="preserve">jc</m:t>
            </m:r>
          </m:sub>
        </m:sSub>
      </m:oMath>
      <w:r>
        <w:rPr>
          <w:rFonts w:ascii="Times New Roman" w:hAnsi="Times New Roman" w:eastAsia="新細明體"/>
          <w:color w:val="000000"/>
          <w:sz w:val="24"/>
        </w:rPr>
        <w:t xml:space="preserve"> 為第 c 個校正狀態的預期訊號，</w:t>
      </w:r>
      <w:r>
        <w:rPr>
          <w:rFonts w:ascii="Times New Roman" w:hAnsi="Times New Roman" w:eastAsia="新細明體"/>
          <w:i/>
          <w:color w:val="000000"/>
          <w:sz w:val="24"/>
        </w:rPr>
        <w:t>λ</w:t>
      </w:r>
      <w:r>
        <w:rPr>
          <w:rFonts w:ascii="Times New Roman" w:hAnsi="Times New Roman" w:eastAsia="新細明體"/>
          <w:color w:val="000000"/>
          <w:sz w:val="24"/>
          <w:vertAlign w:val="subscript"/>
        </w:rPr>
        <w:t>jc</w:t>
      </w:r>
      <w:r>
        <w:rPr>
          <w:rFonts w:ascii="Times New Roman" w:hAnsi="Times New Roman" w:eastAsia="新細明體"/>
          <w:color w:val="000000"/>
          <w:sz w:val="24"/>
        </w:rPr>
        <w:t xml:space="preserve"> 為總預期星數，單位皆為每像素星數。j＝1,…,J 遍歷像素，c＝1,…,C 遍歷狀態，C＝8；此處 α 指逃逸人口斜率。</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r>
            <m:t xml:space="preserve">L</m:t>
          </m:r>
          <m:r>
            <m:t xml:space="preserve">(</m:t>
          </m:r>
          <m:r>
            <m:t xml:space="preserve">D</m:t>
          </m:r>
          <m:r>
            <m:rPr>
              <m:lit/>
              <m:nor/>
            </m:rPr>
            <m:t xml:space="preserve"> </m:t>
          </m:r>
          <m:r>
            <m:rPr>
              <m:lit/>
              <m:nor/>
            </m:rPr>
            <m:t xml:space="preserve">|</m:t>
          </m:r>
          <m:r>
            <m:rPr>
              <m:lit/>
              <m:nor/>
            </m:rPr>
            <m:t xml:space="preserve"> </m:t>
          </m:r>
          <m:r>
            <m:t xml:space="preserve">R</m:t>
          </m:r>
          <m:r>
            <m:t xml:space="preserve">,</m:t>
          </m:r>
          <m:r>
            <m:t xml:space="preserve">T</m:t>
          </m:r>
          <m:r>
            <m:t xml:space="preserve">,</m:t>
          </m:r>
          <m:r>
            <m:t xml:space="preserve">β</m:t>
          </m:r>
          <m:r>
            <m:t xml:space="preserve">,</m:t>
          </m:r>
          <m:r>
            <m:t xml:space="preserve">α</m:t>
          </m:r>
          <m:r>
            <m:t xml:space="preserve">)</m:t>
          </m:r>
          <m:r>
            <m:rPr>
              <m:lit/>
              <m:nor/>
            </m:rPr>
            <m:t xml:space="preserve"> </m:t>
          </m:r>
          <m:r>
            <m:rPr>
              <m:lit/>
              <m:nor/>
            </m:rPr>
            <m:t xml:space="preserve">=</m:t>
          </m:r>
          <m:r>
            <m:rPr>
              <m:lit/>
              <m:nor/>
            </m:rPr>
            <m:t xml:space="preserve"> </m:t>
          </m:r>
          <m:f>
            <m:num>
              <m:r>
                <m:t xml:space="preserve">1</m:t>
              </m:r>
            </m:num>
            <m:den>
              <m:r>
                <m:t xml:space="preserve">C</m:t>
              </m:r>
            </m:den>
          </m:f>
          <m:nary>
            <m:naryPr>
              <m:chr m:val="∑"/>
            </m:naryPr>
            <m:sub>
              <m:r>
                <m:t xml:space="preserve">c</m:t>
              </m:r>
              <m:r>
                <m:rPr>
                  <m:lit/>
                  <m:nor/>
                </m:rPr>
                <m:t xml:space="preserve">=</m:t>
              </m:r>
              <m:r>
                <m:t xml:space="preserve">1</m:t>
              </m:r>
            </m:sub>
            <m:sup>
              <m:r>
                <m:t xml:space="preserve">C</m:t>
              </m:r>
            </m:sup>
            <m:e>
              <m:nary>
                <m:naryPr>
                  <m:chr m:val="∏"/>
                </m:naryPr>
                <m:sub>
                  <m:r>
                    <m:t xml:space="preserve">j</m:t>
                  </m:r>
                  <m:r>
                    <m:rPr>
                      <m:lit/>
                      <m:nor/>
                    </m:rPr>
                    <m:t xml:space="preserve">=</m:t>
                  </m:r>
                  <m:r>
                    <m:t xml:space="preserve">1</m:t>
                  </m:r>
                </m:sub>
                <m:sup>
                  <m:r>
                    <m:t xml:space="preserve">J</m:t>
                  </m:r>
                </m:sup>
                <m:e>
                  <m:r>
                    <m:t xml:space="preserve">Poisson</m:t>
                  </m:r>
                  <m:r>
                    <m:t xml:space="preserve">(</m:t>
                  </m:r>
                  <m:sSub>
                    <m:e>
                      <m:r>
                        <m:t xml:space="preserve">n</m:t>
                      </m:r>
                    </m:e>
                    <m:sub>
                      <m:r>
                        <m:t xml:space="preserve">j</m:t>
                      </m:r>
                    </m:sub>
                  </m:sSub>
                  <m:r>
                    <m:rPr>
                      <m:lit/>
                      <m:nor/>
                    </m:rPr>
                    <m:t xml:space="preserve"> </m:t>
                  </m:r>
                  <m:r>
                    <m:rPr>
                      <m:lit/>
                      <m:nor/>
                    </m:rPr>
                    <m:t xml:space="preserve">|</m:t>
                  </m:r>
                  <m:r>
                    <m:rPr>
                      <m:lit/>
                      <m:nor/>
                    </m:rPr>
                    <m:t xml:space="preserve"> </m:t>
                  </m:r>
                  <m:sSub>
                    <m:e>
                      <m:r>
                        <m:t xml:space="preserve">λ</m:t>
                      </m:r>
                    </m:e>
                    <m:sub>
                      <m:r>
                        <m:t xml:space="preserve">jc</m:t>
                      </m:r>
                    </m:sub>
                  </m:sSub>
                  <m:r>
                    <m:t xml:space="preserve">)</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8</m:t>
                  </m:r>
                  <m:r>
                    <m:t xml:space="preserve">)</m:t>
                  </m:r>
                </m:e>
              </m:nary>
            </m:e>
          </m:nary>
        </m:oMath>
      </m:oMathPara>
    </w:p>
    <w:p>
      <w:pPr>
        <w:pStyle w:val="normal1"/>
        <w:widowControl/>
        <w:spacing w:lineRule="auto" w:line="269" w:before="0" w:after="60"/>
        <w:ind w:firstLine="480"/>
        <w:jc w:val="both"/>
        <w:rPr>
          <w:rFonts w:ascii="Times New Roman" w:hAnsi="Times New Roman" w:eastAsia="新細明體" w:cs="Gungsuh"/>
          <w:color w:val="000000"/>
          <w:sz w:val="24"/>
        </w:rPr>
      </w:pPr>
      <w:r>
        <w:rPr>
          <w:rFonts w:ascii="Times New Roman" w:hAnsi="Times New Roman" w:eastAsia="新細明體"/>
          <w:color w:val="000000"/>
          <w:sz w:val="24"/>
        </w:rPr>
        <w:t>式（8）為 Poisson 混合模型（Poisson mixture model）的概似：先計算各狀態概似，再平均，不平均對數概似。基準分析僅使用空間計數資訊；加入其他資訊時須避免重複計算選星證據。</w:t>
      </w:r>
    </w:p>
    <w:p>
      <w:pPr>
        <w:pStyle w:val="Heading2"/>
        <w:keepNext/>
        <w:widowControl/>
        <w:spacing w:lineRule="auto" w:line="269" w:before="120" w:after="60"/>
        <w:rPr/>
      </w:pPr>
      <w:r>
        <w:rPr>
          <w:rFonts w:ascii="Times New Roman" w:hAnsi="Times New Roman" w:eastAsia="新細明體"/>
          <w:color w:val="000000"/>
          <w:sz w:val="26"/>
        </w:rPr>
        <w:t>八、貝氏邊際化與先驗</w:t>
      </w:r>
    </w:p>
    <w:p>
      <w:pPr>
        <w:pStyle w:val="normal1"/>
        <w:widowControl/>
        <w:spacing w:lineRule="auto" w:line="269" w:before="0" w:after="60"/>
        <w:ind w:firstLine="480"/>
        <w:jc w:val="both"/>
        <w:rPr/>
      </w:pPr>
      <w:r>
        <w:rPr>
          <w:rFonts w:ascii="Times New Roman" w:hAnsi="Times New Roman" w:eastAsia="新細明體"/>
          <w:color w:val="000000"/>
          <w:sz w:val="24"/>
        </w:rPr>
        <w:t>參考星流研究對干擾參數的處理 [9]，以離散網格積分背景、時間與人口不確定性。表五列出基準與敏感度檢查設計；各項完成狀態另行記錄，不以列入方法視為驗證通過。</w:t>
      </w:r>
    </w:p>
    <w:p>
      <w:pPr>
        <w:pStyle w:val="normal1"/>
        <w:keepNext/>
        <w:widowControl/>
        <w:spacing w:lineRule="auto" w:line="269" w:before="0" w:after="60"/>
        <w:ind w:firstLine="0"/>
        <w:jc w:val="center"/>
        <w:rPr/>
      </w:pPr>
      <w:r>
        <w:rPr>
          <w:rFonts w:ascii="Times New Roman" w:hAnsi="Times New Roman" w:eastAsia="新細明體"/>
          <w:b/>
          <w:color w:val="000000"/>
          <w:sz w:val="22"/>
        </w:rPr>
        <w:t>表五　基準設定與敏感度檢查</w:t>
      </w:r>
    </w:p>
    <w:tbl>
      <w:tblPr>
        <w:tblStyle w:val="Table5"/>
        <w:tblW w:w="9216" w:type="dxa"/>
        <w:jc w:val="center"/>
        <w:tblInd w:w="0" w:type="dxa"/>
        <w:tblLayout w:type="fixed"/>
        <w:tblCellMar>
          <w:top w:w="80" w:type="dxa"/>
          <w:start w:w="100" w:type="dxa"/>
          <w:bottom w:w="80" w:type="dxa"/>
          <w:end w:w="100" w:type="dxa"/>
        </w:tblCellMar>
        <w:tblLook w:val="0400"/>
        <w:tblBorders>
          <w:top w:val="single" w:sz="6" w:color="D9D9D9"/>
          <w:left w:val="single" w:sz="6" w:color="D9D9D9"/>
          <w:bottom w:val="single" w:sz="6" w:color="D9D9D9"/>
          <w:right w:val="single" w:sz="6" w:color="D9D9D9"/>
          <w:insideH w:val="single" w:sz="6" w:color="D9D9D9"/>
          <w:insideV w:val="single" w:sz="6" w:color="D9D9D9"/>
        </w:tblBorders>
      </w:tblPr>
      <w:tblGrid>
        <w:gridCol w:w="964"/>
        <w:gridCol w:w="3798"/>
        <w:gridCol w:w="4422"/>
      </w:tblGrid>
      <w:tr>
        <w:trPr>
          <w:tblHeader w:val="true"/>
          <w:cantSplit w:val="true"/>
        </w:trPr>
        <w:tc>
          <w:tcPr>
            <w:tcW w:w="964"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參數</w:t>
            </w:r>
          </w:p>
        </w:tc>
        <w:tc>
          <w:tcPr>
            <w:tcW w:w="3798"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cs="Gungsuh" w:eastAsia="新細明體"/>
                <w:b/>
                <w:bCs/>
                <w:color w:val="000000"/>
                <w:sz w:val="22"/>
                <w:szCs w:val="20"/>
              </w:rPr>
              <w:t>基準先驗或處理</w:t>
            </w:r>
          </w:p>
        </w:tc>
        <w:tc>
          <w:tcPr>
            <w:tcW w:w="4422" w:type="dxa"/>
            <w:shd w:fill="D9E2F3" w:val="clear"/>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eastAsia="新細明體"/>
                <w:b/>
                <w:color w:val="000000"/>
                <w:sz w:val="22"/>
              </w:rPr>
              <w:t>敏感度檢查設計</w:t>
            </w:r>
          </w:p>
        </w:tc>
      </w:tr>
      <w:tr>
        <w:trPr>
          <w:cantSplit w:val="true"/>
        </w:trPr>
        <w:tc>
          <w:tcPr>
            <w:tcW w:w="964"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R</w:t>
            </w:r>
          </w:p>
        </w:tc>
        <w:tc>
          <w:tcPr>
            <w:tcW w:w="3798"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 xml:space="preserve">1–31 M☉/Myr </w:t>
            </w:r>
            <w:r>
              <w:rPr>
                <w:rFonts w:ascii="Times New Roman" w:hAnsi="Times New Roman" w:cs="Gungsuh" w:eastAsia="新細明體"/>
                <w:color w:val="000000"/>
                <w:sz w:val="22"/>
                <w:szCs w:val="20"/>
              </w:rPr>
              <w:t>內均勻</w:t>
            </w:r>
          </w:p>
        </w:tc>
        <w:tc>
          <w:tcPr>
            <w:tcW w:w="4422"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先驗形式、逐星團邊界與網格範圍</w:t>
            </w:r>
          </w:p>
        </w:tc>
      </w:tr>
      <w:tr>
        <w:trPr>
          <w:cantSplit w:val="true"/>
        </w:trPr>
        <w:tc>
          <w:tcPr>
            <w:tcW w:w="964"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T</w:t>
            </w:r>
          </w:p>
        </w:tc>
        <w:tc>
          <w:tcPr>
            <w:tcW w:w="3798"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 xml:space="preserve">100–2000 Myr </w:t>
            </w:r>
            <w:r>
              <w:rPr>
                <w:rFonts w:ascii="Times New Roman" w:hAnsi="Times New Roman" w:cs="Gungsuh" w:eastAsia="新細明體"/>
                <w:color w:val="000000"/>
                <w:sz w:val="22"/>
                <w:szCs w:val="20"/>
              </w:rPr>
              <w:t>內均勻</w:t>
            </w:r>
          </w:p>
        </w:tc>
        <w:tc>
          <w:tcPr>
            <w:tcW w:w="4422"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先驗形式、可辨識性與範圍</w:t>
            </w:r>
          </w:p>
        </w:tc>
      </w:tr>
      <w:tr>
        <w:trPr>
          <w:cantSplit w:val="true"/>
        </w:trPr>
        <w:tc>
          <w:tcPr>
            <w:tcW w:w="964"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β</w:t>
            </w:r>
          </w:p>
        </w:tc>
        <w:tc>
          <w:tcPr>
            <w:tcW w:w="3798"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 xml:space="preserve">0–5 </w:t>
            </w:r>
            <w:r>
              <w:rPr>
                <w:rFonts w:ascii="Times New Roman" w:hAnsi="Times New Roman" w:cs="Gungsuh" w:eastAsia="新細明體"/>
                <w:color w:val="000000"/>
                <w:sz w:val="22"/>
                <w:szCs w:val="20"/>
              </w:rPr>
              <w:t>的均勻先驗</w:t>
            </w:r>
          </w:p>
        </w:tc>
        <w:tc>
          <w:tcPr>
            <w:tcW w:w="4422"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改變上界並檢查端點敏感度</w:t>
            </w:r>
          </w:p>
        </w:tc>
      </w:tr>
      <w:tr>
        <w:trPr>
          <w:cantSplit w:val="true"/>
        </w:trPr>
        <w:tc>
          <w:tcPr>
            <w:tcW w:w="964" w:type="dxa"/>
            <w:vAlign w:val="center"/>
            <w:tcMar>
              <w:top w:w="55" w:type="dxa"/>
              <w:bottom w:w="55" w:type="dxa"/>
              <w:left w:w="85" w:type="dxa"/>
              <w:right w:w="85" w:type="dxa"/>
            </w:tcMar>
          </w:tcPr>
          <w:p>
            <w:pPr>
              <w:pStyle w:val="normal1"/>
              <w:spacing w:lineRule="auto" w:line="252" w:before="0" w:after="0"/>
              <w:ind w:firstLine="0"/>
              <w:jc w:val="center"/>
              <w:rPr/>
            </w:pPr>
            <w:r>
              <w:rPr>
                <w:rFonts w:ascii="Times New Roman" w:hAnsi="Times New Roman" w:eastAsia="新細明體"/>
                <w:color w:val="000000"/>
                <w:sz w:val="22"/>
              </w:rPr>
            </w:r>
            <m:oMathPara xmlns:m="http://schemas.openxmlformats.org/officeDocument/2006/math">
              <m:oMathParaPr>
                <m:jc m:val="center"/>
              </m:oMathParaPr>
              <m:oMath>
                <m:sSub>
                  <m:e>
                    <m:r>
                      <m:t xml:space="preserve">α</m:t>
                    </m:r>
                  </m:e>
                  <m:sub>
                    <m:r>
                      <m:t xml:space="preserve">GC</m:t>
                    </m:r>
                  </m:sub>
                </m:sSub>
              </m:oMath>
            </m:oMathPara>
          </w:p>
        </w:tc>
        <w:tc>
          <w:tcPr>
            <w:tcW w:w="3798"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cs="Gungsuh" w:eastAsia="新細明體"/>
                <w:color w:val="000000"/>
                <w:sz w:val="22"/>
                <w:szCs w:val="20"/>
              </w:rPr>
              <w:t>量測平均與誤差的高斯近似</w:t>
            </w:r>
          </w:p>
        </w:tc>
        <w:tc>
          <w:tcPr>
            <w:tcW w:w="4422"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求積階數、外推貢獻與人口模型</w:t>
            </w:r>
          </w:p>
        </w:tc>
      </w:tr>
      <w:tr>
        <w:trPr>
          <w:cantSplit w:val="true"/>
        </w:trPr>
        <w:tc>
          <w:tcPr>
            <w:tcW w:w="964" w:type="dxa"/>
            <w:vAlign w:val="center"/>
            <w:tcMar>
              <w:top w:w="55" w:type="dxa"/>
              <w:bottom w:w="55" w:type="dxa"/>
              <w:left w:w="85" w:type="dxa"/>
              <w:right w:w="85" w:type="dxa"/>
            </w:tcMar>
          </w:tcPr>
          <w:p>
            <w:pPr>
              <w:pStyle w:val="normal1"/>
              <w:spacing w:lineRule="auto" w:line="252" w:before="0" w:after="0"/>
              <w:ind w:firstLine="0"/>
              <w:jc w:val="center"/>
              <w:rPr/>
            </w:pPr>
            <w:r>
              <w:rPr>
                <w:rFonts w:eastAsia="新細明體" w:ascii="Times New Roman" w:hAnsi="Times New Roman"/>
                <w:color w:val="000000"/>
                <w:sz w:val="22"/>
                <w:szCs w:val="20"/>
              </w:rPr>
              <w:t>δ</w:t>
            </w:r>
          </w:p>
        </w:tc>
        <w:tc>
          <w:tcPr>
            <w:tcW w:w="3798" w:type="dxa"/>
            <w:vAlign w:val="center"/>
            <w:tcMar>
              <w:top w:w="55" w:type="dxa"/>
              <w:bottom w:w="55" w:type="dxa"/>
              <w:left w:w="85" w:type="dxa"/>
              <w:right w:w="85" w:type="dxa"/>
            </w:tcMar>
          </w:tcPr>
          <w:p>
            <w:pPr>
              <w:pStyle w:val="normal1"/>
              <w:spacing w:lineRule="auto" w:line="252" w:before="0" w:after="0"/>
              <w:ind w:firstLine="0"/>
              <w:jc w:val="left"/>
              <w:rPr/>
            </w:pPr>
            <w:r>
              <w:rPr>
                <w:rFonts w:eastAsia="新細明體" w:cs="Gungsuh" w:ascii="Times New Roman" w:hAnsi="Times New Roman"/>
                <w:color w:val="000000"/>
                <w:sz w:val="22"/>
                <w:szCs w:val="20"/>
              </w:rPr>
              <w:t>0</w:t>
            </w:r>
            <w:r>
              <w:rPr>
                <w:rFonts w:ascii="Times New Roman" w:hAnsi="Times New Roman" w:cs="Gungsuh" w:eastAsia="新細明體"/>
                <w:color w:val="000000"/>
                <w:sz w:val="22"/>
                <w:szCs w:val="20"/>
              </w:rPr>
              <w:t>、−</w:t>
            </w:r>
            <w:r>
              <w:rPr>
                <w:rFonts w:eastAsia="新細明體" w:cs="Gungsuh" w:ascii="Times New Roman" w:hAnsi="Times New Roman"/>
                <w:color w:val="000000"/>
                <w:sz w:val="22"/>
                <w:szCs w:val="20"/>
              </w:rPr>
              <w:t>0.5</w:t>
            </w:r>
            <w:r>
              <w:rPr>
                <w:rFonts w:ascii="Times New Roman" w:hAnsi="Times New Roman" w:cs="Gungsuh" w:eastAsia="新細明體"/>
                <w:color w:val="000000"/>
                <w:sz w:val="22"/>
                <w:szCs w:val="20"/>
              </w:rPr>
              <w:t>、−</w:t>
            </w:r>
            <w:r>
              <w:rPr>
                <w:rFonts w:eastAsia="新細明體" w:cs="Gungsuh" w:ascii="Times New Roman" w:hAnsi="Times New Roman"/>
                <w:color w:val="000000"/>
                <w:sz w:val="22"/>
                <w:szCs w:val="20"/>
              </w:rPr>
              <w:t xml:space="preserve">1 </w:t>
            </w:r>
            <w:r>
              <w:rPr>
                <w:rFonts w:ascii="Times New Roman" w:hAnsi="Times New Roman" w:cs="Gungsuh" w:eastAsia="新細明體"/>
                <w:color w:val="000000"/>
                <w:sz w:val="22"/>
                <w:szCs w:val="20"/>
              </w:rPr>
              <w:t>各自條件式分析</w:t>
            </w:r>
          </w:p>
        </w:tc>
        <w:tc>
          <w:tcPr>
            <w:tcW w:w="4422" w:type="dxa"/>
            <w:vAlign w:val="center"/>
            <w:tcMar>
              <w:top w:w="55" w:type="dxa"/>
              <w:bottom w:w="55" w:type="dxa"/>
              <w:left w:w="85" w:type="dxa"/>
              <w:right w:w="85" w:type="dxa"/>
            </w:tcMar>
          </w:tcPr>
          <w:p>
            <w:pPr>
              <w:pStyle w:val="normal1"/>
              <w:spacing w:lineRule="auto" w:line="252" w:before="0" w:after="0"/>
              <w:ind w:firstLine="0"/>
              <w:jc w:val="left"/>
              <w:rPr/>
            </w:pPr>
            <w:r>
              <w:rPr>
                <w:rFonts w:ascii="Times New Roman" w:hAnsi="Times New Roman" w:eastAsia="新細明體"/>
                <w:color w:val="000000"/>
                <w:sz w:val="22"/>
              </w:rPr>
              <w:t>分開報告；未涵蓋情境保留限制</w:t>
            </w:r>
          </w:p>
        </w:tc>
      </w:tr>
      <w:tr>
        <w:trPr>
          <w:cantSplit/>
        </w:trPr>
        <w:tc>
          <w:tcPr>
            <w:tcW w:type="dxa" w:w="964"/>
            <w:vAlign w:val="center"/>
            <w:tcMar>
              <w:top w:w="55" w:type="dxa"/>
              <w:bottom w:w="55" w:type="dxa"/>
              <w:left w:w="85" w:type="dxa"/>
              <w:right w:w="85" w:type="dxa"/>
            </w:tcMar>
          </w:tcPr>
          <w:p>
            <w:pPr>
              <w:spacing w:line="252" w:lineRule="auto" w:before="0" w:after="0"/>
              <w:ind w:firstLine="0"/>
              <w:jc w:val="center"/>
            </w:pPr>
            <w:r>
              <w:rPr>
                <w:rFonts w:ascii="Times New Roman" w:hAnsi="Times New Roman" w:eastAsia="新細明體"/>
                <w:color w:val="000000"/>
                <w:sz w:val="22"/>
              </w:rPr>
              <w:t>f</w:t>
            </w:r>
          </w:p>
        </w:tc>
        <w:tc>
          <w:tcPr>
            <w:tcW w:type="dxa" w:w="3798"/>
            <w:vAlign w:val="center"/>
            <w:tcMar>
              <w:top w:w="55" w:type="dxa"/>
              <w:bottom w:w="55" w:type="dxa"/>
              <w:left w:w="85" w:type="dxa"/>
              <w:right w:w="85" w:type="dxa"/>
            </w:tcMar>
          </w:tcPr>
          <w:p>
            <w:pPr>
              <w:spacing w:line="252" w:lineRule="auto" w:before="0" w:after="0"/>
              <w:ind w:firstLine="0"/>
              <w:jc w:val="left"/>
            </w:pPr>
            <w:r>
              <w:rPr>
                <w:rFonts w:ascii="Times New Roman" w:hAnsi="Times New Roman" w:eastAsia="新細明體"/>
                <w:color w:val="000000"/>
                <w:sz w:val="22"/>
              </w:rPr>
              <w:t>固定為 1 的條件式基準</w:t>
            </w:r>
          </w:p>
        </w:tc>
        <w:tc>
          <w:tcPr>
            <w:tcW w:type="dxa" w:w="4422"/>
            <w:vAlign w:val="center"/>
            <w:tcMar>
              <w:top w:w="55" w:type="dxa"/>
              <w:bottom w:w="55" w:type="dxa"/>
              <w:left w:w="85" w:type="dxa"/>
              <w:right w:w="85" w:type="dxa"/>
            </w:tcMar>
          </w:tcPr>
          <w:p>
            <w:pPr>
              <w:spacing w:line="252" w:lineRule="auto" w:before="0" w:after="0"/>
              <w:ind w:firstLine="0"/>
              <w:jc w:val="left"/>
            </w:pPr>
            <w:r>
              <w:rPr>
                <w:rFonts w:ascii="Times New Roman" w:hAnsi="Times New Roman" w:eastAsia="新細明體"/>
                <w:color w:val="000000"/>
                <w:sz w:val="22"/>
              </w:rPr>
              <w:t>依質量定義設定替代值；須重建動力學</w:t>
            </w:r>
          </w:p>
        </w:tc>
      </w:tr>
      <w:tr>
        <w:trPr>
          <w:cantSplit/>
        </w:trPr>
        <w:tc>
          <w:tcPr>
            <w:tcW w:type="dxa" w:w="964"/>
            <w:vAlign w:val="center"/>
            <w:tcMar>
              <w:top w:w="55" w:type="dxa"/>
              <w:bottom w:w="55" w:type="dxa"/>
              <w:left w:w="85" w:type="dxa"/>
              <w:right w:w="85" w:type="dxa"/>
            </w:tcMar>
          </w:tcPr>
          <w:p>
            <w:pPr>
              <w:spacing w:line="252" w:lineRule="auto" w:before="0" w:after="0"/>
              <w:ind w:firstLine="0"/>
              <w:jc w:val="center"/>
            </w:pPr>
            <w:r>
              <w:rPr>
                <w:rFonts w:ascii="Times New Roman" w:hAnsi="Times New Roman" w:eastAsia="新細明體"/>
                <w:color w:val="000000"/>
                <w:sz w:val="22"/>
              </w:rPr>
              <w:t>a</w:t>
            </w:r>
          </w:p>
        </w:tc>
        <w:tc>
          <w:tcPr>
            <w:tcW w:type="dxa" w:w="3798"/>
            <w:vAlign w:val="center"/>
            <w:tcMar>
              <w:top w:w="55" w:type="dxa"/>
              <w:bottom w:w="55" w:type="dxa"/>
              <w:left w:w="85" w:type="dxa"/>
              <w:right w:w="85" w:type="dxa"/>
            </w:tcMar>
          </w:tcPr>
          <w:p>
            <w:pPr>
              <w:spacing w:line="252" w:lineRule="auto" w:before="0" w:after="0"/>
              <w:ind w:firstLine="0"/>
              <w:jc w:val="left"/>
            </w:pPr>
            <w:r>
              <w:rPr>
                <w:rFonts w:ascii="Times New Roman" w:hAnsi="Times New Roman" w:eastAsia="新細明體"/>
                <w:color w:val="000000"/>
                <w:sz w:val="22"/>
              </w:rPr>
              <w:t>由三維半質量半徑換算並固定</w:t>
            </w:r>
          </w:p>
        </w:tc>
        <w:tc>
          <w:tcPr>
            <w:tcW w:type="dxa" w:w="4422"/>
            <w:vAlign w:val="center"/>
            <w:tcMar>
              <w:top w:w="55" w:type="dxa"/>
              <w:bottom w:w="55" w:type="dxa"/>
              <w:left w:w="85" w:type="dxa"/>
              <w:right w:w="85" w:type="dxa"/>
            </w:tcMar>
          </w:tcPr>
          <w:p>
            <w:pPr>
              <w:spacing w:line="252" w:lineRule="auto" w:before="0" w:after="0"/>
              <w:ind w:firstLine="0"/>
              <w:jc w:val="left"/>
            </w:pPr>
            <w:r>
              <w:rPr>
                <w:rFonts w:ascii="Times New Roman" w:hAnsi="Times New Roman" w:eastAsia="新細明體"/>
                <w:color w:val="000000"/>
                <w:sz w:val="22"/>
              </w:rPr>
              <w:t>傳播半徑誤差；結構演化需獨立模型</w:t>
            </w:r>
          </w:p>
        </w:tc>
      </w:tr>
    </w:tbl>
    <w:p>
      <w:pPr>
        <w:pStyle w:val="normal1"/>
        <w:keepNext/>
        <w:widowControl/>
        <w:spacing w:lineRule="auto" w:line="269" w:before="0" w:after="60"/>
        <w:ind w:firstLine="480"/>
        <w:jc w:val="both"/>
        <w:rPr/>
      </w:pPr>
      <w:r>
        <w:rPr>
          <w:rFonts w:ascii="Times New Roman" w:hAnsi="Times New Roman" w:eastAsia="新細明體"/>
          <w:color w:val="000000"/>
          <w:sz w:val="24"/>
        </w:rPr>
        <w:t>R、T 的線性均勻與對數均勻先驗共四種組合，以梯形權重處理網格體積。共用 1–31 M☉/Myr 為初始掃描，非物理界限；須逐星團檢查邊界、解析度與 R/</w:t>
      </w:r>
      <w:r>
        <w:rPr>
          <w:rFonts w:ascii="Times New Roman" w:hAnsi="Times New Roman" w:eastAsia="新細明體"/>
          <w:i/>
          <w:color w:val="000000"/>
          <w:sz w:val="24"/>
        </w:rPr>
        <w:t>M</w:t>
      </w:r>
      <w:r>
        <w:rPr>
          <w:rFonts w:ascii="Times New Roman" w:hAnsi="Times New Roman" w:eastAsia="新細明體"/>
          <w:color w:val="000000"/>
          <w:sz w:val="24"/>
          <w:vertAlign w:val="subscript"/>
        </w:rPr>
        <w:t>dyn,0</w:t>
      </w:r>
      <w:r>
        <w:rPr>
          <w:rFonts w:ascii="Times New Roman" w:hAnsi="Times New Roman" w:eastAsia="新細明體"/>
          <w:color w:val="000000"/>
          <w:sz w:val="24"/>
        </w:rPr>
        <w:t>，必要時擴展。未擴展者只報有限網格的條件式結果；低訊號另比較純背景及接近零的模型，不能由 R≥1 推論必有流失。R 的邊際後驗為</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r>
            <m:t xml:space="preserve">p</m:t>
          </m:r>
          <m:r>
            <m:t xml:space="preserve">(</m:t>
          </m:r>
          <m:r>
            <m:t xml:space="preserve">R</m:t>
          </m:r>
          <m:r>
            <m:rPr>
              <m:lit/>
              <m:nor/>
            </m:rPr>
            <m:t xml:space="preserve"> </m:t>
          </m:r>
          <m:r>
            <m:rPr>
              <m:lit/>
              <m:nor/>
            </m:rPr>
            <m:t xml:space="preserve">|</m:t>
          </m:r>
          <m:r>
            <m:rPr>
              <m:lit/>
              <m:nor/>
            </m:rPr>
            <m:t xml:space="preserve"> </m:t>
          </m:r>
          <m:r>
            <m:t xml:space="preserve">D</m:t>
          </m:r>
          <m:r>
            <m:t xml:space="preserve">,</m:t>
          </m:r>
          <m:r>
            <m:t xml:space="preserve">δ</m:t>
          </m:r>
          <m:r>
            <m:t xml:space="preserve">)</m:t>
          </m:r>
          <m:r>
            <m:rPr>
              <m:lit/>
              <m:nor/>
            </m:rPr>
            <m:t xml:space="preserve"> </m:t>
          </m:r>
          <m:r>
            <m:t xml:space="preserve">∝</m:t>
          </m:r>
          <m:r>
            <m:rPr>
              <m:lit/>
              <m:nor/>
            </m:rPr>
            <m:t xml:space="preserve"> </m:t>
          </m:r>
          <m:r>
            <m:t xml:space="preserve">π</m:t>
          </m:r>
          <m:r>
            <m:t xml:space="preserve">(</m:t>
          </m:r>
          <m:r>
            <m:t xml:space="preserve">R</m:t>
          </m:r>
          <m:r>
            <m:t xml:space="preserve">)</m:t>
          </m:r>
          <m:r>
            <m:rPr>
              <m:lit/>
              <m:nor/>
            </m:rPr>
            <m:t xml:space="preserve"> </m:t>
          </m:r>
          <m:nary>
            <m:naryPr>
              <m:chr m:val="∑"/>
            </m:naryPr>
            <m:sub>
              <m:r>
                <m:t xml:space="preserve">k</m:t>
              </m:r>
              <m:r>
                <m:rPr>
                  <m:lit/>
                  <m:nor/>
                </m:rPr>
                <m:t xml:space="preserve">=</m:t>
              </m:r>
              <m:r>
                <m:t xml:space="preserve">1</m:t>
              </m:r>
            </m:sub>
            <m:sup>
              <m:r>
                <m:t xml:space="preserve">K</m:t>
              </m:r>
            </m:sup>
            <m:e>
              <m:sSub>
                <m:e>
                  <m:r>
                    <m:t xml:space="preserve">w</m:t>
                  </m:r>
                </m:e>
                <m:sub>
                  <m:r>
                    <m:t xml:space="preserve">k</m:t>
                  </m:r>
                </m:sub>
              </m:sSub>
              <m:r>
                <m:rPr>
                  <m:lit/>
                  <m:nor/>
                </m:rPr>
                <m:t xml:space="preserve"> </m:t>
              </m:r>
              <m:sSub>
                <m:e>
                  <m:r>
                    <m:t xml:space="preserve">Z</m:t>
                  </m:r>
                </m:e>
                <m:sub>
                  <m:r>
                    <m:t xml:space="preserve">k</m:t>
                  </m:r>
                </m:sub>
              </m:sSub>
              <m:r>
                <m:t xml:space="preserve">(</m:t>
              </m:r>
              <m:r>
                <m:t xml:space="preserve">R</m:t>
              </m:r>
              <m:r>
                <m:t xml:space="preserve">)</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9</m:t>
              </m:r>
              <m:r>
                <m:t xml:space="preserve">)</m:t>
              </m:r>
            </m:e>
          </m:nary>
        </m:oMath>
      </m:oMathPara>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sSub>
            <m:e>
              <m:r>
                <m:t xml:space="preserve">Z</m:t>
              </m:r>
            </m:e>
            <m:sub>
              <m:r>
                <m:t xml:space="preserve">k</m:t>
              </m:r>
            </m:sub>
          </m:sSub>
          <m:r>
            <m:t xml:space="preserve">(</m:t>
          </m:r>
          <m:r>
            <m:t xml:space="preserve">R</m:t>
          </m:r>
          <m:r>
            <m:t xml:space="preserve">)</m:t>
          </m:r>
          <m:r>
            <m:rPr>
              <m:lit/>
              <m:nor/>
            </m:rPr>
            <m:t xml:space="preserve"> </m:t>
          </m:r>
          <m:r>
            <m:rPr>
              <m:lit/>
              <m:nor/>
            </m:rPr>
            <m:t xml:space="preserve">=</m:t>
          </m:r>
          <m:r>
            <m:rPr>
              <m:lit/>
              <m:nor/>
            </m:rPr>
            <m:t xml:space="preserve"> </m:t>
          </m:r>
          <m:nary>
            <m:naryPr>
              <m:chr m:val="∫"/>
            </m:naryPr>
            <m:sub>
              <m:sSub>
                <m:e>
                  <m:r>
                    <m:t xml:space="preserve">T</m:t>
                  </m:r>
                </m:e>
                <m:sub>
                  <m:r>
                    <m:t xml:space="preserve">min</m:t>
                  </m:r>
                </m:sub>
              </m:sSub>
            </m:sub>
            <m:sup>
              <m:sSub>
                <m:e>
                  <m:r>
                    <m:t xml:space="preserve">T</m:t>
                  </m:r>
                </m:e>
                <m:sub>
                  <m:r>
                    <m:t xml:space="preserve">max</m:t>
                  </m:r>
                </m:sub>
              </m:sSub>
            </m:sup>
            <m:e>
              <m:nary>
                <m:naryPr>
                  <m:chr m:val="∫"/>
                </m:naryPr>
                <m:sub>
                  <m:r>
                    <m:t xml:space="preserve">0</m:t>
                  </m:r>
                </m:sub>
                <m:sup>
                  <m:r>
                    <m:t xml:space="preserve">5</m:t>
                  </m:r>
                </m:sup>
                <m:e>
                  <m:r>
                    <m:t xml:space="preserve">L</m:t>
                  </m:r>
                  <m:r>
                    <m:t xml:space="preserve">(</m:t>
                  </m:r>
                  <m:r>
                    <m:t xml:space="preserve">D</m:t>
                  </m:r>
                  <m:r>
                    <m:rPr>
                      <m:lit/>
                      <m:nor/>
                    </m:rPr>
                    <m:t xml:space="preserve"> </m:t>
                  </m:r>
                  <m:r>
                    <m:rPr>
                      <m:lit/>
                      <m:nor/>
                    </m:rPr>
                    <m:t xml:space="preserve">|</m:t>
                  </m:r>
                  <m:r>
                    <m:rPr>
                      <m:lit/>
                      <m:nor/>
                    </m:rPr>
                    <m:t xml:space="preserve"> </m:t>
                  </m:r>
                  <m:r>
                    <m:t xml:space="preserve">R</m:t>
                  </m:r>
                  <m:r>
                    <m:t xml:space="preserve">,</m:t>
                  </m:r>
                  <m:r>
                    <m:t xml:space="preserve">T</m:t>
                  </m:r>
                  <m:r>
                    <m:t xml:space="preserve">,</m:t>
                  </m:r>
                  <m:r>
                    <m:t xml:space="preserve">β</m:t>
                  </m:r>
                  <m:r>
                    <m:t xml:space="preserve">,</m:t>
                  </m:r>
                  <m:sSub>
                    <m:e>
                      <m:r>
                        <m:t xml:space="preserve">α</m:t>
                      </m:r>
                    </m:e>
                    <m:sub>
                      <m:r>
                        <m:t xml:space="preserve">k</m:t>
                      </m:r>
                    </m:sub>
                  </m:sSub>
                  <m:r>
                    <m:t xml:space="preserve">)</m:t>
                  </m:r>
                  <m:r>
                    <m:rPr>
                      <m:lit/>
                      <m:nor/>
                    </m:rPr>
                    <m:t xml:space="preserve"> </m:t>
                  </m:r>
                  <m:r>
                    <m:t xml:space="preserve">π</m:t>
                  </m:r>
                  <m:r>
                    <m:t xml:space="preserve">(</m:t>
                  </m:r>
                  <m:r>
                    <m:t xml:space="preserve">T</m:t>
                  </m:r>
                  <m:r>
                    <m:t xml:space="preserve">)</m:t>
                  </m:r>
                  <m:r>
                    <m:rPr>
                      <m:lit/>
                      <m:nor/>
                    </m:rPr>
                    <m:t xml:space="preserve"> </m:t>
                  </m:r>
                  <m:r>
                    <m:t xml:space="preserve">π</m:t>
                  </m:r>
                  <m:r>
                    <m:t xml:space="preserve">(</m:t>
                  </m:r>
                  <m:r>
                    <m:t xml:space="preserve">β</m:t>
                  </m:r>
                  <m:r>
                    <m:t xml:space="preserve">)</m:t>
                  </m:r>
                  <m:r>
                    <m:rPr>
                      <m:lit/>
                      <m:nor/>
                    </m:rPr>
                    <m:t xml:space="preserve"> </m:t>
                  </m:r>
                  <m:r>
                    <m:t xml:space="preserve">dβ</m:t>
                  </m:r>
                  <m:r>
                    <m:rPr>
                      <m:lit/>
                      <m:nor/>
                    </m:rPr>
                    <m:t xml:space="preserve"> </m:t>
                  </m:r>
                  <m:r>
                    <m:t xml:space="preserve">dT</m:t>
                  </m:r>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10</m:t>
                  </m:r>
                  <m:r>
                    <m:t xml:space="preserve">)</m:t>
                  </m:r>
                </m:e>
              </m:nary>
            </m:e>
          </m:nary>
        </m:oMath>
      </m:oMathPara>
    </w:p>
    <w:p>
      <w:pPr>
        <w:pStyle w:val="normal1"/>
        <w:widowControl/>
        <w:spacing w:lineRule="auto" w:line="269" w:before="0" w:after="60"/>
        <w:ind w:firstLine="480"/>
        <w:jc w:val="both"/>
        <w:rPr/>
      </w:pPr>
      <w:r>
        <w:rPr>
          <w:rFonts w:ascii="Times New Roman" w:hAnsi="Times New Roman" w:eastAsia="新細明體"/>
          <w:color w:val="000000"/>
          <w:sz w:val="24"/>
        </w:rPr>
        <w:t>其中，</w:t>
      </w:r>
      <m:oMath xmlns:m="http://schemas.openxmlformats.org/officeDocument/2006/math">
        <m:sSub>
          <m:e>
            <m:r>
              <m:t xml:space="preserve">α</m:t>
            </m:r>
          </m:e>
          <m:sub>
            <m:r>
              <m:t xml:space="preserve">k</m:t>
            </m:r>
          </m:sub>
        </m:sSub>
      </m:oMath>
      <w:r>
        <w:rPr>
          <w:rFonts w:ascii="Times New Roman" w:hAnsi="Times New Roman" w:eastAsia="新細明體"/>
          <w:color w:val="000000"/>
          <w:sz w:val="24"/>
        </w:rPr>
        <w:t xml:space="preserve"> 已包含該情境的 δ；</w:t>
      </w:r>
      <m:oMath xmlns:m="http://schemas.openxmlformats.org/officeDocument/2006/math">
        <m:sSub>
          <m:e>
            <m:r>
              <m:t xml:space="preserve">w</m:t>
            </m:r>
          </m:e>
          <m:sub>
            <m:r>
              <m:t xml:space="preserve">k</m:t>
            </m:r>
          </m:sub>
        </m:sSub>
      </m:oMath>
      <w:r>
        <w:rPr>
          <w:rFonts w:ascii="Times New Roman" w:hAnsi="Times New Roman" w:eastAsia="新細明體"/>
          <w:color w:val="000000"/>
          <w:sz w:val="24"/>
        </w:rPr>
        <w:t xml:space="preserve"> 為質量函數不確定性的求積權重，K＝5。對 β 以原始 Poisson 混合概似與其先驗進行邊際化，最佳背景值僅供數值縮放；質量函數量測資訊只經求積權重納入一次。</w:t>
      </w:r>
    </w:p>
    <w:p>
      <w:pPr>
        <w:pStyle w:val="Heading1"/>
        <w:keepNext/>
        <w:widowControl/>
        <w:spacing w:lineRule="auto" w:line="269" w:before="120" w:after="60"/>
        <w:rPr/>
      </w:pPr>
      <w:r>
        <w:rPr>
          <w:rFonts w:ascii="Times New Roman" w:hAnsi="Times New Roman" w:cs="Gungsuh" w:eastAsia="新細明體"/>
          <w:b/>
          <w:bCs/>
          <w:color w:val="000000"/>
          <w:sz w:val="30"/>
          <w:szCs w:val="32"/>
        </w:rPr>
        <w:t>肆、結果分析方法</w:t>
      </w:r>
    </w:p>
    <w:p>
      <w:pPr>
        <w:pStyle w:val="Heading2"/>
        <w:keepNext/>
        <w:widowControl/>
        <w:spacing w:lineRule="auto" w:line="269" w:before="120" w:after="60"/>
        <w:rPr/>
      </w:pPr>
      <w:r>
        <w:rPr>
          <w:rFonts w:ascii="Times New Roman" w:hAnsi="Times New Roman" w:cs="Gungsuh" w:eastAsia="新細明體"/>
          <w:b/>
          <w:bCs/>
          <w:color w:val="000000"/>
          <w:sz w:val="26"/>
          <w:szCs w:val="28"/>
        </w:rPr>
        <w:t>一、後驗分布</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（一）後驗分布與區間</w:t>
      </w:r>
    </w:p>
    <w:p>
      <w:pPr>
        <w:pStyle w:val="normal1"/>
        <w:widowControl/>
        <w:spacing w:lineRule="auto" w:line="269" w:before="0" w:after="60"/>
        <w:ind w:firstLine="480"/>
        <w:jc w:val="both"/>
        <w:rPr/>
      </w:pPr>
      <w:r>
        <w:rPr>
          <w:rFonts w:ascii="Times New Roman" w:hAnsi="Times New Roman" w:eastAsia="新細明體"/>
          <w:color w:val="000000"/>
          <w:sz w:val="24"/>
        </w:rPr>
        <w:t>輸出 R、T 的邊際與聯合後驗，報告中位數及中央 68%、95% 可信區間；分位數由分段線性密度積分求得。多峰時保留完整分布，避免只報單一最佳點。</w:t>
      </w:r>
    </w:p>
    <w:p>
      <w:pPr>
        <w:pStyle w:val="normal1"/>
        <w:widowControl/>
        <w:spacing w:lineRule="auto" w:line="269" w:before="0" w:after="60"/>
        <w:ind w:firstLine="480"/>
        <w:jc w:val="both"/>
        <w:rPr/>
      </w:pPr>
      <w:r>
        <w:rPr>
          <w:rFonts w:ascii="Times New Roman" w:hAnsi="Times New Roman" w:eastAsia="新細明體"/>
          <w:color w:val="000000"/>
          <w:sz w:val="24"/>
        </w:rPr>
        <w:t>可信區間以模型、先驗與資料為條件，與頻率派信賴區間不同。δ 情境的估計跨度另列為人口敏感度；邊界附近的區間須揭露截斷及解析度。</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（二）可見星數與質量轉換</w:t>
      </w:r>
    </w:p>
    <w:p>
      <w:pPr>
        <w:pStyle w:val="normal1"/>
        <w:keepNext/>
        <w:widowControl/>
        <w:spacing w:lineRule="auto" w:line="269" w:before="0" w:after="60"/>
        <w:ind w:firstLine="480"/>
        <w:jc w:val="both"/>
        <w:rPr/>
      </w:pPr>
      <w:r>
        <w:rPr>
          <w:rFonts w:ascii="Times New Roman" w:hAnsi="Times New Roman" w:cs="Gungsuh" w:eastAsia="新細明體"/>
          <w:color w:val="000000"/>
          <w:sz w:val="24"/>
        </w:rPr>
        <w:t>定義可觀測星數與所代表逃逸質量的轉換係數為</w:t>
      </w:r>
    </w:p>
    <w:p>
      <w:pPr>
        <w:pStyle w:val="normal1"/>
        <w:keepLines/>
        <w:widowControl/>
        <w:spacing w:lineRule="auto" w:line="269" w:before="0" w:after="60"/>
        <w:jc w:val="center"/>
        <w:rPr/>
      </w:pPr>
      <w:r>
        <w:rPr>
          <w:rFonts w:ascii="Times New Roman" w:hAnsi="Times New Roman" w:eastAsia="新細明體"/>
          <w:color w:val="000000"/>
          <w:sz w:val="24"/>
        </w:rPr>
      </w:r>
      <m:oMathPara xmlns:m="http://schemas.openxmlformats.org/officeDocument/2006/math">
        <m:oMathParaPr>
          <m:jc m:val="center"/>
        </m:oMathParaPr>
        <m:oMath>
          <m:r>
            <m:t xml:space="preserve">η</m:t>
          </m:r>
          <m:r>
            <m:t xml:space="preserve">(</m:t>
          </m:r>
          <m:r>
            <m:t xml:space="preserve">R</m:t>
          </m:r>
          <m:r>
            <m:t xml:space="preserve">,</m:t>
          </m:r>
          <m:r>
            <m:t xml:space="preserve">T</m:t>
          </m:r>
          <m:r>
            <m:t xml:space="preserve">,</m:t>
          </m:r>
          <m:r>
            <m:t xml:space="preserve">α</m:t>
          </m:r>
          <m:r>
            <m:t xml:space="preserve">)</m:t>
          </m:r>
          <m:r>
            <m:rPr>
              <m:lit/>
              <m:nor/>
            </m:rPr>
            <m:t xml:space="preserve"> </m:t>
          </m:r>
          <m:r>
            <m:rPr>
              <m:lit/>
              <m:nor/>
            </m:rPr>
            <m:t xml:space="preserve">=</m:t>
          </m:r>
          <m:r>
            <m:rPr>
              <m:lit/>
              <m:nor/>
            </m:rPr>
            <m:t xml:space="preserve"> </m:t>
          </m:r>
          <m:f>
            <m:num>
              <m:sSub>
                <m:e>
                  <m:r>
                    <m:t xml:space="preserve">N</m:t>
                  </m:r>
                </m:e>
                <m:sub>
                  <m:r>
                    <m:t xml:space="preserve">selected</m:t>
                  </m:r>
                </m:sub>
              </m:sSub>
            </m:num>
            <m:den>
              <m:r>
                <m:t xml:space="preserve">R</m:t>
              </m:r>
              <m:r>
                <m:rPr>
                  <m:lit/>
                  <m:nor/>
                </m:rPr>
                <m:t xml:space="preserve"> </m:t>
              </m:r>
              <m:r>
                <m:t xml:space="preserve">T</m:t>
              </m:r>
            </m:den>
          </m:f>
          <m:r>
            <m:rPr>
              <m:lit/>
              <m:nor/>
            </m:rPr>
            <m:t xml:space="preserve"> </m:t>
          </m:r>
          <m:r>
            <m:rPr>
              <m:lit/>
              <m:nor/>
            </m:rPr>
            <m:t xml:space="preserve"> </m:t>
          </m:r>
          <m:r>
            <m:rPr>
              <m:lit/>
              <m:nor/>
            </m:rPr>
            <m:t xml:space="preserve"> </m:t>
          </m:r>
          <m:r>
            <m:rPr>
              <m:lit/>
              <m:nor/>
            </m:rPr>
            <m:t xml:space="preserve"> </m:t>
          </m:r>
          <m:r>
            <m:rPr>
              <m:lit/>
              <m:nor/>
            </m:rPr>
            <m:t xml:space="preserve"> </m:t>
          </m:r>
          <m:r>
            <m:t xml:space="preserve">(</m:t>
          </m:r>
          <m:r>
            <m:t xml:space="preserve">11</m:t>
          </m:r>
          <m:r>
            <m:t xml:space="preserve">)</m:t>
          </m:r>
        </m:oMath>
      </m:oMathPara>
    </w:p>
    <w:p>
      <w:pPr>
        <w:pStyle w:val="normal1"/>
        <w:widowControl/>
        <w:spacing w:lineRule="auto" w:line="269" w:before="0" w:after="60"/>
        <w:ind w:firstLine="480"/>
        <w:jc w:val="both"/>
        <w:rPr/>
      </w:pPr>
      <w:r>
        <w:rPr>
          <w:rFonts w:ascii="Times New Roman" w:hAnsi="Times New Roman" w:eastAsia="新細明體"/>
          <w:color w:val="000000"/>
          <w:sz w:val="24"/>
        </w:rPr>
        <w:t>η 為每單位所代表逃逸質量產生的選中預期星數，單位 M☉⁻¹；</w:t>
      </w:r>
      <w:r>
        <w:rPr>
          <w:rFonts w:ascii="Times New Roman" w:hAnsi="Times New Roman" w:eastAsia="新細明體"/>
          <w:i/>
          <w:color w:val="000000"/>
          <w:sz w:val="24"/>
        </w:rPr>
        <w:t>N</w:t>
      </w:r>
      <w:r>
        <w:rPr>
          <w:rFonts w:ascii="Times New Roman" w:hAnsi="Times New Roman" w:eastAsia="新細明體"/>
          <w:color w:val="000000"/>
          <w:sz w:val="24"/>
          <w:vertAlign w:val="subscript"/>
        </w:rPr>
        <w:t>selected</w:t>
      </w:r>
      <w:r>
        <w:rPr>
          <w:rFonts w:ascii="Times New Roman" w:hAnsi="Times New Roman" w:eastAsia="新細明體"/>
          <w:color w:val="000000"/>
          <w:sz w:val="24"/>
        </w:rPr>
        <w:t xml:space="preserve"> 為模型選中星數，並非觀測總星數。比較人口時固定 R、T，以區分人口、動力學、視野及觀測選擇的影響。</w:t>
      </w:r>
    </w:p>
    <w:p>
      <w:pPr>
        <w:pStyle w:val="Heading3"/>
        <w:keepNext/>
        <w:widowControl/>
        <w:spacing w:lineRule="auto" w:line="269" w:before="120" w:after="60"/>
        <w:ind w:hanging="0" w:start="240"/>
        <w:rPr/>
      </w:pPr>
      <w:r>
        <w:rPr>
          <w:rFonts w:ascii="Times New Roman" w:hAnsi="Times New Roman" w:cs="Gungsuh" w:eastAsia="新細明體"/>
          <w:b/>
          <w:bCs/>
          <w:color w:val="000000"/>
          <w:sz w:val="24"/>
        </w:rPr>
        <w:t>（三）空間殘差與相對吻合度</w:t>
      </w:r>
    </w:p>
    <w:p>
      <w:pPr>
        <w:pStyle w:val="normal1"/>
        <w:widowControl/>
        <w:spacing w:lineRule="auto" w:line="269" w:before="0" w:after="60"/>
        <w:ind w:firstLine="480"/>
        <w:jc w:val="both"/>
        <w:rPr/>
      </w:pPr>
      <w:r>
        <w:rPr>
          <w:rFonts w:ascii="Times New Roman" w:hAnsi="Times New Roman" w:eastAsia="新細明體"/>
          <w:color w:val="000000"/>
          <w:sz w:val="24"/>
        </w:rPr>
        <w:t>以相同像素與色階呈現觀測、背景、訊號、總預期及 Pearson 殘差。殘差以平均預測描述空間失配，不直接解讀為顯著性；絕對吻合度須以含背景與選擇程序的模擬資料重擬合校準。</w:t>
      </w:r>
    </w:p>
    <w:p>
      <w:pPr>
        <w:widowControl/>
        <w:spacing w:line="269" w:lineRule="auto" w:before="0" w:after="60"/>
      </w:pPr>
      <w:r>
        <w:rPr>
          <w:rFonts w:ascii="Times New Roman" w:hAnsi="Times New Roman" w:eastAsia="新細明體"/>
          <w:color w:val="000000"/>
          <w:sz w:val="24"/>
        </w:rPr>
        <w:t>數值驗證須檢查主要訊號像素及事先定義的尾巴遠段合併區；提高粒子密度、種子數與觀測抽樣，確認模板及後驗穩定。軟體測試不能取代背景、人口與注入回收驗證，未通過者不報完整總質量的絕對流失率。</w:t>
      </w:r>
    </w:p>
    <w:p>
      <w:pPr>
        <w:pStyle w:val="normal1"/>
        <w:widowControl/>
        <w:spacing w:lineRule="auto" w:line="269" w:before="0" w:after="60"/>
        <w:ind w:firstLine="480"/>
        <w:jc w:val="both"/>
        <w:rPr/>
      </w:pPr>
      <w:r>
        <w:rPr>
          <w:rFonts w:ascii="Times New Roman" w:hAnsi="Times New Roman" w:eastAsia="新細明體"/>
          <w:color w:val="000000"/>
          <w:sz w:val="24"/>
        </w:rPr>
        <w:t xml:space="preserve">以 </w:t>
      </w:r>
      <m:oMath xmlns:m="http://schemas.openxmlformats.org/officeDocument/2006/math">
        <m:r>
          <m:t xml:space="preserve">q</m:t>
        </m:r>
        <m:d>
          <m:dPr>
            <m:begChr m:val="("/>
            <m:endChr m:val=")"/>
          </m:dPr>
          <m:e>
            <m:r>
              <m:t xml:space="preserve">θ</m:t>
            </m:r>
          </m:e>
        </m:d>
        <m:r>
          <m:t xml:space="preserve">=</m:t>
        </m:r>
        <m:r>
          <m:t xml:space="preserve">2</m:t>
        </m:r>
        <m:d>
          <m:dPr>
            <m:begChr m:val="["/>
            <m:endChr m:val="]"/>
          </m:dPr>
          <m:e>
            <m:sSub>
              <m:e>
                <m:r>
                  <m:t xml:space="preserve">ℓ</m:t>
                </m:r>
              </m:e>
              <m:sub>
                <m:r>
                  <m:t xml:space="preserve">max</m:t>
                </m:r>
              </m:sub>
            </m:sSub>
            <m:r>
              <m:t xml:space="preserve">−</m:t>
            </m:r>
            <m:r>
              <m:t xml:space="preserve">ℓ</m:t>
            </m:r>
            <m:d>
              <m:dPr>
                <m:begChr m:val="("/>
                <m:endChr m:val=")"/>
              </m:dPr>
              <m:e>
                <m:r>
                  <m:t xml:space="preserve">θ</m:t>
                </m:r>
              </m:e>
            </m:d>
          </m:e>
        </m:d>
      </m:oMath>
      <w:r>
        <w:rPr>
          <w:rFonts w:ascii="Times New Roman" w:hAnsi="Times New Roman" w:eastAsia="新細明體"/>
          <w:color w:val="000000"/>
          <w:sz w:val="24"/>
        </w:rPr>
        <w:t xml:space="preserve"> 及剖面概似（profile likelihood）比較相對吻合度。ℓ 為混合概似的自然對數，θ 為參數組合，</w:t>
      </w:r>
      <w:r>
        <w:rPr>
          <w:rFonts w:ascii="Times New Roman" w:hAnsi="Times New Roman" w:eastAsia="新細明體"/>
          <w:i/>
          <w:color w:val="000000"/>
          <w:sz w:val="24"/>
        </w:rPr>
        <w:t>ℓ</w:t>
      </w:r>
      <w:r>
        <w:rPr>
          <w:rFonts w:ascii="Times New Roman" w:hAnsi="Times New Roman" w:eastAsia="新細明體"/>
          <w:color w:val="000000"/>
          <w:sz w:val="24"/>
          <w:vertAlign w:val="subscript"/>
        </w:rPr>
        <w:t>max</w:t>
      </w:r>
      <w:r>
        <w:rPr>
          <w:rFonts w:ascii="Times New Roman" w:hAnsi="Times New Roman" w:eastAsia="新細明體"/>
          <w:color w:val="000000"/>
          <w:sz w:val="24"/>
        </w:rPr>
        <w:t xml:space="preserve"> 為同一模型與搜尋範圍內的最大值。剖面分析對干擾參數取最大概似，與邊際化不同；不把剖面 q 直接正規化為後驗，也不以文獻值調整權重。</w:t>
      </w:r>
    </w:p>
    <w:p>
      <w:pPr>
        <w:pStyle w:val="Heading1"/>
        <w:keepNext/>
        <w:widowControl/>
        <w:spacing w:lineRule="auto" w:line="269" w:before="120" w:after="60"/>
        <w:rPr/>
      </w:pPr>
      <w:r>
        <w:rPr>
          <w:rFonts w:ascii="Times New Roman" w:hAnsi="Times New Roman" w:cs="Gungsuh" w:eastAsia="新細明體"/>
          <w:b/>
          <w:bCs/>
          <w:color w:val="000000"/>
          <w:sz w:val="30"/>
          <w:szCs w:val="32"/>
        </w:rPr>
        <w:t>伍、討論</w:t>
      </w:r>
    </w:p>
    <w:p>
      <w:pPr>
        <w:pStyle w:val="Heading2"/>
        <w:keepNext/>
        <w:widowControl/>
        <w:spacing w:lineRule="auto" w:line="269" w:before="120" w:after="60"/>
        <w:rPr/>
      </w:pPr>
      <w:r>
        <w:rPr>
          <w:rFonts w:ascii="Times New Roman" w:hAnsi="Times New Roman" w:cs="Gungsuh" w:eastAsia="新細明體"/>
          <w:b/>
          <w:bCs/>
          <w:color w:val="000000"/>
          <w:sz w:val="26"/>
          <w:szCs w:val="28"/>
        </w:rPr>
        <w:t>一、模型適用範圍</w:t>
      </w:r>
    </w:p>
    <w:p>
      <w:pPr>
        <w:pStyle w:val="normal1"/>
        <w:widowControl/>
        <w:spacing w:lineRule="auto" w:line="269" w:before="0" w:after="60"/>
        <w:ind w:firstLine="480"/>
        <w:jc w:val="both"/>
        <w:rPr/>
      </w:pPr>
      <w:r>
        <w:rPr>
          <w:rFonts w:ascii="Times New Roman" w:hAnsi="Times New Roman" w:eastAsia="新細明體"/>
          <w:color w:val="000000"/>
          <w:sz w:val="24"/>
        </w:rPr>
        <w:t>本研究為給定銀河勢、星團結構、人口與校正下的條件式推論。主要限制包括固定尺度、軌道與消光、背景形狀、母星團至逃逸人口的質量函數轉換假設，以及未建模的暗星與殘骸。樣本來自已有候選潮汐結構的星團，可能偏向較易偵測的系統，不能代表銀河系全體流失率分布。</w:t>
      </w:r>
    </w:p>
    <w:p>
      <w:pPr>
        <w:pStyle w:val="Heading1"/>
        <w:keepNext/>
        <w:widowControl/>
        <w:spacing w:lineRule="auto" w:line="269" w:before="120" w:after="60"/>
        <w:rPr/>
      </w:pPr>
      <w:r>
        <w:rPr>
          <w:rFonts w:ascii="Times New Roman" w:hAnsi="Times New Roman" w:cs="Gungsuh" w:eastAsia="新細明體"/>
          <w:b/>
          <w:bCs/>
          <w:color w:val="000000"/>
          <w:sz w:val="30"/>
          <w:szCs w:val="32"/>
        </w:rPr>
        <w:t>陸、結論與未來展望</w:t>
      </w:r>
    </w:p>
    <w:p>
      <w:pPr>
        <w:pStyle w:val="Heading2"/>
        <w:keepNext/>
        <w:widowControl/>
        <w:spacing w:lineRule="auto" w:line="269" w:before="120" w:after="60"/>
        <w:rPr/>
      </w:pPr>
      <w:r>
        <w:rPr>
          <w:rFonts w:ascii="Times New Roman" w:hAnsi="Times New Roman" w:cs="Gungsuh" w:eastAsia="新細明體"/>
          <w:b/>
          <w:bCs/>
          <w:color w:val="000000"/>
          <w:sz w:val="26"/>
          <w:szCs w:val="28"/>
        </w:rPr>
        <w:t>一、結論</w:t>
      </w:r>
    </w:p>
    <w:p>
      <w:pPr>
        <w:pStyle w:val="normal1"/>
        <w:widowControl/>
        <w:spacing w:lineRule="auto" w:line="269" w:before="0" w:after="60"/>
        <w:ind w:firstLine="480"/>
        <w:jc w:val="both"/>
        <w:rPr/>
      </w:pPr>
      <w:r>
        <w:rPr>
          <w:rFonts w:ascii="Times New Roman" w:hAnsi="Times New Roman" w:eastAsia="新細明體"/>
          <w:color w:val="000000"/>
          <w:sz w:val="24"/>
        </w:rPr>
        <w:t>本方法以一致的觀測程序連結逃逸質量與 Gaia DR3 星數，透過貝氏邊際化呈現參數不確定性，並以 δ 情境評估人口假設的影響。所得流失率適用於明確定義的質量範圍，其可靠性須由各星團的資料支持、網格檢查及獨立驗證判定。</w:t>
      </w:r>
    </w:p>
    <w:p>
      <w:pPr>
        <w:pStyle w:val="Heading2"/>
        <w:keepNext/>
        <w:widowControl/>
        <w:spacing w:line="269" w:lineRule="auto" w:before="120" w:after="60"/>
        <w:ind w:hanging="0" w:start="0"/>
        <w:jc w:val="both"/>
        <w:rPr/>
      </w:pPr>
      <w:r>
        <w:rPr>
          <w:rFonts w:ascii="Times New Roman" w:hAnsi="Times New Roman" w:cs="Gungsuh" w:eastAsia="新細明體"/>
          <w:b/>
          <w:bCs/>
          <w:color w:val="000000"/>
          <w:sz w:val="26"/>
          <w:szCs w:val="28"/>
        </w:rPr>
        <w:t>二、未來展望</w:t>
      </w:r>
    </w:p>
    <w:p>
      <w:pPr>
        <w:pStyle w:val="normal1"/>
        <w:widowControl/>
        <w:spacing w:lineRule="auto" w:line="269" w:before="0" w:after="60"/>
        <w:ind w:hanging="0" w:start="0"/>
        <w:jc w:val="both"/>
        <w:rPr/>
      </w:pPr>
      <w:r>
        <w:rPr>
          <w:rFonts w:ascii="Times New Roman" w:hAnsi="Times New Roman" w:eastAsia="新細明體"/>
          <w:color w:val="000000"/>
          <w:sz w:val="24"/>
        </w:rPr>
        <w:t>（一）完成獨立控制區、模板取樣收斂及注入回收測試，涵蓋網格中間、邊界、低訊號與 T 可辨識程度不同的情境；比較推論偏差與區間行為。</w:t>
      </w:r>
    </w:p>
    <w:p>
      <w:pPr>
        <w:pStyle w:val="normal1"/>
        <w:widowControl/>
        <w:spacing w:lineRule="auto" w:line="269" w:before="0" w:after="60"/>
        <w:ind w:hanging="0" w:start="0"/>
        <w:jc w:val="both"/>
        <w:rPr/>
      </w:pPr>
      <w:r>
        <w:rPr>
          <w:rFonts w:ascii="Times New Roman" w:hAnsi="Times New Roman" w:eastAsia="新細明體"/>
          <w:color w:val="000000"/>
          <w:sz w:val="24"/>
        </w:rPr>
        <w:t>（二）以深測光或多質量模型約束逃逸人口，檢查 f、a、替代銀河勢及時間變動逃逸率，並與完整 N-body 模擬比較。</w:t>
      </w:r>
    </w:p>
    <w:sectPr>
      <w:footerReference w:type="even" r:id="rId2"/>
      <w:footerReference w:type="default" r:id="rId3"/>
      <w:footerReference w:type="first" r:id="rId4"/>
      <w:type w:val="nextPage"/>
      <w:pgSz w:w="12240" w:h="15840"/>
      <w:pgMar w:left="1440" w:right="1440" w:gutter="0" w:header="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88"/>
    <w:family w:val="roman"/>
    <w:pitch w:val="variable"/>
  </w:font>
  <w:font w:name="Times New Roman">
    <w:charset w:val="88"/>
    <w:family w:val="roman"/>
    <w:pitch w:val="variable"/>
  </w:font>
  <w:font w:name="Liberation Sans">
    <w:altName w:val="Arial"/>
    <w:charset w:val="8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80"/>
      <w:jc w:val="center"/>
      <w:rPr/>
    </w:pPr>
    <w:r>
      <w:rPr>
        <w:sz w:val="20"/>
      </w:rPr>
      <w:t xml:space="preserve">第 </w:t>
    </w:r>
    <w:fldSimple w:instr="PAGE"/>
    <w:r>
      <w:rPr>
        <w:sz w:val="20"/>
      </w:rPr>
      <w:t xml:space="preserve"> 頁</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00"/>
      <w:jc w:val="center"/>
      <w:rPr/>
    </w:pPr>
    <w:r>
      <w:rPr>
        <w:sz w:val="20"/>
      </w:rPr>
      <w:t xml:space="preserve">第 </w:t>
    </w:r>
    <w:fldSimple w:instr="PAGE"/>
    <w:r>
      <w:rPr>
        <w:sz w:val="20"/>
      </w:rPr>
      <w:t xml:space="preserve"> 頁</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spacing w:before="0" w:after="100"/>
      <w:jc w:val="center"/>
      <w:rPr/>
    </w:pPr>
    <w:r>
      <w:rPr>
        <w:sz w:val="20"/>
      </w:rPr>
      <w:t xml:space="preserve">第 </w:t>
    </w:r>
    <w:fldSimple w:instr="PAGE"/>
    <w:r>
      <w:rPr>
        <w:sz w:val="20"/>
      </w:rPr>
      <w:t xml:space="preserve"> 頁</w:t>
    </w:r>
  </w:p>
</w:ftr>
</file>

<file path=word/settings.xml><?xml version="1.0" encoding="utf-8"?>
<w:settings xmlns:w="http://schemas.openxmlformats.org/wordprocessingml/2006/main">
  <w:zoom w:percent="140"/>
  <w:embedTrueTypeFonts/>
  <w:defaultTabStop w:val="720"/>
  <w:autoHyphenation w:val="true"/>
  <w:hyphenationZone w:val="0"/>
  <w:compat>
    <w:compatSetting w:name="compatibilityMode" w:uri="http://schemas.microsoft.com/office/word" w:val="15"/>
  </w:compat>
  <w:themeFontLang w:val="" w:eastAsia="" w:bidi=""/>
  <w:updateFields w:val="true"/>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TC" w:cs="Lucida Sans"/>
        <w:sz w:val="24"/>
        <w:szCs w:val="24"/>
        <w:lang w:val="en-US" w:eastAsia="zh-TW" w:bidi="hi-IN"/>
      </w:rPr>
    </w:rPrDefault>
    <w:pPrDefault>
      <w:pPr>
        <w:suppressAutoHyphens w:val="true"/>
      </w:pPr>
    </w:pPrDefault>
  </w:docDefaults>
  <w:style w:type="paragraph" w:styleId="Normal">
    <w:name w:val="Normal"/>
    <w:qFormat/>
    <w:pPr>
      <w:widowControl/>
      <w:bidi w:val="0"/>
      <w:spacing w:lineRule="auto" w:line="312" w:before="0" w:after="80"/>
      <w:jc w:val="start"/>
    </w:pPr>
    <w:rPr>
      <w:rFonts w:ascii="Times New Roman" w:hAnsi="Times New Roman" w:eastAsia="Noto Serif TC" w:cs="Lucida Sans"/>
      <w:color w:val="auto"/>
      <w:kern w:val="0"/>
      <w:sz w:val="24"/>
      <w:szCs w:val="24"/>
      <w:lang w:val="en-US" w:eastAsia="zh-TW" w:bidi="hi-IN"/>
    </w:rPr>
  </w:style>
  <w:style w:type="paragraph" w:styleId="Heading1">
    <w:name w:val="heading 1"/>
    <w:basedOn w:val="normal1"/>
    <w:next w:val="normal1"/>
    <w:qFormat/>
    <w:pPr>
      <w:keepNext/>
      <w:keepLines/>
      <w:spacing w:lineRule="auto" w:line="269" w:before="360" w:after="60"/>
    </w:pPr>
    <w:rPr>
      <w:rFonts w:ascii="Times New Roman" w:hAnsi="Times New Roman" w:eastAsia="新細明體" w:cs="Play"/>
      <w:b/>
      <w:color w:val="000000"/>
      <w:sz w:val="30"/>
      <w:szCs w:val="40"/>
    </w:rPr>
  </w:style>
  <w:style w:type="paragraph" w:styleId="Heading2">
    <w:name w:val="heading 2"/>
    <w:basedOn w:val="normal1"/>
    <w:next w:val="normal1"/>
    <w:qFormat/>
    <w:pPr>
      <w:keepNext/>
      <w:keepLines/>
      <w:spacing w:lineRule="auto" w:line="269" w:before="160" w:after="60"/>
    </w:pPr>
    <w:rPr>
      <w:rFonts w:ascii="Times New Roman" w:hAnsi="Times New Roman" w:eastAsia="新細明體" w:cs="Play"/>
      <w:b/>
      <w:color w:val="000000"/>
      <w:sz w:val="26"/>
      <w:szCs w:val="32"/>
    </w:rPr>
  </w:style>
  <w:style w:type="paragraph" w:styleId="Heading3">
    <w:name w:val="heading 3"/>
    <w:basedOn w:val="normal1"/>
    <w:next w:val="normal1"/>
    <w:qFormat/>
    <w:pPr>
      <w:keepNext/>
      <w:keepLines/>
      <w:spacing w:lineRule="auto" w:line="269" w:before="160" w:after="60"/>
    </w:pPr>
    <w:rPr>
      <w:rFonts w:ascii="Times New Roman" w:hAnsi="Times New Roman" w:eastAsia="新細明體"/>
      <w:b/>
      <w:color w:val="000000"/>
      <w:sz w:val="24"/>
      <w:szCs w:val="28"/>
    </w:rPr>
  </w:style>
  <w:style w:type="paragraph" w:styleId="Heading4">
    <w:name w:val="heading 4"/>
    <w:basedOn w:val="normal1"/>
    <w:next w:val="normal1"/>
    <w:qFormat/>
    <w:pPr>
      <w:keepNext w:val="true"/>
      <w:keepLines/>
      <w:spacing w:lineRule="auto" w:line="240" w:before="80" w:after="40"/>
    </w:pPr>
    <w:rPr>
      <w:i/>
      <w:iCs/>
      <w:color w:val="0F4761"/>
    </w:rPr>
  </w:style>
  <w:style w:type="paragraph" w:styleId="Heading5">
    <w:name w:val="heading 5"/>
    <w:basedOn w:val="normal1"/>
    <w:next w:val="normal1"/>
    <w:qFormat/>
    <w:pPr>
      <w:keepNext w:val="true"/>
      <w:keepLines/>
      <w:spacing w:lineRule="auto" w:line="240" w:before="80" w:after="40"/>
    </w:pPr>
    <w:rPr>
      <w:color w:val="0F4761"/>
    </w:rPr>
  </w:style>
  <w:style w:type="paragraph" w:styleId="Heading6">
    <w:name w:val="heading 6"/>
    <w:basedOn w:val="normal1"/>
    <w:next w:val="normal1"/>
    <w:qFormat/>
    <w:pPr>
      <w:keepNext w:val="true"/>
      <w:keepLines/>
      <w:spacing w:lineRule="auto" w:line="240" w:before="40" w:after="0"/>
    </w:pPr>
    <w:rPr>
      <w:i/>
      <w:iCs/>
      <w:color w:val="595959"/>
    </w:rPr>
  </w:style>
  <w:style w:type="paragraph" w:styleId="Heading">
    <w:name w:val="Heading"/>
    <w:basedOn w:val="Normal"/>
    <w:next w:val="BodyText"/>
    <w:qFormat/>
    <w:pPr>
      <w:keepNext w:val="true"/>
      <w:spacing w:before="240" w:after="120"/>
    </w:pPr>
    <w:rPr>
      <w:rFonts w:ascii="Liberation Sans" w:hAnsi="Liberation Sans" w:eastAsia="Noto Sans TC"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bidi w:val="0"/>
      <w:spacing w:lineRule="auto" w:line="269" w:before="0" w:after="60"/>
      <w:jc w:val="start"/>
    </w:pPr>
    <w:rPr>
      <w:rFonts w:ascii="Times New Roman" w:hAnsi="Times New Roman" w:eastAsia="新細明體" w:cs="Lucida Sans"/>
      <w:color w:val="000000"/>
      <w:kern w:val="0"/>
      <w:sz w:val="24"/>
      <w:szCs w:val="24"/>
      <w:lang w:val="en-US" w:eastAsia="zh-TW" w:bidi="hi-IN"/>
    </w:rPr>
  </w:style>
  <w:style w:type="paragraph" w:styleId="Title">
    <w:name w:val="Title"/>
    <w:basedOn w:val="normal1"/>
    <w:next w:val="normal1"/>
    <w:qFormat/>
    <w:pPr>
      <w:keepNext/>
      <w:spacing w:lineRule="auto" w:line="269" w:before="0" w:after="60"/>
    </w:pPr>
    <w:rPr>
      <w:rFonts w:ascii="Times New Roman" w:hAnsi="Times New Roman" w:eastAsia="新細明體" w:cs="Play"/>
      <w:b/>
      <w:color w:val="000000"/>
      <w:sz w:val="38"/>
      <w:szCs w:val="56"/>
    </w:rPr>
  </w:style>
  <w:style w:type="paragraph" w:styleId="Subtitle">
    <w:name w:val="Subtitle"/>
    <w:basedOn w:val="normal1"/>
    <w:next w:val="normal1"/>
    <w:qFormat/>
    <w:pPr/>
    <w:rPr>
      <w:color w:val="595959"/>
      <w:sz w:val="28"/>
      <w:szCs w:val="28"/>
    </w:rPr>
  </w:style>
  <w:style w:type="paragraph" w:styleId="TableofFigures">
    <w:name w:val="table of figures"/>
    <w:basedOn w:val="normal1"/>
    <w:next w:val="normal1"/>
    <w:pPr/>
    <w:rPr/>
  </w:style>
  <w:style w:type="paragraph" w:styleId="HeaderandFooter">
    <w:name w:val="Header and Footer"/>
    <w:basedOn w:val="Normal"/>
    <w:qFormat/>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image" Target="media/image1.png"/><Relationship Id="rId9" Type="http://schemas.openxmlformats.org/officeDocument/2006/relationships/image" Target="media/image2.pn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LibreOffice/26.2.0.3$Windows_X86_64 LibreOffice_project/620$Build-3</Application>
  <AppVersion>15.0000</AppVersion>
  <Pages>8</Pages>
  <Words>3971</Words>
  <Characters>4484</Characters>
  <CharactersWithSpaces>4743</CharactersWithSpaces>
  <Paragraphs>165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dcterms:modified xsi:type="dcterms:W3CDTF">2026-10-31T21:30:03Z</dcterms:modified>
  <cp:revision>2</cp:revision>
  <dc:subject>研究方法科學審訂版</dc:subject>
  <dc:title>球狀星團潮汐尾與質量流失率研究方法</dc:title>
</cp:coreProperties>
</file>