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oissyntheticdata: zero-dependency, profile-based synthetic data for secure research environments</w:t>
      </w:r>
    </w:p>
    <w:p>
      <w:pPr>
        <w:spacing w:after="40"/>
        <w:jc w:val="center"/>
      </w:pPr>
      <w:r>
        <w:rPr>
          <w:sz w:val="24"/>
          <w:szCs w:val="24"/>
        </w:rPr>
        <w:t xml:space="preserve">Yohanan Ouaknine</w:t>
      </w:r>
    </w:p>
    <w:p>
      <w:pPr>
        <w:spacing w:after="40"/>
        <w:jc w:val="center"/>
      </w:pPr>
      <w:r>
        <w:rPr>
          <w:sz w:val="20"/>
          <w:szCs w:val="20"/>
        </w:rPr>
        <w:t xml:space="preserve">ORCID </w:t>
      </w:r>
      <w:hyperlink w:history="1" r:id="rIdsbprqanmfs8v0jgpr7ghr">
        <w:r>
          <w:rPr>
            <w:rStyle w:val="Hyperlink"/>
          </w:rPr>
          <w:t xml:space="preserve">0000-0002-4186-7351</w:t>
        </w:r>
      </w:hyperlink>
    </w:p>
    <w:p>
      <w:pPr>
        <w:spacing w:after="40"/>
        <w:jc w:val="center"/>
      </w:pPr>
      <w:r>
        <w:rPr>
          <w:i/>
          <w:iCs/>
          <w:sz w:val="20"/>
          <w:szCs w:val="20"/>
        </w:rPr>
        <w:t xml:space="preserve">OIS, Israel (https://ois.co.il)</w:t>
      </w:r>
    </w:p>
    <w:p>
      <w:pPr>
        <w:pBdr>
          <w:bottom w:val="single" w:color="2E75B6" w:sz="6" w:space="6"/>
        </w:pBdr>
        <w:spacing w:after="240"/>
        <w:jc w:val="center"/>
      </w:pPr>
      <w:r>
        <w:rPr>
          <w:sz w:val="20"/>
          <w:szCs w:val="20"/>
        </w:rPr>
        <w:t xml:space="preserve">11 June 2026</w:t>
      </w:r>
    </w:p>
    <w:p>
      <w:pPr>
        <w:pStyle w:val="Heading1"/>
        <w:spacing w:after="120" w:before="240"/>
      </w:pPr>
      <w:r>
        <w:t xml:space="preserve">Summary</w:t>
      </w:r>
    </w:p>
    <w:p>
      <w:pPr>
        <w:spacing w:after="160" w:line="276"/>
        <w:jc w:val="both"/>
      </w:pPr>
      <w:r>
        <w:t xml:space="preserve">oissyntheticdata generates a structurally faithful synthetic copy of a sensitive dataset for use in secure research environments, with one defining property: the component that leaves the secure environment never reads the confidential microdata. An on-premises stage distils the real data into a disclosure-controlled profile (robust numeric bounds, k-suppressed categorical frequencies, format signatures for identifiers, and the distribution of group sizes for fan-out keys). An off-premises stage rebuilds a synthetic dataset from that profile alone, preserving column types, ranges, category levels (including rare ones), missingness, identifier formats, and cross-file referential integrity. An inside-only control stage scores how structurally close the synthetic data is to the real data. The profile is the only artefact that crosses the trust boundary on the way out; later, only the analyst's aggregate results cross back in. The microdata stays in place.</w:t>
      </w:r>
    </w:p>
    <w:p>
      <w:pPr>
        <w:spacing w:after="160" w:line="276"/>
        <w:jc w:val="both"/>
      </w:pPr>
      <w:r>
        <w:t xml:space="preserve">The package is written entirely in the Python standard library, with no third-party runtime dependencies, so it installs by copying one directory, runs inside locked environments that forbid pip or conda and have no internet, and is small enough for a data owner to read and audit in full.</w:t>
      </w:r>
    </w:p>
    <w:p>
      <w:pPr>
        <w:pStyle w:val="Heading1"/>
        <w:spacing w:after="120" w:before="240"/>
      </w:pPr>
      <w:r>
        <w:t xml:space="preserve">Statement of need</w:t>
      </w:r>
    </w:p>
    <w:p>
      <w:pPr>
        <w:spacing w:after="160" w:line="276"/>
        <w:jc w:val="both"/>
      </w:pPr>
      <w:r>
        <w:t xml:space="preserve">Statistical disclosure control balances analytic utility against re-identification risk (Hundepool et al., 2012; Sweeney, 2002). Synthetic microdata is an established route to that balance (Drechsler, 2011; Templ et al., 2015), and the develop-on-synthetic, run-on-real workflow it enables is in production at national statistical agencies: in the U.S. Census Bureau's SIPP Synthetic Beta, researchers develop code on synthetic data and agency staff run the validated code on the confidential data and release only vetted output (U.S. Census Bureau).</w:t>
      </w:r>
    </w:p>
    <w:p>
      <w:pPr>
        <w:spacing w:after="160" w:line="276"/>
        <w:jc w:val="both"/>
      </w:pPr>
      <w:r>
        <w:t xml:space="preserve">High-fidelity generators such as sequential CART synthesis (Nowok et al., 2016) reproduce the joint distribution well, but they must read the real microdata to fit their models, so the synthesiser has to run inside the secure environment and its output can carry residual disclosure risk that must be separately controlled. Many secure-research workflows do not need full multivariate realism. They need a synthetic dataset that is structurally identical to the real one, so that analysis code exercises every branch, filter and join it will meet on the real data. For that purpose the load-bearing requirement is a clean boundary: the component that leaves should never have touched a real record.</w:t>
      </w:r>
    </w:p>
    <w:p>
      <w:pPr>
        <w:spacing w:after="160" w:line="276"/>
        <w:jc w:val="both"/>
      </w:pPr>
      <w:r>
        <w:t xml:space="preserve">No existing open tool occupies this niche with a zero-dependency, single-file-auditable footprint. oissyntheticdata is designed for it. Its threat model is explicit and narrow: the only thing that leaves is a profile that, by construction, contains no identifiable value (no raw record, no unsuppressed small cell, no enumerated identifier, no true extreme). The synthetic data is built for code-path coverage rather than statistical realism, and synthetic numbers are never reported.</w:t>
      </w:r>
    </w:p>
    <w:p>
      <w:pPr>
        <w:pStyle w:val="Heading1"/>
        <w:spacing w:after="120" w:before="240"/>
      </w:pPr>
      <w:r>
        <w:t xml:space="preserve">Design and key trade-offs</w:t>
      </w:r>
    </w:p>
    <w:p>
      <w:pPr>
        <w:spacing w:after="160" w:line="276"/>
        <w:jc w:val="both"/>
      </w:pPr>
      <w:r>
        <w:t xml:space="preserve">The central design decision is to separate where the synthesiser may run from how faithful the synthetic data is, and to optimise the former. The profile pipeline trades joint-distribution fidelity for a stronger, simpler boundary, making it a complement to, not a competitor of, on-premises joint synthesisers.</w:t>
      </w:r>
    </w:p>
    <w:p>
      <w:pPr>
        <w:spacing w:after="160" w:line="276"/>
        <w:jc w:val="both"/>
      </w:pPr>
      <w:r>
        <w:t xml:space="preserve">Three abstractions carry the design. First, a single confidentiality invariant: one minimum-cell-count k (default 5) governs every categorical level, fan-out estimate, surrogate key, and, through robust P1/P99 bounds, every numeric extreme, so the disclosure reasoning is uniform rather than scattered across ad hoc thresholds. Second, classification before reduction: each column is reduced to a shape appropriate to its role (a unique key keeps only a length range; a fan-out key keeps only its group-size distribution; an identifier keeps only a format signature), so identities and extremes never leave while structure does. Third, relational synthesis from an auto-detected schema: stage 01 infers the relationships between files by value inclusion (a shared column is a link only when one file holds it uniquely and another file's values are a repeating subset of it, which is type-agnostic and rejects shared attribute columns), and stage 02 synthesizes parents before children and attaches each child row to a real synthetic parent, copying the link column and any inherited columns from that parent. This yields referential integrity, realistic fan-out, and exact within-row key pairing at once: when the data shows a child's second key is fixed by its parent (a judgement's prisoner is fixed once its incident is known), that key is inherited from the matched parent rather than sampled independently. The same mechanism serves both a hierarchical model and a simple shared-id model where several files are merged by grouping on a common id.</w:t>
      </w:r>
    </w:p>
    <w:p>
      <w:pPr>
        <w:spacing w:after="160" w:line="276"/>
        <w:jc w:val="both"/>
      </w:pPr>
      <w:r>
        <w:t xml:space="preserve">A fourth decision serves auditability. The library is the single source of truth, and the four numbered, zero-install scripts that a data owner carries into a locked environment are generated from it by inlining the shared modules. A round-trip test enforces that the library and the generated scripts produce byte-identical output, so auditable single file and DRY codebase do not conflict.</w:t>
      </w:r>
    </w:p>
    <w:p>
      <w:pPr>
        <w:pStyle w:val="Heading1"/>
        <w:spacing w:after="120" w:before="240"/>
      </w:pPr>
      <w:r>
        <w:t xml:space="preserve">State of the field</w:t>
      </w:r>
    </w:p>
    <w:p>
      <w:pPr>
        <w:spacing w:after="160" w:line="276"/>
        <w:jc w:val="both"/>
      </w:pPr>
      <w:r>
        <w:t xml:space="preserve">Government statistical agencies have deployed the same workflow this tool serves: the Census Bureau's SIPP Synthetic Beta (U.S. Census Bureau) and its OnTheMap and LEHD products. General-purpose generators such as synthpop (Nowok et al., 2016) and sdcMicro (Templ et al., 2015) target higher fidelity or broader disclosure control but assume an on-premises, dependency-rich environment. oissyntheticdata contributes the off-premises-safe, dependency-free, auditable point in that design space, with relational support and an explicit profile boundary.</w:t>
      </w:r>
    </w:p>
    <w:p>
      <w:pPr>
        <w:pStyle w:val="Heading1"/>
        <w:spacing w:after="120" w:before="240"/>
      </w:pPr>
      <w:r>
        <w:t xml:space="preserve">Use in research</w:t>
      </w:r>
    </w:p>
    <w:p>
      <w:pPr>
        <w:spacing w:after="160" w:line="276"/>
        <w:jc w:val="both"/>
      </w:pPr>
      <w:r>
        <w:t xml:space="preserve">The implementation in this package (its standalone scripts, to which the packaged library is byte-identical) was used on-site at the Israel Prison Service to generate synthetic development data for a population-scale study of recidivism among security prisoners released in the 2011 Shalit prisoner exchange. The study covered 12,811 administrative records (1,016 Shalit-deal releasees and 11,795 routine releases) and was conducted under Israel Prison Service Research Committee Protocol No. 58, with only aggregate statistical outputs leaving the secure environment. The synthetic data let the analysis code be developed and debugged off-site, after which the final, unchanged code was run on the confidential records in place. The study was presented in the Israel Prison Service panel at the Israeli Society of Criminology.</w:t>
      </w:r>
    </w:p>
    <w:p>
      <w:pPr>
        <w:pStyle w:val="Heading1"/>
        <w:spacing w:after="120" w:before="240"/>
      </w:pPr>
      <w:r>
        <w:t xml:space="preserve">Quality, reuse, and sustainability</w:t>
      </w:r>
    </w:p>
    <w:p>
      <w:pPr>
        <w:spacing w:after="160" w:line="276"/>
        <w:jc w:val="both"/>
      </w:pPr>
      <w:r>
        <w:t xml:space="preserve">The project follows open development under the MIT license, with versioned releases archived on Zenodo, a public issue and pull-request process, a stated governance and contribution model, and a generative-AI disclosure. It ships a test suite covering the disclosure guarantees of the profile, cross-file referential integrity, within-row key pairing, and library and standalone-script equivalence. Documentation includes a README with the design rationale, a plain-language researcher tutorial, and a runnable quickstart. As a reproducible reference analysis, the repository includes a seeded end-to-end round-trip (profile, synthesize, compare) on a relational example that reports per-column fidelity, referential integrity, and within-row pairing, so a reader can reproduce the tool's behaviour and claims from a single command.</w:t>
      </w:r>
    </w:p>
    <w:p>
      <w:pPr>
        <w:pStyle w:val="Heading1"/>
        <w:spacing w:after="120" w:before="240"/>
      </w:pPr>
      <w:r>
        <w:t xml:space="preserve">AI use disclosure</w:t>
      </w:r>
    </w:p>
    <w:p>
      <w:pPr>
        <w:spacing w:after="160" w:line="276"/>
        <w:jc w:val="both"/>
      </w:pPr>
      <w:r>
        <w:t xml:space="preserve">Generative AI assistance (Claude, by Anthropic) was used in building this package. The underlying method and its four reference scripts, the design intent and confidentiality trade-offs, and the research application described above are the author's. AI assistance was used to refactor those scripts into an installable library and command-line interface, to generate the self-contained standalone scripts from a single source, to write the test suite, and to draft documentation. All AI output was reviewed, tested, and edited by the author, who takes full responsibility for the design, correctness, and integrity of the software. The repository asks contributors to disclose non-trivial AI assistance.</w:t>
      </w:r>
    </w:p>
    <w:p>
      <w:pPr>
        <w:pStyle w:val="Heading1"/>
        <w:spacing w:after="120" w:before="240"/>
      </w:pPr>
      <w:r>
        <w:t xml:space="preserve">Acknowledgements</w:t>
      </w:r>
    </w:p>
    <w:p>
      <w:pPr>
        <w:spacing w:after="160" w:line="276"/>
        <w:jc w:val="both"/>
      </w:pPr>
      <w:r>
        <w:t xml:space="preserve">The secure-research practice this package supports originated in work at the Israel Prison Service research unit. Developed and maintained by OIS (https://ois.co.il).</w:t>
      </w:r>
    </w:p>
    <w:p>
      <w:pPr>
        <w:pStyle w:val="Heading1"/>
        <w:spacing w:after="120" w:before="240"/>
      </w:pPr>
      <w:r>
        <w:t xml:space="preserve">References</w:t>
      </w:r>
    </w:p>
    <w:p>
      <w:pPr>
        <w:spacing w:after="120" w:line="276"/>
        <w:ind w:left="360" w:hanging="360"/>
      </w:pPr>
      <w:r>
        <w:t xml:space="preserve">Drechsler, J. (2011). Synthetic Datasets for Statistical Disclosure Control. Springer. </w:t>
      </w:r>
      <w:hyperlink w:history="1" r:id="rIdbbwlut47dywmcwl9xq8kk">
        <w:r>
          <w:rPr>
            <w:rStyle w:val="Hyperlink"/>
          </w:rPr>
          <w:t xml:space="preserve">https://doi.org/10.1007/978-1-4614-0326-5</w:t>
        </w:r>
      </w:hyperlink>
    </w:p>
    <w:p>
      <w:pPr>
        <w:spacing w:after="120" w:line="276"/>
        <w:ind w:left="360" w:hanging="360"/>
      </w:pPr>
      <w:r>
        <w:t xml:space="preserve">Hundepool, A., Domingo-Ferrer, J., Franconi, L., Giessing, S., Nordholt, E. S., Spicer, K., &amp; de Wolf, P.-P. (2012). Statistical Disclosure Control. Wiley. </w:t>
      </w:r>
      <w:hyperlink w:history="1" r:id="rIdbanoyw-rtowladycarkv9">
        <w:r>
          <w:rPr>
            <w:rStyle w:val="Hyperlink"/>
          </w:rPr>
          <w:t xml:space="preserve">https://doi.org/10.1002/9781118348239</w:t>
        </w:r>
      </w:hyperlink>
    </w:p>
    <w:p>
      <w:pPr>
        <w:spacing w:after="120" w:line="276"/>
        <w:ind w:left="360" w:hanging="360"/>
      </w:pPr>
      <w:r>
        <w:t xml:space="preserve">Nowok, B., Raab, G. M., &amp; Dibben, C. (2016). synthpop: Bespoke Creation of Synthetic Data in R. Journal of Statistical Software, 74(11). </w:t>
      </w:r>
      <w:hyperlink w:history="1" r:id="rIdvxthseb0uegez2oh8-0kf">
        <w:r>
          <w:rPr>
            <w:rStyle w:val="Hyperlink"/>
          </w:rPr>
          <w:t xml:space="preserve">https://doi.org/10.18637/jss.v074.i11</w:t>
        </w:r>
      </w:hyperlink>
    </w:p>
    <w:p>
      <w:pPr>
        <w:spacing w:after="120" w:line="276"/>
        <w:ind w:left="360" w:hanging="360"/>
      </w:pPr>
      <w:r>
        <w:t xml:space="preserve">Sweeney, L. (2002). k-anonymity: a model for protecting privacy. International Journal of Uncertainty, Fuzziness and Knowledge-Based Systems, 10(5), 557-570. </w:t>
      </w:r>
      <w:hyperlink w:history="1" r:id="rIdmjr4nyleyz0oiugkxohkf">
        <w:r>
          <w:rPr>
            <w:rStyle w:val="Hyperlink"/>
          </w:rPr>
          <w:t xml:space="preserve">https://doi.org/10.1142/S0218488502001648</w:t>
        </w:r>
      </w:hyperlink>
    </w:p>
    <w:p>
      <w:pPr>
        <w:spacing w:after="120" w:line="276"/>
        <w:ind w:left="360" w:hanging="360"/>
      </w:pPr>
      <w:r>
        <w:t xml:space="preserve">Templ, M., Kowarik, A., &amp; Meindl, B. (2015). Statistical Disclosure Control for Micro-Data Using the R Package sdcMicro. Journal of Statistical Software, 67(4). </w:t>
      </w:r>
      <w:hyperlink w:history="1" r:id="rId7id77zef5e3skhpo3kqi8">
        <w:r>
          <w:rPr>
            <w:rStyle w:val="Hyperlink"/>
          </w:rPr>
          <w:t xml:space="preserve">https://doi.org/10.18637/jss.v067.i04</w:t>
        </w:r>
      </w:hyperlink>
    </w:p>
    <w:p>
      <w:pPr>
        <w:spacing w:after="120" w:line="276"/>
        <w:ind w:left="360" w:hanging="360"/>
      </w:pPr>
      <w:r>
        <w:t xml:space="preserve">U.S. Census Bureau. SIPP Synthetic Beta (SSB). </w:t>
      </w:r>
      <w:hyperlink w:history="1" r:id="rIdzriqlmehioj_dxjw6kias">
        <w:r>
          <w:rPr>
            <w:rStyle w:val="Hyperlink"/>
          </w:rPr>
          <w:t xml:space="preserve">https://census.gov/programs-surveys/sipp/guidance/sipp-synthetic-beta-data-product.html</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bprqanmfs8v0jgpr7ghr" Type="http://schemas.openxmlformats.org/officeDocument/2006/relationships/hyperlink" Target="https://orcid.org/0000-0002-4186-7351" TargetMode="External"/><Relationship Id="rIdbbwlut47dywmcwl9xq8kk" Type="http://schemas.openxmlformats.org/officeDocument/2006/relationships/hyperlink" Target="https://doi.org/10.1007/978-1-4614-0326-5" TargetMode="External"/><Relationship Id="rIdbanoyw-rtowladycarkv9" Type="http://schemas.openxmlformats.org/officeDocument/2006/relationships/hyperlink" Target="https://doi.org/10.1002/9781118348239" TargetMode="External"/><Relationship Id="rIdvxthseb0uegez2oh8-0kf" Type="http://schemas.openxmlformats.org/officeDocument/2006/relationships/hyperlink" Target="https://doi.org/10.18637/jss.v074.i11" TargetMode="External"/><Relationship Id="rIdmjr4nyleyz0oiugkxohkf" Type="http://schemas.openxmlformats.org/officeDocument/2006/relationships/hyperlink" Target="https://doi.org/10.1142/S0218488502001648" TargetMode="External"/><Relationship Id="rId7id77zef5e3skhpo3kqi8" Type="http://schemas.openxmlformats.org/officeDocument/2006/relationships/hyperlink" Target="https://doi.org/10.18637/jss.v067.i04" TargetMode="External"/><Relationship Id="rIdzriqlmehioj_dxjw6kias" Type="http://schemas.openxmlformats.org/officeDocument/2006/relationships/hyperlink" Target="https://census.gov/programs-surveys/sipp/guidance/sipp-synthetic-beta-data-product.htm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2026-06-11T17:10:36.096Z</dcterms:created>
  <dcterms:modified xsi:type="dcterms:W3CDTF">2026-06-11T17:10:36.107Z</dcterms:modified>
</cp:coreProperties>
</file>

<file path=docProps/custom.xml><?xml version="1.0" encoding="utf-8"?>
<Properties xmlns="http://schemas.openxmlformats.org/officeDocument/2006/custom-properties" xmlns:vt="http://schemas.openxmlformats.org/officeDocument/2006/docPropsVTypes"/>
</file>