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3FE1" w14:textId="766848DA" w:rsidR="005B57FE" w:rsidRDefault="00000000">
      <w:pPr>
        <w:shd w:val="clear" w:color="auto" w:fill="1F4E79"/>
        <w:spacing w:after="100"/>
        <w:ind w:left="240" w:right="240"/>
      </w:pPr>
      <w:r>
        <w:rPr>
          <w:b/>
          <w:bCs/>
          <w:color w:val="FFFFFF"/>
          <w:sz w:val="32"/>
          <w:szCs w:val="32"/>
        </w:rPr>
        <w:t xml:space="preserve">  Rapport analytique — </w:t>
      </w:r>
      <w:r w:rsidR="0039765E">
        <w:rPr>
          <w:b/>
          <w:bCs/>
          <w:color w:val="FFFFFF"/>
          <w:sz w:val="32"/>
          <w:szCs w:val="32"/>
        </w:rPr>
        <w:t>Emprunts bancaires</w:t>
      </w:r>
      <w:r>
        <w:rPr>
          <w:b/>
          <w:bCs/>
          <w:color w:val="FFFFFF"/>
          <w:sz w:val="32"/>
          <w:szCs w:val="32"/>
        </w:rPr>
        <w:t xml:space="preserve"> · 44 991 emprunteurs</w:t>
      </w:r>
    </w:p>
    <w:p w14:paraId="6D474632" w14:textId="77777777" w:rsidR="005B57FE" w:rsidRDefault="005B57FE">
      <w:pPr>
        <w:spacing w:after="60"/>
      </w:pPr>
    </w:p>
    <w:p w14:paraId="625CD37D" w14:textId="77777777" w:rsidR="005B57FE" w:rsidRDefault="00000000">
      <w:pPr>
        <w:pBdr>
          <w:left w:val="single" w:sz="20" w:space="0" w:color="1F4E79"/>
        </w:pBdr>
        <w:shd w:val="clear" w:color="auto" w:fill="2E75B6"/>
        <w:spacing w:before="180" w:after="80"/>
        <w:ind w:left="180"/>
      </w:pPr>
      <w:r>
        <w:rPr>
          <w:b/>
          <w:bCs/>
          <w:color w:val="FFFFFF"/>
          <w:sz w:val="24"/>
          <w:szCs w:val="24"/>
        </w:rPr>
        <w:t xml:space="preserve">  1. Contexte</w:t>
      </w:r>
    </w:p>
    <w:p w14:paraId="1E2A4ED5" w14:textId="77777777" w:rsidR="005B57FE" w:rsidRDefault="005B57FE">
      <w:pPr>
        <w:spacing w:after="40"/>
      </w:pPr>
    </w:p>
    <w:p w14:paraId="581F14D9" w14:textId="7070F28A" w:rsidR="005B57FE" w:rsidRDefault="00000000">
      <w:pPr>
        <w:spacing w:before="30" w:after="30"/>
      </w:pPr>
      <w:r>
        <w:t xml:space="preserve">Ce rapport présente les résultats des cinq tableaux de bord développés sous Tableau Public à partir d'un portefeuille fictif de 44 991 dossiers de prêts. La base a été enrichie en amont sous Python : la colonne </w:t>
      </w:r>
      <w:proofErr w:type="spellStart"/>
      <w:r>
        <w:t>categorie_score_credit</w:t>
      </w:r>
      <w:proofErr w:type="spellEnd"/>
      <w:r>
        <w:t xml:space="preserve"> a été reconstruite à partir du ratio d'endettement pour obtenir une segmentation discriminante du risque.</w:t>
      </w:r>
    </w:p>
    <w:p w14:paraId="3B6FB002" w14:textId="77777777" w:rsidR="005B57FE" w:rsidRDefault="005B57FE">
      <w:pPr>
        <w:spacing w:after="100"/>
      </w:pPr>
    </w:p>
    <w:p w14:paraId="46C01B23" w14:textId="77777777" w:rsidR="005B57FE" w:rsidRDefault="00000000">
      <w:pPr>
        <w:pBdr>
          <w:left w:val="single" w:sz="20" w:space="0" w:color="1F4E79"/>
        </w:pBdr>
        <w:shd w:val="clear" w:color="auto" w:fill="2E75B6"/>
        <w:spacing w:before="180" w:after="80"/>
        <w:ind w:left="180"/>
      </w:pPr>
      <w:r>
        <w:rPr>
          <w:b/>
          <w:bCs/>
          <w:color w:val="FFFFFF"/>
          <w:sz w:val="24"/>
          <w:szCs w:val="24"/>
        </w:rPr>
        <w:t xml:space="preserve">  2. Indicateurs clés du portefeuille</w:t>
      </w:r>
    </w:p>
    <w:p w14:paraId="52DDE275" w14:textId="77777777" w:rsidR="005B57FE" w:rsidRDefault="005B57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57FE" w14:paraId="21CD3C0E"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DEEAF1"/>
            <w:tcMar>
              <w:top w:w="100" w:type="dxa"/>
              <w:left w:w="130" w:type="dxa"/>
              <w:bottom w:w="100" w:type="dxa"/>
              <w:right w:w="130" w:type="dxa"/>
            </w:tcMar>
            <w:vAlign w:val="center"/>
          </w:tcPr>
          <w:p w14:paraId="25458D0E" w14:textId="77777777" w:rsidR="005B57FE" w:rsidRDefault="00000000">
            <w:pPr>
              <w:spacing w:after="16"/>
              <w:jc w:val="center"/>
            </w:pPr>
            <w:r>
              <w:rPr>
                <w:b/>
                <w:bCs/>
                <w:color w:val="2E75B6"/>
                <w:sz w:val="28"/>
                <w:szCs w:val="28"/>
              </w:rPr>
              <w:t>44 991</w:t>
            </w:r>
          </w:p>
          <w:p w14:paraId="784110CC" w14:textId="77777777" w:rsidR="005B57FE" w:rsidRDefault="00000000">
            <w:pPr>
              <w:jc w:val="center"/>
            </w:pPr>
            <w:r>
              <w:rPr>
                <w:color w:val="666666"/>
                <w:sz w:val="16"/>
                <w:szCs w:val="16"/>
              </w:rPr>
              <w:t>Emprunteurs</w:t>
            </w:r>
          </w:p>
        </w:tc>
        <w:tc>
          <w:tcPr>
            <w:tcW w:w="2340" w:type="dxa"/>
            <w:tcBorders>
              <w:top w:val="single" w:sz="4" w:space="0" w:color="E0E0E0"/>
              <w:left w:val="single" w:sz="4" w:space="0" w:color="E0E0E0"/>
              <w:bottom w:val="single" w:sz="4" w:space="0" w:color="E0E0E0"/>
              <w:right w:val="single" w:sz="4" w:space="0" w:color="E0E0E0"/>
            </w:tcBorders>
            <w:shd w:val="clear" w:color="auto" w:fill="DEEAF1"/>
            <w:tcMar>
              <w:top w:w="100" w:type="dxa"/>
              <w:left w:w="130" w:type="dxa"/>
              <w:bottom w:w="100" w:type="dxa"/>
              <w:right w:w="130" w:type="dxa"/>
            </w:tcMar>
            <w:vAlign w:val="center"/>
          </w:tcPr>
          <w:p w14:paraId="732E6395" w14:textId="77777777" w:rsidR="005B57FE" w:rsidRDefault="00000000">
            <w:pPr>
              <w:spacing w:after="16"/>
              <w:jc w:val="center"/>
            </w:pPr>
            <w:r>
              <w:rPr>
                <w:b/>
                <w:bCs/>
                <w:color w:val="C00000"/>
                <w:sz w:val="28"/>
                <w:szCs w:val="28"/>
              </w:rPr>
              <w:t>22,2 %</w:t>
            </w:r>
          </w:p>
          <w:p w14:paraId="55AF4689" w14:textId="77777777" w:rsidR="005B57FE" w:rsidRDefault="00000000">
            <w:pPr>
              <w:jc w:val="center"/>
            </w:pPr>
            <w:r>
              <w:rPr>
                <w:color w:val="666666"/>
                <w:sz w:val="16"/>
                <w:szCs w:val="16"/>
              </w:rPr>
              <w:t>Taux de défaut</w:t>
            </w:r>
          </w:p>
        </w:tc>
        <w:tc>
          <w:tcPr>
            <w:tcW w:w="2340" w:type="dxa"/>
            <w:tcBorders>
              <w:top w:val="single" w:sz="4" w:space="0" w:color="E0E0E0"/>
              <w:left w:val="single" w:sz="4" w:space="0" w:color="E0E0E0"/>
              <w:bottom w:val="single" w:sz="4" w:space="0" w:color="E0E0E0"/>
              <w:right w:val="single" w:sz="4" w:space="0" w:color="E0E0E0"/>
            </w:tcBorders>
            <w:shd w:val="clear" w:color="auto" w:fill="DEEAF1"/>
            <w:tcMar>
              <w:top w:w="100" w:type="dxa"/>
              <w:left w:w="130" w:type="dxa"/>
              <w:bottom w:w="100" w:type="dxa"/>
              <w:right w:w="130" w:type="dxa"/>
            </w:tcMar>
            <w:vAlign w:val="center"/>
          </w:tcPr>
          <w:p w14:paraId="4031D5E7" w14:textId="77777777" w:rsidR="005B57FE" w:rsidRDefault="00000000">
            <w:pPr>
              <w:spacing w:after="16"/>
              <w:jc w:val="center"/>
            </w:pPr>
            <w:r>
              <w:rPr>
                <w:b/>
                <w:bCs/>
                <w:color w:val="2E75B6"/>
                <w:sz w:val="28"/>
                <w:szCs w:val="28"/>
              </w:rPr>
              <w:t>9 540 €</w:t>
            </w:r>
          </w:p>
          <w:p w14:paraId="52E7DA7B" w14:textId="77777777" w:rsidR="005B57FE" w:rsidRDefault="00000000">
            <w:pPr>
              <w:jc w:val="center"/>
            </w:pPr>
            <w:r>
              <w:rPr>
                <w:color w:val="666666"/>
                <w:sz w:val="16"/>
                <w:szCs w:val="16"/>
              </w:rPr>
              <w:t>Montant moyen</w:t>
            </w:r>
          </w:p>
        </w:tc>
        <w:tc>
          <w:tcPr>
            <w:tcW w:w="2340" w:type="dxa"/>
            <w:tcBorders>
              <w:top w:val="single" w:sz="4" w:space="0" w:color="E0E0E0"/>
              <w:left w:val="single" w:sz="4" w:space="0" w:color="E0E0E0"/>
              <w:bottom w:val="single" w:sz="4" w:space="0" w:color="E0E0E0"/>
              <w:right w:val="single" w:sz="4" w:space="0" w:color="E0E0E0"/>
            </w:tcBorders>
            <w:shd w:val="clear" w:color="auto" w:fill="DEEAF1"/>
            <w:tcMar>
              <w:top w:w="100" w:type="dxa"/>
              <w:left w:w="130" w:type="dxa"/>
              <w:bottom w:w="100" w:type="dxa"/>
              <w:right w:w="130" w:type="dxa"/>
            </w:tcMar>
            <w:vAlign w:val="center"/>
          </w:tcPr>
          <w:p w14:paraId="23B5792D" w14:textId="77777777" w:rsidR="005B57FE" w:rsidRDefault="00000000">
            <w:pPr>
              <w:spacing w:after="16"/>
              <w:jc w:val="center"/>
            </w:pPr>
            <w:r>
              <w:rPr>
                <w:b/>
                <w:bCs/>
                <w:color w:val="833C00"/>
                <w:sz w:val="28"/>
                <w:szCs w:val="28"/>
              </w:rPr>
              <w:t>11,0 %</w:t>
            </w:r>
          </w:p>
          <w:p w14:paraId="03F67AAF" w14:textId="77777777" w:rsidR="005B57FE" w:rsidRDefault="00000000">
            <w:pPr>
              <w:jc w:val="center"/>
            </w:pPr>
            <w:r>
              <w:rPr>
                <w:color w:val="666666"/>
                <w:sz w:val="16"/>
                <w:szCs w:val="16"/>
              </w:rPr>
              <w:t xml:space="preserve">Taux d'intérêt </w:t>
            </w:r>
            <w:proofErr w:type="spellStart"/>
            <w:r>
              <w:rPr>
                <w:color w:val="666666"/>
                <w:sz w:val="16"/>
                <w:szCs w:val="16"/>
              </w:rPr>
              <w:t>moy</w:t>
            </w:r>
            <w:proofErr w:type="spellEnd"/>
            <w:r>
              <w:rPr>
                <w:color w:val="666666"/>
                <w:sz w:val="16"/>
                <w:szCs w:val="16"/>
              </w:rPr>
              <w:t>.</w:t>
            </w:r>
          </w:p>
        </w:tc>
      </w:tr>
    </w:tbl>
    <w:p w14:paraId="5985AC91" w14:textId="77777777" w:rsidR="005B57FE" w:rsidRDefault="005B57FE">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57FE" w14:paraId="275D95ED"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DEEAF1"/>
            <w:tcMar>
              <w:top w:w="100" w:type="dxa"/>
              <w:left w:w="130" w:type="dxa"/>
              <w:bottom w:w="100" w:type="dxa"/>
              <w:right w:w="130" w:type="dxa"/>
            </w:tcMar>
            <w:vAlign w:val="center"/>
          </w:tcPr>
          <w:p w14:paraId="783A1B74" w14:textId="77777777" w:rsidR="005B57FE" w:rsidRDefault="00000000">
            <w:pPr>
              <w:spacing w:after="16"/>
              <w:jc w:val="center"/>
            </w:pPr>
            <w:r>
              <w:rPr>
                <w:b/>
                <w:bCs/>
                <w:color w:val="2E75B6"/>
                <w:sz w:val="28"/>
                <w:szCs w:val="28"/>
              </w:rPr>
              <w:t>78 059 €</w:t>
            </w:r>
          </w:p>
          <w:p w14:paraId="683C16BE" w14:textId="77777777" w:rsidR="005B57FE" w:rsidRDefault="00000000">
            <w:pPr>
              <w:jc w:val="center"/>
            </w:pPr>
            <w:r>
              <w:rPr>
                <w:color w:val="666666"/>
                <w:sz w:val="16"/>
                <w:szCs w:val="16"/>
              </w:rPr>
              <w:t>Revenu annuel moyen</w:t>
            </w:r>
          </w:p>
        </w:tc>
        <w:tc>
          <w:tcPr>
            <w:tcW w:w="2340" w:type="dxa"/>
            <w:tcBorders>
              <w:top w:val="single" w:sz="4" w:space="0" w:color="E0E0E0"/>
              <w:left w:val="single" w:sz="4" w:space="0" w:color="E0E0E0"/>
              <w:bottom w:val="single" w:sz="4" w:space="0" w:color="E0E0E0"/>
              <w:right w:val="single" w:sz="4" w:space="0" w:color="E0E0E0"/>
            </w:tcBorders>
            <w:shd w:val="clear" w:color="auto" w:fill="DEEAF1"/>
            <w:tcMar>
              <w:top w:w="100" w:type="dxa"/>
              <w:left w:w="130" w:type="dxa"/>
              <w:bottom w:w="100" w:type="dxa"/>
              <w:right w:w="130" w:type="dxa"/>
            </w:tcMar>
            <w:vAlign w:val="center"/>
          </w:tcPr>
          <w:p w14:paraId="64415C8D" w14:textId="77777777" w:rsidR="005B57FE" w:rsidRDefault="00000000">
            <w:pPr>
              <w:spacing w:after="16"/>
              <w:jc w:val="center"/>
            </w:pPr>
            <w:r>
              <w:rPr>
                <w:b/>
                <w:bCs/>
                <w:color w:val="2E75B6"/>
                <w:sz w:val="28"/>
                <w:szCs w:val="28"/>
              </w:rPr>
              <w:t>633 pts</w:t>
            </w:r>
          </w:p>
          <w:p w14:paraId="3A886BC8" w14:textId="77777777" w:rsidR="005B57FE" w:rsidRDefault="00000000">
            <w:pPr>
              <w:jc w:val="center"/>
            </w:pPr>
            <w:r>
              <w:rPr>
                <w:color w:val="666666"/>
                <w:sz w:val="16"/>
                <w:szCs w:val="16"/>
              </w:rPr>
              <w:t>Score crédit moyen</w:t>
            </w:r>
          </w:p>
        </w:tc>
        <w:tc>
          <w:tcPr>
            <w:tcW w:w="2340" w:type="dxa"/>
            <w:tcBorders>
              <w:top w:val="single" w:sz="4" w:space="0" w:color="E0E0E0"/>
              <w:left w:val="single" w:sz="4" w:space="0" w:color="E0E0E0"/>
              <w:bottom w:val="single" w:sz="4" w:space="0" w:color="E0E0E0"/>
              <w:right w:val="single" w:sz="4" w:space="0" w:color="E0E0E0"/>
            </w:tcBorders>
            <w:shd w:val="clear" w:color="auto" w:fill="DEEAF1"/>
            <w:tcMar>
              <w:top w:w="100" w:type="dxa"/>
              <w:left w:w="130" w:type="dxa"/>
              <w:bottom w:w="100" w:type="dxa"/>
              <w:right w:w="130" w:type="dxa"/>
            </w:tcMar>
            <w:vAlign w:val="center"/>
          </w:tcPr>
          <w:p w14:paraId="1E9BBA57" w14:textId="77777777" w:rsidR="005B57FE" w:rsidRDefault="00000000">
            <w:pPr>
              <w:spacing w:after="16"/>
              <w:jc w:val="center"/>
            </w:pPr>
            <w:r>
              <w:rPr>
                <w:b/>
                <w:bCs/>
                <w:color w:val="2E75B6"/>
                <w:sz w:val="28"/>
                <w:szCs w:val="28"/>
              </w:rPr>
              <w:t>429 M€</w:t>
            </w:r>
          </w:p>
          <w:p w14:paraId="5748578C" w14:textId="77777777" w:rsidR="005B57FE" w:rsidRDefault="00000000">
            <w:pPr>
              <w:jc w:val="center"/>
            </w:pPr>
            <w:r>
              <w:rPr>
                <w:color w:val="666666"/>
                <w:sz w:val="16"/>
                <w:szCs w:val="16"/>
              </w:rPr>
              <w:t>Portefeuille total</w:t>
            </w:r>
          </w:p>
        </w:tc>
        <w:tc>
          <w:tcPr>
            <w:tcW w:w="2340" w:type="dxa"/>
            <w:tcBorders>
              <w:top w:val="single" w:sz="4" w:space="0" w:color="E0E0E0"/>
              <w:left w:val="single" w:sz="4" w:space="0" w:color="E0E0E0"/>
              <w:bottom w:val="single" w:sz="4" w:space="0" w:color="E0E0E0"/>
              <w:right w:val="single" w:sz="4" w:space="0" w:color="E0E0E0"/>
            </w:tcBorders>
            <w:shd w:val="clear" w:color="auto" w:fill="DEEAF1"/>
            <w:tcMar>
              <w:top w:w="100" w:type="dxa"/>
              <w:left w:w="130" w:type="dxa"/>
              <w:bottom w:w="100" w:type="dxa"/>
              <w:right w:w="130" w:type="dxa"/>
            </w:tcMar>
            <w:vAlign w:val="center"/>
          </w:tcPr>
          <w:p w14:paraId="0D537BB1" w14:textId="77777777" w:rsidR="005B57FE" w:rsidRDefault="00000000">
            <w:pPr>
              <w:spacing w:after="16"/>
              <w:jc w:val="center"/>
            </w:pPr>
            <w:r>
              <w:rPr>
                <w:b/>
                <w:bCs/>
                <w:color w:val="2E75B6"/>
                <w:sz w:val="28"/>
                <w:szCs w:val="28"/>
              </w:rPr>
              <w:t>90,3 %</w:t>
            </w:r>
          </w:p>
          <w:p w14:paraId="56BCE302" w14:textId="77777777" w:rsidR="005B57FE" w:rsidRDefault="00000000">
            <w:pPr>
              <w:jc w:val="center"/>
            </w:pPr>
            <w:r>
              <w:rPr>
                <w:color w:val="666666"/>
                <w:sz w:val="16"/>
                <w:szCs w:val="16"/>
              </w:rPr>
              <w:t>Part 18–35 ans</w:t>
            </w:r>
          </w:p>
        </w:tc>
      </w:tr>
    </w:tbl>
    <w:p w14:paraId="4C4D628A" w14:textId="77777777" w:rsidR="005B57FE" w:rsidRDefault="005B57FE">
      <w:pPr>
        <w:spacing w:after="120"/>
      </w:pPr>
    </w:p>
    <w:p w14:paraId="4FCA1FE0" w14:textId="77777777" w:rsidR="005B57FE" w:rsidRDefault="00000000">
      <w:pPr>
        <w:pBdr>
          <w:left w:val="single" w:sz="20" w:space="0" w:color="1F4E79"/>
        </w:pBdr>
        <w:shd w:val="clear" w:color="auto" w:fill="2E75B6"/>
        <w:spacing w:before="180" w:after="80"/>
        <w:ind w:left="180"/>
      </w:pPr>
      <w:r>
        <w:rPr>
          <w:b/>
          <w:bCs/>
          <w:color w:val="FFFFFF"/>
          <w:sz w:val="24"/>
          <w:szCs w:val="24"/>
        </w:rPr>
        <w:t xml:space="preserve">  3. Synthèse des cinq </w:t>
      </w:r>
      <w:proofErr w:type="spellStart"/>
      <w:r>
        <w:rPr>
          <w:b/>
          <w:bCs/>
          <w:color w:val="FFFFFF"/>
          <w:sz w:val="24"/>
          <w:szCs w:val="24"/>
        </w:rPr>
        <w:t>dashboards</w:t>
      </w:r>
      <w:proofErr w:type="spellEnd"/>
    </w:p>
    <w:p w14:paraId="1835A2C1" w14:textId="77777777" w:rsidR="005B57FE" w:rsidRDefault="005B57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
        <w:gridCol w:w="2483"/>
        <w:gridCol w:w="3070"/>
        <w:gridCol w:w="3465"/>
      </w:tblGrid>
      <w:tr w:rsidR="005B57FE" w14:paraId="4E42A563" w14:textId="77777777">
        <w:tblPrEx>
          <w:tblCellMar>
            <w:top w:w="0" w:type="dxa"/>
            <w:bottom w:w="0" w:type="dxa"/>
          </w:tblCellMar>
        </w:tblPrEx>
        <w:tc>
          <w:tcPr>
            <w:tcW w:w="260" w:type="dxa"/>
            <w:tcBorders>
              <w:top w:val="single" w:sz="4" w:space="0" w:color="E0E0E0"/>
              <w:left w:val="single" w:sz="4" w:space="0" w:color="E0E0E0"/>
              <w:bottom w:val="single" w:sz="4" w:space="0" w:color="E0E0E0"/>
              <w:right w:val="single" w:sz="4" w:space="0" w:color="E0E0E0"/>
            </w:tcBorders>
            <w:shd w:val="clear" w:color="auto" w:fill="1F4E79"/>
            <w:tcMar>
              <w:top w:w="80" w:type="dxa"/>
              <w:left w:w="120" w:type="dxa"/>
              <w:bottom w:w="80" w:type="dxa"/>
              <w:right w:w="120" w:type="dxa"/>
            </w:tcMar>
          </w:tcPr>
          <w:p w14:paraId="5CB17970" w14:textId="77777777" w:rsidR="005B57FE" w:rsidRDefault="00000000">
            <w:pPr>
              <w:jc w:val="center"/>
            </w:pPr>
            <w:r>
              <w:rPr>
                <w:b/>
                <w:bCs/>
                <w:color w:val="FFFFFF"/>
                <w:sz w:val="18"/>
                <w:szCs w:val="18"/>
              </w:rPr>
              <w:t>#</w:t>
            </w:r>
          </w:p>
        </w:tc>
        <w:tc>
          <w:tcPr>
            <w:tcW w:w="2500" w:type="dxa"/>
            <w:tcBorders>
              <w:top w:val="single" w:sz="4" w:space="0" w:color="E0E0E0"/>
              <w:left w:val="single" w:sz="4" w:space="0" w:color="E0E0E0"/>
              <w:bottom w:val="single" w:sz="4" w:space="0" w:color="E0E0E0"/>
              <w:right w:val="single" w:sz="4" w:space="0" w:color="E0E0E0"/>
            </w:tcBorders>
            <w:shd w:val="clear" w:color="auto" w:fill="1F4E79"/>
            <w:tcMar>
              <w:top w:w="80" w:type="dxa"/>
              <w:left w:w="120" w:type="dxa"/>
              <w:bottom w:w="80" w:type="dxa"/>
              <w:right w:w="120" w:type="dxa"/>
            </w:tcMar>
          </w:tcPr>
          <w:p w14:paraId="1F8CA7CA" w14:textId="77777777" w:rsidR="005B57FE" w:rsidRDefault="00000000">
            <w:r>
              <w:rPr>
                <w:b/>
                <w:bCs/>
                <w:color w:val="FFFFFF"/>
                <w:sz w:val="18"/>
                <w:szCs w:val="18"/>
              </w:rPr>
              <w:t>Dashboard</w:t>
            </w:r>
          </w:p>
        </w:tc>
        <w:tc>
          <w:tcPr>
            <w:tcW w:w="3100" w:type="dxa"/>
            <w:tcBorders>
              <w:top w:val="single" w:sz="4" w:space="0" w:color="E0E0E0"/>
              <w:left w:val="single" w:sz="4" w:space="0" w:color="E0E0E0"/>
              <w:bottom w:val="single" w:sz="4" w:space="0" w:color="E0E0E0"/>
              <w:right w:val="single" w:sz="4" w:space="0" w:color="E0E0E0"/>
            </w:tcBorders>
            <w:shd w:val="clear" w:color="auto" w:fill="1F4E79"/>
            <w:tcMar>
              <w:top w:w="80" w:type="dxa"/>
              <w:left w:w="120" w:type="dxa"/>
              <w:bottom w:w="80" w:type="dxa"/>
              <w:right w:w="120" w:type="dxa"/>
            </w:tcMar>
          </w:tcPr>
          <w:p w14:paraId="720DABA6" w14:textId="77777777" w:rsidR="005B57FE" w:rsidRDefault="00000000">
            <w:r>
              <w:rPr>
                <w:b/>
                <w:bCs/>
                <w:color w:val="FFFFFF"/>
                <w:sz w:val="18"/>
                <w:szCs w:val="18"/>
              </w:rPr>
              <w:t>Chiffres clés issus de Tableau</w:t>
            </w:r>
          </w:p>
        </w:tc>
        <w:tc>
          <w:tcPr>
            <w:tcW w:w="3500" w:type="dxa"/>
            <w:tcBorders>
              <w:top w:val="single" w:sz="4" w:space="0" w:color="E0E0E0"/>
              <w:left w:val="single" w:sz="4" w:space="0" w:color="E0E0E0"/>
              <w:bottom w:val="single" w:sz="4" w:space="0" w:color="E0E0E0"/>
              <w:right w:val="single" w:sz="4" w:space="0" w:color="E0E0E0"/>
            </w:tcBorders>
            <w:shd w:val="clear" w:color="auto" w:fill="1F4E79"/>
            <w:tcMar>
              <w:top w:w="80" w:type="dxa"/>
              <w:left w:w="120" w:type="dxa"/>
              <w:bottom w:w="80" w:type="dxa"/>
              <w:right w:w="120" w:type="dxa"/>
            </w:tcMar>
          </w:tcPr>
          <w:p w14:paraId="117EF326" w14:textId="77777777" w:rsidR="005B57FE" w:rsidRDefault="00000000">
            <w:r>
              <w:rPr>
                <w:b/>
                <w:bCs/>
                <w:color w:val="FFFFFF"/>
                <w:sz w:val="18"/>
                <w:szCs w:val="18"/>
              </w:rPr>
              <w:t>Insight principal</w:t>
            </w:r>
          </w:p>
        </w:tc>
      </w:tr>
      <w:tr w:rsidR="005B57FE" w14:paraId="1210B22A" w14:textId="77777777">
        <w:tblPrEx>
          <w:tblCellMar>
            <w:top w:w="0" w:type="dxa"/>
            <w:bottom w:w="0" w:type="dxa"/>
          </w:tblCellMar>
        </w:tblPrEx>
        <w:tc>
          <w:tcPr>
            <w:tcW w:w="26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6DCFA3B9" w14:textId="77777777" w:rsidR="005B57FE" w:rsidRDefault="00000000">
            <w:pPr>
              <w:jc w:val="center"/>
            </w:pPr>
            <w:r>
              <w:rPr>
                <w:b/>
                <w:bCs/>
                <w:color w:val="2E75B6"/>
                <w:sz w:val="18"/>
                <w:szCs w:val="18"/>
              </w:rPr>
              <w:t>1</w:t>
            </w:r>
          </w:p>
        </w:tc>
        <w:tc>
          <w:tcPr>
            <w:tcW w:w="25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51C8EB77" w14:textId="77777777" w:rsidR="005B57FE" w:rsidRDefault="00000000">
            <w:r>
              <w:rPr>
                <w:b/>
                <w:bCs/>
                <w:color w:val="1F4E79"/>
                <w:sz w:val="18"/>
                <w:szCs w:val="18"/>
              </w:rPr>
              <w:t>Profil des emprunteurs</w:t>
            </w:r>
          </w:p>
        </w:tc>
        <w:tc>
          <w:tcPr>
            <w:tcW w:w="31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23FE066E" w14:textId="77777777" w:rsidR="005B57FE" w:rsidRDefault="00000000">
            <w:r>
              <w:rPr>
                <w:color w:val="333333"/>
                <w:sz w:val="17"/>
                <w:szCs w:val="17"/>
              </w:rPr>
              <w:t>18-25 : 20 441 · 25-35 : 20 073 Location : 23 439 · Hypothèque : 18 484 0-1 an d'expérience : 13 627</w:t>
            </w:r>
          </w:p>
        </w:tc>
        <w:tc>
          <w:tcPr>
            <w:tcW w:w="35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63496766" w14:textId="77777777" w:rsidR="005B57FE" w:rsidRDefault="00000000">
            <w:r>
              <w:rPr>
                <w:color w:val="333333"/>
                <w:sz w:val="17"/>
                <w:szCs w:val="17"/>
              </w:rPr>
              <w:t>90 % des emprunteurs ont moins de 35 ans ; les locataires représentent 52 % du portefeuille</w:t>
            </w:r>
          </w:p>
        </w:tc>
      </w:tr>
      <w:tr w:rsidR="005B57FE" w14:paraId="36DFFCBA" w14:textId="77777777">
        <w:tblPrEx>
          <w:tblCellMar>
            <w:top w:w="0" w:type="dxa"/>
            <w:bottom w:w="0" w:type="dxa"/>
          </w:tblCellMar>
        </w:tblPrEx>
        <w:tc>
          <w:tcPr>
            <w:tcW w:w="2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58F9D45" w14:textId="77777777" w:rsidR="005B57FE" w:rsidRDefault="00000000">
            <w:pPr>
              <w:jc w:val="center"/>
            </w:pPr>
            <w:r>
              <w:rPr>
                <w:b/>
                <w:bCs/>
                <w:color w:val="2E75B6"/>
                <w:sz w:val="18"/>
                <w:szCs w:val="18"/>
              </w:rPr>
              <w:t>2</w:t>
            </w:r>
          </w:p>
        </w:tc>
        <w:tc>
          <w:tcPr>
            <w:tcW w:w="2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19139C2" w14:textId="77777777" w:rsidR="005B57FE" w:rsidRDefault="00000000">
            <w:r>
              <w:rPr>
                <w:b/>
                <w:bCs/>
                <w:color w:val="1F4E79"/>
                <w:sz w:val="18"/>
                <w:szCs w:val="18"/>
              </w:rPr>
              <w:t>Risque de crédit</w:t>
            </w:r>
          </w:p>
        </w:tc>
        <w:tc>
          <w:tcPr>
            <w:tcW w:w="31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B618B37" w14:textId="77777777" w:rsidR="005B57FE" w:rsidRDefault="00000000">
            <w:r>
              <w:rPr>
                <w:color w:val="333333"/>
                <w:sz w:val="17"/>
                <w:szCs w:val="17"/>
              </w:rPr>
              <w:t xml:space="preserve">Très haut risque : 75,4 % de défaut Risque moyen : 44,8 </w:t>
            </w:r>
            <w:proofErr w:type="gramStart"/>
            <w:r>
              <w:rPr>
                <w:color w:val="333333"/>
                <w:sz w:val="17"/>
                <w:szCs w:val="17"/>
              </w:rPr>
              <w:t>%  ·</w:t>
            </w:r>
            <w:proofErr w:type="gramEnd"/>
            <w:r>
              <w:rPr>
                <w:color w:val="333333"/>
                <w:sz w:val="17"/>
                <w:szCs w:val="17"/>
              </w:rPr>
              <w:t xml:space="preserve"> Faible : 17,6 % Très faible : 11,8 % — ratio ×6</w:t>
            </w:r>
          </w:p>
        </w:tc>
        <w:tc>
          <w:tcPr>
            <w:tcW w:w="3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8267840" w14:textId="152D84B8" w:rsidR="005B57FE" w:rsidRDefault="00000000">
            <w:r>
              <w:rPr>
                <w:color w:val="333333"/>
                <w:sz w:val="17"/>
                <w:szCs w:val="17"/>
              </w:rPr>
              <w:t>Le ratio d'endettement divise le portefeuille en segments de risque très différenciés</w:t>
            </w:r>
            <w:r w:rsidR="0039765E">
              <w:rPr>
                <w:color w:val="333333"/>
                <w:sz w:val="17"/>
                <w:szCs w:val="17"/>
              </w:rPr>
              <w:t>.</w:t>
            </w:r>
          </w:p>
        </w:tc>
      </w:tr>
      <w:tr w:rsidR="005B57FE" w14:paraId="0C2D039C" w14:textId="77777777">
        <w:tblPrEx>
          <w:tblCellMar>
            <w:top w:w="0" w:type="dxa"/>
            <w:bottom w:w="0" w:type="dxa"/>
          </w:tblCellMar>
        </w:tblPrEx>
        <w:tc>
          <w:tcPr>
            <w:tcW w:w="26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49EF3E5E" w14:textId="77777777" w:rsidR="005B57FE" w:rsidRDefault="00000000">
            <w:pPr>
              <w:jc w:val="center"/>
            </w:pPr>
            <w:r>
              <w:rPr>
                <w:b/>
                <w:bCs/>
                <w:color w:val="2E75B6"/>
                <w:sz w:val="18"/>
                <w:szCs w:val="18"/>
              </w:rPr>
              <w:t>3</w:t>
            </w:r>
          </w:p>
        </w:tc>
        <w:tc>
          <w:tcPr>
            <w:tcW w:w="25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7A386AF8" w14:textId="77777777" w:rsidR="005B57FE" w:rsidRDefault="00000000">
            <w:r>
              <w:rPr>
                <w:b/>
                <w:bCs/>
                <w:color w:val="1F4E79"/>
                <w:sz w:val="18"/>
                <w:szCs w:val="18"/>
              </w:rPr>
              <w:t>Analyse des prêts</w:t>
            </w:r>
          </w:p>
        </w:tc>
        <w:tc>
          <w:tcPr>
            <w:tcW w:w="31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616CAF97" w14:textId="77777777" w:rsidR="005B57FE" w:rsidRDefault="00000000">
            <w:r>
              <w:rPr>
                <w:color w:val="333333"/>
                <w:sz w:val="17"/>
                <w:szCs w:val="17"/>
              </w:rPr>
              <w:t xml:space="preserve">Home </w:t>
            </w:r>
            <w:proofErr w:type="spellStart"/>
            <w:r>
              <w:rPr>
                <w:color w:val="333333"/>
                <w:sz w:val="17"/>
                <w:szCs w:val="17"/>
              </w:rPr>
              <w:t>improvement</w:t>
            </w:r>
            <w:proofErr w:type="spellEnd"/>
            <w:r>
              <w:rPr>
                <w:color w:val="333333"/>
                <w:sz w:val="17"/>
                <w:szCs w:val="17"/>
              </w:rPr>
              <w:t xml:space="preserve"> : 10 374 € (max) Éducation : 9 151 prêts (objectif n°1) Ratio prêt/revenu : pic à 08–10 % (4 972)</w:t>
            </w:r>
          </w:p>
        </w:tc>
        <w:tc>
          <w:tcPr>
            <w:tcW w:w="35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21992BAB" w14:textId="77777777" w:rsidR="005B57FE" w:rsidRDefault="00000000">
            <w:r>
              <w:rPr>
                <w:color w:val="333333"/>
                <w:sz w:val="17"/>
                <w:szCs w:val="17"/>
              </w:rPr>
              <w:t>Les montants varient peu par objectif ; la distribution du ratio est saine avec 99 % sous 50 %</w:t>
            </w:r>
          </w:p>
        </w:tc>
      </w:tr>
      <w:tr w:rsidR="005B57FE" w14:paraId="14CC3C6A" w14:textId="77777777">
        <w:tblPrEx>
          <w:tblCellMar>
            <w:top w:w="0" w:type="dxa"/>
            <w:bottom w:w="0" w:type="dxa"/>
          </w:tblCellMar>
        </w:tblPrEx>
        <w:tc>
          <w:tcPr>
            <w:tcW w:w="2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5F02BE6" w14:textId="77777777" w:rsidR="005B57FE" w:rsidRDefault="00000000">
            <w:pPr>
              <w:jc w:val="center"/>
            </w:pPr>
            <w:r>
              <w:rPr>
                <w:b/>
                <w:bCs/>
                <w:color w:val="2E75B6"/>
                <w:sz w:val="18"/>
                <w:szCs w:val="18"/>
              </w:rPr>
              <w:t>4</w:t>
            </w:r>
          </w:p>
        </w:tc>
        <w:tc>
          <w:tcPr>
            <w:tcW w:w="2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9D0E12F" w14:textId="77777777" w:rsidR="005B57FE" w:rsidRDefault="00000000">
            <w:r>
              <w:rPr>
                <w:b/>
                <w:bCs/>
                <w:color w:val="1F4E79"/>
                <w:sz w:val="18"/>
                <w:szCs w:val="18"/>
              </w:rPr>
              <w:t>Performance &amp; défauts</w:t>
            </w:r>
          </w:p>
        </w:tc>
        <w:tc>
          <w:tcPr>
            <w:tcW w:w="31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D5B9E9E" w14:textId="64330ABB" w:rsidR="005B57FE" w:rsidRDefault="0039765E">
            <w:r>
              <w:rPr>
                <w:color w:val="333333"/>
                <w:sz w:val="17"/>
                <w:szCs w:val="17"/>
              </w:rPr>
              <w:t>Dette</w:t>
            </w:r>
            <w:r w:rsidR="00000000">
              <w:rPr>
                <w:color w:val="333333"/>
                <w:sz w:val="17"/>
                <w:szCs w:val="17"/>
              </w:rPr>
              <w:t xml:space="preserve"> : 30,3 % · Médical : 27,8 % Location : 35,2 % défaut · </w:t>
            </w:r>
            <w:r>
              <w:rPr>
                <w:color w:val="333333"/>
                <w:sz w:val="17"/>
                <w:szCs w:val="17"/>
              </w:rPr>
              <w:t>Propriétaire</w:t>
            </w:r>
            <w:r w:rsidR="00000000">
              <w:rPr>
                <w:color w:val="333333"/>
                <w:sz w:val="17"/>
                <w:szCs w:val="17"/>
              </w:rPr>
              <w:t xml:space="preserve"> : 6,1 % 60-80 ans : 26,1 % (tranche la + risquée)</w:t>
            </w:r>
          </w:p>
        </w:tc>
        <w:tc>
          <w:tcPr>
            <w:tcW w:w="3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EE0E55E" w14:textId="77777777" w:rsidR="005B57FE" w:rsidRDefault="00000000">
            <w:r>
              <w:rPr>
                <w:color w:val="333333"/>
                <w:sz w:val="17"/>
                <w:szCs w:val="17"/>
              </w:rPr>
              <w:t>Le risque est piloté par le revenu : très faible revenu = 36–40 %, très haut = 6–10 %</w:t>
            </w:r>
          </w:p>
        </w:tc>
      </w:tr>
      <w:tr w:rsidR="005B57FE" w14:paraId="385ACA5B" w14:textId="77777777">
        <w:tblPrEx>
          <w:tblCellMar>
            <w:top w:w="0" w:type="dxa"/>
            <w:bottom w:w="0" w:type="dxa"/>
          </w:tblCellMar>
        </w:tblPrEx>
        <w:tc>
          <w:tcPr>
            <w:tcW w:w="26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7A366C52" w14:textId="77777777" w:rsidR="005B57FE" w:rsidRDefault="00000000">
            <w:pPr>
              <w:jc w:val="center"/>
            </w:pPr>
            <w:r>
              <w:rPr>
                <w:b/>
                <w:bCs/>
                <w:color w:val="2E75B6"/>
                <w:sz w:val="18"/>
                <w:szCs w:val="18"/>
              </w:rPr>
              <w:t>5</w:t>
            </w:r>
          </w:p>
        </w:tc>
        <w:tc>
          <w:tcPr>
            <w:tcW w:w="25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14E68060" w14:textId="77777777" w:rsidR="005B57FE" w:rsidRDefault="00000000">
            <w:r>
              <w:rPr>
                <w:b/>
                <w:bCs/>
                <w:color w:val="1F4E79"/>
                <w:sz w:val="18"/>
                <w:szCs w:val="18"/>
              </w:rPr>
              <w:t>Segmentation financière</w:t>
            </w:r>
          </w:p>
        </w:tc>
        <w:tc>
          <w:tcPr>
            <w:tcW w:w="31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69D79CA4" w14:textId="77777777" w:rsidR="005B57FE" w:rsidRDefault="00000000">
            <w:r>
              <w:rPr>
                <w:color w:val="333333"/>
                <w:sz w:val="17"/>
                <w:szCs w:val="17"/>
              </w:rPr>
              <w:t xml:space="preserve">Doctorat : 82 268 € </w:t>
            </w:r>
            <w:proofErr w:type="spellStart"/>
            <w:r>
              <w:rPr>
                <w:color w:val="333333"/>
                <w:sz w:val="17"/>
                <w:szCs w:val="17"/>
              </w:rPr>
              <w:t>rev</w:t>
            </w:r>
            <w:proofErr w:type="spellEnd"/>
            <w:r>
              <w:rPr>
                <w:color w:val="333333"/>
                <w:sz w:val="17"/>
                <w:szCs w:val="17"/>
              </w:rPr>
              <w:t xml:space="preserve">. </w:t>
            </w:r>
            <w:proofErr w:type="spellStart"/>
            <w:proofErr w:type="gramStart"/>
            <w:r>
              <w:rPr>
                <w:color w:val="333333"/>
                <w:sz w:val="17"/>
                <w:szCs w:val="17"/>
              </w:rPr>
              <w:t>moy</w:t>
            </w:r>
            <w:proofErr w:type="spellEnd"/>
            <w:proofErr w:type="gramEnd"/>
            <w:r>
              <w:rPr>
                <w:color w:val="333333"/>
                <w:sz w:val="17"/>
                <w:szCs w:val="17"/>
              </w:rPr>
              <w:t>. (+6 % vs lycée) Très haut risque : taux 11,5 % (quasi = faible) Pic montant prêt : tranche 4–6 k€ (7 317)</w:t>
            </w:r>
          </w:p>
        </w:tc>
        <w:tc>
          <w:tcPr>
            <w:tcW w:w="35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0FA14182" w14:textId="77777777" w:rsidR="005B57FE" w:rsidRDefault="00000000">
            <w:r>
              <w:rPr>
                <w:color w:val="333333"/>
                <w:sz w:val="17"/>
                <w:szCs w:val="17"/>
              </w:rPr>
              <w:t>Le taux d'intérêt ne différencie pas assez les catégories de risque (10,6 % → 11,6 % seulement)</w:t>
            </w:r>
          </w:p>
        </w:tc>
      </w:tr>
    </w:tbl>
    <w:p w14:paraId="0E11CC65" w14:textId="77777777" w:rsidR="005B57FE" w:rsidRDefault="005B57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7FE" w14:paraId="639AE402" w14:textId="77777777">
        <w:tblPrEx>
          <w:tblCellMar>
            <w:top w:w="0" w:type="dxa"/>
            <w:bottom w:w="0" w:type="dxa"/>
          </w:tblCellMar>
        </w:tblPrEx>
        <w:tc>
          <w:tcPr>
            <w:tcW w:w="9360" w:type="dxa"/>
            <w:tcBorders>
              <w:top w:val="single" w:sz="4" w:space="0" w:color="EF9F27"/>
              <w:left w:val="single" w:sz="20" w:space="0" w:color="EF9F27"/>
              <w:bottom w:val="single" w:sz="4" w:space="0" w:color="EF9F27"/>
              <w:right w:val="single" w:sz="4" w:space="0" w:color="EF9F27"/>
            </w:tcBorders>
            <w:shd w:val="clear" w:color="auto" w:fill="FFF8E7"/>
            <w:tcMar>
              <w:top w:w="100" w:type="dxa"/>
              <w:left w:w="200" w:type="dxa"/>
              <w:bottom w:w="100" w:type="dxa"/>
              <w:right w:w="160" w:type="dxa"/>
            </w:tcMar>
          </w:tcPr>
          <w:p w14:paraId="5BDAEF2B" w14:textId="77777777" w:rsidR="005B57FE" w:rsidRDefault="00000000">
            <w:pPr>
              <w:spacing w:after="36"/>
            </w:pPr>
            <w:r>
              <w:rPr>
                <w:b/>
                <w:bCs/>
                <w:color w:val="EF9F27"/>
              </w:rPr>
              <w:t>Enrichissement Python — reconstruction de la catégorie de risque</w:t>
            </w:r>
          </w:p>
          <w:p w14:paraId="79163276" w14:textId="77777777" w:rsidR="005B57FE" w:rsidRDefault="00000000">
            <w:r>
              <w:rPr>
                <w:color w:val="333333"/>
                <w:sz w:val="19"/>
                <w:szCs w:val="19"/>
              </w:rPr>
              <w:t>La colonne d'origine était construite par quintiles (taux de défaut uniforme ~22 % quelle que soit la catégorie). Elle a été remplacée par une segmentation sur le ratio d'endettement avec 5 seuils (10 % / 20 % / 30 % / 40 %), ce qui permet d'obtenir la progression Tableau observée : 11,8 % → 17,6 % → 44,8 % → 72,6 % → 75,4 %.</w:t>
            </w:r>
          </w:p>
        </w:tc>
      </w:tr>
    </w:tbl>
    <w:p w14:paraId="482A0667" w14:textId="77777777" w:rsidR="005B57FE" w:rsidRDefault="00000000">
      <w:r>
        <w:br w:type="page"/>
      </w:r>
    </w:p>
    <w:p w14:paraId="0F4489EB" w14:textId="77777777" w:rsidR="005B57FE" w:rsidRDefault="00000000">
      <w:pPr>
        <w:shd w:val="clear" w:color="auto" w:fill="1F4E79"/>
        <w:spacing w:after="100"/>
        <w:ind w:left="240" w:right="240"/>
      </w:pPr>
      <w:r>
        <w:rPr>
          <w:b/>
          <w:bCs/>
          <w:color w:val="FFFFFF"/>
          <w:sz w:val="32"/>
          <w:szCs w:val="32"/>
        </w:rPr>
        <w:lastRenderedPageBreak/>
        <w:t xml:space="preserve">  Résultats détaillés par </w:t>
      </w:r>
      <w:proofErr w:type="spellStart"/>
      <w:r>
        <w:rPr>
          <w:b/>
          <w:bCs/>
          <w:color w:val="FFFFFF"/>
          <w:sz w:val="32"/>
          <w:szCs w:val="32"/>
        </w:rPr>
        <w:t>dashboard</w:t>
      </w:r>
      <w:proofErr w:type="spellEnd"/>
    </w:p>
    <w:p w14:paraId="536BB072" w14:textId="77777777" w:rsidR="005B57FE" w:rsidRDefault="005B57FE">
      <w:pPr>
        <w:spacing w:after="60"/>
      </w:pPr>
    </w:p>
    <w:p w14:paraId="655CE878" w14:textId="77777777" w:rsidR="005B57FE" w:rsidRDefault="00000000">
      <w:pPr>
        <w:pBdr>
          <w:left w:val="single" w:sz="20" w:space="0" w:color="1F4E79"/>
        </w:pBdr>
        <w:shd w:val="clear" w:color="auto" w:fill="2E75B6"/>
        <w:spacing w:before="180" w:after="80"/>
        <w:ind w:left="180"/>
      </w:pPr>
      <w:r>
        <w:rPr>
          <w:b/>
          <w:bCs/>
          <w:color w:val="FFFFFF"/>
          <w:sz w:val="24"/>
          <w:szCs w:val="24"/>
        </w:rPr>
        <w:t xml:space="preserve">  4. Résultats par </w:t>
      </w:r>
      <w:proofErr w:type="spellStart"/>
      <w:r>
        <w:rPr>
          <w:b/>
          <w:bCs/>
          <w:color w:val="FFFFFF"/>
          <w:sz w:val="24"/>
          <w:szCs w:val="24"/>
        </w:rPr>
        <w:t>dashboard</w:t>
      </w:r>
      <w:proofErr w:type="spellEnd"/>
    </w:p>
    <w:p w14:paraId="384F2261" w14:textId="77777777" w:rsidR="005B57FE" w:rsidRDefault="005B57FE">
      <w:pPr>
        <w:spacing w:after="60"/>
      </w:pPr>
    </w:p>
    <w:p w14:paraId="4EE6B476" w14:textId="77777777" w:rsidR="005B57FE" w:rsidRDefault="00000000">
      <w:pPr>
        <w:pBdr>
          <w:bottom w:val="single" w:sz="4" w:space="0" w:color="E0E0E0"/>
        </w:pBdr>
        <w:spacing w:before="140" w:after="50"/>
      </w:pPr>
      <w:r>
        <w:rPr>
          <w:b/>
          <w:bCs/>
          <w:color w:val="1F4E79"/>
          <w:sz w:val="22"/>
          <w:szCs w:val="22"/>
        </w:rPr>
        <w:t>Dashboard 1 — Profil des emprunteurs</w:t>
      </w:r>
    </w:p>
    <w:p w14:paraId="03A5E8D0" w14:textId="77777777" w:rsidR="005B57FE" w:rsidRDefault="00000000">
      <w:pPr>
        <w:pStyle w:val="Paragraphedeliste"/>
        <w:numPr>
          <w:ilvl w:val="0"/>
          <w:numId w:val="2"/>
        </w:numPr>
        <w:spacing w:before="25" w:after="25"/>
      </w:pPr>
      <w:r>
        <w:rPr>
          <w:b/>
          <w:bCs/>
        </w:rPr>
        <w:t xml:space="preserve">Structure d'âge très concentrée : </w:t>
      </w:r>
      <w:r>
        <w:t>18–25 ans (20 441, soit 45,4 %) et 25–35 ans (20 073, soit 44,6 %) représentent ensemble 90 % du portefeuille. Les 35–45 ans ne comptent que 3 724 dossiers, les tranches supérieures étant quasi absentes (684 et 69).</w:t>
      </w:r>
    </w:p>
    <w:p w14:paraId="0EE13427" w14:textId="77777777" w:rsidR="005B57FE" w:rsidRDefault="00000000">
      <w:pPr>
        <w:pStyle w:val="Paragraphedeliste"/>
        <w:numPr>
          <w:ilvl w:val="0"/>
          <w:numId w:val="2"/>
        </w:numPr>
        <w:spacing w:before="25" w:after="25"/>
      </w:pPr>
      <w:r>
        <w:rPr>
          <w:b/>
          <w:bCs/>
        </w:rPr>
        <w:t xml:space="preserve">Logement : </w:t>
      </w:r>
      <w:r>
        <w:t xml:space="preserve">52,1 % des emprunteurs sont locataires (23 439), 41,1 % ont une hypothèque (18 484), 6,6 % sont propriétaires et 0,3 % classés « </w:t>
      </w:r>
      <w:proofErr w:type="spellStart"/>
      <w:r>
        <w:t>other</w:t>
      </w:r>
      <w:proofErr w:type="spellEnd"/>
      <w:r>
        <w:t xml:space="preserve"> ».</w:t>
      </w:r>
    </w:p>
    <w:p w14:paraId="709A85AC" w14:textId="77777777" w:rsidR="005B57FE" w:rsidRDefault="00000000">
      <w:pPr>
        <w:pStyle w:val="Paragraphedeliste"/>
        <w:numPr>
          <w:ilvl w:val="0"/>
          <w:numId w:val="2"/>
        </w:numPr>
        <w:spacing w:before="25" w:after="25"/>
      </w:pPr>
      <w:r>
        <w:rPr>
          <w:b/>
          <w:bCs/>
        </w:rPr>
        <w:t xml:space="preserve">Éducation et genre : </w:t>
      </w:r>
      <w:r>
        <w:t xml:space="preserve">Le </w:t>
      </w:r>
      <w:proofErr w:type="spellStart"/>
      <w:r>
        <w:t>bachelor</w:t>
      </w:r>
      <w:proofErr w:type="spellEnd"/>
      <w:r>
        <w:t xml:space="preserve"> est le diplôme le plus représenté (7 378 hommes / 6 018 femmes), suivi de </w:t>
      </w:r>
      <w:proofErr w:type="spellStart"/>
      <w:r>
        <w:t>l'associate</w:t>
      </w:r>
      <w:proofErr w:type="spellEnd"/>
      <w:r>
        <w:t xml:space="preserve"> (6 662 / 5 364) et du high </w:t>
      </w:r>
      <w:proofErr w:type="spellStart"/>
      <w:r>
        <w:t>school</w:t>
      </w:r>
      <w:proofErr w:type="spellEnd"/>
      <w:r>
        <w:t xml:space="preserve"> (6 628 / 5 340). Le doctorat reste marginal (346 / 275).</w:t>
      </w:r>
    </w:p>
    <w:p w14:paraId="7306F897" w14:textId="33F918AD" w:rsidR="005B57FE" w:rsidRDefault="00000000">
      <w:pPr>
        <w:pStyle w:val="Paragraphedeliste"/>
        <w:numPr>
          <w:ilvl w:val="0"/>
          <w:numId w:val="2"/>
        </w:numPr>
        <w:spacing w:before="25" w:after="25"/>
      </w:pPr>
      <w:r>
        <w:rPr>
          <w:b/>
          <w:bCs/>
        </w:rPr>
        <w:t xml:space="preserve">Expérience professionnelle : </w:t>
      </w:r>
      <w:r>
        <w:t xml:space="preserve">Les </w:t>
      </w:r>
      <w:r w:rsidR="003D0964">
        <w:t>junior</w:t>
      </w:r>
      <w:r>
        <w:t xml:space="preserve"> (0–1 an) forment le groupe le plus large (13 627), suivis des 5–10 ans (9 769). La base est très juniorisée, cohérente avec la jeunesse du portefeuille.</w:t>
      </w:r>
    </w:p>
    <w:p w14:paraId="6D7BA247" w14:textId="77777777" w:rsidR="005B57FE" w:rsidRDefault="005B57FE">
      <w:pPr>
        <w:spacing w:after="60"/>
      </w:pPr>
    </w:p>
    <w:p w14:paraId="3B0D6D83" w14:textId="77777777" w:rsidR="005B57FE" w:rsidRDefault="00000000">
      <w:pPr>
        <w:pBdr>
          <w:bottom w:val="single" w:sz="4" w:space="0" w:color="E0E0E0"/>
        </w:pBdr>
        <w:spacing w:before="140" w:after="50"/>
      </w:pPr>
      <w:r>
        <w:rPr>
          <w:b/>
          <w:bCs/>
          <w:color w:val="C00000"/>
          <w:sz w:val="22"/>
          <w:szCs w:val="22"/>
        </w:rPr>
        <w:t>Dashboard 2 — Risque de crédit</w:t>
      </w:r>
    </w:p>
    <w:p w14:paraId="0D2F0DD7" w14:textId="76346E80" w:rsidR="005B57FE" w:rsidRDefault="00000000">
      <w:pPr>
        <w:pStyle w:val="Paragraphedeliste"/>
        <w:numPr>
          <w:ilvl w:val="0"/>
          <w:numId w:val="2"/>
        </w:numPr>
        <w:spacing w:before="25" w:after="25"/>
      </w:pPr>
      <w:r>
        <w:rPr>
          <w:b/>
          <w:bCs/>
        </w:rPr>
        <w:t xml:space="preserve">Discrimination par catégorie de risque : </w:t>
      </w:r>
      <w:r>
        <w:t>La reconstruction par ratio d'endettement donne des taux très différenciés : Très haut risque 75,41 %, Risque élevé 72,57 %, Risque moyen 44,81 %, Faible risque 17,56 %, Très faible risque 11,79.</w:t>
      </w:r>
    </w:p>
    <w:p w14:paraId="61329D03" w14:textId="77777777" w:rsidR="005B57FE" w:rsidRDefault="00000000">
      <w:pPr>
        <w:pStyle w:val="Paragraphedeliste"/>
        <w:numPr>
          <w:ilvl w:val="0"/>
          <w:numId w:val="2"/>
        </w:numPr>
        <w:spacing w:before="25" w:after="25"/>
      </w:pPr>
      <w:r>
        <w:rPr>
          <w:b/>
          <w:bCs/>
        </w:rPr>
        <w:t xml:space="preserve">Ancienneté de crédit : </w:t>
      </w:r>
      <w:r>
        <w:t>Le taux de défaut décroît légèrement avec l'ancienneté (23,7 % pour 0–2 ans jusqu'à 20,9 % pour 15–20 ans), puis repart à 26,6 % pour les 20+ ans (effectif très faible, à interpréter avec précaution).</w:t>
      </w:r>
    </w:p>
    <w:p w14:paraId="6DBE66DC" w14:textId="0ADF48FC" w:rsidR="005B57FE" w:rsidRDefault="00000000">
      <w:pPr>
        <w:pStyle w:val="Paragraphedeliste"/>
        <w:numPr>
          <w:ilvl w:val="0"/>
          <w:numId w:val="2"/>
        </w:numPr>
        <w:spacing w:before="25" w:after="25"/>
      </w:pPr>
      <w:r>
        <w:rPr>
          <w:b/>
          <w:bCs/>
        </w:rPr>
        <w:t xml:space="preserve">Score de crédit : </w:t>
      </w:r>
      <w:r>
        <w:t>L'histogramme montre une distribution en cloche centrée sur 630–660 pts. Le score seul ne discrimine pas le risque</w:t>
      </w:r>
      <w:r w:rsidR="003D0964">
        <w:t>.</w:t>
      </w:r>
    </w:p>
    <w:p w14:paraId="3C7CFFE8" w14:textId="77777777" w:rsidR="005B57FE" w:rsidRDefault="005B57FE">
      <w:pPr>
        <w:spacing w:after="60"/>
      </w:pPr>
    </w:p>
    <w:p w14:paraId="22723608" w14:textId="77777777" w:rsidR="005B57FE" w:rsidRDefault="00000000">
      <w:pPr>
        <w:pBdr>
          <w:bottom w:val="single" w:sz="4" w:space="0" w:color="E0E0E0"/>
        </w:pBdr>
        <w:spacing w:before="140" w:after="50"/>
      </w:pPr>
      <w:r>
        <w:rPr>
          <w:b/>
          <w:bCs/>
          <w:color w:val="833C00"/>
          <w:sz w:val="22"/>
          <w:szCs w:val="22"/>
        </w:rPr>
        <w:t>Dashboard 3 — Analyse des prêts</w:t>
      </w:r>
    </w:p>
    <w:p w14:paraId="128FA714" w14:textId="77777777" w:rsidR="005B57FE" w:rsidRDefault="00000000">
      <w:pPr>
        <w:pStyle w:val="Paragraphedeliste"/>
        <w:numPr>
          <w:ilvl w:val="0"/>
          <w:numId w:val="2"/>
        </w:numPr>
        <w:spacing w:before="25" w:after="25"/>
      </w:pPr>
      <w:r>
        <w:rPr>
          <w:b/>
          <w:bCs/>
        </w:rPr>
        <w:t xml:space="preserve">Objectif de prêt : </w:t>
      </w:r>
      <w:r>
        <w:t>L'éducation arrive en tête par volume (9 151 prêts), devant le médical (8 547) et le venture (7 815). L'amélioration du logement est la moins fréquente (4 783) mais génère le montant moyen le plus élevé (10 374 €).</w:t>
      </w:r>
    </w:p>
    <w:p w14:paraId="2C095966" w14:textId="77777777" w:rsidR="005B57FE" w:rsidRDefault="00000000">
      <w:pPr>
        <w:pStyle w:val="Paragraphedeliste"/>
        <w:numPr>
          <w:ilvl w:val="0"/>
          <w:numId w:val="2"/>
        </w:numPr>
        <w:spacing w:before="25" w:after="25"/>
      </w:pPr>
      <w:r>
        <w:rPr>
          <w:b/>
          <w:bCs/>
        </w:rPr>
        <w:t xml:space="preserve">Montants moyens : </w:t>
      </w:r>
      <w:r>
        <w:t xml:space="preserve">La fourchette est étroite : de 9 101 € (médical) à 10 374 € (home </w:t>
      </w:r>
      <w:proofErr w:type="spellStart"/>
      <w:r>
        <w:t>improvement</w:t>
      </w:r>
      <w:proofErr w:type="spellEnd"/>
      <w:r>
        <w:t>), soit un écart de seulement 14 % entre le minimum et le maximum.</w:t>
      </w:r>
    </w:p>
    <w:p w14:paraId="7DB75B31" w14:textId="77777777" w:rsidR="005B57FE" w:rsidRDefault="00000000">
      <w:pPr>
        <w:pStyle w:val="Paragraphedeliste"/>
        <w:numPr>
          <w:ilvl w:val="0"/>
          <w:numId w:val="2"/>
        </w:numPr>
        <w:spacing w:before="25" w:after="25"/>
      </w:pPr>
      <w:r>
        <w:rPr>
          <w:b/>
          <w:bCs/>
        </w:rPr>
        <w:t xml:space="preserve">Distribution du ratio prêt/revenu : </w:t>
      </w:r>
      <w:r>
        <w:t>Le pic se situe sur la tranche 08–10 % (4 972 prêts). 99,9 % des emprunteurs sont sous 50 % — la tranche 40 %+ ne compte que 445 dossiers. Le portefeuille est globalement bien calibré.</w:t>
      </w:r>
    </w:p>
    <w:p w14:paraId="7E326F64" w14:textId="77777777" w:rsidR="005B57FE" w:rsidRDefault="005B57FE">
      <w:pPr>
        <w:spacing w:after="60"/>
      </w:pPr>
    </w:p>
    <w:p w14:paraId="6FE8549F" w14:textId="77777777" w:rsidR="005B57FE" w:rsidRDefault="00000000">
      <w:pPr>
        <w:pBdr>
          <w:bottom w:val="single" w:sz="4" w:space="0" w:color="E0E0E0"/>
        </w:pBdr>
        <w:spacing w:before="140" w:after="50"/>
      </w:pPr>
      <w:r>
        <w:rPr>
          <w:b/>
          <w:bCs/>
          <w:color w:val="C00000"/>
          <w:sz w:val="22"/>
          <w:szCs w:val="22"/>
        </w:rPr>
        <w:t>Dashboard 4 — Performance &amp; défauts</w:t>
      </w:r>
    </w:p>
    <w:p w14:paraId="3F035D5C" w14:textId="77777777" w:rsidR="005B57FE" w:rsidRDefault="00000000">
      <w:pPr>
        <w:pStyle w:val="Paragraphedeliste"/>
        <w:numPr>
          <w:ilvl w:val="0"/>
          <w:numId w:val="2"/>
        </w:numPr>
        <w:spacing w:before="25" w:after="25"/>
      </w:pPr>
      <w:r>
        <w:rPr>
          <w:b/>
          <w:bCs/>
        </w:rPr>
        <w:t xml:space="preserve">Défaut par âge : </w:t>
      </w:r>
      <w:r>
        <w:t>Les 60–80 ans affichent le taux le plus élevé (26,1 %), suivis des 18–25 ans (23,4 %). Les 35–45 ans sont les plus fiables (20,6 %). L'écart reste limité à 5,5 points entre extrêmes.</w:t>
      </w:r>
    </w:p>
    <w:p w14:paraId="7F21672A" w14:textId="77777777" w:rsidR="005B57FE" w:rsidRDefault="00000000">
      <w:pPr>
        <w:pStyle w:val="Paragraphedeliste"/>
        <w:numPr>
          <w:ilvl w:val="0"/>
          <w:numId w:val="2"/>
        </w:numPr>
        <w:spacing w:before="25" w:after="25"/>
      </w:pPr>
      <w:r>
        <w:rPr>
          <w:b/>
          <w:bCs/>
        </w:rPr>
        <w:t xml:space="preserve">Défaut par objectif : </w:t>
      </w:r>
      <w:r>
        <w:t>La consolidation de dette est la plus risquée (30,3 %), suivie du médical (27,8 %) et de l'amélioration du logement (26,3 %). Le venture est le plus sûr (14,4 %), suivi de l'éducation (17,0 %).</w:t>
      </w:r>
    </w:p>
    <w:p w14:paraId="3F7FA0CE" w14:textId="77777777" w:rsidR="005B57FE" w:rsidRDefault="00000000">
      <w:pPr>
        <w:pStyle w:val="Paragraphedeliste"/>
        <w:numPr>
          <w:ilvl w:val="0"/>
          <w:numId w:val="2"/>
        </w:numPr>
        <w:spacing w:before="25" w:after="25"/>
      </w:pPr>
      <w:r>
        <w:rPr>
          <w:b/>
          <w:bCs/>
        </w:rPr>
        <w:t xml:space="preserve">Défaut par statut de logement : </w:t>
      </w:r>
      <w:r>
        <w:t>Les locataires concentrent 35,2 % de défaut, contre seulement 6,1 % pour les propriétaires (</w:t>
      </w:r>
      <w:proofErr w:type="spellStart"/>
      <w:r>
        <w:t>own</w:t>
      </w:r>
      <w:proofErr w:type="spellEnd"/>
      <w:r>
        <w:t>). Les hypothèques restent à 4,8 %.</w:t>
      </w:r>
    </w:p>
    <w:p w14:paraId="1E48E411" w14:textId="77777777" w:rsidR="005B57FE" w:rsidRDefault="00000000">
      <w:pPr>
        <w:pStyle w:val="Paragraphedeliste"/>
        <w:numPr>
          <w:ilvl w:val="0"/>
          <w:numId w:val="2"/>
        </w:numPr>
        <w:spacing w:before="25" w:after="25"/>
      </w:pPr>
      <w:proofErr w:type="spellStart"/>
      <w:r>
        <w:rPr>
          <w:b/>
          <w:bCs/>
        </w:rPr>
        <w:t>Heatmap</w:t>
      </w:r>
      <w:proofErr w:type="spellEnd"/>
      <w:r>
        <w:rPr>
          <w:b/>
          <w:bCs/>
        </w:rPr>
        <w:t xml:space="preserve"> âge × revenu : </w:t>
      </w:r>
      <w:r>
        <w:t>Le risque est quasi exclusivement piloté par le revenu : très faible revenu = 36–40 % de défaut quelle que soit la tranche d'âge, très haut revenu = 5,7–16,7 %. La combinaison 45–60 ans + très faible revenu est la plus risquée (39,5 %).</w:t>
      </w:r>
    </w:p>
    <w:p w14:paraId="6D6222DC" w14:textId="77777777" w:rsidR="005B57FE" w:rsidRDefault="005B57FE">
      <w:pPr>
        <w:spacing w:after="60"/>
      </w:pPr>
    </w:p>
    <w:p w14:paraId="68E04516" w14:textId="77777777" w:rsidR="005B57FE" w:rsidRDefault="00000000">
      <w:pPr>
        <w:pBdr>
          <w:bottom w:val="single" w:sz="4" w:space="0" w:color="E0E0E0"/>
        </w:pBdr>
        <w:spacing w:before="140" w:after="50"/>
      </w:pPr>
      <w:r>
        <w:rPr>
          <w:b/>
          <w:bCs/>
          <w:color w:val="375623"/>
          <w:sz w:val="22"/>
          <w:szCs w:val="22"/>
        </w:rPr>
        <w:t>Dashboard 5 — Segmentation financière</w:t>
      </w:r>
    </w:p>
    <w:p w14:paraId="7EC73DDF" w14:textId="32FFA877" w:rsidR="005B57FE" w:rsidRDefault="00000000">
      <w:pPr>
        <w:pStyle w:val="Paragraphedeliste"/>
        <w:numPr>
          <w:ilvl w:val="0"/>
          <w:numId w:val="2"/>
        </w:numPr>
        <w:spacing w:before="25" w:after="25"/>
      </w:pPr>
      <w:r>
        <w:rPr>
          <w:b/>
          <w:bCs/>
        </w:rPr>
        <w:t xml:space="preserve">Revenu par éducation : </w:t>
      </w:r>
      <w:r>
        <w:t xml:space="preserve">La progression est faible mais réelle : high </w:t>
      </w:r>
      <w:proofErr w:type="spellStart"/>
      <w:r>
        <w:t>school</w:t>
      </w:r>
      <w:proofErr w:type="spellEnd"/>
      <w:r>
        <w:t xml:space="preserve"> 77 353 €, </w:t>
      </w:r>
      <w:proofErr w:type="spellStart"/>
      <w:r>
        <w:t>bachelor</w:t>
      </w:r>
      <w:proofErr w:type="spellEnd"/>
      <w:r>
        <w:t xml:space="preserve"> 77 887€, </w:t>
      </w:r>
      <w:proofErr w:type="spellStart"/>
      <w:r>
        <w:t>associate</w:t>
      </w:r>
      <w:proofErr w:type="spellEnd"/>
      <w:r>
        <w:t xml:space="preserve"> 78 181 €, master 79 011 €, doctorat 82 268 € — soit +6,3 % entre les extrêmes.</w:t>
      </w:r>
    </w:p>
    <w:p w14:paraId="3C9D8EE5" w14:textId="77777777" w:rsidR="005B57FE" w:rsidRDefault="00000000">
      <w:pPr>
        <w:pStyle w:val="Paragraphedeliste"/>
        <w:numPr>
          <w:ilvl w:val="0"/>
          <w:numId w:val="2"/>
        </w:numPr>
        <w:spacing w:before="25" w:after="25"/>
      </w:pPr>
      <w:r>
        <w:rPr>
          <w:b/>
          <w:bCs/>
        </w:rPr>
        <w:t xml:space="preserve">Taux d'intérêt par risque : </w:t>
      </w:r>
      <w:r>
        <w:t>La différenciation est insuffisante : Très faible risque 10,6 %, Faible risque 11,1 %, Risque moyen 11,6 %, Risque élevé 11,6 %, Très haut risque 11,5 %. L'écart entre la catégorie la plus sûre et la plus risquée est de seulement 1 point.</w:t>
      </w:r>
    </w:p>
    <w:p w14:paraId="037FBCD7" w14:textId="77777777" w:rsidR="005B57FE" w:rsidRDefault="00000000">
      <w:pPr>
        <w:pStyle w:val="Paragraphedeliste"/>
        <w:numPr>
          <w:ilvl w:val="0"/>
          <w:numId w:val="2"/>
        </w:numPr>
        <w:spacing w:before="25" w:after="25"/>
      </w:pPr>
      <w:r>
        <w:rPr>
          <w:b/>
          <w:bCs/>
        </w:rPr>
        <w:lastRenderedPageBreak/>
        <w:t xml:space="preserve">Distribution des montants : </w:t>
      </w:r>
      <w:r>
        <w:t>Le pic se situe sur la tranche 4–6 k€ (7 317 prêts), suivi de 6–8 k€ (6 855). La distribution est asymétrique à droite avec une queue jusqu'à 28 k€ (531 prêts). La médiane se situe autour de 8 000 €.</w:t>
      </w:r>
    </w:p>
    <w:p w14:paraId="567C28D2" w14:textId="77777777" w:rsidR="005B57FE" w:rsidRDefault="005B57FE">
      <w:pPr>
        <w:spacing w:after="120"/>
      </w:pPr>
    </w:p>
    <w:p w14:paraId="7436DA46" w14:textId="77777777" w:rsidR="005B57FE" w:rsidRDefault="00000000">
      <w:pPr>
        <w:pBdr>
          <w:left w:val="single" w:sz="20" w:space="0" w:color="1F4E79"/>
        </w:pBdr>
        <w:shd w:val="clear" w:color="auto" w:fill="2E75B6"/>
        <w:spacing w:before="180" w:after="80"/>
        <w:ind w:left="180"/>
      </w:pPr>
      <w:r>
        <w:rPr>
          <w:b/>
          <w:bCs/>
          <w:color w:val="FFFFFF"/>
          <w:sz w:val="24"/>
          <w:szCs w:val="24"/>
        </w:rPr>
        <w:t xml:space="preserve">  5. Recommandations opérationnelles</w:t>
      </w:r>
    </w:p>
    <w:p w14:paraId="7760B566" w14:textId="77777777" w:rsidR="005B57FE" w:rsidRDefault="005B57FE">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7FE" w14:paraId="0CC43940" w14:textId="77777777">
        <w:tblPrEx>
          <w:tblCellMar>
            <w:top w:w="0" w:type="dxa"/>
            <w:bottom w:w="0" w:type="dxa"/>
          </w:tblCellMar>
        </w:tblPrEx>
        <w:tc>
          <w:tcPr>
            <w:tcW w:w="9360" w:type="dxa"/>
            <w:tcBorders>
              <w:top w:val="single" w:sz="4" w:space="0" w:color="833C00"/>
              <w:left w:val="single" w:sz="20" w:space="0" w:color="833C00"/>
              <w:bottom w:val="single" w:sz="4" w:space="0" w:color="833C00"/>
              <w:right w:val="single" w:sz="4" w:space="0" w:color="833C00"/>
            </w:tcBorders>
            <w:shd w:val="clear" w:color="auto" w:fill="FFF4EC"/>
            <w:tcMar>
              <w:top w:w="100" w:type="dxa"/>
              <w:left w:w="200" w:type="dxa"/>
              <w:bottom w:w="100" w:type="dxa"/>
              <w:right w:w="160" w:type="dxa"/>
            </w:tcMar>
          </w:tcPr>
          <w:p w14:paraId="541C0190" w14:textId="77777777" w:rsidR="005B57FE" w:rsidRDefault="00000000">
            <w:pPr>
              <w:spacing w:after="36"/>
            </w:pPr>
            <w:r>
              <w:rPr>
                <w:b/>
                <w:bCs/>
                <w:color w:val="833C00"/>
              </w:rPr>
              <w:t>1 — Réviser la grille de tarification des taux d'intérêt</w:t>
            </w:r>
          </w:p>
          <w:p w14:paraId="5174E6B9" w14:textId="2311F4CF" w:rsidR="005B57FE" w:rsidRDefault="00000000">
            <w:r>
              <w:rPr>
                <w:color w:val="333333"/>
                <w:sz w:val="19"/>
                <w:szCs w:val="19"/>
              </w:rPr>
              <w:t>L'écart de taux entre les catégories Très faible risque (10,6 %) et Très haut risque (11,5 %) est de 0,9 point seulement, alors que le taux de défaut est multiplié par 6,4</w:t>
            </w:r>
            <w:r w:rsidR="003D0964">
              <w:rPr>
                <w:color w:val="333333"/>
                <w:sz w:val="19"/>
                <w:szCs w:val="19"/>
              </w:rPr>
              <w:t>.</w:t>
            </w:r>
          </w:p>
        </w:tc>
      </w:tr>
    </w:tbl>
    <w:p w14:paraId="5ED51142" w14:textId="77777777" w:rsidR="005B57FE" w:rsidRDefault="005B57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7FE" w14:paraId="1A2ED9AF" w14:textId="77777777">
        <w:tblPrEx>
          <w:tblCellMar>
            <w:top w:w="0" w:type="dxa"/>
            <w:bottom w:w="0" w:type="dxa"/>
          </w:tblCellMar>
        </w:tblPrEx>
        <w:tc>
          <w:tcPr>
            <w:tcW w:w="9360" w:type="dxa"/>
            <w:tcBorders>
              <w:top w:val="single" w:sz="4" w:space="0" w:color="C00000"/>
              <w:left w:val="single" w:sz="20" w:space="0" w:color="C00000"/>
              <w:bottom w:val="single" w:sz="4" w:space="0" w:color="C00000"/>
              <w:right w:val="single" w:sz="4" w:space="0" w:color="C00000"/>
            </w:tcBorders>
            <w:shd w:val="clear" w:color="auto" w:fill="FDECEA"/>
            <w:tcMar>
              <w:top w:w="100" w:type="dxa"/>
              <w:left w:w="200" w:type="dxa"/>
              <w:bottom w:w="100" w:type="dxa"/>
              <w:right w:w="160" w:type="dxa"/>
            </w:tcMar>
          </w:tcPr>
          <w:p w14:paraId="2F03F5FB" w14:textId="77777777" w:rsidR="005B57FE" w:rsidRDefault="00000000">
            <w:pPr>
              <w:spacing w:after="36"/>
            </w:pPr>
            <w:r>
              <w:rPr>
                <w:b/>
                <w:bCs/>
                <w:color w:val="C00000"/>
              </w:rPr>
              <w:t>2 — Plafonner les montants accordés aux locataires à très faible revenu</w:t>
            </w:r>
          </w:p>
          <w:p w14:paraId="46007254" w14:textId="77777777" w:rsidR="005B57FE" w:rsidRDefault="00000000">
            <w:r>
              <w:rPr>
                <w:color w:val="333333"/>
                <w:sz w:val="19"/>
                <w:szCs w:val="19"/>
              </w:rPr>
              <w:t>La combinaison locataire + très faible revenu affiche 35–40 % de défaut. Un plafonnement du montant accordé à 150 % du revenu mensuel pour ce segment (contre 200 % pour les autres) permettrait de réduire l'exposition sans exclure cette clientèle.</w:t>
            </w:r>
          </w:p>
        </w:tc>
      </w:tr>
    </w:tbl>
    <w:p w14:paraId="1261C7E6" w14:textId="77777777" w:rsidR="005B57FE" w:rsidRDefault="005B57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7FE" w14:paraId="1FA79DAC" w14:textId="77777777">
        <w:tblPrEx>
          <w:tblCellMar>
            <w:top w:w="0" w:type="dxa"/>
            <w:bottom w:w="0" w:type="dxa"/>
          </w:tblCellMar>
        </w:tblPrEx>
        <w:tc>
          <w:tcPr>
            <w:tcW w:w="9360" w:type="dxa"/>
            <w:tcBorders>
              <w:top w:val="single" w:sz="4" w:space="0" w:color="375623"/>
              <w:left w:val="single" w:sz="20" w:space="0" w:color="375623"/>
              <w:bottom w:val="single" w:sz="4" w:space="0" w:color="375623"/>
              <w:right w:val="single" w:sz="4" w:space="0" w:color="375623"/>
            </w:tcBorders>
            <w:shd w:val="clear" w:color="auto" w:fill="EBF5EB"/>
            <w:tcMar>
              <w:top w:w="100" w:type="dxa"/>
              <w:left w:w="200" w:type="dxa"/>
              <w:bottom w:w="100" w:type="dxa"/>
              <w:right w:w="160" w:type="dxa"/>
            </w:tcMar>
          </w:tcPr>
          <w:p w14:paraId="4C3E744F" w14:textId="77777777" w:rsidR="005B57FE" w:rsidRDefault="00000000">
            <w:pPr>
              <w:spacing w:after="36"/>
            </w:pPr>
            <w:r>
              <w:rPr>
                <w:b/>
                <w:bCs/>
                <w:color w:val="375623"/>
              </w:rPr>
              <w:t>3 — Surveiller les prêts de consolidation de dette et médicaux</w:t>
            </w:r>
          </w:p>
          <w:p w14:paraId="1300C58E" w14:textId="77777777" w:rsidR="005B57FE" w:rsidRDefault="00000000">
            <w:r>
              <w:rPr>
                <w:color w:val="333333"/>
                <w:sz w:val="19"/>
                <w:szCs w:val="19"/>
              </w:rPr>
              <w:t>Ces deux objectifs concentrent les taux de défaut les plus élevés (30,3 % et 27,8 %). Un suivi proactif à 6 mois post-décaissement — alerte si ratio d'endettement dépasse 25 % — permettrait d'anticiper les incidents et d'activer des dispositifs de renégociation précoce.</w:t>
            </w:r>
          </w:p>
        </w:tc>
      </w:tr>
    </w:tbl>
    <w:p w14:paraId="7C589517" w14:textId="77777777" w:rsidR="005B57FE" w:rsidRDefault="005B57FE">
      <w:pPr>
        <w:spacing w:after="120"/>
      </w:pPr>
    </w:p>
    <w:p w14:paraId="6D5C89BD" w14:textId="77777777" w:rsidR="005B57FE" w:rsidRDefault="00000000">
      <w:pPr>
        <w:pBdr>
          <w:left w:val="single" w:sz="20" w:space="0" w:color="1F4E79"/>
        </w:pBdr>
        <w:shd w:val="clear" w:color="auto" w:fill="2E75B6"/>
        <w:spacing w:before="180" w:after="80"/>
        <w:ind w:left="180"/>
      </w:pPr>
      <w:r>
        <w:rPr>
          <w:b/>
          <w:bCs/>
          <w:color w:val="FFFFFF"/>
          <w:sz w:val="24"/>
          <w:szCs w:val="24"/>
        </w:rPr>
        <w:t xml:space="preserve">  6. Outils et fichiers</w:t>
      </w:r>
    </w:p>
    <w:p w14:paraId="121D1791" w14:textId="77777777" w:rsidR="005B57FE" w:rsidRDefault="005B57F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B57FE" w14:paraId="539F83FF" w14:textId="77777777">
        <w:tblPrEx>
          <w:tblCellMar>
            <w:top w:w="0" w:type="dxa"/>
            <w:bottom w:w="0" w:type="dxa"/>
          </w:tblCellMar>
        </w:tblPrEx>
        <w:tc>
          <w:tcPr>
            <w:tcW w:w="2400" w:type="dxa"/>
            <w:tcBorders>
              <w:top w:val="single" w:sz="4" w:space="0" w:color="E0E0E0"/>
              <w:left w:val="single" w:sz="4" w:space="0" w:color="E0E0E0"/>
              <w:bottom w:val="single" w:sz="4" w:space="0" w:color="E0E0E0"/>
              <w:right w:val="single" w:sz="4" w:space="0" w:color="E0E0E0"/>
            </w:tcBorders>
            <w:shd w:val="clear" w:color="auto" w:fill="1F4E79"/>
            <w:tcMar>
              <w:top w:w="80" w:type="dxa"/>
              <w:left w:w="120" w:type="dxa"/>
              <w:bottom w:w="80" w:type="dxa"/>
              <w:right w:w="120" w:type="dxa"/>
            </w:tcMar>
          </w:tcPr>
          <w:p w14:paraId="011DCB8E" w14:textId="77777777" w:rsidR="005B57FE" w:rsidRDefault="00000000">
            <w:r>
              <w:rPr>
                <w:b/>
                <w:bCs/>
                <w:color w:val="FFFFFF"/>
                <w:sz w:val="18"/>
                <w:szCs w:val="18"/>
              </w:rPr>
              <w:t>Outil / Fichier</w:t>
            </w:r>
          </w:p>
        </w:tc>
        <w:tc>
          <w:tcPr>
            <w:tcW w:w="6960" w:type="dxa"/>
            <w:tcBorders>
              <w:top w:val="single" w:sz="4" w:space="0" w:color="E0E0E0"/>
              <w:left w:val="single" w:sz="4" w:space="0" w:color="E0E0E0"/>
              <w:bottom w:val="single" w:sz="4" w:space="0" w:color="E0E0E0"/>
              <w:right w:val="single" w:sz="4" w:space="0" w:color="E0E0E0"/>
            </w:tcBorders>
            <w:shd w:val="clear" w:color="auto" w:fill="1F4E79"/>
            <w:tcMar>
              <w:top w:w="80" w:type="dxa"/>
              <w:left w:w="120" w:type="dxa"/>
              <w:bottom w:w="80" w:type="dxa"/>
              <w:right w:w="120" w:type="dxa"/>
            </w:tcMar>
          </w:tcPr>
          <w:p w14:paraId="6F16AAB3" w14:textId="77777777" w:rsidR="005B57FE" w:rsidRDefault="00000000">
            <w:r>
              <w:rPr>
                <w:b/>
                <w:bCs/>
                <w:color w:val="FFFFFF"/>
                <w:sz w:val="18"/>
                <w:szCs w:val="18"/>
              </w:rPr>
              <w:t>Usage</w:t>
            </w:r>
          </w:p>
        </w:tc>
      </w:tr>
      <w:tr w:rsidR="005B57FE" w14:paraId="36944C2B" w14:textId="77777777">
        <w:tblPrEx>
          <w:tblCellMar>
            <w:top w:w="0" w:type="dxa"/>
            <w:bottom w:w="0" w:type="dxa"/>
          </w:tblCellMar>
        </w:tblPrEx>
        <w:tc>
          <w:tcPr>
            <w:tcW w:w="24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2997B377" w14:textId="77777777" w:rsidR="005B57FE" w:rsidRDefault="00000000">
            <w:r>
              <w:rPr>
                <w:color w:val="333333"/>
                <w:sz w:val="18"/>
                <w:szCs w:val="18"/>
              </w:rPr>
              <w:t>Python / pandas</w:t>
            </w:r>
          </w:p>
        </w:tc>
        <w:tc>
          <w:tcPr>
            <w:tcW w:w="696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3BCCB04D" w14:textId="77777777" w:rsidR="005B57FE" w:rsidRDefault="00000000">
            <w:r>
              <w:rPr>
                <w:color w:val="333333"/>
                <w:sz w:val="18"/>
                <w:szCs w:val="18"/>
              </w:rPr>
              <w:t xml:space="preserve">Nettoyage, enrichissement (reconstruction </w:t>
            </w:r>
            <w:proofErr w:type="spellStart"/>
            <w:r>
              <w:rPr>
                <w:color w:val="333333"/>
                <w:sz w:val="18"/>
                <w:szCs w:val="18"/>
              </w:rPr>
              <w:t>categorie_score_credit</w:t>
            </w:r>
            <w:proofErr w:type="spellEnd"/>
            <w:r>
              <w:rPr>
                <w:color w:val="333333"/>
                <w:sz w:val="18"/>
                <w:szCs w:val="18"/>
              </w:rPr>
              <w:t>), calcul KPIs, export CSV</w:t>
            </w:r>
          </w:p>
        </w:tc>
      </w:tr>
      <w:tr w:rsidR="005B57FE" w14:paraId="4C956A0E" w14:textId="77777777">
        <w:tblPrEx>
          <w:tblCellMar>
            <w:top w:w="0" w:type="dxa"/>
            <w:bottom w:w="0" w:type="dxa"/>
          </w:tblCellMar>
        </w:tblPrEx>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23AF16C" w14:textId="77777777" w:rsidR="005B57FE" w:rsidRDefault="00000000">
            <w:r>
              <w:rPr>
                <w:color w:val="333333"/>
                <w:sz w:val="18"/>
                <w:szCs w:val="18"/>
              </w:rPr>
              <w:t>Tableau Public</w:t>
            </w:r>
          </w:p>
        </w:tc>
        <w:tc>
          <w:tcPr>
            <w:tcW w:w="69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A4CBA56" w14:textId="77777777" w:rsidR="005B57FE" w:rsidRDefault="00000000">
            <w:r>
              <w:rPr>
                <w:color w:val="333333"/>
                <w:sz w:val="18"/>
                <w:szCs w:val="18"/>
              </w:rPr>
              <w:t xml:space="preserve">5 </w:t>
            </w:r>
            <w:proofErr w:type="spellStart"/>
            <w:r>
              <w:rPr>
                <w:color w:val="333333"/>
                <w:sz w:val="18"/>
                <w:szCs w:val="18"/>
              </w:rPr>
              <w:t>dashboards</w:t>
            </w:r>
            <w:proofErr w:type="spellEnd"/>
            <w:r>
              <w:rPr>
                <w:color w:val="333333"/>
                <w:sz w:val="18"/>
                <w:szCs w:val="18"/>
              </w:rPr>
              <w:t xml:space="preserve"> interactifs : profil, risque, prêts, défauts, segmentation</w:t>
            </w:r>
          </w:p>
        </w:tc>
      </w:tr>
      <w:tr w:rsidR="005B57FE" w14:paraId="487FF802" w14:textId="77777777">
        <w:tblPrEx>
          <w:tblCellMar>
            <w:top w:w="0" w:type="dxa"/>
            <w:bottom w:w="0" w:type="dxa"/>
          </w:tblCellMar>
        </w:tblPrEx>
        <w:tc>
          <w:tcPr>
            <w:tcW w:w="240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1B127BBF" w14:textId="77777777" w:rsidR="005B57FE" w:rsidRDefault="00000000">
            <w:r>
              <w:rPr>
                <w:color w:val="333333"/>
                <w:sz w:val="18"/>
                <w:szCs w:val="18"/>
              </w:rPr>
              <w:t>base_final_updated.csv</w:t>
            </w:r>
          </w:p>
        </w:tc>
        <w:tc>
          <w:tcPr>
            <w:tcW w:w="6960" w:type="dxa"/>
            <w:tcBorders>
              <w:top w:val="single" w:sz="4" w:space="0" w:color="E0E0E0"/>
              <w:left w:val="single" w:sz="4" w:space="0" w:color="E0E0E0"/>
              <w:bottom w:val="single" w:sz="4" w:space="0" w:color="E0E0E0"/>
              <w:right w:val="single" w:sz="4" w:space="0" w:color="E0E0E0"/>
            </w:tcBorders>
            <w:shd w:val="clear" w:color="auto" w:fill="F5F5F5"/>
            <w:tcMar>
              <w:top w:w="80" w:type="dxa"/>
              <w:left w:w="120" w:type="dxa"/>
              <w:bottom w:w="80" w:type="dxa"/>
              <w:right w:w="120" w:type="dxa"/>
            </w:tcMar>
          </w:tcPr>
          <w:p w14:paraId="2F220E01" w14:textId="77777777" w:rsidR="005B57FE" w:rsidRDefault="00000000">
            <w:r>
              <w:rPr>
                <w:color w:val="333333"/>
                <w:sz w:val="18"/>
                <w:szCs w:val="18"/>
              </w:rPr>
              <w:t>44 991 lignes · 23 colonnes · encodage UTF-8 · séparateur point-virgule</w:t>
            </w:r>
          </w:p>
        </w:tc>
      </w:tr>
    </w:tbl>
    <w:p w14:paraId="5DC0090D" w14:textId="7255841A" w:rsidR="005B57FE" w:rsidRDefault="005B57FE" w:rsidP="00161E59"/>
    <w:p w14:paraId="2B281130" w14:textId="77777777" w:rsidR="005B57FE" w:rsidRDefault="00000000">
      <w:pPr>
        <w:pBdr>
          <w:left w:val="single" w:sz="20" w:space="0" w:color="1F4E79"/>
        </w:pBdr>
        <w:shd w:val="clear" w:color="auto" w:fill="2E75B6"/>
        <w:spacing w:before="180" w:after="80"/>
        <w:ind w:left="180"/>
      </w:pPr>
      <w:r>
        <w:rPr>
          <w:b/>
          <w:bCs/>
          <w:color w:val="FFFFFF"/>
          <w:sz w:val="24"/>
          <w:szCs w:val="24"/>
        </w:rPr>
        <w:t xml:space="preserve">  7. Conclusion</w:t>
      </w:r>
    </w:p>
    <w:p w14:paraId="3B2833A2" w14:textId="77777777" w:rsidR="005B57FE" w:rsidRDefault="005B57F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7FE" w14:paraId="24E08267" w14:textId="77777777">
        <w:tblPrEx>
          <w:tblCellMar>
            <w:top w:w="0" w:type="dxa"/>
            <w:bottom w:w="0" w:type="dxa"/>
          </w:tblCellMar>
        </w:tblPrEx>
        <w:tc>
          <w:tcPr>
            <w:tcW w:w="9360" w:type="dxa"/>
            <w:tcBorders>
              <w:top w:val="single" w:sz="4" w:space="0" w:color="2E75B6"/>
              <w:left w:val="single" w:sz="20" w:space="0" w:color="1F4E79"/>
              <w:bottom w:val="single" w:sz="4" w:space="0" w:color="2E75B6"/>
              <w:right w:val="single" w:sz="4" w:space="0" w:color="2E75B6"/>
            </w:tcBorders>
            <w:shd w:val="clear" w:color="auto" w:fill="DEEAF1"/>
            <w:tcMar>
              <w:top w:w="120" w:type="dxa"/>
              <w:left w:w="200" w:type="dxa"/>
              <w:bottom w:w="120" w:type="dxa"/>
              <w:right w:w="160" w:type="dxa"/>
            </w:tcMar>
          </w:tcPr>
          <w:p w14:paraId="1051957C" w14:textId="77777777" w:rsidR="005B57FE" w:rsidRDefault="00000000">
            <w:r>
              <w:rPr>
                <w:i/>
                <w:iCs/>
                <w:color w:val="1F3864"/>
              </w:rPr>
              <w:t>Ce projet a permis de construire une analyse complète d'un portefeuille de crédit fictif de 44 991 emprunteurs, structurée en cinq tableaux de bord Tableau Public couvrant le profil démographique, le risque, les caractéristiques des prêts, la performance et la segmentation financière.</w:t>
            </w:r>
          </w:p>
        </w:tc>
      </w:tr>
    </w:tbl>
    <w:p w14:paraId="53F7606A" w14:textId="77777777" w:rsidR="005B57FE" w:rsidRDefault="005B57FE">
      <w:pPr>
        <w:spacing w:after="80"/>
      </w:pPr>
    </w:p>
    <w:p w14:paraId="543AA8C9" w14:textId="77777777" w:rsidR="005B57FE" w:rsidRDefault="00000000">
      <w:pPr>
        <w:spacing w:before="30" w:after="30"/>
      </w:pPr>
      <w:r>
        <w:t>La principale valeur ajoutée réside dans l'enrichissement réalisé en Python : la reconstruction de la variable de catégorie de risque à partir du ratio d'endettement a transformé une segmentation non discriminante (taux de défaut uniforme à 22 %) en un outil opérationnel puissant, révélant un rapport de 1 à 6,4 entre les catégories extrêmes (11,8 % → 75,4 %).</w:t>
      </w:r>
    </w:p>
    <w:p w14:paraId="6969FE89" w14:textId="77777777" w:rsidR="005B57FE" w:rsidRDefault="005B57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B57FE" w14:paraId="4DA3729B"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DEEAF1"/>
            <w:tcMar>
              <w:top w:w="100" w:type="dxa"/>
              <w:left w:w="160" w:type="dxa"/>
              <w:bottom w:w="100" w:type="dxa"/>
              <w:right w:w="160" w:type="dxa"/>
            </w:tcMar>
          </w:tcPr>
          <w:p w14:paraId="2256AD9B" w14:textId="77777777" w:rsidR="005B57FE" w:rsidRDefault="00000000">
            <w:pPr>
              <w:spacing w:after="50"/>
            </w:pPr>
            <w:r>
              <w:rPr>
                <w:b/>
                <w:bCs/>
                <w:color w:val="1F4E79"/>
              </w:rPr>
              <w:t>Points forts</w:t>
            </w:r>
          </w:p>
          <w:p w14:paraId="724ED2FF" w14:textId="77777777" w:rsidR="005B57FE" w:rsidRDefault="00000000">
            <w:pPr>
              <w:pStyle w:val="Paragraphedeliste"/>
              <w:numPr>
                <w:ilvl w:val="0"/>
                <w:numId w:val="2"/>
              </w:numPr>
              <w:spacing w:before="20" w:after="20"/>
            </w:pPr>
            <w:r>
              <w:rPr>
                <w:color w:val="333333"/>
                <w:sz w:val="19"/>
                <w:szCs w:val="19"/>
              </w:rPr>
              <w:t>Prédicteur identifié : ratio d'endettement (+0,385) bien supérieur au score de crédit (–0,007)</w:t>
            </w:r>
          </w:p>
          <w:p w14:paraId="5501699C" w14:textId="77777777" w:rsidR="005B57FE" w:rsidRDefault="00000000">
            <w:pPr>
              <w:pStyle w:val="Paragraphedeliste"/>
              <w:numPr>
                <w:ilvl w:val="0"/>
                <w:numId w:val="2"/>
              </w:numPr>
              <w:spacing w:before="20" w:after="20"/>
            </w:pPr>
            <w:r>
              <w:rPr>
                <w:color w:val="333333"/>
                <w:sz w:val="19"/>
                <w:szCs w:val="19"/>
              </w:rPr>
              <w:t>Profil de risque clair : locataire + très faible revenu = 35–40 % de défaut vs 6–7 % pour propriétaire + revenu élevé</w:t>
            </w:r>
          </w:p>
          <w:p w14:paraId="7A491672" w14:textId="77777777" w:rsidR="005B57FE" w:rsidRDefault="00000000">
            <w:pPr>
              <w:pStyle w:val="Paragraphedeliste"/>
              <w:numPr>
                <w:ilvl w:val="0"/>
                <w:numId w:val="2"/>
              </w:numPr>
              <w:spacing w:before="20" w:after="20"/>
            </w:pPr>
            <w:r>
              <w:rPr>
                <w:color w:val="333333"/>
                <w:sz w:val="19"/>
                <w:szCs w:val="19"/>
              </w:rPr>
              <w:t xml:space="preserve">Enrichissement Python décisif pour la lisibilité des </w:t>
            </w:r>
            <w:proofErr w:type="spellStart"/>
            <w:r>
              <w:rPr>
                <w:color w:val="333333"/>
                <w:sz w:val="19"/>
                <w:szCs w:val="19"/>
              </w:rPr>
              <w:t>dashboards</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EF3F3"/>
            <w:tcMar>
              <w:top w:w="100" w:type="dxa"/>
              <w:left w:w="160" w:type="dxa"/>
              <w:bottom w:w="100" w:type="dxa"/>
              <w:right w:w="160" w:type="dxa"/>
            </w:tcMar>
          </w:tcPr>
          <w:p w14:paraId="60EF02D5" w14:textId="77777777" w:rsidR="005B57FE" w:rsidRDefault="00000000">
            <w:pPr>
              <w:spacing w:after="50"/>
            </w:pPr>
            <w:r>
              <w:rPr>
                <w:b/>
                <w:bCs/>
                <w:color w:val="C00000"/>
              </w:rPr>
              <w:t>Points d'alerte</w:t>
            </w:r>
          </w:p>
          <w:p w14:paraId="2E4ED24B" w14:textId="77777777" w:rsidR="005B57FE" w:rsidRDefault="00000000">
            <w:pPr>
              <w:pStyle w:val="Paragraphedeliste"/>
              <w:numPr>
                <w:ilvl w:val="0"/>
                <w:numId w:val="2"/>
              </w:numPr>
              <w:spacing w:before="20" w:after="20"/>
            </w:pPr>
            <w:r>
              <w:rPr>
                <w:color w:val="333333"/>
                <w:sz w:val="19"/>
                <w:szCs w:val="19"/>
              </w:rPr>
              <w:t>Consolidation de dette et prêts médicaux sur-représentés dans les défauts (30,3 % et 27,8 %)</w:t>
            </w:r>
          </w:p>
          <w:p w14:paraId="20E64A29" w14:textId="77777777" w:rsidR="005B57FE" w:rsidRDefault="00000000">
            <w:pPr>
              <w:pStyle w:val="Paragraphedeliste"/>
              <w:numPr>
                <w:ilvl w:val="0"/>
                <w:numId w:val="2"/>
              </w:numPr>
              <w:spacing w:before="20" w:after="20"/>
            </w:pPr>
            <w:r>
              <w:rPr>
                <w:color w:val="333333"/>
                <w:sz w:val="19"/>
                <w:szCs w:val="19"/>
              </w:rPr>
              <w:t>Locataires concentrent 76 % des défauts totaux malgré 52 % des effectifs</w:t>
            </w:r>
          </w:p>
          <w:p w14:paraId="3DB7C23D" w14:textId="77777777" w:rsidR="005B57FE" w:rsidRDefault="00000000">
            <w:pPr>
              <w:pStyle w:val="Paragraphedeliste"/>
              <w:numPr>
                <w:ilvl w:val="0"/>
                <w:numId w:val="2"/>
              </w:numPr>
              <w:spacing w:before="20" w:after="20"/>
            </w:pPr>
            <w:r>
              <w:rPr>
                <w:color w:val="333333"/>
                <w:sz w:val="19"/>
                <w:szCs w:val="19"/>
              </w:rPr>
              <w:t>Score de crédit non opérationnel en l'état — à reconstruire avec des variables pertinentes</w:t>
            </w:r>
          </w:p>
        </w:tc>
      </w:tr>
    </w:tbl>
    <w:p w14:paraId="127072FD" w14:textId="77777777" w:rsidR="005B57FE" w:rsidRDefault="005B57FE">
      <w:pPr>
        <w:spacing w:after="120"/>
      </w:pPr>
    </w:p>
    <w:p w14:paraId="7EF7FCBE" w14:textId="77777777" w:rsidR="005B57FE" w:rsidRDefault="00000000">
      <w:pPr>
        <w:pBdr>
          <w:left w:val="single" w:sz="20" w:space="0" w:color="1F4E79"/>
        </w:pBdr>
        <w:shd w:val="clear" w:color="auto" w:fill="2E75B6"/>
        <w:spacing w:before="180" w:after="80"/>
        <w:ind w:left="180"/>
      </w:pPr>
      <w:r>
        <w:rPr>
          <w:b/>
          <w:bCs/>
          <w:color w:val="FFFFFF"/>
          <w:sz w:val="24"/>
          <w:szCs w:val="24"/>
        </w:rPr>
        <w:lastRenderedPageBreak/>
        <w:t xml:space="preserve">  8. Limites du projet</w:t>
      </w:r>
    </w:p>
    <w:p w14:paraId="0AA80501" w14:textId="77777777" w:rsidR="005B57FE" w:rsidRDefault="005B57FE">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7FE" w14:paraId="4C73B546" w14:textId="77777777">
        <w:tblPrEx>
          <w:tblCellMar>
            <w:top w:w="0" w:type="dxa"/>
            <w:bottom w:w="0" w:type="dxa"/>
          </w:tblCellMar>
        </w:tblPrEx>
        <w:tc>
          <w:tcPr>
            <w:tcW w:w="9360" w:type="dxa"/>
            <w:tcBorders>
              <w:top w:val="single" w:sz="4" w:space="0" w:color="CCCCCC"/>
              <w:left w:val="single" w:sz="20" w:space="0" w:color="C00000"/>
              <w:bottom w:val="single" w:sz="4" w:space="0" w:color="CCCCCC"/>
              <w:right w:val="single" w:sz="4" w:space="0" w:color="CCCCCC"/>
            </w:tcBorders>
            <w:shd w:val="clear" w:color="auto" w:fill="FDECEA"/>
            <w:tcMar>
              <w:top w:w="90" w:type="dxa"/>
              <w:left w:w="200" w:type="dxa"/>
              <w:bottom w:w="90" w:type="dxa"/>
              <w:right w:w="160" w:type="dxa"/>
            </w:tcMar>
          </w:tcPr>
          <w:p w14:paraId="6AD4B421" w14:textId="77777777" w:rsidR="005B57FE" w:rsidRDefault="00000000">
            <w:pPr>
              <w:spacing w:after="30"/>
            </w:pPr>
            <w:r>
              <w:rPr>
                <w:b/>
                <w:bCs/>
                <w:color w:val="C00000"/>
              </w:rPr>
              <w:t>Base de données fictive</w:t>
            </w:r>
          </w:p>
          <w:p w14:paraId="7D0F3BBD" w14:textId="52531A4C" w:rsidR="005B57FE" w:rsidRDefault="00000000">
            <w:r>
              <w:rPr>
                <w:color w:val="333333"/>
                <w:sz w:val="19"/>
                <w:szCs w:val="19"/>
              </w:rPr>
              <w:t xml:space="preserve">Les données ont été générées synthétiquement. Certains comportements sont artificiels — notamment le fait que </w:t>
            </w:r>
            <w:proofErr w:type="spellStart"/>
            <w:r>
              <w:rPr>
                <w:color w:val="333333"/>
                <w:sz w:val="19"/>
                <w:szCs w:val="19"/>
              </w:rPr>
              <w:t>statut_pret</w:t>
            </w:r>
            <w:proofErr w:type="spellEnd"/>
            <w:r>
              <w:rPr>
                <w:color w:val="333333"/>
                <w:sz w:val="19"/>
                <w:szCs w:val="19"/>
              </w:rPr>
              <w:t xml:space="preserve"> et </w:t>
            </w:r>
            <w:proofErr w:type="spellStart"/>
            <w:r>
              <w:rPr>
                <w:color w:val="333333"/>
                <w:sz w:val="19"/>
                <w:szCs w:val="19"/>
              </w:rPr>
              <w:t>defaut</w:t>
            </w:r>
            <w:proofErr w:type="spellEnd"/>
            <w:r>
              <w:rPr>
                <w:color w:val="333333"/>
                <w:sz w:val="19"/>
                <w:szCs w:val="19"/>
              </w:rPr>
              <w:t xml:space="preserve"> soient strictement identiques (10 000 cas</w:t>
            </w:r>
            <w:proofErr w:type="gramStart"/>
            <w:r w:rsidR="003D0964">
              <w:rPr>
                <w:color w:val="333333"/>
                <w:sz w:val="19"/>
                <w:szCs w:val="19"/>
              </w:rPr>
              <w:t>) .</w:t>
            </w:r>
            <w:r>
              <w:rPr>
                <w:color w:val="333333"/>
                <w:sz w:val="19"/>
                <w:szCs w:val="19"/>
              </w:rPr>
              <w:t>Ces</w:t>
            </w:r>
            <w:proofErr w:type="gramEnd"/>
            <w:r>
              <w:rPr>
                <w:color w:val="333333"/>
                <w:sz w:val="19"/>
                <w:szCs w:val="19"/>
              </w:rPr>
              <w:t xml:space="preserve"> anomalies n'existeraient pas dans un portefeuille réel et limitent la portée opérationnelle des conclusions.</w:t>
            </w:r>
          </w:p>
        </w:tc>
      </w:tr>
    </w:tbl>
    <w:p w14:paraId="0DFE22C3" w14:textId="77777777" w:rsidR="005B57FE" w:rsidRDefault="005B57FE">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7FE" w14:paraId="29B47956" w14:textId="77777777">
        <w:tblPrEx>
          <w:tblCellMar>
            <w:top w:w="0" w:type="dxa"/>
            <w:bottom w:w="0" w:type="dxa"/>
          </w:tblCellMar>
        </w:tblPrEx>
        <w:tc>
          <w:tcPr>
            <w:tcW w:w="9360" w:type="dxa"/>
            <w:tcBorders>
              <w:top w:val="single" w:sz="4" w:space="0" w:color="CCCCCC"/>
              <w:left w:val="single" w:sz="20" w:space="0" w:color="C00000"/>
              <w:bottom w:val="single" w:sz="4" w:space="0" w:color="CCCCCC"/>
              <w:right w:val="single" w:sz="4" w:space="0" w:color="CCCCCC"/>
            </w:tcBorders>
            <w:shd w:val="clear" w:color="auto" w:fill="FDECEA"/>
            <w:tcMar>
              <w:top w:w="90" w:type="dxa"/>
              <w:left w:w="200" w:type="dxa"/>
              <w:bottom w:w="90" w:type="dxa"/>
              <w:right w:w="160" w:type="dxa"/>
            </w:tcMar>
          </w:tcPr>
          <w:p w14:paraId="69884EA1" w14:textId="77777777" w:rsidR="005B57FE" w:rsidRDefault="00000000">
            <w:pPr>
              <w:spacing w:after="30"/>
            </w:pPr>
            <w:r>
              <w:rPr>
                <w:b/>
                <w:bCs/>
                <w:color w:val="C00000"/>
              </w:rPr>
              <w:t>Absence de dimension temporelle</w:t>
            </w:r>
          </w:p>
          <w:p w14:paraId="2D3D74BE" w14:textId="5924A781" w:rsidR="005B57FE" w:rsidRDefault="00000000">
            <w:r>
              <w:rPr>
                <w:color w:val="333333"/>
                <w:sz w:val="19"/>
                <w:szCs w:val="19"/>
              </w:rPr>
              <w:t>La base est une photo à un instant T. Il est impossible d'analyser l'évolution du taux de défaut dans le temps, les tendances saisonnières ou la durée avant défaut. Un suivi longitudinal permettrait de détecter les signaux avant-coureurs de défaillance.</w:t>
            </w:r>
          </w:p>
        </w:tc>
      </w:tr>
      <w:tr w:rsidR="00101805" w14:paraId="6B7E10F8" w14:textId="77777777">
        <w:tblPrEx>
          <w:tblCellMar>
            <w:top w:w="0" w:type="dxa"/>
            <w:bottom w:w="0" w:type="dxa"/>
          </w:tblCellMar>
        </w:tblPrEx>
        <w:tc>
          <w:tcPr>
            <w:tcW w:w="9360" w:type="dxa"/>
            <w:tcBorders>
              <w:top w:val="single" w:sz="4" w:space="0" w:color="CCCCCC"/>
              <w:left w:val="single" w:sz="20" w:space="0" w:color="C00000"/>
              <w:bottom w:val="single" w:sz="4" w:space="0" w:color="CCCCCC"/>
              <w:right w:val="single" w:sz="4" w:space="0" w:color="CCCCCC"/>
            </w:tcBorders>
            <w:shd w:val="clear" w:color="auto" w:fill="FDECEA"/>
            <w:tcMar>
              <w:top w:w="90" w:type="dxa"/>
              <w:left w:w="200" w:type="dxa"/>
              <w:bottom w:w="90" w:type="dxa"/>
              <w:right w:w="160" w:type="dxa"/>
            </w:tcMar>
          </w:tcPr>
          <w:p w14:paraId="67CE2C15" w14:textId="77777777" w:rsidR="00101805" w:rsidRDefault="00101805">
            <w:pPr>
              <w:spacing w:after="30"/>
              <w:rPr>
                <w:b/>
                <w:bCs/>
                <w:color w:val="C00000"/>
              </w:rPr>
            </w:pPr>
          </w:p>
        </w:tc>
      </w:tr>
    </w:tbl>
    <w:p w14:paraId="0B9FA9B1" w14:textId="77777777" w:rsidR="005B57FE" w:rsidRDefault="005B57FE">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7FE" w14:paraId="2558074D" w14:textId="77777777">
        <w:tblPrEx>
          <w:tblCellMar>
            <w:top w:w="0" w:type="dxa"/>
            <w:bottom w:w="0" w:type="dxa"/>
          </w:tblCellMar>
        </w:tblPrEx>
        <w:tc>
          <w:tcPr>
            <w:tcW w:w="9360" w:type="dxa"/>
            <w:tcBorders>
              <w:top w:val="single" w:sz="4" w:space="0" w:color="CCCCCC"/>
              <w:left w:val="single" w:sz="20" w:space="0" w:color="C00000"/>
              <w:bottom w:val="single" w:sz="4" w:space="0" w:color="CCCCCC"/>
              <w:right w:val="single" w:sz="4" w:space="0" w:color="CCCCCC"/>
            </w:tcBorders>
            <w:shd w:val="clear" w:color="auto" w:fill="FDECEA"/>
            <w:tcMar>
              <w:top w:w="90" w:type="dxa"/>
              <w:left w:w="200" w:type="dxa"/>
              <w:bottom w:w="90" w:type="dxa"/>
              <w:right w:w="160" w:type="dxa"/>
            </w:tcMar>
          </w:tcPr>
          <w:p w14:paraId="073DAFCA" w14:textId="77777777" w:rsidR="005B57FE" w:rsidRDefault="00000000">
            <w:pPr>
              <w:spacing w:after="30"/>
            </w:pPr>
            <w:r>
              <w:rPr>
                <w:b/>
                <w:bCs/>
                <w:color w:val="C00000"/>
              </w:rPr>
              <w:t xml:space="preserve">Variables manquantes pour un </w:t>
            </w:r>
            <w:proofErr w:type="spellStart"/>
            <w:r>
              <w:rPr>
                <w:b/>
                <w:bCs/>
                <w:color w:val="C00000"/>
              </w:rPr>
              <w:t>scoring</w:t>
            </w:r>
            <w:proofErr w:type="spellEnd"/>
            <w:r>
              <w:rPr>
                <w:b/>
                <w:bCs/>
                <w:color w:val="C00000"/>
              </w:rPr>
              <w:t xml:space="preserve"> complet</w:t>
            </w:r>
          </w:p>
          <w:p w14:paraId="648D8C9B" w14:textId="77777777" w:rsidR="005B57FE" w:rsidRDefault="00000000">
            <w:r>
              <w:rPr>
                <w:color w:val="333333"/>
                <w:sz w:val="19"/>
                <w:szCs w:val="19"/>
              </w:rPr>
              <w:t>Des variables clés font défaut : montant des autres crédits en cours, historique de retards de paiement, type de contrat de travail (CDI / CDD / indépendant), région géographique. Leur absence limite la construction d'un modèle prédictif robuste et peut biaiser les conclusions sur les déterminants du défaut.</w:t>
            </w:r>
          </w:p>
        </w:tc>
      </w:tr>
    </w:tbl>
    <w:p w14:paraId="4763F246" w14:textId="77777777" w:rsidR="005B57FE" w:rsidRDefault="005B57FE">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7FE" w14:paraId="1C503BDB" w14:textId="77777777">
        <w:tblPrEx>
          <w:tblCellMar>
            <w:top w:w="0" w:type="dxa"/>
            <w:bottom w:w="0" w:type="dxa"/>
          </w:tblCellMar>
        </w:tblPrEx>
        <w:tc>
          <w:tcPr>
            <w:tcW w:w="9360" w:type="dxa"/>
            <w:tcBorders>
              <w:top w:val="single" w:sz="4" w:space="0" w:color="CCCCCC"/>
              <w:left w:val="single" w:sz="20" w:space="0" w:color="C00000"/>
              <w:bottom w:val="single" w:sz="4" w:space="0" w:color="CCCCCC"/>
              <w:right w:val="single" w:sz="4" w:space="0" w:color="CCCCCC"/>
            </w:tcBorders>
            <w:shd w:val="clear" w:color="auto" w:fill="FDECEA"/>
            <w:tcMar>
              <w:top w:w="90" w:type="dxa"/>
              <w:left w:w="200" w:type="dxa"/>
              <w:bottom w:w="90" w:type="dxa"/>
              <w:right w:w="160" w:type="dxa"/>
            </w:tcMar>
          </w:tcPr>
          <w:p w14:paraId="60524BAF" w14:textId="77777777" w:rsidR="005B57FE" w:rsidRDefault="00000000">
            <w:pPr>
              <w:spacing w:after="30"/>
            </w:pPr>
            <w:r>
              <w:rPr>
                <w:b/>
                <w:bCs/>
                <w:color w:val="C00000"/>
              </w:rPr>
              <w:t>Enrichissement manuel de la variable de risque</w:t>
            </w:r>
          </w:p>
          <w:p w14:paraId="502E53C3" w14:textId="118C0B17" w:rsidR="005B57FE" w:rsidRDefault="00000000">
            <w:r>
              <w:rPr>
                <w:color w:val="333333"/>
                <w:sz w:val="19"/>
                <w:szCs w:val="19"/>
              </w:rPr>
              <w:t xml:space="preserve">La reconstruction de </w:t>
            </w:r>
            <w:proofErr w:type="spellStart"/>
            <w:r>
              <w:rPr>
                <w:color w:val="333333"/>
                <w:sz w:val="19"/>
                <w:szCs w:val="19"/>
              </w:rPr>
              <w:t>categorie_score_credit</w:t>
            </w:r>
            <w:proofErr w:type="spellEnd"/>
            <w:r>
              <w:rPr>
                <w:color w:val="333333"/>
                <w:sz w:val="19"/>
                <w:szCs w:val="19"/>
              </w:rPr>
              <w:t xml:space="preserve"> à partir du ratio d'endettement est une décision de l'analyste, non un résultat du modèle. Les seuils choisis (10 % / 20 % / 30 % / 40 %) sont arbitraires — d'autres découpages donneraient des taux de défaut différents.</w:t>
            </w:r>
          </w:p>
        </w:tc>
      </w:tr>
    </w:tbl>
    <w:p w14:paraId="13D6B761" w14:textId="77777777" w:rsidR="005B57FE" w:rsidRDefault="005B57FE">
      <w:pPr>
        <w:spacing w:after="120"/>
      </w:pPr>
    </w:p>
    <w:p w14:paraId="2F45CEB8" w14:textId="77777777" w:rsidR="005B57FE" w:rsidRDefault="00000000">
      <w:pPr>
        <w:pBdr>
          <w:left w:val="single" w:sz="20" w:space="0" w:color="1F4E79"/>
        </w:pBdr>
        <w:shd w:val="clear" w:color="auto" w:fill="2E75B6"/>
        <w:spacing w:before="180" w:after="80"/>
        <w:ind w:left="180"/>
      </w:pPr>
      <w:r>
        <w:rPr>
          <w:b/>
          <w:bCs/>
          <w:color w:val="FFFFFF"/>
          <w:sz w:val="24"/>
          <w:szCs w:val="24"/>
        </w:rPr>
        <w:t xml:space="preserve">  9. Perspectives</w:t>
      </w:r>
    </w:p>
    <w:p w14:paraId="24183174" w14:textId="77777777" w:rsidR="005B57FE" w:rsidRDefault="005B57FE">
      <w:pPr>
        <w:spacing w:after="60"/>
      </w:pPr>
    </w:p>
    <w:p w14:paraId="4F2DE2FE" w14:textId="0832B830" w:rsidR="005B57FE" w:rsidRDefault="00000000">
      <w:pPr>
        <w:spacing w:before="30" w:after="30"/>
      </w:pPr>
      <w:r>
        <w:t>Ce travail constitue une base solide pour aller plus loin.</w:t>
      </w:r>
    </w:p>
    <w:p w14:paraId="2E69F86D" w14:textId="77777777" w:rsidR="005B57FE" w:rsidRDefault="005B57FE">
      <w:pPr>
        <w:spacing w:after="50"/>
      </w:pPr>
    </w:p>
    <w:p w14:paraId="7BD5A9B2" w14:textId="0597A67D" w:rsidR="005B57FE" w:rsidRDefault="00161E59" w:rsidP="00161E59">
      <w:pPr>
        <w:spacing w:before="25" w:after="25"/>
      </w:pPr>
      <w:r w:rsidRPr="00161E59">
        <w:t xml:space="preserve">On </w:t>
      </w:r>
      <w:proofErr w:type="gramStart"/>
      <w:r w:rsidRPr="00161E59">
        <w:t>pourra</w:t>
      </w:r>
      <w:r>
        <w:t>i</w:t>
      </w:r>
      <w:proofErr w:type="gramEnd"/>
      <w:r w:rsidRPr="00161E59">
        <w:t xml:space="preserve"> notamment</w:t>
      </w:r>
      <w:r>
        <w:rPr>
          <w:b/>
          <w:bCs/>
        </w:rPr>
        <w:t xml:space="preserve"> </w:t>
      </w:r>
      <w:r w:rsidR="00000000" w:rsidRPr="00161E59">
        <w:rPr>
          <w:b/>
          <w:bCs/>
        </w:rPr>
        <w:t>Enrichi</w:t>
      </w:r>
      <w:r>
        <w:rPr>
          <w:b/>
          <w:bCs/>
        </w:rPr>
        <w:t xml:space="preserve">r </w:t>
      </w:r>
      <w:r w:rsidR="00000000" w:rsidRPr="00161E59">
        <w:rPr>
          <w:b/>
          <w:bCs/>
        </w:rPr>
        <w:t xml:space="preserve">la base : </w:t>
      </w:r>
      <w:r w:rsidR="00000000">
        <w:t>intégrer des données temporelles (date d'octroi, durée du prêt, retards de paiement) pour passer d'une analyse statique à une analyse de survie permettant de prédire la durée avant défaut.</w:t>
      </w:r>
    </w:p>
    <w:p w14:paraId="4EDC1889" w14:textId="38F46A83" w:rsidR="005B57FE" w:rsidRDefault="005B57FE" w:rsidP="00161E59">
      <w:pPr>
        <w:pStyle w:val="Paragraphedeliste"/>
        <w:spacing w:before="25" w:after="25"/>
        <w:ind w:left="520"/>
      </w:pPr>
    </w:p>
    <w:sectPr w:rsidR="005B57FE">
      <w:headerReference w:type="default" r:id="rId7"/>
      <w:footerReference w:type="default" r:id="rId8"/>
      <w:pgSz w:w="11906" w:h="16838"/>
      <w:pgMar w:top="960" w:right="1080" w:bottom="9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77E81" w14:textId="77777777" w:rsidR="00A9548B" w:rsidRDefault="00A9548B">
      <w:r>
        <w:separator/>
      </w:r>
    </w:p>
  </w:endnote>
  <w:endnote w:type="continuationSeparator" w:id="0">
    <w:p w14:paraId="2CD9D9AF" w14:textId="77777777" w:rsidR="00A9548B" w:rsidRDefault="00A95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543C" w14:textId="77777777" w:rsidR="005B57FE" w:rsidRDefault="00000000">
    <w:pPr>
      <w:pBdr>
        <w:top w:val="single" w:sz="4" w:space="0" w:color="E0E0E0"/>
      </w:pBdr>
      <w:tabs>
        <w:tab w:val="right" w:pos="9360"/>
      </w:tabs>
      <w:spacing w:before="70"/>
    </w:pPr>
    <w:r>
      <w:rPr>
        <w:color w:val="888888"/>
        <w:sz w:val="16"/>
        <w:szCs w:val="16"/>
      </w:rPr>
      <w:t>Confidentiel — base_final_updated.csv · 44 991 emprunteurs</w:t>
    </w:r>
    <w:r>
      <w:rPr>
        <w:sz w:val="16"/>
        <w:szCs w:val="16"/>
      </w:rPr>
      <w:tab/>
    </w:r>
    <w:r>
      <w:rPr>
        <w:color w:val="888888"/>
        <w:sz w:val="16"/>
        <w:szCs w:val="16"/>
      </w:rPr>
      <w:t xml:space="preserve">Page </w:t>
    </w:r>
    <w:r>
      <w:fldChar w:fldCharType="begin"/>
    </w:r>
    <w:r>
      <w:instrText>PAGE</w:instrText>
    </w:r>
    <w:r>
      <w:fldChar w:fldCharType="separate"/>
    </w:r>
    <w:r w:rsidR="00161E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CA45" w14:textId="77777777" w:rsidR="00A9548B" w:rsidRDefault="00A9548B">
      <w:r>
        <w:separator/>
      </w:r>
    </w:p>
  </w:footnote>
  <w:footnote w:type="continuationSeparator" w:id="0">
    <w:p w14:paraId="50D37031" w14:textId="77777777" w:rsidR="00A9548B" w:rsidRDefault="00A95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A449" w14:textId="77777777" w:rsidR="005B57FE" w:rsidRDefault="00000000">
    <w:pPr>
      <w:pBdr>
        <w:bottom w:val="single" w:sz="4" w:space="0" w:color="E0E0E0"/>
      </w:pBdr>
      <w:tabs>
        <w:tab w:val="right" w:pos="9360"/>
      </w:tabs>
      <w:spacing w:after="70"/>
    </w:pPr>
    <w:r>
      <w:rPr>
        <w:color w:val="888888"/>
        <w:sz w:val="17"/>
        <w:szCs w:val="17"/>
      </w:rPr>
      <w:t>Analyse du portefeuille de crédit — Tableaux de bord Tableau Public</w:t>
    </w:r>
    <w:r>
      <w:rPr>
        <w:sz w:val="17"/>
        <w:szCs w:val="17"/>
      </w:rPr>
      <w:tab/>
    </w:r>
    <w:r>
      <w:rPr>
        <w:color w:val="888888"/>
        <w:sz w:val="17"/>
        <w:szCs w:val="17"/>
      </w:rPr>
      <w:t>Mars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A6524"/>
    <w:multiLevelType w:val="hybridMultilevel"/>
    <w:tmpl w:val="67E647B2"/>
    <w:lvl w:ilvl="0" w:tplc="021C4874">
      <w:start w:val="1"/>
      <w:numFmt w:val="bullet"/>
      <w:lvlText w:val="●"/>
      <w:lvlJc w:val="left"/>
      <w:pPr>
        <w:ind w:left="720" w:hanging="360"/>
      </w:pPr>
    </w:lvl>
    <w:lvl w:ilvl="1" w:tplc="E92A99AC">
      <w:start w:val="1"/>
      <w:numFmt w:val="bullet"/>
      <w:lvlText w:val="○"/>
      <w:lvlJc w:val="left"/>
      <w:pPr>
        <w:ind w:left="1440" w:hanging="360"/>
      </w:pPr>
    </w:lvl>
    <w:lvl w:ilvl="2" w:tplc="C562EF1E">
      <w:start w:val="1"/>
      <w:numFmt w:val="bullet"/>
      <w:lvlText w:val="■"/>
      <w:lvlJc w:val="left"/>
      <w:pPr>
        <w:ind w:left="2160" w:hanging="360"/>
      </w:pPr>
    </w:lvl>
    <w:lvl w:ilvl="3" w:tplc="D8F0FD9A">
      <w:start w:val="1"/>
      <w:numFmt w:val="bullet"/>
      <w:lvlText w:val="●"/>
      <w:lvlJc w:val="left"/>
      <w:pPr>
        <w:ind w:left="2880" w:hanging="360"/>
      </w:pPr>
    </w:lvl>
    <w:lvl w:ilvl="4" w:tplc="AB1A8822">
      <w:start w:val="1"/>
      <w:numFmt w:val="bullet"/>
      <w:lvlText w:val="○"/>
      <w:lvlJc w:val="left"/>
      <w:pPr>
        <w:ind w:left="3600" w:hanging="360"/>
      </w:pPr>
    </w:lvl>
    <w:lvl w:ilvl="5" w:tplc="EFD091B8">
      <w:start w:val="1"/>
      <w:numFmt w:val="bullet"/>
      <w:lvlText w:val="■"/>
      <w:lvlJc w:val="left"/>
      <w:pPr>
        <w:ind w:left="4320" w:hanging="360"/>
      </w:pPr>
    </w:lvl>
    <w:lvl w:ilvl="6" w:tplc="A6CE9764">
      <w:start w:val="1"/>
      <w:numFmt w:val="bullet"/>
      <w:lvlText w:val="●"/>
      <w:lvlJc w:val="left"/>
      <w:pPr>
        <w:ind w:left="5040" w:hanging="360"/>
      </w:pPr>
    </w:lvl>
    <w:lvl w:ilvl="7" w:tplc="5E9AC2D6">
      <w:start w:val="1"/>
      <w:numFmt w:val="bullet"/>
      <w:lvlText w:val="●"/>
      <w:lvlJc w:val="left"/>
      <w:pPr>
        <w:ind w:left="5760" w:hanging="360"/>
      </w:pPr>
    </w:lvl>
    <w:lvl w:ilvl="8" w:tplc="2DF2E11A">
      <w:start w:val="1"/>
      <w:numFmt w:val="bullet"/>
      <w:lvlText w:val="●"/>
      <w:lvlJc w:val="left"/>
      <w:pPr>
        <w:ind w:left="6480" w:hanging="360"/>
      </w:pPr>
    </w:lvl>
  </w:abstractNum>
  <w:abstractNum w:abstractNumId="1" w15:restartNumberingAfterBreak="0">
    <w:nsid w:val="79337AFE"/>
    <w:multiLevelType w:val="hybridMultilevel"/>
    <w:tmpl w:val="4874EC10"/>
    <w:lvl w:ilvl="0" w:tplc="C660FB98">
      <w:start w:val="1"/>
      <w:numFmt w:val="bullet"/>
      <w:lvlText w:val="•"/>
      <w:lvlJc w:val="left"/>
      <w:pPr>
        <w:ind w:left="520" w:hanging="260"/>
      </w:pPr>
    </w:lvl>
    <w:lvl w:ilvl="1" w:tplc="8D88431C">
      <w:numFmt w:val="decimal"/>
      <w:lvlText w:val=""/>
      <w:lvlJc w:val="left"/>
    </w:lvl>
    <w:lvl w:ilvl="2" w:tplc="13B69054">
      <w:numFmt w:val="decimal"/>
      <w:lvlText w:val=""/>
      <w:lvlJc w:val="left"/>
    </w:lvl>
    <w:lvl w:ilvl="3" w:tplc="760ADCF0">
      <w:numFmt w:val="decimal"/>
      <w:lvlText w:val=""/>
      <w:lvlJc w:val="left"/>
    </w:lvl>
    <w:lvl w:ilvl="4" w:tplc="6D9207A8">
      <w:numFmt w:val="decimal"/>
      <w:lvlText w:val=""/>
      <w:lvlJc w:val="left"/>
    </w:lvl>
    <w:lvl w:ilvl="5" w:tplc="FFF2725E">
      <w:numFmt w:val="decimal"/>
      <w:lvlText w:val=""/>
      <w:lvlJc w:val="left"/>
    </w:lvl>
    <w:lvl w:ilvl="6" w:tplc="E0524CAA">
      <w:numFmt w:val="decimal"/>
      <w:lvlText w:val=""/>
      <w:lvlJc w:val="left"/>
    </w:lvl>
    <w:lvl w:ilvl="7" w:tplc="6CEE7978">
      <w:numFmt w:val="decimal"/>
      <w:lvlText w:val=""/>
      <w:lvlJc w:val="left"/>
    </w:lvl>
    <w:lvl w:ilvl="8" w:tplc="6A90802E">
      <w:numFmt w:val="decimal"/>
      <w:lvlText w:val=""/>
      <w:lvlJc w:val="left"/>
    </w:lvl>
  </w:abstractNum>
  <w:abstractNum w:abstractNumId="2" w15:restartNumberingAfterBreak="0">
    <w:nsid w:val="7B677AA9"/>
    <w:multiLevelType w:val="hybridMultilevel"/>
    <w:tmpl w:val="E3247362"/>
    <w:lvl w:ilvl="0" w:tplc="EACAE78E">
      <w:start w:val="1"/>
      <w:numFmt w:val="bullet"/>
      <w:lvlText w:val="—"/>
      <w:lvlJc w:val="left"/>
      <w:pPr>
        <w:ind w:left="520" w:hanging="260"/>
      </w:pPr>
    </w:lvl>
    <w:lvl w:ilvl="1" w:tplc="C7F49886">
      <w:numFmt w:val="decimal"/>
      <w:lvlText w:val=""/>
      <w:lvlJc w:val="left"/>
    </w:lvl>
    <w:lvl w:ilvl="2" w:tplc="BFB6220A">
      <w:numFmt w:val="decimal"/>
      <w:lvlText w:val=""/>
      <w:lvlJc w:val="left"/>
    </w:lvl>
    <w:lvl w:ilvl="3" w:tplc="1EDC673A">
      <w:numFmt w:val="decimal"/>
      <w:lvlText w:val=""/>
      <w:lvlJc w:val="left"/>
    </w:lvl>
    <w:lvl w:ilvl="4" w:tplc="A5BA4A6A">
      <w:numFmt w:val="decimal"/>
      <w:lvlText w:val=""/>
      <w:lvlJc w:val="left"/>
    </w:lvl>
    <w:lvl w:ilvl="5" w:tplc="56349AD0">
      <w:numFmt w:val="decimal"/>
      <w:lvlText w:val=""/>
      <w:lvlJc w:val="left"/>
    </w:lvl>
    <w:lvl w:ilvl="6" w:tplc="BB787946">
      <w:numFmt w:val="decimal"/>
      <w:lvlText w:val=""/>
      <w:lvlJc w:val="left"/>
    </w:lvl>
    <w:lvl w:ilvl="7" w:tplc="176AC2E4">
      <w:numFmt w:val="decimal"/>
      <w:lvlText w:val=""/>
      <w:lvlJc w:val="left"/>
    </w:lvl>
    <w:lvl w:ilvl="8" w:tplc="59BA864A">
      <w:numFmt w:val="decimal"/>
      <w:lvlText w:val=""/>
      <w:lvlJc w:val="left"/>
    </w:lvl>
  </w:abstractNum>
  <w:num w:numId="1" w16cid:durableId="760445922">
    <w:abstractNumId w:val="0"/>
    <w:lvlOverride w:ilvl="0">
      <w:startOverride w:val="1"/>
    </w:lvlOverride>
  </w:num>
  <w:num w:numId="2" w16cid:durableId="97138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E"/>
    <w:rsid w:val="00101805"/>
    <w:rsid w:val="00161E59"/>
    <w:rsid w:val="00371829"/>
    <w:rsid w:val="0039765E"/>
    <w:rsid w:val="003D0964"/>
    <w:rsid w:val="005B57FE"/>
    <w:rsid w:val="00A954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43206"/>
  <w15:docId w15:val="{D1953F51-975D-4193-B442-C35853BFE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4</Pages>
  <Words>1570</Words>
  <Characters>8636</Characters>
  <Application>Microsoft Office Word</Application>
  <DocSecurity>0</DocSecurity>
  <Lines>71</Lines>
  <Paragraphs>20</Paragraphs>
  <ScaleCrop>false</ScaleCrop>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Bogaert Yohann</cp:lastModifiedBy>
  <cp:revision>5</cp:revision>
  <dcterms:created xsi:type="dcterms:W3CDTF">2026-03-26T17:45:00Z</dcterms:created>
  <dcterms:modified xsi:type="dcterms:W3CDTF">2026-03-26T22:42:00Z</dcterms:modified>
</cp:coreProperties>
</file>