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Bdr>
          <w:bottom w:val="nil"/>
        </w:pBdr>
      </w:pPr>
      <w:r>
        <w:t>Laboratory user guide</w:t>
      </w:r>
    </w:p>
    <w:p>
      <w:r>
        <w:t>How to register a coffee sample, record an evaluation, obtain approval, and print its report.</w:t>
      </w:r>
    </w:p>
    <w:p>
      <w:r>
        <w:rPr>
          <w:b/>
        </w:rPr>
        <w:t xml:space="preserve">Current availability.  </w:t>
      </w:r>
      <w:r>
        <w:t>The working database runs on the local computer. The online link shows an interface preview only and cannot save samples or create reports.</w:t>
      </w:r>
    </w:p>
    <w:p>
      <w:pPr>
        <w:pStyle w:val="Heading1"/>
      </w:pPr>
      <w:r>
        <w:t>Open the right version</w:t>
      </w:r>
    </w:p>
    <w:p>
      <w:r>
        <w:rPr>
          <w:b/>
        </w:rPr>
        <w:t xml:space="preserve">Working local.  </w:t>
      </w:r>
      <w:r>
        <w:t xml:space="preserve">Use this on the computer running Hayked ERP. Sign in with a local staff account; the app and database must be running. </w:t>
      </w:r>
      <w:hyperlink r:id="rId11">
        <w:r>
          <w:rPr>
            <w:color w:val="346A84"/>
          </w:rPr>
          <w:t>Open working Laboratory</w:t>
        </w:r>
      </w:hyperlink>
    </w:p>
    <w:p>
      <w:r>
        <w:rPr>
          <w:b/>
        </w:rPr>
        <w:t xml:space="preserve">Online preview.  </w:t>
      </w:r>
      <w:r>
        <w:t xml:space="preserve">Use this to view the design. Saving and printing are unavailable. </w:t>
      </w:r>
      <w:hyperlink r:id="rId12">
        <w:r>
          <w:rPr>
            <w:color w:val="346A84"/>
          </w:rPr>
          <w:t>Open interface preview</w:t>
        </w:r>
      </w:hyperlink>
    </w:p>
    <w:p>
      <w:pPr>
        <w:pStyle w:val="Heading1"/>
      </w:pPr>
      <w:r>
        <w:t>Who can do each action</w:t>
      </w:r>
    </w:p>
    <w:p>
      <w:r>
        <w:t>A processing supervisor, warehouse manager, or system administrator may record and submit. A different warehouse manager or administrator approves. Staff with Laboratory access may read and print approved reports.</w:t>
      </w:r>
    </w:p>
    <w:p>
      <w:pPr>
        <w:pStyle w:val="Heading1"/>
      </w:pPr>
      <w:r>
        <w:t>Complete a sample evaluation</w:t>
      </w:r>
    </w:p>
    <w:p>
      <w:pPr>
        <w:spacing w:after="140"/>
        <w:ind w:left="432" w:hanging="432"/>
      </w:pPr>
      <w:r>
        <w:rPr>
          <w:b/>
          <w:color w:val="45382A"/>
        </w:rPr>
        <w:t xml:space="preserve">1.  Open Laboratory.  </w:t>
      </w:r>
      <w:r>
        <w:t>Sign in to the working local app and select Laboratory. The page should show records, not the interface preview message.</w:t>
      </w:r>
    </w:p>
    <w:p>
      <w:pPr>
        <w:spacing w:after="140"/>
        <w:ind w:left="432" w:hanging="432"/>
      </w:pPr>
      <w:r>
        <w:rPr>
          <w:b/>
          <w:color w:val="45382A"/>
        </w:rPr>
        <w:t xml:space="preserve">2.  Register the sample.  </w:t>
      </w:r>
      <w:r>
        <w:t>Choose an active client. Select a warehouse lot or leave Independent sample. Enter the received date, origin, and process, then select Register sample. The system creates a draft with a sample code.</w:t>
      </w:r>
    </w:p>
    <w:p>
      <w:pPr>
        <w:spacing w:after="140"/>
        <w:ind w:left="432" w:hanging="432"/>
      </w:pPr>
      <w:r>
        <w:rPr>
          <w:b/>
          <w:color w:val="45382A"/>
        </w:rPr>
        <w:t xml:space="preserve">3.  Record the findings.  </w:t>
      </w:r>
      <w:r>
        <w:t>Select the sample. Enter green coffee and cup findings, scores, proposed grade, and comments. Select Save draft if more work is needed. Attach the original sheet under Source sheet or supporting evidence if available.</w:t>
      </w:r>
    </w:p>
    <w:p>
      <w:pPr>
        <w:spacing w:after="140"/>
        <w:ind w:left="432" w:hanging="432"/>
      </w:pPr>
      <w:r>
        <w:rPr>
          <w:b/>
          <w:color w:val="45382A"/>
        </w:rPr>
        <w:t xml:space="preserve">4.  Submit for review.  </w:t>
      </w:r>
      <w:r>
        <w:t>Select Save and submit. Overall green observations, overall cup observations, and proposed grade are required. The status changes to SUBMITTED.</w:t>
      </w:r>
    </w:p>
    <w:p>
      <w:pPr>
        <w:spacing w:after="140"/>
        <w:ind w:left="432" w:hanging="432"/>
      </w:pPr>
      <w:r>
        <w:rPr>
          <w:b/>
          <w:color w:val="45382A"/>
        </w:rPr>
        <w:t xml:space="preserve">5.  Approve with a second account.  </w:t>
      </w:r>
      <w:r>
        <w:t>A different warehouse manager or administrator reviews the results and selects Approve report. The submitter cannot approve their own evaluation. Approval creates a numbered report version.</w:t>
      </w:r>
    </w:p>
    <w:p>
      <w:pPr>
        <w:spacing w:after="140"/>
        <w:ind w:left="432" w:hanging="432"/>
      </w:pPr>
      <w:r>
        <w:rPr>
          <w:b/>
          <w:color w:val="45382A"/>
        </w:rPr>
        <w:t xml:space="preserve">6.  Print or save the PDF.  </w:t>
      </w:r>
      <w:r>
        <w:t>Under Approved report versions, select Open to print. Allow the browser pop-up if prompted, then print from the PDF viewer. Select Download PDF to save a copy. Reports use A4 size.</w:t>
      </w:r>
    </w:p>
    <w:p>
      <w:pPr>
        <w:pStyle w:val="Heading1"/>
      </w:pPr>
      <w:r>
        <w:t>Corrections and important limits</w:t>
      </w:r>
    </w:p>
    <w:p>
      <w:r>
        <w:rPr>
          <w:b/>
        </w:rPr>
        <w:t xml:space="preserve">Correct an approved report.  </w:t>
      </w:r>
      <w:r>
        <w:t>A manager or administrator selects Create revision, updates the draft, submits it, and obtains a new independent approval. The earlier approved version remains available.</w:t>
      </w:r>
    </w:p>
    <w:p>
      <w:r>
        <w:rPr>
          <w:b/>
        </w:rPr>
        <w:t xml:space="preserve">Scores and grades.  </w:t>
      </w:r>
      <w:r>
        <w:t>Staff enter these values. The app does not calculate a grade, decide export eligibility, or charge a laboratory fee from the supplied sample form.</w:t>
      </w:r>
    </w:p>
    <w:p>
      <w:r>
        <w:rPr>
          <w:b/>
        </w:rPr>
        <w:t xml:space="preserve">Email.  </w:t>
      </w:r>
      <w:r>
        <w:t>Emailing a client is optional and currently hidden. Download the approved PDF if a copy must be shared through an approved manual process.</w:t>
      </w:r>
    </w:p>
    <w:sectPr w:rsidR="00FC693F" w:rsidRPr="0006063C" w:rsidSect="00034616">
      <w:headerReference w:type="default" r:id="rId9"/>
      <w:footerReference w:type="default" r:id="rId10"/>
      <w:pgSz w:w="12240" w:h="15840"/>
      <w:pgMar w:top="1037" w:right="1210" w:bottom="979" w:left="121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Laboratory user guide  •  20 October 2026  •  Page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b/>
        <w:color w:val="656867"/>
        <w:sz w:val="16"/>
      </w:rPr>
      <w:t>HAYKED COFFEE WAREHOUSE ERP  /  STAFF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232A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Aptos Display" w:hAnsi="Aptos Display"/>
      <w:b/>
      <w:bCs/>
      <w:color w:val="45382A"/>
      <w:sz w:val="28"/>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Display" w:hAnsi="Aptos Display"/>
      <w:b/>
      <w:bCs/>
      <w:color w:val="45382A"/>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contextualSpacing/>
    </w:pPr>
    <w:rPr>
      <w:rFonts w:asciiTheme="majorHAnsi" w:eastAsiaTheme="majorEastAsia" w:hAnsiTheme="majorHAnsi" w:cstheme="majorBidi" w:ascii="Aptos Display" w:hAnsi="Aptos Display"/>
      <w:b/>
      <w:color w:val="181F22"/>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localhost:3051/?view=Laboratory" TargetMode="External"/><Relationship Id="rId12" Type="http://schemas.openxmlformats.org/officeDocument/2006/relationships/hyperlink" Target="https://hayked-coffee-warehouse-cx0jqlw8f-joni-building-s-projects.vercel.app/?view=Laborato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