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 DE TRAVAIL — VERSION LONGUE</w:t>
      </w:r>
    </w:p>
    <w:p>
      <w:pPr>
        <w:pStyle w:val="Heading1"/>
      </w:pPr>
      <w:r>
        <w:t>Article 1 — Clause contractuelle n°1</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 — Clause contractuelle n°2</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3 — Clause contractuelle n°3</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4 — Clause contractuelle n°4</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5 — Clause contractuelle n°5</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6 — Clause contractuelle n°6</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7 — Clause contractuelle n°7</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8 — Clause contractuelle n°8</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9 — Clause contractuelle n°9</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10 — Clause contractuelle n°10</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drawing>
          <wp:inline xmlns:a="http://schemas.openxmlformats.org/drawingml/2006/main" xmlns:pic="http://schemas.openxmlformats.org/drawingml/2006/picture">
            <wp:extent cx="2160000" cy="720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160000" cy="720000"/>
                    </a:xfrm>
                    <a:prstGeom prst="rect"/>
                  </pic:spPr>
                </pic:pic>
              </a:graphicData>
            </a:graphic>
          </wp:inline>
        </w:drawing>
      </w:r>
    </w:p>
    <w:p>
      <w:pPr>
        <w:pStyle w:val="Heading1"/>
      </w:pPr>
      <w:r>
        <w:t>Article 11 — Clause contractuelle n°11</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12 — Clause contractuelle n°12</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13 — Clause contractuelle n°13</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14 — Clause contractuelle n°14</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15 — Clause contractuelle n°15</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16 — Clause contractuelle n°16</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17 — Clause contractuelle n°17</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18 — Clause contractuelle n°18</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19 — Clause contractuelle n°19</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20 — Clause contractuelle n°20</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drawing>
          <wp:inline xmlns:a="http://schemas.openxmlformats.org/drawingml/2006/main" xmlns:pic="http://schemas.openxmlformats.org/drawingml/2006/picture">
            <wp:extent cx="2160000" cy="720000"/>
            <wp:docPr id="2" name="Picture 2"/>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160000" cy="720000"/>
                    </a:xfrm>
                    <a:prstGeom prst="rect"/>
                  </pic:spPr>
                </pic:pic>
              </a:graphicData>
            </a:graphic>
          </wp:inline>
        </w:drawing>
      </w:r>
    </w:p>
    <w:p>
      <w:pPr>
        <w:pStyle w:val="Heading1"/>
      </w:pPr>
      <w:r>
        <w:t>Article 21 — Clause contractuelle n°21</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22 — Clause contractuelle n°22</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23 — Clause contractuelle n°23</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24 — Clause contractuelle n°24</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25 — Clause contractuelle n°25</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26 — Clause contractuelle n°26</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27 — Clause contractuelle n°27</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28 — Clause contractuelle n°28</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29 — Clause contractuelle n°29</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pPr>
        <w:pStyle w:val="Heading1"/>
      </w:pPr>
      <w:r>
        <w:t>Article 30 — Clause contractuelle n°30</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t>Les parties conviennent expressément que la présente clause s'applique sans réserve à l'ensemble des relations contractuelles, y compris en cas de modification du lieu d'exercice, de la durée du travail ou de la qualification professionnelle de la Salariée, sous réserve du respect des dispositions légales et conventionnelles en vigueur au jour de la signature.</w:t>
      </w:r>
    </w:p>
    <w:p>
      <w:r>
        <w:drawing>
          <wp:inline xmlns:a="http://schemas.openxmlformats.org/drawingml/2006/main" xmlns:pic="http://schemas.openxmlformats.org/drawingml/2006/picture">
            <wp:extent cx="2160000" cy="720000"/>
            <wp:docPr id="3" name="Picture 3"/>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160000" cy="720000"/>
                    </a:xfrm>
                    <a:prstGeom prst="rect"/>
                  </pic:spPr>
                </pic:pic>
              </a:graphicData>
            </a:graphic>
          </wp:inline>
        </w:drawing>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Contrat de travail — page confidentielle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260000" cy="420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60000" cy="420000"/>
                  </a:xfrm>
                  <a:prstGeom prst="rect"/>
                </pic:spPr>
              </pic:pic>
            </a:graphicData>
          </a:graphic>
        </wp:inline>
      </w:drawing>
    </w:r>
    <w:r>
      <w:t xml:space="preserve">   SAS COKEYA — Direction des ressources humaines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