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 DE TRAVAIL À DURÉE INDÉTERMINÉE</w:t>
      </w:r>
    </w:p>
    <w:p>
      <w:r>
        <w:rPr>
          <w:b/>
        </w:rPr>
        <w:t>Entre les soussignés :</w:t>
      </w:r>
    </w:p>
    <w:p>
      <w:r>
        <w:t>La société SAS COKEYA, au capital de 10 000 €, dont le siège social est situé 12 rue de la Paix, 95100 Argenteuil, immatriculée au RCS de Pontoise sous le numéro 901 234 567, représentée par M. Yohann KHALFON en sa qualité de Président,</w:t>
      </w:r>
    </w:p>
    <w:p>
      <w:pPr>
        <w:jc w:val="right"/>
      </w:pPr>
      <w:r>
        <w:t>Ci-après dénommée « l'Employeur »,</w:t>
      </w:r>
    </w:p>
    <w:p>
      <w:r>
        <w:t>d'une part,</w:t>
      </w:r>
    </w:p>
    <w:p>
      <w:r>
        <w:t>Et Madame Jennifer DUPONT, demeurant 4 avenue des Lilas, 92160 Antony, de nationalité française, n° de sécurité sociale 2 85 04 92 002 043 21,</w:t>
      </w:r>
    </w:p>
    <w:p>
      <w:pPr>
        <w:jc w:val="right"/>
      </w:pPr>
      <w:r>
        <w:t>Ci-après dénommée « la Salariée »,</w:t>
      </w:r>
    </w:p>
    <w:p>
      <w:r>
        <w:t>d'autre part.</w:t>
      </w:r>
    </w:p>
    <w:p>
      <w:pPr>
        <w:pStyle w:val="Heading1"/>
      </w:pPr>
      <w:r>
        <w:t>Article 1 — Engagement</w:t>
      </w:r>
    </w:p>
    <w:p>
      <w:r>
        <w:t>La Salariée est engagée à compter du 1er octobre 2026 en qualité d'orthoptiste, statut cadre, position 2.1 de la convention collective des cabinets médicaux.</w:t>
      </w:r>
    </w:p>
    <w:p>
      <w:pPr>
        <w:pStyle w:val="Heading1"/>
      </w:pPr>
      <w:r>
        <w:t>Article 2 — Période d'essai</w:t>
      </w:r>
    </w:p>
    <w:p>
      <w:r>
        <w:t>Le présent contrat ne deviendra définitif qu'à l'issue d'une période d'essai de trois (3) mois, renouvelable une fois par accord écrit des parties.</w:t>
      </w:r>
    </w:p>
    <w:p>
      <w:pPr>
        <w:pStyle w:val="Heading1"/>
      </w:pPr>
      <w:r>
        <w:t>Article 3 — Rémunération</w:t>
      </w:r>
    </w:p>
    <w:p>
      <w:r>
        <w:t>La rémunération brute est fixée comme suit :</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Élément</w:t>
            </w:r>
          </w:p>
        </w:tc>
        <w:tc>
          <w:tcPr>
            <w:tcW w:type="dxa" w:w="3135"/>
          </w:tcPr>
          <w:p>
            <w:r>
              <w:rPr>
                <w:b/>
              </w:rPr>
              <w:t>Base</w:t>
            </w:r>
          </w:p>
        </w:tc>
        <w:tc>
          <w:tcPr>
            <w:tcW w:type="dxa" w:w="3135"/>
          </w:tcPr>
          <w:p>
            <w:r>
              <w:rPr>
                <w:b/>
              </w:rPr>
              <w:t>Montant brut mensuel</w:t>
            </w:r>
          </w:p>
        </w:tc>
      </w:tr>
      <w:tr>
        <w:tc>
          <w:tcPr>
            <w:tcW w:type="dxa" w:w="3135"/>
          </w:tcPr>
          <w:p>
            <w:r>
              <w:t>Salaire de base</w:t>
            </w:r>
          </w:p>
        </w:tc>
        <w:tc>
          <w:tcPr>
            <w:tcW w:type="dxa" w:w="3135"/>
          </w:tcPr>
          <w:p>
            <w:r>
              <w:t>151,67 h</w:t>
            </w:r>
          </w:p>
        </w:tc>
        <w:tc>
          <w:tcPr>
            <w:tcW w:type="dxa" w:w="3135"/>
          </w:tcPr>
          <w:p>
            <w:r>
              <w:t>3 200,00 €</w:t>
            </w:r>
          </w:p>
        </w:tc>
      </w:tr>
      <w:tr>
        <w:tc>
          <w:tcPr>
            <w:tcW w:type="dxa" w:w="3135"/>
          </w:tcPr>
          <w:p>
            <w:r>
              <w:t>Prime d'ancienneté</w:t>
            </w:r>
          </w:p>
        </w:tc>
        <w:tc>
          <w:tcPr>
            <w:tcW w:type="dxa" w:w="3135"/>
          </w:tcPr>
          <w:p>
            <w:r>
              <w:t>—</w:t>
            </w:r>
          </w:p>
        </w:tc>
        <w:tc>
          <w:tcPr>
            <w:tcW w:type="dxa" w:w="3135"/>
          </w:tcPr>
          <w:p>
            <w:r>
              <w:t>150,00 €</w:t>
            </w:r>
          </w:p>
        </w:tc>
      </w:tr>
      <w:tr>
        <w:tc>
          <w:tcPr>
            <w:tcW w:type="dxa" w:w="3135"/>
          </w:tcPr>
          <w:p>
            <w:r>
              <w:rPr>
                <w:b/>
              </w:rPr>
              <w:t>Total</w:t>
            </w:r>
          </w:p>
        </w:tc>
        <w:tc>
          <w:tcPr>
            <w:tcW w:type="dxa" w:w="3135"/>
          </w:tcPr>
          <w:p>
            <w:r>
              <w:rPr>
                <w:b/>
              </w:rPr>
            </w:r>
          </w:p>
        </w:tc>
        <w:tc>
          <w:tcPr>
            <w:tcW w:type="dxa" w:w="3135"/>
          </w:tcPr>
          <w:p>
            <w:r>
              <w:rPr>
                <w:b/>
              </w:rPr>
              <w:t>3 350,00 €</w:t>
            </w:r>
          </w:p>
        </w:tc>
      </w:tr>
    </w:tbl>
    <w:p/>
    <w:p>
      <w:pPr>
        <w:pStyle w:val="Heading1"/>
      </w:pPr>
      <w:r>
        <w:t>Article 4 — Durée du travail</w:t>
      </w:r>
    </w:p>
    <w:p>
      <w:r>
        <w:t>La durée du travail est fixée à 35 heures hebdomadaires, réparties du lundi au vendredi selon le planning établi par la direction du centre.</w:t>
      </w:r>
    </w:p>
    <w:p>
      <w:r>
        <w:br w:type="page"/>
      </w:r>
    </w:p>
    <w:p>
      <w:pPr>
        <w:pStyle w:val="Heading1"/>
      </w:pPr>
      <w:r>
        <w:t>Article 5 — Obligations professionnelles</w:t>
      </w:r>
    </w:p>
    <w:p>
      <w:pPr>
        <w:pStyle w:val="ListBullet"/>
      </w:pPr>
      <w:r>
        <w:t>Respect du secret professionnel et du secret médical.</w:t>
      </w:r>
    </w:p>
    <w:p>
      <w:pPr>
        <w:pStyle w:val="ListBullet"/>
      </w:pPr>
      <w:r>
        <w:t>Respect des protocoles de coopération en vigueur au sein du centre.</w:t>
      </w:r>
    </w:p>
    <w:p>
      <w:pPr>
        <w:pStyle w:val="ListBullet"/>
      </w:pPr>
      <w:r>
        <w:t>Obligation de loyauté et de non-concurrence pendant la durée du contrat.</w:t>
      </w:r>
    </w:p>
    <w:p>
      <w:pPr>
        <w:pStyle w:val="Heading1"/>
      </w:pPr>
      <w:r>
        <w:t>Article 6 — Convention collective</w:t>
      </w:r>
    </w:p>
    <w:p>
      <w:r>
        <w:t>Les parties déclarent se soumettre à la convention collective nationale du personnel des cabinets médicaux (IDCC 1147).</w:t>
      </w:r>
    </w:p>
    <w:p/>
    <w:p>
      <w:r>
        <w:t>Fait à Argenteuil, en deux exemplaires originaux.</w:t>
      </w:r>
    </w:p>
    <w:p/>
    <w:tbl>
      <w:tblPr>
        <w:tblW w:type="auto" w:w="0"/>
        <w:tblLook w:firstColumn="1" w:firstRow="1" w:lastColumn="0" w:lastRow="0" w:noHBand="0" w:noVBand="1" w:val="04A0"/>
      </w:tblPr>
      <w:tblGrid>
        <w:gridCol w:w="4703"/>
        <w:gridCol w:w="4703"/>
      </w:tblGrid>
      <w:tr>
        <w:tc>
          <w:tcPr>
            <w:tcW w:type="dxa" w:w="4703"/>
          </w:tcPr>
          <w:p>
            <w:r>
              <w:rPr>
                <w:b/>
              </w:rPr>
              <w:t>L'Employeur</w:t>
            </w:r>
          </w:p>
        </w:tc>
        <w:tc>
          <w:tcPr>
            <w:tcW w:type="dxa" w:w="4703"/>
          </w:tcPr>
          <w:p>
            <w:r>
              <w:rPr>
                <w:b/>
              </w:rPr>
              <w:t>La Salariée</w:t>
            </w:r>
          </w:p>
        </w:tc>
      </w:tr>
      <w:tr>
        <w:tc>
          <w:tcPr>
            <w:tcW w:type="dxa" w:w="4703"/>
          </w:tcPr>
          <w:p>
            <w:r>
              <w:br/>
              <w:br/>
              <w:br/>
            </w:r>
          </w:p>
        </w:tc>
        <w:tc>
          <w:tcPr>
            <w:tcW w:type="dxa" w:w="4703"/>
          </w:tcPr>
          <w:p>
            <w:r>
              <w:br/>
              <w:br/>
              <w:br/>
            </w:r>
          </w:p>
        </w:tc>
      </w:tr>
    </w:tbl>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