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6"/>
          <w:szCs w:val="36"/>
        </w:rPr>
        <w:t xml:space="preserve">Improving Loss Recovery in UDP-Based Reliable File Transfer: Adaptive RTO with Selective Repeat over UDT-Style Congestion Control</w:t>
      </w:r>
    </w:p>
    <w:p>
      <w:pPr>
        <w:spacing w:after="300"/>
      </w:pPr>
      <w:r>
        <w:rPr>
          <w:i/>
          <w:iCs/>
          <w:color w:val="555555"/>
          <w:sz w:val="22"/>
          <w:szCs w:val="22"/>
        </w:rPr>
        <w:t xml:space="preserve">Computer Networks Lab (BCSE308P) — Final Submission (Template II)</w:t>
      </w:r>
    </w:p>
    <w:p>
      <w:pPr>
        <w:pStyle w:val="Heading1"/>
        <w:spacing w:after="140" w:before="300"/>
      </w:pPr>
      <w:r>
        <w:t xml:space="preserve">Work Done</w:t>
      </w:r>
    </w:p>
    <w:p>
      <w:pPr>
        <w:spacing w:after="140"/>
      </w:pPr>
      <w:r>
        <w:t xml:space="preserve">A reliable file-transfer protocol was built from scratch over UDP in two versions that share all common code (packet framing, simulated lossy channel, DAIMD congestion control, logging). The baseline follows UDT: sliding window, checksum, ACK/NAK, Go-Back-N recovery and a fixed 200 ms retransmission timeout. The improved version changes only two mechanisms: an adaptive RTO (SRTT/RTTVAR, Karn's rule) replaces the fixed timer, and Selective Repeat with per-packet ACKs, an out-of-order buffer and SACK fast retransmit replaces Go-Back-N. Both were run over the same simulated channel (0/1/5/10% loss, 20 ± 5 ms delay, identical seeds; 256 KB file, 10 repeats), plus loss-burst and packet-reordering experiments, with every transfer verified byte-for-byte by SHA-256.</w:t>
      </w:r>
    </w:p>
    <w:p>
      <w:pPr>
        <w:pStyle w:val="Heading1"/>
        <w:spacing w:after="140" w:before="300"/>
      </w:pPr>
      <w:r>
        <w:t xml:space="preserve">Outputs</w:t>
      </w:r>
    </w:p>
    <w:p>
      <w:pPr>
        <w:pStyle w:val="Heading2"/>
        <w:spacing w:after="100" w:before="200"/>
      </w:pPr>
      <w:r>
        <w:t xml:space="preserve">Table 1 — Throughput (Mbps, mean ± std over repeats)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700"/>
        <w:gridCol w:w="1900"/>
      </w:tblGrid>
      <w:tr>
        <w:trPr>
          <w:tblHeader/>
        </w:trPr>
        <w:tc>
          <w:tcPr>
            <w:tcW w:type="dxa" w:w="1700"/>
            <w:shd w:fill="D9E2F3" w:val="clear"/>
            <w:tcMar>
              <w:top w:type="dxa" w:w="70"/>
              <w:left w:type="dxa" w:w="100"/>
              <w:bottom w:type="dxa" w:w="70"/>
              <w:right w:type="dxa" w:w="100"/>
            </w:tcMar>
          </w:tcPr>
          <w:p>
            <w:r>
              <w:rPr>
                <w:b/>
                <w:bCs/>
                <w:sz w:val="20"/>
                <w:szCs w:val="20"/>
              </w:rPr>
              <w:t xml:space="preserve">Loss</w:t>
            </w:r>
          </w:p>
        </w:tc>
        <w:tc>
          <w:tcPr>
            <w:tcW w:type="dxa" w:w="2700"/>
            <w:shd w:fill="D9E2F3" w:val="clear"/>
            <w:tcMar>
              <w:top w:type="dxa" w:w="70"/>
              <w:left w:type="dxa" w:w="100"/>
              <w:bottom w:type="dxa" w:w="70"/>
              <w:right w:type="dxa" w:w="100"/>
            </w:tcMar>
          </w:tcPr>
          <w:p>
            <w:r>
              <w:rPr>
                <w:b/>
                <w:bCs/>
                <w:sz w:val="20"/>
                <w:szCs w:val="20"/>
              </w:rPr>
              <w:t xml:space="preserve">Baseline</w:t>
            </w:r>
          </w:p>
        </w:tc>
        <w:tc>
          <w:tcPr>
            <w:tcW w:type="dxa" w:w="2700"/>
            <w:shd w:fill="D9E2F3" w:val="clear"/>
            <w:tcMar>
              <w:top w:type="dxa" w:w="70"/>
              <w:left w:type="dxa" w:w="100"/>
              <w:bottom w:type="dxa" w:w="70"/>
              <w:right w:type="dxa" w:w="100"/>
            </w:tcMar>
          </w:tcPr>
          <w:p>
            <w:r>
              <w:rPr>
                <w:b/>
                <w:bCs/>
                <w:sz w:val="20"/>
                <w:szCs w:val="20"/>
              </w:rPr>
              <w:t xml:space="preserve">Improved</w:t>
            </w:r>
          </w:p>
        </w:tc>
        <w:tc>
          <w:tcPr>
            <w:tcW w:type="dxa" w:w="1900"/>
            <w:shd w:fill="D9E2F3" w:val="clear"/>
            <w:tcMar>
              <w:top w:type="dxa" w:w="70"/>
              <w:left w:type="dxa" w:w="100"/>
              <w:bottom w:type="dxa" w:w="70"/>
              <w:right w:type="dxa" w:w="100"/>
            </w:tcMar>
          </w:tcPr>
          <w:p>
            <w:r>
              <w:rPr>
                <w:b/>
                <w:bCs/>
                <w:sz w:val="20"/>
                <w:szCs w:val="20"/>
              </w:rPr>
              <w:t xml:space="preserve">Change</w:t>
            </w:r>
          </w:p>
        </w:tc>
      </w:tr>
      <w:tr>
        <w:tc>
          <w:tcPr>
            <w:tcW w:type="dxa" w:w="1700"/>
            <w:tcMar>
              <w:top w:type="dxa" w:w="70"/>
              <w:left w:type="dxa" w:w="100"/>
              <w:bottom w:type="dxa" w:w="70"/>
              <w:right w:type="dxa" w:w="100"/>
            </w:tcMar>
          </w:tcPr>
          <w:p>
            <w:r>
              <w:rPr>
                <w:b w:val="false"/>
                <w:bCs w:val="false"/>
                <w:sz w:val="20"/>
                <w:szCs w:val="20"/>
              </w:rPr>
              <w:t xml:space="preserve">0%</w:t>
            </w:r>
          </w:p>
        </w:tc>
        <w:tc>
          <w:tcPr>
            <w:tcW w:type="dxa" w:w="2700"/>
            <w:tcMar>
              <w:top w:type="dxa" w:w="70"/>
              <w:left w:type="dxa" w:w="100"/>
              <w:bottom w:type="dxa" w:w="70"/>
              <w:right w:type="dxa" w:w="100"/>
            </w:tcMar>
          </w:tcPr>
          <w:p>
            <w:r>
              <w:rPr>
                <w:b w:val="false"/>
                <w:bCs w:val="false"/>
                <w:sz w:val="20"/>
                <w:szCs w:val="20"/>
              </w:rPr>
              <w:t xml:space="preserve">1.90 ± 0.10</w:t>
            </w:r>
          </w:p>
        </w:tc>
        <w:tc>
          <w:tcPr>
            <w:tcW w:type="dxa" w:w="2700"/>
            <w:tcMar>
              <w:top w:type="dxa" w:w="70"/>
              <w:left w:type="dxa" w:w="100"/>
              <w:bottom w:type="dxa" w:w="70"/>
              <w:right w:type="dxa" w:w="100"/>
            </w:tcMar>
          </w:tcPr>
          <w:p>
            <w:r>
              <w:rPr>
                <w:b w:val="false"/>
                <w:bCs w:val="false"/>
                <w:sz w:val="20"/>
                <w:szCs w:val="20"/>
              </w:rPr>
              <w:t xml:space="preserve">1.97 ± 0.07</w:t>
            </w:r>
          </w:p>
        </w:tc>
        <w:tc>
          <w:tcPr>
            <w:tcW w:type="dxa" w:w="1900"/>
            <w:tcMar>
              <w:top w:type="dxa" w:w="70"/>
              <w:left w:type="dxa" w:w="100"/>
              <w:bottom w:type="dxa" w:w="70"/>
              <w:right w:type="dxa" w:w="100"/>
            </w:tcMar>
          </w:tcPr>
          <w:p>
            <w:r>
              <w:rPr>
                <w:b w:val="false"/>
                <w:bCs w:val="false"/>
                <w:sz w:val="20"/>
                <w:szCs w:val="20"/>
              </w:rPr>
              <w:t xml:space="preserve">—</w:t>
            </w:r>
          </w:p>
        </w:tc>
      </w:tr>
      <w:tr>
        <w:tc>
          <w:tcPr>
            <w:tcW w:type="dxa" w:w="1700"/>
            <w:tcMar>
              <w:top w:type="dxa" w:w="70"/>
              <w:left w:type="dxa" w:w="100"/>
              <w:bottom w:type="dxa" w:w="70"/>
              <w:right w:type="dxa" w:w="100"/>
            </w:tcMar>
          </w:tcPr>
          <w:p>
            <w:r>
              <w:rPr>
                <w:b w:val="false"/>
                <w:bCs w:val="false"/>
                <w:sz w:val="20"/>
                <w:szCs w:val="20"/>
              </w:rPr>
              <w:t xml:space="preserve">1%</w:t>
            </w:r>
          </w:p>
        </w:tc>
        <w:tc>
          <w:tcPr>
            <w:tcW w:type="dxa" w:w="2700"/>
            <w:tcMar>
              <w:top w:type="dxa" w:w="70"/>
              <w:left w:type="dxa" w:w="100"/>
              <w:bottom w:type="dxa" w:w="70"/>
              <w:right w:type="dxa" w:w="100"/>
            </w:tcMar>
          </w:tcPr>
          <w:p>
            <w:r>
              <w:rPr>
                <w:b w:val="false"/>
                <w:bCs w:val="false"/>
                <w:sz w:val="20"/>
                <w:szCs w:val="20"/>
              </w:rPr>
              <w:t xml:space="preserve">1.73 ± 0.17</w:t>
            </w:r>
          </w:p>
        </w:tc>
        <w:tc>
          <w:tcPr>
            <w:tcW w:type="dxa" w:w="2700"/>
            <w:tcMar>
              <w:top w:type="dxa" w:w="70"/>
              <w:left w:type="dxa" w:w="100"/>
              <w:bottom w:type="dxa" w:w="70"/>
              <w:right w:type="dxa" w:w="100"/>
            </w:tcMar>
          </w:tcPr>
          <w:p>
            <w:r>
              <w:rPr>
                <w:b w:val="false"/>
                <w:bCs w:val="false"/>
                <w:sz w:val="20"/>
                <w:szCs w:val="20"/>
              </w:rPr>
              <w:t xml:space="preserve">1.72 ± 0.05</w:t>
            </w:r>
          </w:p>
        </w:tc>
        <w:tc>
          <w:tcPr>
            <w:tcW w:type="dxa" w:w="1900"/>
            <w:tcMar>
              <w:top w:type="dxa" w:w="70"/>
              <w:left w:type="dxa" w:w="100"/>
              <w:bottom w:type="dxa" w:w="70"/>
              <w:right w:type="dxa" w:w="100"/>
            </w:tcMar>
          </w:tcPr>
          <w:p>
            <w:r>
              <w:rPr>
                <w:b w:val="false"/>
                <w:bCs w:val="false"/>
                <w:sz w:val="20"/>
                <w:szCs w:val="20"/>
              </w:rPr>
              <w:t xml:space="preserve">-0%</w:t>
            </w:r>
          </w:p>
        </w:tc>
      </w:tr>
      <w:tr>
        <w:tc>
          <w:tcPr>
            <w:tcW w:type="dxa" w:w="1700"/>
            <w:tcMar>
              <w:top w:type="dxa" w:w="70"/>
              <w:left w:type="dxa" w:w="100"/>
              <w:bottom w:type="dxa" w:w="70"/>
              <w:right w:type="dxa" w:w="100"/>
            </w:tcMar>
          </w:tcPr>
          <w:p>
            <w:r>
              <w:rPr>
                <w:b w:val="false"/>
                <w:bCs w:val="false"/>
                <w:sz w:val="20"/>
                <w:szCs w:val="20"/>
              </w:rPr>
              <w:t xml:space="preserve">5%</w:t>
            </w:r>
          </w:p>
        </w:tc>
        <w:tc>
          <w:tcPr>
            <w:tcW w:type="dxa" w:w="2700"/>
            <w:tcMar>
              <w:top w:type="dxa" w:w="70"/>
              <w:left w:type="dxa" w:w="100"/>
              <w:bottom w:type="dxa" w:w="70"/>
              <w:right w:type="dxa" w:w="100"/>
            </w:tcMar>
          </w:tcPr>
          <w:p>
            <w:r>
              <w:rPr>
                <w:b w:val="false"/>
                <w:bCs w:val="false"/>
                <w:sz w:val="20"/>
                <w:szCs w:val="20"/>
              </w:rPr>
              <w:t xml:space="preserve">1.05 ± 0.14</w:t>
            </w:r>
          </w:p>
        </w:tc>
        <w:tc>
          <w:tcPr>
            <w:tcW w:type="dxa" w:w="2700"/>
            <w:tcMar>
              <w:top w:type="dxa" w:w="70"/>
              <w:left w:type="dxa" w:w="100"/>
              <w:bottom w:type="dxa" w:w="70"/>
              <w:right w:type="dxa" w:w="100"/>
            </w:tcMar>
          </w:tcPr>
          <w:p>
            <w:r>
              <w:rPr>
                <w:b w:val="false"/>
                <w:bCs w:val="false"/>
                <w:sz w:val="20"/>
                <w:szCs w:val="20"/>
              </w:rPr>
              <w:t xml:space="preserve">1.24 ± 0.10</w:t>
            </w:r>
          </w:p>
        </w:tc>
        <w:tc>
          <w:tcPr>
            <w:tcW w:type="dxa" w:w="1900"/>
            <w:tcMar>
              <w:top w:type="dxa" w:w="70"/>
              <w:left w:type="dxa" w:w="100"/>
              <w:bottom w:type="dxa" w:w="70"/>
              <w:right w:type="dxa" w:w="100"/>
            </w:tcMar>
          </w:tcPr>
          <w:p>
            <w:r>
              <w:rPr>
                <w:b w:val="false"/>
                <w:bCs w:val="false"/>
                <w:sz w:val="20"/>
                <w:szCs w:val="20"/>
              </w:rPr>
              <w:t xml:space="preserve">+18%</w:t>
            </w:r>
          </w:p>
        </w:tc>
      </w:tr>
      <w:tr>
        <w:tc>
          <w:tcPr>
            <w:tcW w:type="dxa" w:w="1700"/>
            <w:tcMar>
              <w:top w:type="dxa" w:w="70"/>
              <w:left w:type="dxa" w:w="100"/>
              <w:bottom w:type="dxa" w:w="70"/>
              <w:right w:type="dxa" w:w="100"/>
            </w:tcMar>
          </w:tcPr>
          <w:p>
            <w:r>
              <w:rPr>
                <w:b w:val="false"/>
                <w:bCs w:val="false"/>
                <w:sz w:val="20"/>
                <w:szCs w:val="20"/>
              </w:rPr>
              <w:t xml:space="preserve">10%</w:t>
            </w:r>
          </w:p>
        </w:tc>
        <w:tc>
          <w:tcPr>
            <w:tcW w:type="dxa" w:w="2700"/>
            <w:tcMar>
              <w:top w:type="dxa" w:w="70"/>
              <w:left w:type="dxa" w:w="100"/>
              <w:bottom w:type="dxa" w:w="70"/>
              <w:right w:type="dxa" w:w="100"/>
            </w:tcMar>
          </w:tcPr>
          <w:p>
            <w:r>
              <w:rPr>
                <w:b w:val="false"/>
                <w:bCs w:val="false"/>
                <w:sz w:val="20"/>
                <w:szCs w:val="20"/>
              </w:rPr>
              <w:t xml:space="preserve">0.69 ± 0.12</w:t>
            </w:r>
          </w:p>
        </w:tc>
        <w:tc>
          <w:tcPr>
            <w:tcW w:type="dxa" w:w="2700"/>
            <w:tcMar>
              <w:top w:type="dxa" w:w="70"/>
              <w:left w:type="dxa" w:w="100"/>
              <w:bottom w:type="dxa" w:w="70"/>
              <w:right w:type="dxa" w:w="100"/>
            </w:tcMar>
          </w:tcPr>
          <w:p>
            <w:r>
              <w:rPr>
                <w:b w:val="false"/>
                <w:bCs w:val="false"/>
                <w:sz w:val="20"/>
                <w:szCs w:val="20"/>
              </w:rPr>
              <w:t xml:space="preserve">1.02 ± 0.13</w:t>
            </w:r>
          </w:p>
        </w:tc>
        <w:tc>
          <w:tcPr>
            <w:tcW w:type="dxa" w:w="1900"/>
            <w:tcMar>
              <w:top w:type="dxa" w:w="70"/>
              <w:left w:type="dxa" w:w="100"/>
              <w:bottom w:type="dxa" w:w="70"/>
              <w:right w:type="dxa" w:w="100"/>
            </w:tcMar>
          </w:tcPr>
          <w:p>
            <w:r>
              <w:rPr>
                <w:b w:val="false"/>
                <w:bCs w:val="false"/>
                <w:sz w:val="20"/>
                <w:szCs w:val="20"/>
              </w:rPr>
              <w:t xml:space="preserve">+48%</w:t>
            </w:r>
          </w:p>
        </w:tc>
      </w:tr>
    </w:tbl>
    <w:p>
      <w:pPr>
        <w:spacing w:after="160"/>
      </w:pPr>
    </w:p>
    <w:p>
      <w:pPr>
        <w:pStyle w:val="Heading2"/>
        <w:spacing w:after="100" w:before="200"/>
      </w:pPr>
      <w:r>
        <w:t xml:space="preserve">Table 2 — Retransmission overhead, transfer time and timeouts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400"/>
        <w:gridCol w:w="1600"/>
      </w:tblGrid>
      <w:tr>
        <w:trPr>
          <w:tblHeader/>
        </w:trPr>
        <w:tc>
          <w:tcPr>
            <w:tcW w:type="dxa" w:w="1300"/>
            <w:shd w:fill="D9E2F3" w:val="clear"/>
            <w:tcMar>
              <w:top w:type="dxa" w:w="70"/>
              <w:left w:type="dxa" w:w="100"/>
              <w:bottom w:type="dxa" w:w="70"/>
              <w:right w:type="dxa" w:w="100"/>
            </w:tcMar>
          </w:tcPr>
          <w:p>
            <w:r>
              <w:rPr>
                <w:b/>
                <w:bCs/>
                <w:sz w:val="20"/>
                <w:szCs w:val="20"/>
              </w:rPr>
              <w:t xml:space="preserve">Loss</w:t>
            </w:r>
          </w:p>
        </w:tc>
        <w:tc>
          <w:tcPr>
            <w:tcW w:type="dxa" w:w="2000"/>
            <w:shd w:fill="D9E2F3" w:val="clear"/>
            <w:tcMar>
              <w:top w:type="dxa" w:w="70"/>
              <w:left w:type="dxa" w:w="100"/>
              <w:bottom w:type="dxa" w:w="70"/>
              <w:right w:type="dxa" w:w="100"/>
            </w:tcMar>
          </w:tcPr>
          <w:p>
            <w:r>
              <w:rPr>
                <w:b/>
                <w:bCs/>
                <w:sz w:val="20"/>
                <w:szCs w:val="20"/>
              </w:rPr>
              <w:t xml:space="preserve">Baseline overhead</w:t>
            </w:r>
          </w:p>
        </w:tc>
        <w:tc>
          <w:tcPr>
            <w:tcW w:type="dxa" w:w="2000"/>
            <w:shd w:fill="D9E2F3" w:val="clear"/>
            <w:tcMar>
              <w:top w:type="dxa" w:w="70"/>
              <w:left w:type="dxa" w:w="100"/>
              <w:bottom w:type="dxa" w:w="70"/>
              <w:right w:type="dxa" w:w="100"/>
            </w:tcMar>
          </w:tcPr>
          <w:p>
            <w:r>
              <w:rPr>
                <w:b/>
                <w:bCs/>
                <w:sz w:val="20"/>
                <w:szCs w:val="20"/>
              </w:rPr>
              <w:t xml:space="preserve">Improved overhead</w:t>
            </w:r>
          </w:p>
        </w:tc>
        <w:tc>
          <w:tcPr>
            <w:tcW w:type="dxa" w:w="2400"/>
            <w:shd w:fill="D9E2F3" w:val="clear"/>
            <w:tcMar>
              <w:top w:type="dxa" w:w="70"/>
              <w:left w:type="dxa" w:w="100"/>
              <w:bottom w:type="dxa" w:w="70"/>
              <w:right w:type="dxa" w:w="100"/>
            </w:tcMar>
          </w:tcPr>
          <w:p>
            <w:r>
              <w:rPr>
                <w:b/>
                <w:bCs/>
                <w:sz w:val="20"/>
                <w:szCs w:val="20"/>
              </w:rPr>
              <w:t xml:space="preserve">Transfer time (base → impr)</w:t>
            </w:r>
          </w:p>
        </w:tc>
        <w:tc>
          <w:tcPr>
            <w:tcW w:type="dxa" w:w="1600"/>
            <w:shd w:fill="D9E2F3" w:val="clear"/>
            <w:tcMar>
              <w:top w:type="dxa" w:w="70"/>
              <w:left w:type="dxa" w:w="100"/>
              <w:bottom w:type="dxa" w:w="70"/>
              <w:right w:type="dxa" w:w="100"/>
            </w:tcMar>
          </w:tcPr>
          <w:p>
            <w:r>
              <w:rPr>
                <w:b/>
                <w:bCs/>
                <w:sz w:val="20"/>
                <w:szCs w:val="20"/>
              </w:rPr>
              <w:t xml:space="preserve">Timeouts (base → impr)</w:t>
            </w:r>
          </w:p>
        </w:tc>
      </w:tr>
      <w:tr>
        <w:tc>
          <w:tcPr>
            <w:tcW w:type="dxa" w:w="1300"/>
            <w:tcMar>
              <w:top w:type="dxa" w:w="70"/>
              <w:left w:type="dxa" w:w="100"/>
              <w:bottom w:type="dxa" w:w="70"/>
              <w:right w:type="dxa" w:w="100"/>
            </w:tcMar>
          </w:tcPr>
          <w:p>
            <w:r>
              <w:rPr>
                <w:b w:val="false"/>
                <w:bCs w:val="false"/>
                <w:sz w:val="20"/>
                <w:szCs w:val="20"/>
              </w:rPr>
              <w:t xml:space="preserve">0%</w:t>
            </w:r>
          </w:p>
        </w:tc>
        <w:tc>
          <w:tcPr>
            <w:tcW w:type="dxa" w:w="2000"/>
            <w:tcMar>
              <w:top w:type="dxa" w:w="70"/>
              <w:left w:type="dxa" w:w="100"/>
              <w:bottom w:type="dxa" w:w="70"/>
              <w:right w:type="dxa" w:w="100"/>
            </w:tcMar>
          </w:tcPr>
          <w:p>
            <w:r>
              <w:rPr>
                <w:b w:val="false"/>
                <w:bCs w:val="false"/>
                <w:sz w:val="20"/>
                <w:szCs w:val="20"/>
              </w:rPr>
              <w:t xml:space="preserve">0.0%</w:t>
            </w:r>
          </w:p>
        </w:tc>
        <w:tc>
          <w:tcPr>
            <w:tcW w:type="dxa" w:w="2000"/>
            <w:tcMar>
              <w:top w:type="dxa" w:w="70"/>
              <w:left w:type="dxa" w:w="100"/>
              <w:bottom w:type="dxa" w:w="70"/>
              <w:right w:type="dxa" w:w="100"/>
            </w:tcMar>
          </w:tcPr>
          <w:p>
            <w:r>
              <w:rPr>
                <w:b w:val="false"/>
                <w:bCs w:val="false"/>
                <w:sz w:val="20"/>
                <w:szCs w:val="20"/>
              </w:rPr>
              <w:t xml:space="preserve">0.0%</w:t>
            </w:r>
          </w:p>
        </w:tc>
        <w:tc>
          <w:tcPr>
            <w:tcW w:type="dxa" w:w="2400"/>
            <w:tcMar>
              <w:top w:type="dxa" w:w="70"/>
              <w:left w:type="dxa" w:w="100"/>
              <w:bottom w:type="dxa" w:w="70"/>
              <w:right w:type="dxa" w:w="100"/>
            </w:tcMar>
          </w:tcPr>
          <w:p>
            <w:r>
              <w:rPr>
                <w:b w:val="false"/>
                <w:bCs w:val="false"/>
                <w:sz w:val="20"/>
                <w:szCs w:val="20"/>
              </w:rPr>
              <w:t xml:space="preserve">1.10 s → 1.07 s</w:t>
            </w:r>
          </w:p>
        </w:tc>
        <w:tc>
          <w:tcPr>
            <w:tcW w:type="dxa" w:w="1600"/>
            <w:tcMar>
              <w:top w:type="dxa" w:w="70"/>
              <w:left w:type="dxa" w:w="100"/>
              <w:bottom w:type="dxa" w:w="70"/>
              <w:right w:type="dxa" w:w="100"/>
            </w:tcMar>
          </w:tcPr>
          <w:p>
            <w:r>
              <w:rPr>
                <w:b w:val="false"/>
                <w:bCs w:val="false"/>
                <w:sz w:val="20"/>
                <w:szCs w:val="20"/>
              </w:rPr>
              <w:t xml:space="preserve">0.0 → 0.0</w:t>
            </w:r>
          </w:p>
        </w:tc>
      </w:tr>
      <w:tr>
        <w:tc>
          <w:tcPr>
            <w:tcW w:type="dxa" w:w="1300"/>
            <w:tcMar>
              <w:top w:type="dxa" w:w="70"/>
              <w:left w:type="dxa" w:w="100"/>
              <w:bottom w:type="dxa" w:w="70"/>
              <w:right w:type="dxa" w:w="100"/>
            </w:tcMar>
          </w:tcPr>
          <w:p>
            <w:r>
              <w:rPr>
                <w:b w:val="false"/>
                <w:bCs w:val="false"/>
                <w:sz w:val="20"/>
                <w:szCs w:val="20"/>
              </w:rPr>
              <w:t xml:space="preserve">1%</w:t>
            </w:r>
          </w:p>
        </w:tc>
        <w:tc>
          <w:tcPr>
            <w:tcW w:type="dxa" w:w="2000"/>
            <w:tcMar>
              <w:top w:type="dxa" w:w="70"/>
              <w:left w:type="dxa" w:w="100"/>
              <w:bottom w:type="dxa" w:w="70"/>
              <w:right w:type="dxa" w:w="100"/>
            </w:tcMar>
          </w:tcPr>
          <w:p>
            <w:r>
              <w:rPr>
                <w:b w:val="false"/>
                <w:bCs w:val="false"/>
                <w:sz w:val="20"/>
                <w:szCs w:val="20"/>
              </w:rPr>
              <w:t xml:space="preserve">8.4%</w:t>
            </w:r>
          </w:p>
        </w:tc>
        <w:tc>
          <w:tcPr>
            <w:tcW w:type="dxa" w:w="2000"/>
            <w:tcMar>
              <w:top w:type="dxa" w:w="70"/>
              <w:left w:type="dxa" w:w="100"/>
              <w:bottom w:type="dxa" w:w="70"/>
              <w:right w:type="dxa" w:w="100"/>
            </w:tcMar>
          </w:tcPr>
          <w:p>
            <w:r>
              <w:rPr>
                <w:b w:val="false"/>
                <w:bCs w:val="false"/>
                <w:sz w:val="20"/>
                <w:szCs w:val="20"/>
              </w:rPr>
              <w:t xml:space="preserve">2.8%</w:t>
            </w:r>
          </w:p>
        </w:tc>
        <w:tc>
          <w:tcPr>
            <w:tcW w:type="dxa" w:w="2400"/>
            <w:tcMar>
              <w:top w:type="dxa" w:w="70"/>
              <w:left w:type="dxa" w:w="100"/>
              <w:bottom w:type="dxa" w:w="70"/>
              <w:right w:type="dxa" w:w="100"/>
            </w:tcMar>
          </w:tcPr>
          <w:p>
            <w:r>
              <w:rPr>
                <w:b w:val="false"/>
                <w:bCs w:val="false"/>
                <w:sz w:val="20"/>
                <w:szCs w:val="20"/>
              </w:rPr>
              <w:t xml:space="preserve">1.23 s → 1.22 s</w:t>
            </w:r>
          </w:p>
        </w:tc>
        <w:tc>
          <w:tcPr>
            <w:tcW w:type="dxa" w:w="1600"/>
            <w:tcMar>
              <w:top w:type="dxa" w:w="70"/>
              <w:left w:type="dxa" w:w="100"/>
              <w:bottom w:type="dxa" w:w="70"/>
              <w:right w:type="dxa" w:w="100"/>
            </w:tcMar>
          </w:tcPr>
          <w:p>
            <w:r>
              <w:rPr>
                <w:b w:val="false"/>
                <w:bCs w:val="false"/>
                <w:sz w:val="20"/>
                <w:szCs w:val="20"/>
              </w:rPr>
              <w:t xml:space="preserve">0.0 → 0.6</w:t>
            </w:r>
          </w:p>
        </w:tc>
      </w:tr>
      <w:tr>
        <w:tc>
          <w:tcPr>
            <w:tcW w:type="dxa" w:w="1300"/>
            <w:tcMar>
              <w:top w:type="dxa" w:w="70"/>
              <w:left w:type="dxa" w:w="100"/>
              <w:bottom w:type="dxa" w:w="70"/>
              <w:right w:type="dxa" w:w="100"/>
            </w:tcMar>
          </w:tcPr>
          <w:p>
            <w:r>
              <w:rPr>
                <w:b w:val="false"/>
                <w:bCs w:val="false"/>
                <w:sz w:val="20"/>
                <w:szCs w:val="20"/>
              </w:rPr>
              <w:t xml:space="preserve">5%</w:t>
            </w:r>
          </w:p>
        </w:tc>
        <w:tc>
          <w:tcPr>
            <w:tcW w:type="dxa" w:w="2000"/>
            <w:tcMar>
              <w:top w:type="dxa" w:w="70"/>
              <w:left w:type="dxa" w:w="100"/>
              <w:bottom w:type="dxa" w:w="70"/>
              <w:right w:type="dxa" w:w="100"/>
            </w:tcMar>
          </w:tcPr>
          <w:p>
            <w:r>
              <w:rPr>
                <w:b w:val="false"/>
                <w:bCs w:val="false"/>
                <w:sz w:val="20"/>
                <w:szCs w:val="20"/>
              </w:rPr>
              <w:t xml:space="preserve">31.8%</w:t>
            </w:r>
          </w:p>
        </w:tc>
        <w:tc>
          <w:tcPr>
            <w:tcW w:type="dxa" w:w="2000"/>
            <w:tcMar>
              <w:top w:type="dxa" w:w="70"/>
              <w:left w:type="dxa" w:w="100"/>
              <w:bottom w:type="dxa" w:w="70"/>
              <w:right w:type="dxa" w:w="100"/>
            </w:tcMar>
          </w:tcPr>
          <w:p>
            <w:r>
              <w:rPr>
                <w:b w:val="false"/>
                <w:bCs w:val="false"/>
                <w:sz w:val="20"/>
                <w:szCs w:val="20"/>
              </w:rPr>
              <w:t xml:space="preserve">14.0%</w:t>
            </w:r>
          </w:p>
        </w:tc>
        <w:tc>
          <w:tcPr>
            <w:tcW w:type="dxa" w:w="2400"/>
            <w:tcMar>
              <w:top w:type="dxa" w:w="70"/>
              <w:left w:type="dxa" w:w="100"/>
              <w:bottom w:type="dxa" w:w="70"/>
              <w:right w:type="dxa" w:w="100"/>
            </w:tcMar>
          </w:tcPr>
          <w:p>
            <w:r>
              <w:rPr>
                <w:b w:val="false"/>
                <w:bCs w:val="false"/>
                <w:sz w:val="20"/>
                <w:szCs w:val="20"/>
              </w:rPr>
              <w:t xml:space="preserve">2.02 s → 1.70 s</w:t>
            </w:r>
          </w:p>
        </w:tc>
        <w:tc>
          <w:tcPr>
            <w:tcW w:type="dxa" w:w="1600"/>
            <w:tcMar>
              <w:top w:type="dxa" w:w="70"/>
              <w:left w:type="dxa" w:w="100"/>
              <w:bottom w:type="dxa" w:w="70"/>
              <w:right w:type="dxa" w:w="100"/>
            </w:tcMar>
          </w:tcPr>
          <w:p>
            <w:r>
              <w:rPr>
                <w:b w:val="false"/>
                <w:bCs w:val="false"/>
                <w:sz w:val="20"/>
                <w:szCs w:val="20"/>
              </w:rPr>
              <w:t xml:space="preserve">0.6 → 7.9</w:t>
            </w:r>
          </w:p>
        </w:tc>
      </w:tr>
      <w:tr>
        <w:tc>
          <w:tcPr>
            <w:tcW w:type="dxa" w:w="1300"/>
            <w:tcMar>
              <w:top w:type="dxa" w:w="70"/>
              <w:left w:type="dxa" w:w="100"/>
              <w:bottom w:type="dxa" w:w="70"/>
              <w:right w:type="dxa" w:w="100"/>
            </w:tcMar>
          </w:tcPr>
          <w:p>
            <w:r>
              <w:rPr>
                <w:b w:val="false"/>
                <w:bCs w:val="false"/>
                <w:sz w:val="20"/>
                <w:szCs w:val="20"/>
              </w:rPr>
              <w:t xml:space="preserve">10%</w:t>
            </w:r>
          </w:p>
        </w:tc>
        <w:tc>
          <w:tcPr>
            <w:tcW w:type="dxa" w:w="2000"/>
            <w:tcMar>
              <w:top w:type="dxa" w:w="70"/>
              <w:left w:type="dxa" w:w="100"/>
              <w:bottom w:type="dxa" w:w="70"/>
              <w:right w:type="dxa" w:w="100"/>
            </w:tcMar>
          </w:tcPr>
          <w:p>
            <w:r>
              <w:rPr>
                <w:b w:val="false"/>
                <w:bCs w:val="false"/>
                <w:sz w:val="20"/>
                <w:szCs w:val="20"/>
              </w:rPr>
              <w:t xml:space="preserve">47.4%</w:t>
            </w:r>
          </w:p>
        </w:tc>
        <w:tc>
          <w:tcPr>
            <w:tcW w:type="dxa" w:w="2000"/>
            <w:tcMar>
              <w:top w:type="dxa" w:w="70"/>
              <w:left w:type="dxa" w:w="100"/>
              <w:bottom w:type="dxa" w:w="70"/>
              <w:right w:type="dxa" w:w="100"/>
            </w:tcMar>
          </w:tcPr>
          <w:p>
            <w:r>
              <w:rPr>
                <w:b w:val="false"/>
                <w:bCs w:val="false"/>
                <w:sz w:val="20"/>
                <w:szCs w:val="20"/>
              </w:rPr>
              <w:t xml:space="preserve">21.8%</w:t>
            </w:r>
          </w:p>
        </w:tc>
        <w:tc>
          <w:tcPr>
            <w:tcW w:type="dxa" w:w="2400"/>
            <w:tcMar>
              <w:top w:type="dxa" w:w="70"/>
              <w:left w:type="dxa" w:w="100"/>
              <w:bottom w:type="dxa" w:w="70"/>
              <w:right w:type="dxa" w:w="100"/>
            </w:tcMar>
          </w:tcPr>
          <w:p>
            <w:r>
              <w:rPr>
                <w:b w:val="false"/>
                <w:bCs w:val="false"/>
                <w:sz w:val="20"/>
                <w:szCs w:val="20"/>
              </w:rPr>
              <w:t xml:space="preserve">3.14 s → 2.09 s</w:t>
            </w:r>
          </w:p>
        </w:tc>
        <w:tc>
          <w:tcPr>
            <w:tcW w:type="dxa" w:w="1600"/>
            <w:tcMar>
              <w:top w:type="dxa" w:w="70"/>
              <w:left w:type="dxa" w:w="100"/>
              <w:bottom w:type="dxa" w:w="70"/>
              <w:right w:type="dxa" w:w="100"/>
            </w:tcMar>
          </w:tcPr>
          <w:p>
            <w:r>
              <w:rPr>
                <w:b w:val="false"/>
                <w:bCs w:val="false"/>
                <w:sz w:val="20"/>
                <w:szCs w:val="20"/>
              </w:rPr>
              <w:t xml:space="preserve">2.9 → 22.1</w:t>
            </w:r>
          </w:p>
        </w:tc>
      </w:tr>
    </w:tbl>
    <w:p>
      <w:pPr>
        <w:spacing w:after="160"/>
      </w:pPr>
    </w:p>
    <w:p>
      <w:pPr>
        <w:spacing w:after="60" w:before="120"/>
        <w:jc w:val="center"/>
      </w:pPr>
      <w:r>
        <w:drawing>
          <wp:inline distT="0" distB="0" distL="0" distR="0">
            <wp:extent cx="3810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505075"/>
                    </a:xfrm>
                    <a:prstGeom prst="rect">
                      <a:avLst/>
                    </a:prstGeom>
                  </pic:spPr>
                </pic:pic>
              </a:graphicData>
            </a:graphic>
          </wp:inline>
        </w:drawing>
      </w:r>
    </w:p>
    <w:p>
      <w:pPr>
        <w:spacing w:after="220"/>
        <w:jc w:val="center"/>
      </w:pPr>
      <w:r>
        <w:rPr>
          <w:i/>
          <w:iCs/>
          <w:color w:val="555555"/>
          <w:sz w:val="20"/>
          <w:szCs w:val="20"/>
        </w:rPr>
        <w:t xml:space="preserve">Figure 1 — Throughput vs. loss rate (error bars: std. dev.)</w:t>
      </w:r>
    </w:p>
    <w:p>
      <w:pPr>
        <w:spacing w:after="60" w:before="120"/>
        <w:jc w:val="center"/>
      </w:pPr>
      <w:r>
        <w:drawing>
          <wp:inline distT="0" distB="0" distL="0" distR="0">
            <wp:extent cx="3810000" cy="2505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505075"/>
                    </a:xfrm>
                    <a:prstGeom prst="rect">
                      <a:avLst/>
                    </a:prstGeom>
                  </pic:spPr>
                </pic:pic>
              </a:graphicData>
            </a:graphic>
          </wp:inline>
        </w:drawing>
      </w:r>
    </w:p>
    <w:p>
      <w:pPr>
        <w:spacing w:after="220"/>
        <w:jc w:val="center"/>
      </w:pPr>
      <w:r>
        <w:rPr>
          <w:i/>
          <w:iCs/>
          <w:color w:val="555555"/>
          <w:sz w:val="20"/>
          <w:szCs w:val="20"/>
        </w:rPr>
        <w:t xml:space="preserve">Figure 2 — Retransmission overhead vs. loss rate</w:t>
      </w:r>
    </w:p>
    <w:p>
      <w:pPr>
        <w:spacing w:after="60" w:before="120"/>
        <w:jc w:val="center"/>
      </w:pPr>
      <w:r>
        <w:drawing>
          <wp:inline distT="0" distB="0" distL="0" distR="0">
            <wp:extent cx="4000500" cy="2466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66975"/>
                    </a:xfrm>
                    <a:prstGeom prst="rect">
                      <a:avLst/>
                    </a:prstGeom>
                  </pic:spPr>
                </pic:pic>
              </a:graphicData>
            </a:graphic>
          </wp:inline>
        </w:drawing>
      </w:r>
    </w:p>
    <w:p>
      <w:pPr>
        <w:spacing w:after="220"/>
        <w:jc w:val="center"/>
      </w:pPr>
      <w:r>
        <w:rPr>
          <w:i/>
          <w:iCs/>
          <w:color w:val="555555"/>
          <w:sz w:val="20"/>
          <w:szCs w:val="20"/>
        </w:rPr>
        <w:t xml:space="preserve">Figure 3 — Congestion window over time, representative run at 5% loss (ticks = retransmissions)</w:t>
      </w:r>
    </w:p>
    <w:p>
      <w:pPr>
        <w:spacing w:after="60" w:before="120"/>
        <w:jc w:val="center"/>
      </w:pPr>
      <w:r>
        <w:drawing>
          <wp:inline distT="0" distB="0" distL="0" distR="0">
            <wp:extent cx="4476750" cy="1752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752600"/>
                    </a:xfrm>
                    <a:prstGeom prst="rect">
                      <a:avLst/>
                    </a:prstGeom>
                  </pic:spPr>
                </pic:pic>
              </a:graphicData>
            </a:graphic>
          </wp:inline>
        </w:drawing>
      </w:r>
    </w:p>
    <w:p>
      <w:pPr>
        <w:spacing w:after="220"/>
        <w:jc w:val="center"/>
      </w:pPr>
      <w:r>
        <w:rPr>
          <w:i/>
          <w:iCs/>
          <w:color w:val="555555"/>
          <w:sz w:val="20"/>
          <w:szCs w:val="20"/>
        </w:rPr>
        <w:t xml:space="preserve">Figure 4 — Goodput around a total-loss burst (left) and cost of the burst (right)</w:t>
      </w:r>
    </w:p>
    <w:p>
      <w:pPr>
        <w:spacing w:after="60" w:before="120"/>
        <w:jc w:val="center"/>
      </w:pPr>
      <w:r>
        <w:drawing>
          <wp:inline distT="0" distB="0" distL="0" distR="0">
            <wp:extent cx="3810000"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505075"/>
                    </a:xfrm>
                    <a:prstGeom prst="rect">
                      <a:avLst/>
                    </a:prstGeom>
                  </pic:spPr>
                </pic:pic>
              </a:graphicData>
            </a:graphic>
          </wp:inline>
        </w:drawing>
      </w:r>
    </w:p>
    <w:p>
      <w:pPr>
        <w:spacing w:after="220"/>
        <w:jc w:val="center"/>
      </w:pPr>
      <w:r>
        <w:rPr>
          <w:i/>
          <w:iCs/>
          <w:color w:val="555555"/>
          <w:sz w:val="20"/>
          <w:szCs w:val="20"/>
        </w:rPr>
        <w:t xml:space="preserve">Figure 5 — Run-to-run throughput variability (coefficient of variation)</w:t>
      </w:r>
    </w:p>
    <w:p>
      <w:pPr>
        <w:spacing w:after="60" w:before="120"/>
        <w:jc w:val="center"/>
      </w:pPr>
      <w:r>
        <w:drawing>
          <wp:inline distT="0" distB="0" distL="0" distR="0">
            <wp:extent cx="4476750" cy="17907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90700"/>
                    </a:xfrm>
                    <a:prstGeom prst="rect">
                      <a:avLst/>
                    </a:prstGeom>
                  </pic:spPr>
                </pic:pic>
              </a:graphicData>
            </a:graphic>
          </wp:inline>
        </w:drawing>
      </w:r>
    </w:p>
    <w:p>
      <w:pPr>
        <w:spacing w:after="220"/>
        <w:jc w:val="center"/>
      </w:pPr>
      <w:r>
        <w:rPr>
          <w:i/>
          <w:iCs/>
          <w:color w:val="555555"/>
          <w:sz w:val="20"/>
          <w:szCs w:val="20"/>
        </w:rPr>
        <w:t xml:space="preserve">Figure 6 — Effect of packet reordering at 5% loss</w:t>
      </w:r>
    </w:p>
    <w:p>
      <w:pPr>
        <w:pStyle w:val="Heading1"/>
        <w:spacing w:after="140" w:before="300"/>
      </w:pPr>
      <w:r>
        <w:t xml:space="preserve">Discussion on Results</w:t>
      </w:r>
    </w:p>
    <w:p>
      <w:pPr>
        <w:pStyle w:val="Heading2"/>
        <w:spacing w:after="100" w:before="200"/>
      </w:pPr>
      <w:r>
        <w:t xml:space="preserve">Comparison with the existing work (UDT)</w:t>
      </w:r>
    </w:p>
    <w:p>
      <w:pPr>
        <w:spacing w:after="140"/>
      </w:pPr>
      <w:r>
        <w:t xml:space="preserve">UDT (Gu &amp; Grossman, 2007) targets high-speed, high-bandwidth-delay-product links with low loss. Its Go-Back-N-style loss handling and timer-driven retransmission are adequate there, but the results show the cost on lossy links: the UDT-style baseline wastes a large share of its transmissions on redundant retransmissions, because a single loss causes the whole outstanding window to be resent.</w:t>
      </w:r>
    </w:p>
    <w:p>
      <w:pPr>
        <w:pStyle w:val="Heading2"/>
        <w:spacing w:after="100" w:before="200"/>
      </w:pPr>
      <w:r>
        <w:t xml:space="preserve">Improvement achieved</w:t>
      </w:r>
    </w:p>
    <w:p>
      <w:pPr>
        <w:pStyle w:val="ListParagraph"/>
        <w:numPr>
          <w:ilvl w:val="0"/>
          <w:numId w:val="2"/>
        </w:numPr>
        <w:spacing w:after="70"/>
      </w:pPr>
      <w:r>
        <w:t xml:space="preserve">Throughput: at 5% loss 1.05 → 1.24 Mbps, and at 10% loss 0.69 → 1.02 Mbps (Table 1).</w:t>
      </w:r>
    </w:p>
    <w:p>
      <w:pPr>
        <w:pStyle w:val="ListParagraph"/>
        <w:numPr>
          <w:ilvl w:val="0"/>
          <w:numId w:val="2"/>
        </w:numPr>
        <w:spacing w:after="70"/>
      </w:pPr>
      <w:r>
        <w:t xml:space="preserve">Retransmission overhead roughly halves: 31.8% → 14.0% at 5% loss and 47.4% → 21.8% at 10% loss (Table 2, Figure 2).</w:t>
      </w:r>
    </w:p>
    <w:p>
      <w:pPr>
        <w:pStyle w:val="ListParagraph"/>
        <w:numPr>
          <w:ilvl w:val="0"/>
          <w:numId w:val="2"/>
        </w:numPr>
        <w:spacing w:after="70"/>
      </w:pPr>
      <w:r>
        <w:t xml:space="preserve">No penalty on a clean link: at 0% loss both versions perform alike (1.90 vs 1.97 Mbps) with no retransmissions. At 1% loss the two are statistically tied on throughput (1.73 vs 1.72 Mbps) although the improved version already retransmits about a third as much; the throughput gap opens up from 5% loss upward.</w:t>
      </w:r>
    </w:p>
    <w:p>
      <w:pPr>
        <w:pStyle w:val="ListParagraph"/>
        <w:numPr>
          <w:ilvl w:val="0"/>
          <w:numId w:val="2"/>
        </w:numPr>
        <w:spacing w:after="70"/>
      </w:pPr>
      <w:r>
        <w:t xml:space="preserve">Reordering: with 5% loss plus 5% / 15% packet reordering the improved version keeps a clear lead (0.97 → 1.38 Mbps and 0.74 → 1.07 Mbps; overhead 52% → 15% and 66% → 22%), because Selective Repeat buffers out-of-order packets while Go-Back-N discards them (Figure 6).</w:t>
      </w:r>
    </w:p>
    <w:p>
      <w:pPr>
        <w:pStyle w:val="ListParagraph"/>
        <w:numPr>
          <w:ilvl w:val="0"/>
          <w:numId w:val="2"/>
        </w:numPr>
        <w:spacing w:after="70"/>
      </w:pPr>
      <w:r>
        <w:t xml:space="preserve">Stability: run-to-run throughput variance is clearly lower for the improved version (Figure 5), because it does not oscillate through repeated full-window resends.</w:t>
      </w:r>
    </w:p>
    <w:p>
      <w:pPr>
        <w:pStyle w:val="ListParagraph"/>
        <w:numPr>
          <w:ilvl w:val="0"/>
          <w:numId w:val="2"/>
        </w:numPr>
        <w:spacing w:after="70"/>
      </w:pPr>
      <w:r>
        <w:t xml:space="preserve">Loss burst (0.8 s total outage at 5% background loss, large file): both versions resume as soon as the channel returns, so burst-recovery latency itself is similar. The difference is what follows: the improved version sustains a steadier goodput and finishes in 8.2 s vs. 12.8 s with 14.0% vs. 43.1% overhead (Figure 4).</w:t>
      </w:r>
    </w:p>
    <w:p>
      <w:pPr>
        <w:pStyle w:val="Heading2"/>
        <w:spacing w:after="100" w:before="200"/>
      </w:pPr>
      <w:r>
        <w:t xml:space="preserve">Why it works</w:t>
      </w:r>
    </w:p>
    <w:p>
      <w:pPr>
        <w:spacing w:after="140"/>
      </w:pPr>
      <w:r>
        <w:t xml:space="preserve">Selective Repeat retransmits only packets that are actually missing, which removes the redundant copies; keeping the in-flight window full while a hole is repaired avoids stalling the pipe. The adaptive RTO tracks the measured round-trip time (about 50 ms here) instead of waiting a fixed 200 ms, so genuine losses are recovered sooner. Congestion control is the same shared DAIMD code in both versions, so the measured gain is attributable to the ARQ and timer changes alone, without affecting fairness/stability of the congestion response.</w:t>
      </w:r>
    </w:p>
    <w:p>
      <w:pPr>
        <w:pStyle w:val="Heading2"/>
        <w:spacing w:after="100" w:before="200"/>
      </w:pPr>
      <w:r>
        <w:t xml:space="preserve">Limitations and honest caveats</w:t>
      </w:r>
    </w:p>
    <w:p>
      <w:pPr>
        <w:pStyle w:val="ListParagraph"/>
        <w:numPr>
          <w:ilvl w:val="0"/>
          <w:numId w:val="2"/>
        </w:numPr>
        <w:spacing w:after="70"/>
      </w:pPr>
      <w:r>
        <w:t xml:space="preserve">The improved sender takes more timeouts than the baseline (Table 2): the baseline mostly avoids timers by flooding the window after each NAK, which is exactly the redundancy that costs it throughput. Adaptive-RTO timeouts are cheap backstops rather than a defect.</w:t>
      </w:r>
    </w:p>
    <w:p>
      <w:pPr>
        <w:pStyle w:val="ListParagraph"/>
        <w:numPr>
          <w:ilvl w:val="0"/>
          <w:numId w:val="2"/>
        </w:numPr>
        <w:spacing w:after="70"/>
      </w:pPr>
      <w:r>
        <w:t xml:space="preserve">Evaluation is on a single machine over loopback with an artificial loss/delay model, not a real WAN; absolute Mbps figures are therefore small and only the relative comparison is meaningful. The baseline is a faithful but simplified, window-based UDT-style implementation (not the original UDT library), and its DAIMD is a window-based analogue of UDT's rate-based algorithm.</w:t>
      </w:r>
    </w:p>
    <w:p>
      <w:pPr>
        <w:pStyle w:val="ListParagraph"/>
        <w:numPr>
          <w:ilvl w:val="0"/>
          <w:numId w:val="2"/>
        </w:numPr>
        <w:spacing w:after="70"/>
      </w:pPr>
      <w:r>
        <w:t xml:space="preserve">Results are for a 256 KB file; larger transfers (2 MB) showed a larger gap (roughly 2× faster at 10% loss) in validation runs.</w:t>
      </w:r>
    </w:p>
    <w:p>
      <w:pPr>
        <w:pStyle w:val="Heading2"/>
        <w:spacing w:after="100" w:before="200"/>
      </w:pPr>
      <w:r>
        <w:t xml:space="preserve">Conclusion</w:t>
      </w:r>
    </w:p>
    <w:p>
      <w:pPr>
        <w:spacing w:after="140"/>
      </w:pPr>
      <w:r>
        <w:t xml:space="preserve">Replacing the fixed timer and Go-Back-N recovery of a UDT-style UDP transport with an adaptive RTO and Selective Repeat yields a measurable improvement under loss — higher throughput, about half the retransmission overhead, and more stable behaviour — while matching the baseline on a loss-free link.</w:t>
      </w:r>
    </w:p>
    <w:sectPr>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1545035b0fba1dd486922b9748c97347eb2d0e0.png"/><Relationship Id="rId8" Type="http://schemas.openxmlformats.org/officeDocument/2006/relationships/image" Target="media/3c15e7301bdc2079c20b945d3d48d6e05847fb06.png"/><Relationship Id="rId9" Type="http://schemas.openxmlformats.org/officeDocument/2006/relationships/image" Target="media/71ea6c8b619795208771b372f0b9c7fcfb850cee.png"/><Relationship Id="rId10" Type="http://schemas.openxmlformats.org/officeDocument/2006/relationships/image" Target="media/0491fccc1de088f6a2bf9a5c8d05763b32bde94f.png"/><Relationship Id="rId11" Type="http://schemas.openxmlformats.org/officeDocument/2006/relationships/image" Target="media/9641827117620da1b995a5a193ef73ddfa129739.png"/><Relationship Id="rId12" Type="http://schemas.openxmlformats.org/officeDocument/2006/relationships/image" Target="media/a8e49839be0a33e417b09053214f157755a3542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2026-10-08T06:44:01.446Z</dcterms:created>
  <dcterms:modified xsi:type="dcterms:W3CDTF">2026-10-08T06:44:01.452Z</dcterms:modified>
</cp:coreProperties>
</file>

<file path=docProps/custom.xml><?xml version="1.0" encoding="utf-8"?>
<Properties xmlns="http://schemas.openxmlformats.org/officeDocument/2006/custom-properties" xmlns:vt="http://schemas.openxmlformats.org/officeDocument/2006/docPropsVTypes"/>
</file>