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Improving Loss Recovery in UDP-Based Reliable File Transfer: Adaptive RTO with Selective Repeat over UDT-Style Congestion Control</w:t>
      </w:r>
    </w:p>
    <w:p>
      <w:pPr>
        <w:spacing w:after="300"/>
      </w:pPr>
      <w:r>
        <w:rPr>
          <w:i/>
          <w:iCs/>
          <w:color w:val="555555"/>
          <w:sz w:val="22"/>
          <w:szCs w:val="22"/>
        </w:rPr>
        <w:t xml:space="preserve">Computer Networks Lab (BCSE308L/P) — Final Submission (Template II)</w:t>
      </w:r>
    </w:p>
    <w:p>
      <w:pPr>
        <w:spacing w:after="240"/>
      </w:pPr>
      <w:r>
        <w:rPr>
          <w:b/>
          <w:bCs/>
        </w:rPr>
        <w:t xml:space="preserve">Submitted by: </w:t>
      </w:r>
      <w:r>
        <w:rPr>
          <w:highlight w:val="yellow"/>
        </w:rPr>
        <w:t xml:space="preserve">Yohann Shroff (Reg. No. ____________)   and   ____________ (Reg. No. ____________)</w:t>
      </w:r>
    </w:p>
    <w:p>
      <w:pPr>
        <w:pStyle w:val="Heading1"/>
        <w:spacing w:after="140" w:before="300"/>
      </w:pPr>
      <w:r>
        <w:t xml:space="preserve">Work Done</w:t>
      </w:r>
    </w:p>
    <w:p>
      <w:pPr>
        <w:spacing w:after="140"/>
      </w:pPr>
      <w:r>
        <w:t xml:space="preserve">A reliable file-transfer protocol was built from scratch over UDP in two versions that share all common code (packet framing, simulated lossy channel, DAIMD congestion control, logging). The baseline is a simplified UDT-style sender: sliding window, checksum, ACK/NAK, Go-Back-N recovery, a fixed 200 ms retransmission timeout and UDT's DAIMD congestion control [1]. Real UDT already retransmits selectively from NAK loss lists; our baseline deliberately uses Go-Back-N, so all gains below are relative to this simplified baseline, not to UDT itself. The improved version changes the loss-recovery path: Selective Repeat with per-packet (selective) ACKs, an out-of-order buffer and fast retransmit replaces Go-Back-N and cumulative ACKs, and an adaptive RTO [2–4] replaces the fixed timer. Both were run over the same simulated channel (0/1/5/10% loss in each direction, 20 ± 5 ms one-way delay, measured RTT ≈ 48 ms; 256 KB file; 10 repeats with the same channel seeds), plus loss-burst and packet-reordering experiments, with every transfer verified byte-for-byte by SHA-256.</w:t>
      </w:r>
    </w:p>
    <w:p>
      <w:pPr>
        <w:spacing w:after="140"/>
      </w:pPr>
      <w:r>
        <w:rPr>
          <w:b/>
          <w:bCs/>
        </w:rPr>
        <w:t xml:space="preserve">Mechanisms and parameters. </w:t>
      </w:r>
      <w:r>
        <w:t xml:space="preserve">DAIMD (decreasing additive increase, multiplicative decrease): the window grows by 1/cwnd per ACK and is multiplied by 8/9 on loss, at most once per loss epoch, identically in both versions. Adaptive RTO (Jacobson/Karels, in RFC 6298 order): RTTVAR ← ¾·RTTVAR + ¼·|SRTT − R|, then SRTT ← ⅞·SRTT + ⅛·R, and RTO = SRTT + 4·RTTVAR, clamped to 100 ms – 2 s. Karn's rule: retransmitted packets give no RTT sample, and each timeout doubles the RTO (at most 4 times) until a clean sample arrives. Fast retransmit: after 3 selective ACKs for packets beyond the oldest unacknowledged one, that packet is resent at once.</w:t>
      </w:r>
    </w:p>
    <w:p>
      <w:pPr>
        <w:pStyle w:val="Heading1"/>
        <w:spacing w:after="140" w:before="300"/>
      </w:pPr>
      <w:r>
        <w:t xml:space="preserve">Outputs</w:t>
      </w:r>
    </w:p>
    <w:p>
      <w:pPr>
        <w:pStyle w:val="Heading2"/>
        <w:spacing w:after="100" w:before="200"/>
      </w:pPr>
      <w:r>
        <w:t xml:space="preserve">Table 1 — Throughput (Mbps, mean ± std over repeats)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1900"/>
      </w:tblGrid>
      <w:tr>
        <w:trPr>
          <w:tblHeader/>
        </w:trPr>
        <w:tc>
          <w:tcPr>
            <w:tcW w:type="dxa" w:w="1700"/>
            <w:shd w:fill="D9E2F3" w:val="clear"/>
            <w:tcMar>
              <w:top w:type="dxa" w:w="70"/>
              <w:left w:type="dxa" w:w="100"/>
              <w:bottom w:type="dxa" w:w="70"/>
              <w:right w:type="dxa" w:w="100"/>
            </w:tcMar>
          </w:tcPr>
          <w:p>
            <w:r>
              <w:rPr>
                <w:b/>
                <w:bCs/>
                <w:sz w:val="20"/>
                <w:szCs w:val="20"/>
              </w:rPr>
              <w:t xml:space="preserve">Loss</w:t>
            </w:r>
          </w:p>
        </w:tc>
        <w:tc>
          <w:tcPr>
            <w:tcW w:type="dxa" w:w="2700"/>
            <w:shd w:fill="D9E2F3" w:val="clear"/>
            <w:tcMar>
              <w:top w:type="dxa" w:w="70"/>
              <w:left w:type="dxa" w:w="100"/>
              <w:bottom w:type="dxa" w:w="70"/>
              <w:right w:type="dxa" w:w="100"/>
            </w:tcMar>
          </w:tcPr>
          <w:p>
            <w:r>
              <w:rPr>
                <w:b/>
                <w:bCs/>
                <w:sz w:val="20"/>
                <w:szCs w:val="20"/>
              </w:rPr>
              <w:t xml:space="preserve">Baseline</w:t>
            </w:r>
          </w:p>
        </w:tc>
        <w:tc>
          <w:tcPr>
            <w:tcW w:type="dxa" w:w="2700"/>
            <w:shd w:fill="D9E2F3" w:val="clear"/>
            <w:tcMar>
              <w:top w:type="dxa" w:w="70"/>
              <w:left w:type="dxa" w:w="100"/>
              <w:bottom w:type="dxa" w:w="70"/>
              <w:right w:type="dxa" w:w="100"/>
            </w:tcMar>
          </w:tcPr>
          <w:p>
            <w:r>
              <w:rPr>
                <w:b/>
                <w:bCs/>
                <w:sz w:val="20"/>
                <w:szCs w:val="20"/>
              </w:rPr>
              <w:t xml:space="preserve">Improved</w:t>
            </w:r>
          </w:p>
        </w:tc>
        <w:tc>
          <w:tcPr>
            <w:tcW w:type="dxa" w:w="1900"/>
            <w:shd w:fill="D9E2F3" w:val="clear"/>
            <w:tcMar>
              <w:top w:type="dxa" w:w="70"/>
              <w:left w:type="dxa" w:w="100"/>
              <w:bottom w:type="dxa" w:w="70"/>
              <w:right w:type="dxa" w:w="100"/>
            </w:tcMar>
          </w:tcPr>
          <w:p>
            <w:r>
              <w:rPr>
                <w:b/>
                <w:bCs/>
                <w:sz w:val="20"/>
                <w:szCs w:val="20"/>
              </w:rPr>
              <w:t xml:space="preserve">Change</w:t>
            </w:r>
          </w:p>
        </w:tc>
      </w:tr>
      <w:tr>
        <w:tc>
          <w:tcPr>
            <w:tcW w:type="dxa" w:w="1700"/>
            <w:tcMar>
              <w:top w:type="dxa" w:w="70"/>
              <w:left w:type="dxa" w:w="100"/>
              <w:bottom w:type="dxa" w:w="70"/>
              <w:right w:type="dxa" w:w="100"/>
            </w:tcMar>
          </w:tcPr>
          <w:p>
            <w:r>
              <w:rPr>
                <w:b w:val="false"/>
                <w:bCs w:val="false"/>
                <w:sz w:val="20"/>
                <w:szCs w:val="20"/>
              </w:rPr>
              <w:t xml:space="preserve">0%</w:t>
            </w:r>
          </w:p>
        </w:tc>
        <w:tc>
          <w:tcPr>
            <w:tcW w:type="dxa" w:w="2700"/>
            <w:tcMar>
              <w:top w:type="dxa" w:w="70"/>
              <w:left w:type="dxa" w:w="100"/>
              <w:bottom w:type="dxa" w:w="70"/>
              <w:right w:type="dxa" w:w="100"/>
            </w:tcMar>
          </w:tcPr>
          <w:p>
            <w:r>
              <w:rPr>
                <w:b w:val="false"/>
                <w:bCs w:val="false"/>
                <w:sz w:val="20"/>
                <w:szCs w:val="20"/>
              </w:rPr>
              <w:t xml:space="preserve">1.90 ± 0.10</w:t>
            </w:r>
          </w:p>
        </w:tc>
        <w:tc>
          <w:tcPr>
            <w:tcW w:type="dxa" w:w="2700"/>
            <w:tcMar>
              <w:top w:type="dxa" w:w="70"/>
              <w:left w:type="dxa" w:w="100"/>
              <w:bottom w:type="dxa" w:w="70"/>
              <w:right w:type="dxa" w:w="100"/>
            </w:tcMar>
          </w:tcPr>
          <w:p>
            <w:r>
              <w:rPr>
                <w:b w:val="false"/>
                <w:bCs w:val="false"/>
                <w:sz w:val="20"/>
                <w:szCs w:val="20"/>
              </w:rPr>
              <w:t xml:space="preserve">1.97 ± 0.07</w:t>
            </w:r>
          </w:p>
        </w:tc>
        <w:tc>
          <w:tcPr>
            <w:tcW w:type="dxa" w:w="1900"/>
            <w:tcMar>
              <w:top w:type="dxa" w:w="70"/>
              <w:left w:type="dxa" w:w="100"/>
              <w:bottom w:type="dxa" w:w="70"/>
              <w:right w:type="dxa" w:w="100"/>
            </w:tcMar>
          </w:tcPr>
          <w:p>
            <w:r>
              <w:rPr>
                <w:b w:val="false"/>
                <w:bCs w:val="false"/>
                <w:sz w:val="20"/>
                <w:szCs w:val="20"/>
              </w:rPr>
              <w:t xml:space="preserve">+3% (n.s.)</w:t>
            </w:r>
          </w:p>
        </w:tc>
      </w:tr>
      <w:tr>
        <w:tc>
          <w:tcPr>
            <w:tcW w:type="dxa" w:w="1700"/>
            <w:tcMar>
              <w:top w:type="dxa" w:w="70"/>
              <w:left w:type="dxa" w:w="100"/>
              <w:bottom w:type="dxa" w:w="70"/>
              <w:right w:type="dxa" w:w="100"/>
            </w:tcMar>
          </w:tcPr>
          <w:p>
            <w:r>
              <w:rPr>
                <w:b w:val="false"/>
                <w:bCs w:val="false"/>
                <w:sz w:val="20"/>
                <w:szCs w:val="20"/>
              </w:rPr>
              <w:t xml:space="preserve">1%</w:t>
            </w:r>
          </w:p>
        </w:tc>
        <w:tc>
          <w:tcPr>
            <w:tcW w:type="dxa" w:w="2700"/>
            <w:tcMar>
              <w:top w:type="dxa" w:w="70"/>
              <w:left w:type="dxa" w:w="100"/>
              <w:bottom w:type="dxa" w:w="70"/>
              <w:right w:type="dxa" w:w="100"/>
            </w:tcMar>
          </w:tcPr>
          <w:p>
            <w:r>
              <w:rPr>
                <w:b w:val="false"/>
                <w:bCs w:val="false"/>
                <w:sz w:val="20"/>
                <w:szCs w:val="20"/>
              </w:rPr>
              <w:t xml:space="preserve">1.73 ± 0.17</w:t>
            </w:r>
          </w:p>
        </w:tc>
        <w:tc>
          <w:tcPr>
            <w:tcW w:type="dxa" w:w="2700"/>
            <w:tcMar>
              <w:top w:type="dxa" w:w="70"/>
              <w:left w:type="dxa" w:w="100"/>
              <w:bottom w:type="dxa" w:w="70"/>
              <w:right w:type="dxa" w:w="100"/>
            </w:tcMar>
          </w:tcPr>
          <w:p>
            <w:r>
              <w:rPr>
                <w:b w:val="false"/>
                <w:bCs w:val="false"/>
                <w:sz w:val="20"/>
                <w:szCs w:val="20"/>
              </w:rPr>
              <w:t xml:space="preserve">1.72 ± 0.05</w:t>
            </w:r>
          </w:p>
        </w:tc>
        <w:tc>
          <w:tcPr>
            <w:tcW w:type="dxa" w:w="1900"/>
            <w:tcMar>
              <w:top w:type="dxa" w:w="70"/>
              <w:left w:type="dxa" w:w="100"/>
              <w:bottom w:type="dxa" w:w="70"/>
              <w:right w:type="dxa" w:w="100"/>
            </w:tcMar>
          </w:tcPr>
          <w:p>
            <w:r>
              <w:rPr>
                <w:b w:val="false"/>
                <w:bCs w:val="false"/>
                <w:sz w:val="20"/>
                <w:szCs w:val="20"/>
              </w:rPr>
              <w:t xml:space="preserve">−0.1% (tie)</w:t>
            </w:r>
          </w:p>
        </w:tc>
      </w:tr>
      <w:tr>
        <w:tc>
          <w:tcPr>
            <w:tcW w:type="dxa" w:w="1700"/>
            <w:tcMar>
              <w:top w:type="dxa" w:w="70"/>
              <w:left w:type="dxa" w:w="100"/>
              <w:bottom w:type="dxa" w:w="70"/>
              <w:right w:type="dxa" w:w="100"/>
            </w:tcMar>
          </w:tcPr>
          <w:p>
            <w:r>
              <w:rPr>
                <w:b w:val="false"/>
                <w:bCs w:val="false"/>
                <w:sz w:val="20"/>
                <w:szCs w:val="20"/>
              </w:rPr>
              <w:t xml:space="preserve">5%</w:t>
            </w:r>
          </w:p>
        </w:tc>
        <w:tc>
          <w:tcPr>
            <w:tcW w:type="dxa" w:w="2700"/>
            <w:tcMar>
              <w:top w:type="dxa" w:w="70"/>
              <w:left w:type="dxa" w:w="100"/>
              <w:bottom w:type="dxa" w:w="70"/>
              <w:right w:type="dxa" w:w="100"/>
            </w:tcMar>
          </w:tcPr>
          <w:p>
            <w:r>
              <w:rPr>
                <w:b w:val="false"/>
                <w:bCs w:val="false"/>
                <w:sz w:val="20"/>
                <w:szCs w:val="20"/>
              </w:rPr>
              <w:t xml:space="preserve">1.05 ± 0.14</w:t>
            </w:r>
          </w:p>
        </w:tc>
        <w:tc>
          <w:tcPr>
            <w:tcW w:type="dxa" w:w="2700"/>
            <w:tcMar>
              <w:top w:type="dxa" w:w="70"/>
              <w:left w:type="dxa" w:w="100"/>
              <w:bottom w:type="dxa" w:w="70"/>
              <w:right w:type="dxa" w:w="100"/>
            </w:tcMar>
          </w:tcPr>
          <w:p>
            <w:r>
              <w:rPr>
                <w:b w:val="false"/>
                <w:bCs w:val="false"/>
                <w:sz w:val="20"/>
                <w:szCs w:val="20"/>
              </w:rPr>
              <w:t xml:space="preserve">1.24 ± 0.10</w:t>
            </w:r>
          </w:p>
        </w:tc>
        <w:tc>
          <w:tcPr>
            <w:tcW w:type="dxa" w:w="1900"/>
            <w:tcMar>
              <w:top w:type="dxa" w:w="70"/>
              <w:left w:type="dxa" w:w="100"/>
              <w:bottom w:type="dxa" w:w="70"/>
              <w:right w:type="dxa" w:w="100"/>
            </w:tcMar>
          </w:tcPr>
          <w:p>
            <w:r>
              <w:rPr>
                <w:b w:val="false"/>
                <w:bCs w:val="false"/>
                <w:sz w:val="20"/>
                <w:szCs w:val="20"/>
              </w:rPr>
              <w:t xml:space="preserve">+18%</w:t>
            </w:r>
          </w:p>
        </w:tc>
      </w:tr>
      <w:tr>
        <w:tc>
          <w:tcPr>
            <w:tcW w:type="dxa" w:w="1700"/>
            <w:tcMar>
              <w:top w:type="dxa" w:w="70"/>
              <w:left w:type="dxa" w:w="100"/>
              <w:bottom w:type="dxa" w:w="70"/>
              <w:right w:type="dxa" w:w="100"/>
            </w:tcMar>
          </w:tcPr>
          <w:p>
            <w:r>
              <w:rPr>
                <w:b w:val="false"/>
                <w:bCs w:val="false"/>
                <w:sz w:val="20"/>
                <w:szCs w:val="20"/>
              </w:rPr>
              <w:t xml:space="preserve">10%</w:t>
            </w:r>
          </w:p>
        </w:tc>
        <w:tc>
          <w:tcPr>
            <w:tcW w:type="dxa" w:w="2700"/>
            <w:tcMar>
              <w:top w:type="dxa" w:w="70"/>
              <w:left w:type="dxa" w:w="100"/>
              <w:bottom w:type="dxa" w:w="70"/>
              <w:right w:type="dxa" w:w="100"/>
            </w:tcMar>
          </w:tcPr>
          <w:p>
            <w:r>
              <w:rPr>
                <w:b w:val="false"/>
                <w:bCs w:val="false"/>
                <w:sz w:val="20"/>
                <w:szCs w:val="20"/>
              </w:rPr>
              <w:t xml:space="preserve">0.69 ± 0.12</w:t>
            </w:r>
          </w:p>
        </w:tc>
        <w:tc>
          <w:tcPr>
            <w:tcW w:type="dxa" w:w="2700"/>
            <w:tcMar>
              <w:top w:type="dxa" w:w="70"/>
              <w:left w:type="dxa" w:w="100"/>
              <w:bottom w:type="dxa" w:w="70"/>
              <w:right w:type="dxa" w:w="100"/>
            </w:tcMar>
          </w:tcPr>
          <w:p>
            <w:r>
              <w:rPr>
                <w:b w:val="false"/>
                <w:bCs w:val="false"/>
                <w:sz w:val="20"/>
                <w:szCs w:val="20"/>
              </w:rPr>
              <w:t xml:space="preserve">1.02 ± 0.13</w:t>
            </w:r>
          </w:p>
        </w:tc>
        <w:tc>
          <w:tcPr>
            <w:tcW w:type="dxa" w:w="1900"/>
            <w:tcMar>
              <w:top w:type="dxa" w:w="70"/>
              <w:left w:type="dxa" w:w="100"/>
              <w:bottom w:type="dxa" w:w="70"/>
              <w:right w:type="dxa" w:w="100"/>
            </w:tcMar>
          </w:tcPr>
          <w:p>
            <w:r>
              <w:rPr>
                <w:b w:val="false"/>
                <w:bCs w:val="false"/>
                <w:sz w:val="20"/>
                <w:szCs w:val="20"/>
              </w:rPr>
              <w:t xml:space="preserve">+48%</w:t>
            </w:r>
          </w:p>
        </w:tc>
      </w:tr>
    </w:tbl>
    <w:p>
      <w:pPr>
        <w:spacing w:before="60" w:after="160"/>
      </w:pPr>
      <w:r>
        <w:rPr>
          <w:i/>
          <w:iCs/>
          <w:sz w:val="18"/>
          <w:szCs w:val="18"/>
        </w:rPr>
        <w:t xml:space="preserve">Change = improved vs baseline mean. Welch's t-test on throughput, n = 10 per version: t = 1.4 at 0% and −0.04 at 1% (not significant); t = 3.3 at 5% and 5.7 at 10% (p &lt; 0.01).</w:t>
      </w:r>
    </w:p>
    <w:p>
      <w:pPr>
        <w:pStyle w:val="Heading2"/>
        <w:spacing w:after="100" w:before="200"/>
      </w:pPr>
      <w:r>
        <w:t xml:space="preserve">Table 2 — Retransmission overhead, transfer time and timeouts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2400"/>
        <w:gridCol w:w="1600"/>
      </w:tblGrid>
      <w:tr>
        <w:trPr>
          <w:tblHeader/>
        </w:trPr>
        <w:tc>
          <w:tcPr>
            <w:tcW w:type="dxa" w:w="1300"/>
            <w:shd w:fill="D9E2F3" w:val="clear"/>
            <w:tcMar>
              <w:top w:type="dxa" w:w="70"/>
              <w:left w:type="dxa" w:w="100"/>
              <w:bottom w:type="dxa" w:w="70"/>
              <w:right w:type="dxa" w:w="100"/>
            </w:tcMar>
          </w:tcPr>
          <w:p>
            <w:r>
              <w:rPr>
                <w:b/>
                <w:bCs/>
                <w:sz w:val="20"/>
                <w:szCs w:val="20"/>
              </w:rPr>
              <w:t xml:space="preserve">Loss</w:t>
            </w:r>
          </w:p>
        </w:tc>
        <w:tc>
          <w:tcPr>
            <w:tcW w:type="dxa" w:w="2000"/>
            <w:shd w:fill="D9E2F3" w:val="clear"/>
            <w:tcMar>
              <w:top w:type="dxa" w:w="70"/>
              <w:left w:type="dxa" w:w="100"/>
              <w:bottom w:type="dxa" w:w="70"/>
              <w:right w:type="dxa" w:w="100"/>
            </w:tcMar>
          </w:tcPr>
          <w:p>
            <w:r>
              <w:rPr>
                <w:b/>
                <w:bCs/>
                <w:sz w:val="20"/>
                <w:szCs w:val="20"/>
              </w:rPr>
              <w:t xml:space="preserve">Baseline overhead</w:t>
            </w:r>
          </w:p>
        </w:tc>
        <w:tc>
          <w:tcPr>
            <w:tcW w:type="dxa" w:w="2000"/>
            <w:shd w:fill="D9E2F3" w:val="clear"/>
            <w:tcMar>
              <w:top w:type="dxa" w:w="70"/>
              <w:left w:type="dxa" w:w="100"/>
              <w:bottom w:type="dxa" w:w="70"/>
              <w:right w:type="dxa" w:w="100"/>
            </w:tcMar>
          </w:tcPr>
          <w:p>
            <w:r>
              <w:rPr>
                <w:b/>
                <w:bCs/>
                <w:sz w:val="20"/>
                <w:szCs w:val="20"/>
              </w:rPr>
              <w:t xml:space="preserve">Improved overhead</w:t>
            </w:r>
          </w:p>
        </w:tc>
        <w:tc>
          <w:tcPr>
            <w:tcW w:type="dxa" w:w="2400"/>
            <w:shd w:fill="D9E2F3" w:val="clear"/>
            <w:tcMar>
              <w:top w:type="dxa" w:w="70"/>
              <w:left w:type="dxa" w:w="100"/>
              <w:bottom w:type="dxa" w:w="70"/>
              <w:right w:type="dxa" w:w="100"/>
            </w:tcMar>
          </w:tcPr>
          <w:p>
            <w:r>
              <w:rPr>
                <w:b/>
                <w:bCs/>
                <w:sz w:val="20"/>
                <w:szCs w:val="20"/>
              </w:rPr>
              <w:t xml:space="preserve">Transfer time (base → impr)</w:t>
            </w:r>
          </w:p>
        </w:tc>
        <w:tc>
          <w:tcPr>
            <w:tcW w:type="dxa" w:w="1600"/>
            <w:shd w:fill="D9E2F3" w:val="clear"/>
            <w:tcMar>
              <w:top w:type="dxa" w:w="70"/>
              <w:left w:type="dxa" w:w="100"/>
              <w:bottom w:type="dxa" w:w="70"/>
              <w:right w:type="dxa" w:w="100"/>
            </w:tcMar>
          </w:tcPr>
          <w:p>
            <w:r>
              <w:rPr>
                <w:b/>
                <w:bCs/>
                <w:sz w:val="20"/>
                <w:szCs w:val="20"/>
              </w:rPr>
              <w:t xml:space="preserve">Timeouts (base → impr)</w:t>
            </w:r>
          </w:p>
        </w:tc>
      </w:tr>
      <w:tr>
        <w:tc>
          <w:tcPr>
            <w:tcW w:type="dxa" w:w="1300"/>
            <w:tcMar>
              <w:top w:type="dxa" w:w="70"/>
              <w:left w:type="dxa" w:w="100"/>
              <w:bottom w:type="dxa" w:w="70"/>
              <w:right w:type="dxa" w:w="100"/>
            </w:tcMar>
          </w:tcPr>
          <w:p>
            <w:r>
              <w:rPr>
                <w:b w:val="false"/>
                <w:bCs w:val="false"/>
                <w:sz w:val="20"/>
                <w:szCs w:val="20"/>
              </w:rPr>
              <w:t xml:space="preserve">0%</w:t>
            </w:r>
          </w:p>
        </w:tc>
        <w:tc>
          <w:tcPr>
            <w:tcW w:type="dxa" w:w="2000"/>
            <w:tcMar>
              <w:top w:type="dxa" w:w="70"/>
              <w:left w:type="dxa" w:w="100"/>
              <w:bottom w:type="dxa" w:w="70"/>
              <w:right w:type="dxa" w:w="100"/>
            </w:tcMar>
          </w:tcPr>
          <w:p>
            <w:r>
              <w:rPr>
                <w:b w:val="false"/>
                <w:bCs w:val="false"/>
                <w:sz w:val="20"/>
                <w:szCs w:val="20"/>
              </w:rPr>
              <w:t xml:space="preserve">0.0%</w:t>
            </w:r>
          </w:p>
        </w:tc>
        <w:tc>
          <w:tcPr>
            <w:tcW w:type="dxa" w:w="2000"/>
            <w:tcMar>
              <w:top w:type="dxa" w:w="70"/>
              <w:left w:type="dxa" w:w="100"/>
              <w:bottom w:type="dxa" w:w="70"/>
              <w:right w:type="dxa" w:w="100"/>
            </w:tcMar>
          </w:tcPr>
          <w:p>
            <w:r>
              <w:rPr>
                <w:b w:val="false"/>
                <w:bCs w:val="false"/>
                <w:sz w:val="20"/>
                <w:szCs w:val="20"/>
              </w:rPr>
              <w:t xml:space="preserve">0.0%</w:t>
            </w:r>
          </w:p>
        </w:tc>
        <w:tc>
          <w:tcPr>
            <w:tcW w:type="dxa" w:w="2400"/>
            <w:tcMar>
              <w:top w:type="dxa" w:w="70"/>
              <w:left w:type="dxa" w:w="100"/>
              <w:bottom w:type="dxa" w:w="70"/>
              <w:right w:type="dxa" w:w="100"/>
            </w:tcMar>
          </w:tcPr>
          <w:p>
            <w:r>
              <w:rPr>
                <w:b w:val="false"/>
                <w:bCs w:val="false"/>
                <w:sz w:val="20"/>
                <w:szCs w:val="20"/>
              </w:rPr>
              <w:t xml:space="preserve">1.10 s → 1.07 s</w:t>
            </w:r>
          </w:p>
        </w:tc>
        <w:tc>
          <w:tcPr>
            <w:tcW w:type="dxa" w:w="1600"/>
            <w:tcMar>
              <w:top w:type="dxa" w:w="70"/>
              <w:left w:type="dxa" w:w="100"/>
              <w:bottom w:type="dxa" w:w="70"/>
              <w:right w:type="dxa" w:w="100"/>
            </w:tcMar>
          </w:tcPr>
          <w:p>
            <w:r>
              <w:rPr>
                <w:b w:val="false"/>
                <w:bCs w:val="false"/>
                <w:sz w:val="20"/>
                <w:szCs w:val="20"/>
              </w:rPr>
              <w:t xml:space="preserve">0.0 → 0.0</w:t>
            </w:r>
          </w:p>
        </w:tc>
      </w:tr>
      <w:tr>
        <w:tc>
          <w:tcPr>
            <w:tcW w:type="dxa" w:w="1300"/>
            <w:tcMar>
              <w:top w:type="dxa" w:w="70"/>
              <w:left w:type="dxa" w:w="100"/>
              <w:bottom w:type="dxa" w:w="70"/>
              <w:right w:type="dxa" w:w="100"/>
            </w:tcMar>
          </w:tcPr>
          <w:p>
            <w:r>
              <w:rPr>
                <w:b w:val="false"/>
                <w:bCs w:val="false"/>
                <w:sz w:val="20"/>
                <w:szCs w:val="20"/>
              </w:rPr>
              <w:t xml:space="preserve">1%</w:t>
            </w:r>
          </w:p>
        </w:tc>
        <w:tc>
          <w:tcPr>
            <w:tcW w:type="dxa" w:w="2000"/>
            <w:tcMar>
              <w:top w:type="dxa" w:w="70"/>
              <w:left w:type="dxa" w:w="100"/>
              <w:bottom w:type="dxa" w:w="70"/>
              <w:right w:type="dxa" w:w="100"/>
            </w:tcMar>
          </w:tcPr>
          <w:p>
            <w:r>
              <w:rPr>
                <w:b w:val="false"/>
                <w:bCs w:val="false"/>
                <w:sz w:val="20"/>
                <w:szCs w:val="20"/>
              </w:rPr>
              <w:t xml:space="preserve">8.4%</w:t>
            </w:r>
          </w:p>
        </w:tc>
        <w:tc>
          <w:tcPr>
            <w:tcW w:type="dxa" w:w="2000"/>
            <w:tcMar>
              <w:top w:type="dxa" w:w="70"/>
              <w:left w:type="dxa" w:w="100"/>
              <w:bottom w:type="dxa" w:w="70"/>
              <w:right w:type="dxa" w:w="100"/>
            </w:tcMar>
          </w:tcPr>
          <w:p>
            <w:r>
              <w:rPr>
                <w:b w:val="false"/>
                <w:bCs w:val="false"/>
                <w:sz w:val="20"/>
                <w:szCs w:val="20"/>
              </w:rPr>
              <w:t xml:space="preserve">2.8%</w:t>
            </w:r>
          </w:p>
        </w:tc>
        <w:tc>
          <w:tcPr>
            <w:tcW w:type="dxa" w:w="2400"/>
            <w:tcMar>
              <w:top w:type="dxa" w:w="70"/>
              <w:left w:type="dxa" w:w="100"/>
              <w:bottom w:type="dxa" w:w="70"/>
              <w:right w:type="dxa" w:w="100"/>
            </w:tcMar>
          </w:tcPr>
          <w:p>
            <w:r>
              <w:rPr>
                <w:b w:val="false"/>
                <w:bCs w:val="false"/>
                <w:sz w:val="20"/>
                <w:szCs w:val="20"/>
              </w:rPr>
              <w:t xml:space="preserve">1.23 s → 1.22 s</w:t>
            </w:r>
          </w:p>
        </w:tc>
        <w:tc>
          <w:tcPr>
            <w:tcW w:type="dxa" w:w="1600"/>
            <w:tcMar>
              <w:top w:type="dxa" w:w="70"/>
              <w:left w:type="dxa" w:w="100"/>
              <w:bottom w:type="dxa" w:w="70"/>
              <w:right w:type="dxa" w:w="100"/>
            </w:tcMar>
          </w:tcPr>
          <w:p>
            <w:r>
              <w:rPr>
                <w:b w:val="false"/>
                <w:bCs w:val="false"/>
                <w:sz w:val="20"/>
                <w:szCs w:val="20"/>
              </w:rPr>
              <w:t xml:space="preserve">0.0 → 0.6</w:t>
            </w:r>
          </w:p>
        </w:tc>
      </w:tr>
      <w:tr>
        <w:tc>
          <w:tcPr>
            <w:tcW w:type="dxa" w:w="1300"/>
            <w:tcMar>
              <w:top w:type="dxa" w:w="70"/>
              <w:left w:type="dxa" w:w="100"/>
              <w:bottom w:type="dxa" w:w="70"/>
              <w:right w:type="dxa" w:w="100"/>
            </w:tcMar>
          </w:tcPr>
          <w:p>
            <w:r>
              <w:rPr>
                <w:b w:val="false"/>
                <w:bCs w:val="false"/>
                <w:sz w:val="20"/>
                <w:szCs w:val="20"/>
              </w:rPr>
              <w:t xml:space="preserve">5%</w:t>
            </w:r>
          </w:p>
        </w:tc>
        <w:tc>
          <w:tcPr>
            <w:tcW w:type="dxa" w:w="2000"/>
            <w:tcMar>
              <w:top w:type="dxa" w:w="70"/>
              <w:left w:type="dxa" w:w="100"/>
              <w:bottom w:type="dxa" w:w="70"/>
              <w:right w:type="dxa" w:w="100"/>
            </w:tcMar>
          </w:tcPr>
          <w:p>
            <w:r>
              <w:rPr>
                <w:b w:val="false"/>
                <w:bCs w:val="false"/>
                <w:sz w:val="20"/>
                <w:szCs w:val="20"/>
              </w:rPr>
              <w:t xml:space="preserve">31.8%</w:t>
            </w:r>
          </w:p>
        </w:tc>
        <w:tc>
          <w:tcPr>
            <w:tcW w:type="dxa" w:w="2000"/>
            <w:tcMar>
              <w:top w:type="dxa" w:w="70"/>
              <w:left w:type="dxa" w:w="100"/>
              <w:bottom w:type="dxa" w:w="70"/>
              <w:right w:type="dxa" w:w="100"/>
            </w:tcMar>
          </w:tcPr>
          <w:p>
            <w:r>
              <w:rPr>
                <w:b w:val="false"/>
                <w:bCs w:val="false"/>
                <w:sz w:val="20"/>
                <w:szCs w:val="20"/>
              </w:rPr>
              <w:t xml:space="preserve">14.0%</w:t>
            </w:r>
          </w:p>
        </w:tc>
        <w:tc>
          <w:tcPr>
            <w:tcW w:type="dxa" w:w="2400"/>
            <w:tcMar>
              <w:top w:type="dxa" w:w="70"/>
              <w:left w:type="dxa" w:w="100"/>
              <w:bottom w:type="dxa" w:w="70"/>
              <w:right w:type="dxa" w:w="100"/>
            </w:tcMar>
          </w:tcPr>
          <w:p>
            <w:r>
              <w:rPr>
                <w:b w:val="false"/>
                <w:bCs w:val="false"/>
                <w:sz w:val="20"/>
                <w:szCs w:val="20"/>
              </w:rPr>
              <w:t xml:space="preserve">2.02 s → 1.70 s</w:t>
            </w:r>
          </w:p>
        </w:tc>
        <w:tc>
          <w:tcPr>
            <w:tcW w:type="dxa" w:w="1600"/>
            <w:tcMar>
              <w:top w:type="dxa" w:w="70"/>
              <w:left w:type="dxa" w:w="100"/>
              <w:bottom w:type="dxa" w:w="70"/>
              <w:right w:type="dxa" w:w="100"/>
            </w:tcMar>
          </w:tcPr>
          <w:p>
            <w:r>
              <w:rPr>
                <w:b w:val="false"/>
                <w:bCs w:val="false"/>
                <w:sz w:val="20"/>
                <w:szCs w:val="20"/>
              </w:rPr>
              <w:t xml:space="preserve">0.6 → 7.9</w:t>
            </w:r>
          </w:p>
        </w:tc>
      </w:tr>
      <w:tr>
        <w:tc>
          <w:tcPr>
            <w:tcW w:type="dxa" w:w="1300"/>
            <w:tcMar>
              <w:top w:type="dxa" w:w="70"/>
              <w:left w:type="dxa" w:w="100"/>
              <w:bottom w:type="dxa" w:w="70"/>
              <w:right w:type="dxa" w:w="100"/>
            </w:tcMar>
          </w:tcPr>
          <w:p>
            <w:r>
              <w:rPr>
                <w:b w:val="false"/>
                <w:bCs w:val="false"/>
                <w:sz w:val="20"/>
                <w:szCs w:val="20"/>
              </w:rPr>
              <w:t xml:space="preserve">10%</w:t>
            </w:r>
          </w:p>
        </w:tc>
        <w:tc>
          <w:tcPr>
            <w:tcW w:type="dxa" w:w="2000"/>
            <w:tcMar>
              <w:top w:type="dxa" w:w="70"/>
              <w:left w:type="dxa" w:w="100"/>
              <w:bottom w:type="dxa" w:w="70"/>
              <w:right w:type="dxa" w:w="100"/>
            </w:tcMar>
          </w:tcPr>
          <w:p>
            <w:r>
              <w:rPr>
                <w:b w:val="false"/>
                <w:bCs w:val="false"/>
                <w:sz w:val="20"/>
                <w:szCs w:val="20"/>
              </w:rPr>
              <w:t xml:space="preserve">47.4%</w:t>
            </w:r>
          </w:p>
        </w:tc>
        <w:tc>
          <w:tcPr>
            <w:tcW w:type="dxa" w:w="2000"/>
            <w:tcMar>
              <w:top w:type="dxa" w:w="70"/>
              <w:left w:type="dxa" w:w="100"/>
              <w:bottom w:type="dxa" w:w="70"/>
              <w:right w:type="dxa" w:w="100"/>
            </w:tcMar>
          </w:tcPr>
          <w:p>
            <w:r>
              <w:rPr>
                <w:b w:val="false"/>
                <w:bCs w:val="false"/>
                <w:sz w:val="20"/>
                <w:szCs w:val="20"/>
              </w:rPr>
              <w:t xml:space="preserve">21.8%</w:t>
            </w:r>
          </w:p>
        </w:tc>
        <w:tc>
          <w:tcPr>
            <w:tcW w:type="dxa" w:w="2400"/>
            <w:tcMar>
              <w:top w:type="dxa" w:w="70"/>
              <w:left w:type="dxa" w:w="100"/>
              <w:bottom w:type="dxa" w:w="70"/>
              <w:right w:type="dxa" w:w="100"/>
            </w:tcMar>
          </w:tcPr>
          <w:p>
            <w:r>
              <w:rPr>
                <w:b w:val="false"/>
                <w:bCs w:val="false"/>
                <w:sz w:val="20"/>
                <w:szCs w:val="20"/>
              </w:rPr>
              <w:t xml:space="preserve">3.14 s → 2.09 s</w:t>
            </w:r>
          </w:p>
        </w:tc>
        <w:tc>
          <w:tcPr>
            <w:tcW w:type="dxa" w:w="1600"/>
            <w:tcMar>
              <w:top w:type="dxa" w:w="70"/>
              <w:left w:type="dxa" w:w="100"/>
              <w:bottom w:type="dxa" w:w="70"/>
              <w:right w:type="dxa" w:w="100"/>
            </w:tcMar>
          </w:tcPr>
          <w:p>
            <w:r>
              <w:rPr>
                <w:b w:val="false"/>
                <w:bCs w:val="false"/>
                <w:sz w:val="20"/>
                <w:szCs w:val="20"/>
              </w:rPr>
              <w:t xml:space="preserve">2.9 → 22.1</w:t>
            </w:r>
          </w:p>
        </w:tc>
      </w:tr>
    </w:tbl>
    <w:p>
      <w:pPr>
        <w:spacing w:after="160"/>
      </w:pPr>
    </w:p>
    <w:p>
      <w:pPr>
        <w:pStyle w:val="Heading2"/>
        <w:spacing w:after="100" w:before="200"/>
      </w:pPr>
      <w:r>
        <w:t xml:space="preserve">Table 3 — Where the retransmissions go (mean per run)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3100"/>
      </w:tblGrid>
      <w:tr>
        <w:trPr>
          <w:tblHeader/>
        </w:trPr>
        <w:tc>
          <w:tcPr>
            <w:tcW w:type="dxa" w:w="1000"/>
            <w:shd w:fill="D9E2F3" w:val="clear"/>
            <w:tcMar>
              <w:top w:type="dxa" w:w="70"/>
              <w:left w:type="dxa" w:w="100"/>
              <w:bottom w:type="dxa" w:w="70"/>
              <w:right w:type="dxa" w:w="100"/>
            </w:tcMar>
          </w:tcPr>
          <w:p>
            <w:r>
              <w:rPr>
                <w:b/>
                <w:bCs/>
                <w:sz w:val="20"/>
                <w:szCs w:val="20"/>
              </w:rPr>
              <w:t xml:space="preserve">Loss</w:t>
            </w:r>
          </w:p>
        </w:tc>
        <w:tc>
          <w:tcPr>
            <w:tcW w:type="dxa" w:w="2800"/>
            <w:shd w:fill="D9E2F3" w:val="clear"/>
            <w:tcMar>
              <w:top w:type="dxa" w:w="70"/>
              <w:left w:type="dxa" w:w="100"/>
              <w:bottom w:type="dxa" w:w="70"/>
              <w:right w:type="dxa" w:w="100"/>
            </w:tcMar>
          </w:tcPr>
          <w:p>
            <w:r>
              <w:rPr>
                <w:b/>
                <w:bCs/>
                <w:sz w:val="20"/>
                <w:szCs w:val="20"/>
              </w:rPr>
              <w:t xml:space="preserve">Baseline: retx (needed / redundant)</w:t>
            </w:r>
          </w:p>
        </w:tc>
        <w:tc>
          <w:tcPr>
            <w:tcW w:type="dxa" w:w="2800"/>
            <w:shd w:fill="D9E2F3" w:val="clear"/>
            <w:tcMar>
              <w:top w:type="dxa" w:w="70"/>
              <w:left w:type="dxa" w:w="100"/>
              <w:bottom w:type="dxa" w:w="70"/>
              <w:right w:type="dxa" w:w="100"/>
            </w:tcMar>
          </w:tcPr>
          <w:p>
            <w:r>
              <w:rPr>
                <w:b/>
                <w:bCs/>
                <w:sz w:val="20"/>
                <w:szCs w:val="20"/>
              </w:rPr>
              <w:t xml:space="preserve">Improved: retx (needed / redundant)</w:t>
            </w:r>
          </w:p>
        </w:tc>
        <w:tc>
          <w:tcPr>
            <w:tcW w:type="dxa" w:w="3100"/>
            <w:shd w:fill="D9E2F3" w:val="clear"/>
            <w:tcMar>
              <w:top w:type="dxa" w:w="70"/>
              <w:left w:type="dxa" w:w="100"/>
              <w:bottom w:type="dxa" w:w="70"/>
              <w:right w:type="dxa" w:w="100"/>
            </w:tcMar>
          </w:tcPr>
          <w:p>
            <w:r>
              <w:rPr>
                <w:b/>
                <w:bCs/>
                <w:sz w:val="20"/>
                <w:szCs w:val="20"/>
              </w:rPr>
              <w:t xml:space="preserve">Improved triggers (timeout / fast-retx / NAK)</w:t>
            </w:r>
          </w:p>
        </w:tc>
      </w:tr>
      <w:tr>
        <w:tc>
          <w:tcPr>
            <w:tcW w:type="dxa" w:w="1000"/>
            <w:tcMar>
              <w:top w:type="dxa" w:w="70"/>
              <w:left w:type="dxa" w:w="100"/>
              <w:bottom w:type="dxa" w:w="70"/>
              <w:right w:type="dxa" w:w="100"/>
            </w:tcMar>
          </w:tcPr>
          <w:p>
            <w:r>
              <w:rPr>
                <w:b w:val="false"/>
                <w:bCs w:val="false"/>
                <w:sz w:val="20"/>
                <w:szCs w:val="20"/>
              </w:rPr>
              <w:t xml:space="preserve">1%</w:t>
            </w:r>
          </w:p>
        </w:tc>
        <w:tc>
          <w:tcPr>
            <w:tcW w:type="dxa" w:w="2800"/>
            <w:tcMar>
              <w:top w:type="dxa" w:w="70"/>
              <w:left w:type="dxa" w:w="100"/>
              <w:bottom w:type="dxa" w:w="70"/>
              <w:right w:type="dxa" w:w="100"/>
            </w:tcMar>
          </w:tcPr>
          <w:p>
            <w:r>
              <w:rPr>
                <w:b w:val="false"/>
                <w:bCs w:val="false"/>
                <w:sz w:val="20"/>
                <w:szCs w:val="20"/>
              </w:rPr>
              <w:t xml:space="preserve">24.6 (2.2 / 22.4)</w:t>
            </w:r>
          </w:p>
        </w:tc>
        <w:tc>
          <w:tcPr>
            <w:tcW w:type="dxa" w:w="2800"/>
            <w:tcMar>
              <w:top w:type="dxa" w:w="70"/>
              <w:left w:type="dxa" w:w="100"/>
              <w:bottom w:type="dxa" w:w="70"/>
              <w:right w:type="dxa" w:w="100"/>
            </w:tcMar>
          </w:tcPr>
          <w:p>
            <w:r>
              <w:rPr>
                <w:b w:val="false"/>
                <w:bCs w:val="false"/>
                <w:sz w:val="20"/>
                <w:szCs w:val="20"/>
              </w:rPr>
              <w:t xml:space="preserve">7.3 (2.1 / 5.2)</w:t>
            </w:r>
          </w:p>
        </w:tc>
        <w:tc>
          <w:tcPr>
            <w:tcW w:type="dxa" w:w="3100"/>
            <w:tcMar>
              <w:top w:type="dxa" w:w="70"/>
              <w:left w:type="dxa" w:w="100"/>
              <w:bottom w:type="dxa" w:w="70"/>
              <w:right w:type="dxa" w:w="100"/>
            </w:tcMar>
          </w:tcPr>
          <w:p>
            <w:r>
              <w:rPr>
                <w:b w:val="false"/>
                <w:bCs w:val="false"/>
                <w:sz w:val="20"/>
                <w:szCs w:val="20"/>
              </w:rPr>
              <w:t xml:space="preserve">0.6 / 4.3 / 2.4</w:t>
            </w:r>
          </w:p>
        </w:tc>
      </w:tr>
      <w:tr>
        <w:tc>
          <w:tcPr>
            <w:tcW w:type="dxa" w:w="1000"/>
            <w:tcMar>
              <w:top w:type="dxa" w:w="70"/>
              <w:left w:type="dxa" w:w="100"/>
              <w:bottom w:type="dxa" w:w="70"/>
              <w:right w:type="dxa" w:w="100"/>
            </w:tcMar>
          </w:tcPr>
          <w:p>
            <w:r>
              <w:rPr>
                <w:b w:val="false"/>
                <w:bCs w:val="false"/>
                <w:sz w:val="20"/>
                <w:szCs w:val="20"/>
              </w:rPr>
              <w:t xml:space="preserve">5%</w:t>
            </w:r>
          </w:p>
        </w:tc>
        <w:tc>
          <w:tcPr>
            <w:tcW w:type="dxa" w:w="2800"/>
            <w:tcMar>
              <w:top w:type="dxa" w:w="70"/>
              <w:left w:type="dxa" w:w="100"/>
              <w:bottom w:type="dxa" w:w="70"/>
              <w:right w:type="dxa" w:w="100"/>
            </w:tcMar>
          </w:tcPr>
          <w:p>
            <w:r>
              <w:rPr>
                <w:b w:val="false"/>
                <w:bCs w:val="false"/>
                <w:sz w:val="20"/>
                <w:szCs w:val="20"/>
              </w:rPr>
              <w:t xml:space="preserve">121.2 (18.8 / 102.4)</w:t>
            </w:r>
          </w:p>
        </w:tc>
        <w:tc>
          <w:tcPr>
            <w:tcW w:type="dxa" w:w="2800"/>
            <w:tcMar>
              <w:top w:type="dxa" w:w="70"/>
              <w:left w:type="dxa" w:w="100"/>
              <w:bottom w:type="dxa" w:w="70"/>
              <w:right w:type="dxa" w:w="100"/>
            </w:tcMar>
          </w:tcPr>
          <w:p>
            <w:r>
              <w:rPr>
                <w:b w:val="false"/>
                <w:bCs w:val="false"/>
                <w:sz w:val="20"/>
                <w:szCs w:val="20"/>
              </w:rPr>
              <w:t xml:space="preserve">41.8 (14.8 / 27.0)</w:t>
            </w:r>
          </w:p>
        </w:tc>
        <w:tc>
          <w:tcPr>
            <w:tcW w:type="dxa" w:w="3100"/>
            <w:tcMar>
              <w:top w:type="dxa" w:w="70"/>
              <w:left w:type="dxa" w:w="100"/>
              <w:bottom w:type="dxa" w:w="70"/>
              <w:right w:type="dxa" w:w="100"/>
            </w:tcMar>
          </w:tcPr>
          <w:p>
            <w:r>
              <w:rPr>
                <w:b w:val="false"/>
                <w:bCs w:val="false"/>
                <w:sz w:val="20"/>
                <w:szCs w:val="20"/>
              </w:rPr>
              <w:t xml:space="preserve">7.9 / 18.5 / 15.4</w:t>
            </w:r>
          </w:p>
        </w:tc>
      </w:tr>
      <w:tr>
        <w:tc>
          <w:tcPr>
            <w:tcW w:type="dxa" w:w="1000"/>
            <w:tcMar>
              <w:top w:type="dxa" w:w="70"/>
              <w:left w:type="dxa" w:w="100"/>
              <w:bottom w:type="dxa" w:w="70"/>
              <w:right w:type="dxa" w:w="100"/>
            </w:tcMar>
          </w:tcPr>
          <w:p>
            <w:r>
              <w:rPr>
                <w:b w:val="false"/>
                <w:bCs w:val="false"/>
                <w:sz w:val="20"/>
                <w:szCs w:val="20"/>
              </w:rPr>
              <w:t xml:space="preserve">10%</w:t>
            </w:r>
          </w:p>
        </w:tc>
        <w:tc>
          <w:tcPr>
            <w:tcW w:type="dxa" w:w="2800"/>
            <w:tcMar>
              <w:top w:type="dxa" w:w="70"/>
              <w:left w:type="dxa" w:w="100"/>
              <w:bottom w:type="dxa" w:w="70"/>
              <w:right w:type="dxa" w:w="100"/>
            </w:tcMar>
          </w:tcPr>
          <w:p>
            <w:r>
              <w:rPr>
                <w:b w:val="false"/>
                <w:bCs w:val="false"/>
                <w:sz w:val="20"/>
                <w:szCs w:val="20"/>
              </w:rPr>
              <w:t xml:space="preserve">234.1 (48.5 / 185.6)</w:t>
            </w:r>
          </w:p>
        </w:tc>
        <w:tc>
          <w:tcPr>
            <w:tcW w:type="dxa" w:w="2800"/>
            <w:tcMar>
              <w:top w:type="dxa" w:w="70"/>
              <w:left w:type="dxa" w:w="100"/>
              <w:bottom w:type="dxa" w:w="70"/>
              <w:right w:type="dxa" w:w="100"/>
            </w:tcMar>
          </w:tcPr>
          <w:p>
            <w:r>
              <w:rPr>
                <w:b w:val="false"/>
                <w:bCs w:val="false"/>
                <w:sz w:val="20"/>
                <w:szCs w:val="20"/>
              </w:rPr>
              <w:t xml:space="preserve">71.6 (31.6 / 40.0)</w:t>
            </w:r>
          </w:p>
        </w:tc>
        <w:tc>
          <w:tcPr>
            <w:tcW w:type="dxa" w:w="3100"/>
            <w:tcMar>
              <w:top w:type="dxa" w:w="70"/>
              <w:left w:type="dxa" w:w="100"/>
              <w:bottom w:type="dxa" w:w="70"/>
              <w:right w:type="dxa" w:w="100"/>
            </w:tcMar>
          </w:tcPr>
          <w:p>
            <w:r>
              <w:rPr>
                <w:b w:val="false"/>
                <w:bCs w:val="false"/>
                <w:sz w:val="20"/>
                <w:szCs w:val="20"/>
              </w:rPr>
              <w:t xml:space="preserve">22.1 / 22.6 / 26.9</w:t>
            </w:r>
          </w:p>
        </w:tc>
      </w:tr>
    </w:tbl>
    <w:p>
      <w:pPr>
        <w:spacing w:before="60" w:after="160"/>
      </w:pPr>
      <w:r>
        <w:rPr>
          <w:i/>
          <w:iCs/>
          <w:sz w:val="18"/>
          <w:szCs w:val="18"/>
        </w:rPr>
        <w:t xml:space="preserve">"Needed" = data packets dropped by the channel (each needs one resend); "redundant" = the rest, i.e. copies of packets that had already arrived. From the per-run sender, receiver and channel logs (0% loss: no retransmissions).</w:t>
      </w:r>
    </w:p>
    <w:p>
      <w:pPr>
        <w:spacing w:after="60" w:before="120"/>
        <w:jc w:val="center"/>
      </w:pPr>
      <w:r>
        <w:drawing>
          <wp:inline distT="0" distB="0" distL="0" distR="0">
            <wp:extent cx="3810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05075"/>
                    </a:xfrm>
                    <a:prstGeom prst="rect">
                      <a:avLst/>
                    </a:prstGeom>
                  </pic:spPr>
                </pic:pic>
              </a:graphicData>
            </a:graphic>
          </wp:inline>
        </w:drawing>
      </w:r>
    </w:p>
    <w:p>
      <w:pPr>
        <w:spacing w:after="220"/>
        <w:jc w:val="center"/>
      </w:pPr>
      <w:r>
        <w:rPr>
          <w:i/>
          <w:iCs/>
          <w:color w:val="555555"/>
          <w:sz w:val="20"/>
          <w:szCs w:val="20"/>
        </w:rPr>
        <w:t xml:space="preserve">Figure 1 — Throughput vs. loss rate (error bars: std. dev.)</w:t>
      </w:r>
    </w:p>
    <w:p>
      <w:pPr>
        <w:spacing w:after="60" w:before="120"/>
        <w:jc w:val="center"/>
      </w:pPr>
      <w:r>
        <w:drawing>
          <wp:inline distT="0" distB="0" distL="0" distR="0">
            <wp:extent cx="3810000" cy="2505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505075"/>
                    </a:xfrm>
                    <a:prstGeom prst="rect">
                      <a:avLst/>
                    </a:prstGeom>
                  </pic:spPr>
                </pic:pic>
              </a:graphicData>
            </a:graphic>
          </wp:inline>
        </w:drawing>
      </w:r>
    </w:p>
    <w:p>
      <w:pPr>
        <w:spacing w:after="220"/>
        <w:jc w:val="center"/>
      </w:pPr>
      <w:r>
        <w:rPr>
          <w:i/>
          <w:iCs/>
          <w:color w:val="555555"/>
          <w:sz w:val="20"/>
          <w:szCs w:val="20"/>
        </w:rPr>
        <w:t xml:space="preserve">Figure 2 — Retransmission overhead vs. loss rate</w:t>
      </w:r>
    </w:p>
    <w:p>
      <w:pPr>
        <w:spacing w:after="60" w:before="120"/>
        <w:jc w:val="center"/>
      </w:pPr>
      <w:r>
        <w:drawing>
          <wp:inline distT="0" distB="0" distL="0" distR="0">
            <wp:extent cx="4000500" cy="2466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66975"/>
                    </a:xfrm>
                    <a:prstGeom prst="rect">
                      <a:avLst/>
                    </a:prstGeom>
                  </pic:spPr>
                </pic:pic>
              </a:graphicData>
            </a:graphic>
          </wp:inline>
        </w:drawing>
      </w:r>
    </w:p>
    <w:p>
      <w:pPr>
        <w:spacing w:after="220"/>
        <w:jc w:val="center"/>
      </w:pPr>
      <w:r>
        <w:rPr>
          <w:i/>
          <w:iCs/>
          <w:color w:val="555555"/>
          <w:sz w:val="20"/>
          <w:szCs w:val="20"/>
        </w:rPr>
        <w:t xml:space="preserve">Figure 3 — Congestion window over time, representative run at 5% loss (ticks = retransmissions)</w:t>
      </w:r>
    </w:p>
    <w:p>
      <w:pPr>
        <w:spacing w:after="60" w:before="120"/>
        <w:jc w:val="center"/>
      </w:pPr>
      <w:r>
        <w:drawing>
          <wp:inline distT="0" distB="0" distL="0" distR="0">
            <wp:extent cx="4476750" cy="1752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752600"/>
                    </a:xfrm>
                    <a:prstGeom prst="rect">
                      <a:avLst/>
                    </a:prstGeom>
                  </pic:spPr>
                </pic:pic>
              </a:graphicData>
            </a:graphic>
          </wp:inline>
        </w:drawing>
      </w:r>
    </w:p>
    <w:p>
      <w:pPr>
        <w:spacing w:after="220"/>
        <w:jc w:val="center"/>
      </w:pPr>
      <w:r>
        <w:rPr>
          <w:i/>
          <w:iCs/>
          <w:color w:val="555555"/>
          <w:sz w:val="20"/>
          <w:szCs w:val="20"/>
        </w:rPr>
        <w:t xml:space="preserve">Figure 4 — Goodput around a total-loss burst (left) and cost of the burst (right)</w:t>
      </w:r>
    </w:p>
    <w:p>
      <w:pPr>
        <w:spacing w:after="60" w:before="120"/>
        <w:jc w:val="center"/>
      </w:pPr>
      <w:r>
        <w:drawing>
          <wp:inline distT="0" distB="0" distL="0" distR="0">
            <wp:extent cx="3810000" cy="2505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05075"/>
                    </a:xfrm>
                    <a:prstGeom prst="rect">
                      <a:avLst/>
                    </a:prstGeom>
                  </pic:spPr>
                </pic:pic>
              </a:graphicData>
            </a:graphic>
          </wp:inline>
        </w:drawing>
      </w:r>
    </w:p>
    <w:p>
      <w:pPr>
        <w:spacing w:after="220"/>
        <w:jc w:val="center"/>
      </w:pPr>
      <w:r>
        <w:rPr>
          <w:i/>
          <w:iCs/>
          <w:color w:val="555555"/>
          <w:sz w:val="20"/>
          <w:szCs w:val="20"/>
        </w:rPr>
        <w:t xml:space="preserve">Figure 5 — Run-to-run throughput variability (coefficient of variation)</w:t>
      </w:r>
    </w:p>
    <w:p>
      <w:pPr>
        <w:spacing w:after="60" w:before="120"/>
        <w:jc w:val="center"/>
      </w:pPr>
      <w:r>
        <w:drawing>
          <wp:inline distT="0" distB="0" distL="0" distR="0">
            <wp:extent cx="4476750" cy="1790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790700"/>
                    </a:xfrm>
                    <a:prstGeom prst="rect">
                      <a:avLst/>
                    </a:prstGeom>
                  </pic:spPr>
                </pic:pic>
              </a:graphicData>
            </a:graphic>
          </wp:inline>
        </w:drawing>
      </w:r>
    </w:p>
    <w:p>
      <w:pPr>
        <w:spacing w:after="220"/>
        <w:jc w:val="center"/>
      </w:pPr>
      <w:r>
        <w:rPr>
          <w:i/>
          <w:iCs/>
          <w:color w:val="555555"/>
          <w:sz w:val="20"/>
          <w:szCs w:val="20"/>
        </w:rPr>
        <w:t xml:space="preserve">Figure 6 — Effect of packet reordering at 5% loss</w:t>
      </w:r>
    </w:p>
    <w:p>
      <w:pPr>
        <w:pStyle w:val="Heading1"/>
        <w:spacing w:after="140" w:before="300"/>
      </w:pPr>
      <w:r>
        <w:t xml:space="preserve">Discussion on Results</w:t>
      </w:r>
    </w:p>
    <w:p>
      <w:pPr>
        <w:pStyle w:val="Heading2"/>
        <w:spacing w:after="100" w:before="200"/>
      </w:pPr>
      <w:r>
        <w:t xml:space="preserve">Comparison with the existing work (UDT)</w:t>
      </w:r>
    </w:p>
    <w:p>
      <w:pPr>
        <w:spacing w:after="140"/>
      </w:pPr>
      <w:r>
        <w:t xml:space="preserve">UDT (Gu &amp; Grossman, 2007) [1] targets high-bandwidth, long-delay links with low loss. It already uses timer-based selective acknowledgement and NAK loss lists, so it retransmits only reported losses, and its timers are derived from the measured RTT. Our baseline is deliberately simpler: it keeps UDT's DAIMD congestion control but recovers with Go-Back-N and a fixed 200 ms timer. The improved version moves loss recovery back towards UDT's selective design. The results show the cost of Go-Back-N on lossy links: 80–90% of the baseline's retransmissions resend packets that had already arrived (Table 3).</w:t>
      </w:r>
    </w:p>
    <w:p>
      <w:pPr>
        <w:pStyle w:val="Heading2"/>
        <w:spacing w:after="100" w:before="200"/>
      </w:pPr>
      <w:r>
        <w:t xml:space="preserve">Improvement achieved</w:t>
      </w:r>
    </w:p>
    <w:p>
      <w:pPr>
        <w:pStyle w:val="ListParagraph"/>
        <w:numPr>
          <w:ilvl w:val="0"/>
          <w:numId w:val="2"/>
        </w:numPr>
        <w:spacing w:after="70"/>
      </w:pPr>
      <w:r>
        <w:t xml:space="preserve">Throughput: at 5% loss 1.05 → 1.24 Mbps (+18%) and at 10% loss 0.69 → 1.02 Mbps (+48%); both differences are statistically significant (Table 1, Figure 1).</w:t>
      </w:r>
    </w:p>
    <w:p>
      <w:pPr>
        <w:pStyle w:val="ListParagraph"/>
        <w:numPr>
          <w:ilvl w:val="0"/>
          <w:numId w:val="2"/>
        </w:numPr>
        <w:spacing w:after="70"/>
      </w:pPr>
      <w:r>
        <w:t xml:space="preserve">Retransmissions: the improved version sends about a third as many retransmissions as the baseline at every loss rate (0.30–0.35×). Overhead falls from 8.4% to 2.8% at 1% loss, 31.8% to 14.0% at 5% and 47.4% to 21.8% at 10% (Tables 2 and 3, Figure 2).</w:t>
      </w:r>
    </w:p>
    <w:p>
      <w:pPr>
        <w:pStyle w:val="ListParagraph"/>
        <w:numPr>
          <w:ilvl w:val="0"/>
          <w:numId w:val="2"/>
        </w:numPr>
        <w:spacing w:after="70"/>
      </w:pPr>
      <w:r>
        <w:t xml:space="preserve">No penalty on a clean link: at 0% loss the two perform alike (1.90 vs 1.97 Mbps, difference not significant) with no retransmissions. At 1% loss throughput is a tie (1.73 vs 1.72 Mbps), although the improved version already sends a third as many retransmissions; the throughput gap opens from 5% loss upward.</w:t>
      </w:r>
    </w:p>
    <w:p>
      <w:pPr>
        <w:pStyle w:val="ListParagraph"/>
        <w:numPr>
          <w:ilvl w:val="0"/>
          <w:numId w:val="2"/>
        </w:numPr>
        <w:spacing w:after="70"/>
      </w:pPr>
      <w:r>
        <w:t xml:space="preserve">Window behaviour: in a representative 5% run both windows grow at a similar rate, as expected with the same DAIMD code, but the improved version finishes in about 1.5 s against about 1.95 s, because fewer of the packets it sends are wasted copies (Figure 3).</w:t>
      </w:r>
    </w:p>
    <w:p>
      <w:pPr>
        <w:pStyle w:val="ListParagraph"/>
        <w:numPr>
          <w:ilvl w:val="0"/>
          <w:numId w:val="2"/>
        </w:numPr>
        <w:spacing w:after="70"/>
      </w:pPr>
      <w:r>
        <w:t xml:space="preserve">Reordering: with 5% loss plus 5% or 15% packet reordering (256 KB file, 5 repeats), the improved version keeps its lead: 0.97 → 1.38 Mbps and 0.74 → 1.07 Mbps, with overhead 52% → 15% and 66% → 22%, because Selective Repeat buffers out-of-order packets while Go-Back-N discards them (Figure 6).</w:t>
      </w:r>
    </w:p>
    <w:p>
      <w:pPr>
        <w:pStyle w:val="ListParagraph"/>
        <w:numPr>
          <w:ilvl w:val="0"/>
          <w:numId w:val="2"/>
        </w:numPr>
        <w:spacing w:after="70"/>
      </w:pPr>
      <w:r>
        <w:t xml:space="preserve">Stability: the improved version's coefficient of variation of throughput is lower at every loss rate (Figure 5). Its standard deviation is lower at 0–5% loss but similar at 10% (0.13 vs 0.12 Mbps). With 10 runs per point this is indicative only.</w:t>
      </w:r>
    </w:p>
    <w:p>
      <w:pPr>
        <w:pStyle w:val="ListParagraph"/>
        <w:numPr>
          <w:ilvl w:val="0"/>
          <w:numId w:val="2"/>
        </w:numPr>
        <w:spacing w:after="70"/>
      </w:pPr>
      <w:r>
        <w:t xml:space="preserve">Loss burst (2 MB file, 5% background loss, 0.8 s total outage, 5 repeats): the improved version finishes in 8.2 s against 12.8 s, with 14.0% against 43.1% overhead. In the representative run shown, both versions resume soon after the outage ends, and the difference is the goodput that follows (Figure 4). Time to first delivery after the outage was not measured across all repeats.</w:t>
      </w:r>
    </w:p>
    <w:p>
      <w:pPr>
        <w:pStyle w:val="Heading2"/>
        <w:spacing w:after="100" w:before="200"/>
      </w:pPr>
      <w:r>
        <w:t xml:space="preserve">Why it works</w:t>
      </w:r>
    </w:p>
    <w:p>
      <w:pPr>
        <w:spacing w:after="140"/>
      </w:pPr>
      <w:r>
        <w:t xml:space="preserve">Selective Repeat resends individual packets instead of the whole window, and the receiver keeps out-of-order packets, so far fewer copies are sent (Table 3). While a hole is being repaired the sender keeps sending new packets, up to the window limit, so the link does not sit idle. The adaptive RTO is computed from the measured RTT (≈ 48 ms), but in these runs SRTT + 4·RTTVAR is below the 100 ms floor, so the RTO usually sits at 100 ms (median RTO during transfers: 100 ms): a lost packet is resent after about 100 ms rather than 200 ms. After timeouts the RTO backs off, so its value at the end of a run averages 240 ms at 5% loss and 510 ms at 10% loss; the 400 ms printed in the AST09 demo output is such a backed-off value. Both versions run the same DAIMD code, so the congestion response is the same; the gain comes from the changed loss recovery (ARQ, ACK scheme and timer together).</w:t>
      </w:r>
    </w:p>
    <w:p>
      <w:pPr>
        <w:pStyle w:val="Heading2"/>
        <w:spacing w:after="100" w:before="200"/>
      </w:pPr>
      <w:r>
        <w:t xml:space="preserve">Limitations and honest caveats</w:t>
      </w:r>
    </w:p>
    <w:p>
      <w:pPr>
        <w:pStyle w:val="ListParagraph"/>
        <w:numPr>
          <w:ilvl w:val="0"/>
          <w:numId w:val="2"/>
        </w:numPr>
        <w:spacing w:after="70"/>
      </w:pPr>
      <w:r>
        <w:t xml:space="preserve">The improved version is far from loss-only retransmission: 56–71% of its retransmissions are copies of packets that had already arrived (Table 3). Lost ACKs account for most of these (the reverse channel drops 3.0 / 15.5 / 31.5 ACK/NAK packets per run at 1/5/10% loss); the rest come from timeouts or NAKs that fire before an ACK arrives. A higher RTO floor or cumulative information in each ACK would likely reduce this; neither was tested.</w:t>
      </w:r>
    </w:p>
    <w:p>
      <w:pPr>
        <w:pStyle w:val="ListParagraph"/>
        <w:numPr>
          <w:ilvl w:val="0"/>
          <w:numId w:val="2"/>
        </w:numPr>
        <w:spacing w:after="70"/>
      </w:pPr>
      <w:r>
        <w:t xml:space="preserve">The improved version takes more timeouts than the baseline (0.6 / 7.9 / 22.1 against 0 / 0.6 / 2.9 per run at 1/5/10% loss). Each one resends a single packet while the rest of the window keeps moving, unlike a Go-Back-N timeout, but the time lost to them was not measured.</w:t>
      </w:r>
    </w:p>
    <w:p>
      <w:pPr>
        <w:pStyle w:val="ListParagraph"/>
        <w:numPr>
          <w:ilvl w:val="0"/>
          <w:numId w:val="2"/>
        </w:numPr>
        <w:spacing w:after="70"/>
      </w:pPr>
      <w:r>
        <w:t xml:space="preserve">No ablation: the improved version changes three things at once (Selective Repeat, selective ACKs, adaptive RTO). They were not tested separately, for example Selective Repeat with a fixed RTO, so their individual contributions are unknown.</w:t>
      </w:r>
    </w:p>
    <w:p>
      <w:pPr>
        <w:pStyle w:val="ListParagraph"/>
        <w:numPr>
          <w:ilvl w:val="0"/>
          <w:numId w:val="2"/>
        </w:numPr>
        <w:spacing w:after="70"/>
      </w:pPr>
      <w:r>
        <w:t xml:space="preserve">Evaluation is on a single machine over loopback with an artificial loss/delay model, not a real WAN, so absolute Mbps figures are small and only the relative comparison is meaningful. The baseline is a simplified, window-based UDT-style implementation, not the UDT library, and its DAIMD is a window-based analogue of UDT's rate-based algorithm. Only single flows were tested, so fairness between competing flows was not evaluated.</w:t>
      </w:r>
    </w:p>
    <w:p>
      <w:pPr>
        <w:pStyle w:val="ListParagraph"/>
        <w:numPr>
          <w:ilvl w:val="0"/>
          <w:numId w:val="2"/>
        </w:numPr>
        <w:spacing w:after="70"/>
      </w:pPr>
      <w:r>
        <w:t xml:space="preserve">Same seeds: the channel decides loss per packet sent, so both versions draw from the same random sequence at the same loss rate, but because they send different packet sequences, the individual packets lost differ. The reordering runs also draw from this generator, so their drop patterns differ from the main sweep; the improved version's 1.38 Mbps there is higher than its 1.24 Mbps in Table 1, and those results should only be compared within their own set.</w:t>
      </w:r>
    </w:p>
    <w:p>
      <w:pPr>
        <w:pStyle w:val="ListParagraph"/>
        <w:numPr>
          <w:ilvl w:val="0"/>
          <w:numId w:val="2"/>
        </w:numPr>
        <w:spacing w:after="70"/>
      </w:pPr>
      <w:r>
        <w:t xml:space="preserve">Tables 1–3 use a 256 KB file. The burst runs used a 2 MB file with an outage, and the burst and reordering runs used 5 repeats, so they are not directly comparable with Table 1.</w:t>
      </w:r>
    </w:p>
    <w:p>
      <w:pPr>
        <w:pStyle w:val="Heading2"/>
        <w:spacing w:after="100" w:before="200"/>
      </w:pPr>
      <w:r>
        <w:t xml:space="preserve">Conclusion</w:t>
      </w:r>
    </w:p>
    <w:p>
      <w:pPr>
        <w:spacing w:after="140"/>
      </w:pPr>
      <w:r>
        <w:t xml:space="preserve">Replacing the Go-Back-N recovery and fixed timer of a simplified UDT-style UDP transport with Selective Repeat and an adaptive RTO gives significantly higher throughput at 5% and 10% loss (+18% and +48%), about a third as many retransmissions at every loss rate, and lower run-to-run variability, while matching the baseline on a loss-free link and at 1% loss. The improved version still sends many redundant copies, mostly because of lost ACKs, so further gains are possible.</w:t>
      </w:r>
    </w:p>
    <w:p>
      <w:pPr>
        <w:pStyle w:val="Heading1"/>
      </w:pPr>
      <w:r>
        <w:t xml:space="preserve">References</w:t>
      </w:r>
    </w:p>
    <w:p>
      <w:pPr>
        <w:spacing w:after="80"/>
      </w:pPr>
      <w:r>
        <w:t xml:space="preserve">[1] Y. Gu and R. L. Grossman, "UDT: UDP-based data transfer for high-speed wide area networks," Computer Networks, vol. 51, no. 7, pp. 1777–1799, 2007.</w:t>
      </w:r>
    </w:p>
    <w:p>
      <w:pPr>
        <w:spacing w:after="80"/>
      </w:pPr>
      <w:r>
        <w:t xml:space="preserve">[2] V. Paxson, M. Allman, J. Chu and M. Sargent, "Computing TCP's Retransmission Timer," RFC 6298, IETF, 2011.</w:t>
      </w:r>
    </w:p>
    <w:p>
      <w:pPr>
        <w:spacing w:after="80"/>
      </w:pPr>
      <w:r>
        <w:t xml:space="preserve">[3] V. Jacobson, "Congestion avoidance and control," Proc. ACM SIGCOMM, 1988.</w:t>
      </w:r>
    </w:p>
    <w:p>
      <w:pPr>
        <w:spacing w:after="80"/>
      </w:pPr>
      <w:r>
        <w:t xml:space="preserve">[4] P. Karn and C. Partridge, "Improving round-trip time estimates in reliable transport protocols," Proc. ACM SIGCOMM, 1987.</w:t>
      </w:r>
    </w:p>
    <w:sectPr>
      <w:footerReference w:type="default" r:id="rIdFooterPg"/>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1545035b0fba1dd486922b9748c97347eb2d0e0.png"/><Relationship Id="rId8" Type="http://schemas.openxmlformats.org/officeDocument/2006/relationships/image" Target="media/3c15e7301bdc2079c20b945d3d48d6e05847fb06.png"/><Relationship Id="rId9" Type="http://schemas.openxmlformats.org/officeDocument/2006/relationships/image" Target="media/71ea6c8b619795208771b372f0b9c7fcfb850cee.png"/><Relationship Id="rId10" Type="http://schemas.openxmlformats.org/officeDocument/2006/relationships/image" Target="media/0491fccc1de088f6a2bf9a5c8d05763b32bde94f.png"/><Relationship Id="rId11" Type="http://schemas.openxmlformats.org/officeDocument/2006/relationships/image" Target="media/9641827117620da1b995a5a193ef73ddfa129739.png"/><Relationship Id="rId12" Type="http://schemas.openxmlformats.org/officeDocument/2006/relationships/image" Target="media/a8e49839be0a33e417b09053214f157755a35422.png"/><Relationship Id="rId13" Type="http://schemas.openxmlformats.org/officeDocument/2006/relationships/fontTable" Target="fontTable.xml"/><Relationship Id="rIdFooterPg"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Yohann Shroff</dc:creator>
  <cp:lastModifiedBy>Yohann Shroff</cp:lastModifiedBy>
  <cp:revision>1</cp:revision>
  <dcterms:created xsi:type="dcterms:W3CDTF">2026-10-08T06:44:01.446Z</dcterms:created>
  <dcterms:modified xsi:type="dcterms:W3CDTF">2026-10-08T06:44:01.452Z</dcterms:modified>
</cp:coreProperties>
</file>

<file path=docProps/custom.xml><?xml version="1.0" encoding="utf-8"?>
<Properties xmlns="http://schemas.openxmlformats.org/officeDocument/2006/custom-properties" xmlns:vt="http://schemas.openxmlformats.org/officeDocument/2006/docPropsVTypes"/>
</file>