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81BE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重庆机电职业技术大学</w:t>
      </w:r>
    </w:p>
    <w:p w14:paraId="71A2A5D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经济与管理学院</w:t>
      </w:r>
    </w:p>
    <w:p w14:paraId="4F56C4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实践课（考查课）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报告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作业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）</w:t>
      </w:r>
    </w:p>
    <w:p w14:paraId="0E2083A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Arial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2026-2027学年第一学期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  <w:t>）</w:t>
      </w:r>
    </w:p>
    <w:p w14:paraId="69461618">
      <w:pPr>
        <w:spacing w:line="332" w:lineRule="auto"/>
        <w:jc w:val="center"/>
        <w:rPr>
          <w:rFonts w:ascii="Arial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Arial" w:eastAsia="宋体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46985" cy="2546985"/>
            <wp:effectExtent l="0" t="0" r="5715" b="5715"/>
            <wp:docPr id="1" name="图片 1" descr="_cgi-bin_mmwebwx-bin_webwxgetmsgimg__&amp;MsgID=7036020977026424423&amp;skey=@crypt_7f70bf59_834284b0fe169f26e762a84a5da69e78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7036020977026424423&amp;skey=@crypt_7f70bf59_834284b0fe169f26e762a84a5da69e78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2FA9"/>
    <w:p w14:paraId="2B3CEC5D"/>
    <w:p w14:paraId="0353FC7C"/>
    <w:p w14:paraId="6DD123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</w:pPr>
    </w:p>
    <w:p w14:paraId="44FC46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课程名称：《证券投资学》</w:t>
      </w:r>
    </w:p>
    <w:p w14:paraId="2430FAD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专业：大数据与财务管理</w:t>
      </w:r>
    </w:p>
    <w:p w14:paraId="4B3CD7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班级：25级大数据与财务管理</w:t>
      </w:r>
      <w:r>
        <w:rPr>
          <w:rFonts w:hint="eastAsia" w:eastAsia="宋体"/>
          <w:b/>
          <w:bCs/>
          <w:sz w:val="28"/>
          <w:szCs w:val="28"/>
          <w:u w:val="single"/>
          <w:lang w:val="en-US" w:eastAsia="zh-CN"/>
        </w:rPr>
        <w:t xml:space="preserve"> XX </w:t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t>班</w:t>
      </w:r>
    </w:p>
    <w:p w14:paraId="1C042F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姓名：</w:t>
      </w:r>
    </w:p>
    <w:p w14:paraId="2141C9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学号：</w:t>
      </w:r>
    </w:p>
    <w:p w14:paraId="0795C41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指导老师：李淑会</w:t>
      </w:r>
    </w:p>
    <w:p w14:paraId="6DAF182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完成日期：</w:t>
      </w:r>
    </w:p>
    <w:p w14:paraId="7F127A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</w:p>
    <w:p w14:paraId="46A7B2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</w:p>
    <w:p w14:paraId="6C7D07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1968" w:firstLineChars="700"/>
        <w:textAlignment w:val="baseline"/>
        <w:rPr>
          <w:rFonts w:hint="eastAsia" w:eastAsia="宋体"/>
          <w:b/>
          <w:bCs/>
          <w:sz w:val="28"/>
          <w:szCs w:val="28"/>
          <w:lang w:val="en-US" w:eastAsia="zh-CN"/>
        </w:rPr>
      </w:pPr>
    </w:p>
    <w:p w14:paraId="2424120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实践任务书</w:t>
      </w:r>
    </w:p>
    <w:tbl>
      <w:tblPr>
        <w:tblStyle w:val="8"/>
        <w:tblW w:w="86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5"/>
      </w:tblGrid>
      <w:tr w14:paraId="7E221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5" w:type="dxa"/>
          </w:tcPr>
          <w:p w14:paraId="0EB86BD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6137669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一、任务基本信息</w:t>
            </w:r>
          </w:p>
          <w:p w14:paraId="4D014E4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1. 课程名称：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证券投资学</w:t>
            </w:r>
          </w:p>
          <w:p w14:paraId="5472E64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2. 适用专业：大数据与财务管理</w:t>
            </w:r>
          </w:p>
          <w:p w14:paraId="1E3066F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3. 课程总课时：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48</w:t>
            </w:r>
            <w:r>
              <w:rPr>
                <w:rFonts w:hint="eastAsia" w:asciiTheme="minorEastAsia" w:hAnsiTheme="minorEastAsia" w:eastAsiaTheme="minorEastAsia" w:cstheme="minorEastAsia"/>
              </w:rPr>
              <w:t>课时（实践学时2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</w:rPr>
              <w:t>课时）</w:t>
            </w:r>
          </w:p>
          <w:p w14:paraId="678AAA2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4. 实践实施周期：第2周—第1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</w:rPr>
              <w:t>周（共1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</w:rPr>
              <w:t>周，同步融入课程教学进程）</w:t>
            </w:r>
          </w:p>
          <w:p w14:paraId="59E7511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5. 实践性质：课程综合实践作业</w:t>
            </w:r>
          </w:p>
          <w:p w14:paraId="224AF38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6. 实践目的：以职业本科财会类专业岗位核心能力需求为导向，结合课程理论教学内容，通过对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</w:t>
            </w:r>
            <w:r>
              <w:rPr>
                <w:rFonts w:hint="eastAsia" w:asciiTheme="minorEastAsia" w:hAnsiTheme="minorEastAsia" w:eastAsiaTheme="minorEastAsia" w:cstheme="minorEastAsia"/>
              </w:rPr>
              <w:t>股制造业上市公司开展完整证券投资基本面实操分析，使学生熟练掌握宏观经济分析、行业分析、公司分析三大证券投资基本分析框架；能够运用公开市场资料、近 5 年财务数据开展企业基本面研判，掌握偿债能力、营运能力、盈利能力、现金流量的财务分析实操逻辑；提升宏观政策解读、行业研判、上市公司财务诊断、股票内在价值评估能力，强化 Excel 数据处理、图表绘制实操技能，契合专业“实践型、复合型”人才培养目标，为今后从事证券理财、财务分析、投资分析相关岗位以及毕业论文撰写奠定基础。</w:t>
            </w:r>
          </w:p>
          <w:p w14:paraId="475AAC5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二、实践核心任务与要求</w:t>
            </w:r>
          </w:p>
          <w:p w14:paraId="40976E3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（一）分析对象选取</w:t>
            </w:r>
          </w:p>
          <w:p w14:paraId="706B8B7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</w:rPr>
              <w:t>1. 范围限定：必须为中国 A 股沪深交易所挂牌上市的制造业企业（行业分类执行证监会制造业一级行业分类，可选取装备制造、消费品制造、原材料制造等细分赛道）。</w:t>
            </w:r>
          </w:p>
          <w:p w14:paraId="7F73F3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2. 选取条件：①具备连续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</w:rPr>
              <w:t>个完整会计年度（优先202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1-</w:t>
            </w:r>
            <w:r>
              <w:rPr>
                <w:rFonts w:hint="eastAsia" w:asciiTheme="minorEastAsia" w:hAnsiTheme="minorEastAsia" w:eastAsiaTheme="minorEastAsia" w:cstheme="minorEastAsia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</w:rPr>
              <w:t>年）年度报告，财报数据完整，无重大缺失；②不存在ST/*ST退市风险警示、重大财务造假、重大行政处罚等负面风险记录； ③全部数据来源公开、权威、可追溯。</w:t>
            </w:r>
          </w:p>
          <w:p w14:paraId="119AEB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3. 确认流程：第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</w:rPr>
              <w:t>周内确定分析企业，填写《分析企业确认表》（含企业名称、股票代码、所属细分行业、选取理由），提交指导教师审核，审核通过后不得随意变更；若审核未通过，需在1周内重新提交确认。</w:t>
            </w:r>
          </w:p>
          <w:p w14:paraId="5B5C4C1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（二）分析依据与工具方法</w:t>
            </w:r>
          </w:p>
          <w:p w14:paraId="1A8D62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1. 核心依据：①目标企业近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</w:rPr>
              <w:t>年年度报告（资产负债表、利润表、现金流量表、报表附注、管理层讨论与分析）；②宏观经济公开统计数据、制造业产业政策文件；③所属细分行业发展报告、行业平均指标、行业标杆企业同期数据，用于横向对比；④《证券投资学》教材，遵循“宏观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</w:rPr>
              <w:t>行业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</w:rPr>
              <w:t>公司”基本面分析逻辑框架，结合企业经营实际调整； ⑤辅助资料：行业研报、国家产业政策、市场公开资讯。</w:t>
            </w:r>
          </w:p>
          <w:p w14:paraId="128E8A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2. 数据来源：巨潮资讯网、东方财富网、同花顺、企业官方网站（投资者关系板块）等权威平台，确保数据真实、准确、可追溯；</w:t>
            </w:r>
          </w:p>
          <w:p w14:paraId="1B701CB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3. 工具与方法：①工具：Excel，完成指标计算、数据整理、对比图表绘制； ②分析方法：宏观因素分析法；行业生命周期、行业竞争格局分析；比率分析、趋势分析（企业5年纵向对比）、对比分析（对标行业均值、标杆企业横向对比）；结合企业业务开展逻辑解读，最终综合研判企业股票投资价值。</w:t>
            </w:r>
          </w:p>
          <w:p w14:paraId="79138D4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="0" w:afterAutospacing="0"/>
              <w:ind w:left="0" w:hanging="36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（三）核心分析内容（必含模块，遵循外部环境→企业基本面→财务量化→综合投资结论逻辑，禁止单纯罗列数据指标，要结合业务解释数据变化背后原因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lang w:eastAsia="zh-CN"/>
              </w:rPr>
              <w:t>）</w:t>
            </w:r>
          </w:p>
          <w:p w14:paraId="468BEEB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1. 证券投资宏观经济分析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（近五年对比）</w:t>
            </w:r>
          </w:p>
          <w:p w14:paraId="58F026A7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围绕宏观环境对证券市场、制造业板块的影响展开分析。重点分析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GDP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增速、通货膨胀、货币政策、财政政策、产业政策、利率等关键宏观变量；判断当前宏观经济周期，分析宏观环境对所选制造业细分行业以及目标上市公司经营、盈利、股价带来的机遇与潜在压力。</w:t>
            </w:r>
          </w:p>
          <w:p w14:paraId="480CBE8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2. 证券投资行业分析</w:t>
            </w:r>
          </w:p>
          <w:p w14:paraId="3FCD37F8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①行业基本概况：所属细分制造业行业属性（周期型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成长型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防御型）、行业生命周期；②行业竞争格局：市场规模、市场集中度、进入壁垒、产业链上下游情况；③行业政策与发展趋势：国家产业扶持政策、技术变革、市场需求变化； ④研判行业景气程度，分析行业整体给企业带来的发展机会与行业层面风险。</w:t>
            </w:r>
          </w:p>
          <w:p w14:paraId="75813C9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3. 证券投资公司分析</w:t>
            </w:r>
          </w:p>
          <w:p w14:paraId="19BBC6E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210" w:firstLineChars="100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（1）公司基本素质分析</w:t>
            </w:r>
          </w:p>
          <w:p w14:paraId="507F915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介绍公司主营业务、产品结构、商业模式；分析企业竞争优势（技术、产能、品牌、渠道等）；公司治理、管理层情况；市场地位，与行业内主要竞争对手对比；识别企业自身经营优势与经营短板。</w:t>
            </w:r>
          </w:p>
          <w:p w14:paraId="554B7F3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（2）公司财务分析（使用近 5 年财报数据）</w:t>
            </w:r>
          </w:p>
          <w:p w14:paraId="64CAB069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right="720" w:firstLine="420" w:firstLineChars="200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分析逻辑：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/>
                <w:iCs/>
                <w:snapToGrid w:val="0"/>
                <w:color w:val="auto"/>
                <w:kern w:val="0"/>
                <w:sz w:val="21"/>
                <w:szCs w:val="21"/>
                <w:lang w:val="en-US" w:eastAsia="en-US" w:bidi="ar-SA"/>
              </w:rPr>
              <w:t>指标计算→纵向趋势解读→横向行业对比→识别优势与风险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，结合企业经营业务解释指标变动原因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</w:p>
          <w:p w14:paraId="57F6711B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right="720" w:firstLine="420" w:firstLineChars="200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 xml:space="preserve"> ①偿债能力分析：核心指标（流动比率、速动比率、资产负债率、产权比率、利息保障倍数），研判企业短期、长期债务压力，财务杠杆的合理性，识别偿债风险； ②营运能力分析：核心指标（应收账款周转率、存货周转率、固定资产周转率、总资产周转率），结合制造业生产、库存、销售模式，评价企业资产管理与运营效率； ③盈利能力分析：核心指标（营业毛利率、营业净利率、总资产净利率ROA、净资产收益率 ROE、每股收益EPS），评价盈利水平、盈利稳定性，分析成本、收入对盈利的驱动或制约； ④现金流量分析：分析经营活动、投资活动、筹资活动现金流净额，评价企业盈利质量，判断企业现金获取能力、资金运转健康度。</w:t>
            </w:r>
          </w:p>
          <w:p w14:paraId="68AB319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textAlignment w:val="baseline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4. 企业股票投资价值综合结论</w:t>
            </w:r>
          </w:p>
          <w:p w14:paraId="2BDB8AA4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/>
              <w:ind w:firstLine="420" w:firstLineChars="200"/>
              <w:textAlignment w:val="baseline"/>
              <w:rPr>
                <w:rFonts w:hint="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综合前面宏观环境、行业景气度、公司经营素质、财务状况，总结该上市公司投资优势与主要投资风险；给出综合投资价值判断（推荐关注 / 谨慎看待 / 不建议投资），写明完整理由。</w:t>
            </w:r>
          </w:p>
          <w:p w14:paraId="7AF9A439">
            <w:pPr>
              <w:pStyle w:val="2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三、实践报告撰写规范（参考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重庆机电职业技术大学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毕业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设计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撰写规范）</w:t>
            </w:r>
          </w:p>
          <w:p w14:paraId="6ACD64AD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rPr>
                <w:rFonts w:hint="default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（一）格式规范</w:t>
            </w:r>
          </w:p>
          <w:p w14:paraId="7CE767A1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Chars="0" w:firstLine="420" w:firstLineChars="200"/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排版要求：①页面设置：A4纸，上下边距2.5cm，左右边距2cm，页眉1.5cm，页脚1.8cm；②页眉：标注“XX企业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投资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分析报告”，宋体小五居中；③页脚：居中标注页码（正文从第一章开始编号，目录、摘要等前置部分用罗马数字编号）；</w:t>
            </w:r>
          </w:p>
          <w:p w14:paraId="5C12A451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Chars="0" w:firstLine="420" w:firstLineChars="200"/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2. 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字体与行距：①一级标题：黑体三号加粗居中，段后空1.5行；②二级标题：黑体四号加粗左对齐，段后空1行；③三级标题：黑体小四加粗左对齐，段后空0.5行；④正文：宋体小四，摘要/关键词/参考文献/附录正文宋体小五；⑤全文1.5倍行距，段落首行缩进2字符，段落间无额外空行；</w:t>
            </w:r>
          </w:p>
          <w:p w14:paraId="03768929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Chars="0" w:firstLine="420" w:firstLineChars="200"/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3. 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图表规范：①图表统一编号（图：按章节编序，如“图2-1 XX企业流动比率趋势图”；表：按章节编序，如“表3-1 XX企业估值数据计算表”）；②图表标题：图标题位于图下方居中（宋体小五加粗），表标题位于表上方居中（宋体小五加粗）；③图表内容：数据准确，标注清晰，坐标轴、表头要素齐全，图表下方标注数据来源（宋体六号）；④图表插入：与正文对应位置紧密结合，不单独分页（大型表格可单独分页，表头重复）；</w:t>
            </w:r>
          </w:p>
          <w:p w14:paraId="70E3C157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Chars="0" w:firstLine="420" w:firstLineChars="200"/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4. 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引用规范：文中引用文献、数据需标注参考文献序号（如“流动比率是衡量短期偿债能力的核心指标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vertAlign w:val="superscript"/>
                <w:lang w:val="en-US" w:eastAsia="en-US" w:bidi="ar-SA"/>
              </w:rPr>
              <w:t>[3]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”），引用数据需标注来源，避免无依据引用；</w:t>
            </w:r>
          </w:p>
          <w:p w14:paraId="5AD4EA0B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leftChars="0" w:firstLine="420" w:firstLineChars="200"/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5. 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原创性要求：抄袭率需低于15%（按学校毕业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设计</w:t>
            </w:r>
            <w:r>
              <w:rPr>
                <w:rFonts w:hint="eastAsia" w:asciiTheme="minorEastAsia" w:hAnsiTheme="minorEastAsia" w:eastAsiaTheme="minorEastAsia" w:cstheme="minorEastAsia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查重标准执行），严禁抄袭他人报告、篡改财务数据、复制年报原文，违规者实践考核直接按不及格处理，需重新提交并记入课程考核档案；</w:t>
            </w:r>
          </w:p>
          <w:p w14:paraId="3A44437B">
            <w:pPr>
              <w:pStyle w:val="3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（二）提交要求</w:t>
            </w:r>
          </w:p>
          <w:p w14:paraId="21D2E10F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1. 提交形式：提交电子版和纸质版，word、PDF打印版各一份，文件及压缩包命名格式：“班级+学号+姓名+XX企业投资分析报告”，由课代表收集完毕后提交任课老师；</w:t>
            </w:r>
          </w:p>
          <w:p w14:paraId="3E5B778D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2. 提交时间：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/>
                <w:i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第12周周五（2026年11月20日）18:00前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完成所有材料提交，逾期提交该项成绩为0分；</w:t>
            </w:r>
          </w:p>
          <w:p w14:paraId="0D5D5C54">
            <w:pPr>
              <w:pStyle w:val="2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五、考核评分标准（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报告质量满分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100分，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按50%权重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计入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实践报告总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成绩）</w:t>
            </w:r>
          </w:p>
          <w:p w14:paraId="5473438A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pacing w:before="0" w:beforeAutospacing="0" w:after="0" w:afterAutospacing="0" w:line="240" w:lineRule="auto"/>
              <w:ind w:firstLine="420" w:firstLineChars="200"/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按学术性、实操性、规范性三维度量化评分，参考毕业设计评分逻辑，结果对应等级：90-100分为优秀，80-89分为良好，70-79分为中等，60-69分为及格，60分以下为不及格。</w:t>
            </w:r>
          </w:p>
          <w:tbl>
            <w:tblPr>
              <w:tblStyle w:val="7"/>
              <w:tblW w:w="4998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433"/>
              <w:gridCol w:w="727"/>
              <w:gridCol w:w="6256"/>
            </w:tblGrid>
            <w:tr w14:paraId="06E8BE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5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836AB72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18"/>
                      <w:szCs w:val="18"/>
                    </w:rPr>
                    <w:t>评分维度</w:t>
                  </w:r>
                </w:p>
              </w:tc>
              <w:tc>
                <w:tcPr>
                  <w:tcW w:w="43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4E73D73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18"/>
                      <w:szCs w:val="18"/>
                    </w:rPr>
                    <w:t>权重</w:t>
                  </w:r>
                </w:p>
              </w:tc>
              <w:tc>
                <w:tcPr>
                  <w:tcW w:w="371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E4E657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jc w:val="center"/>
                    <w:textAlignment w:val="auto"/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18"/>
                      <w:szCs w:val="18"/>
                    </w:rPr>
                    <w:t>评分标准</w:t>
                  </w:r>
                </w:p>
              </w:tc>
            </w:tr>
            <w:tr w14:paraId="225E06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5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E2774AE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1. 分析对象与数据质量</w:t>
                  </w:r>
                </w:p>
              </w:tc>
              <w:tc>
                <w:tcPr>
                  <w:tcW w:w="43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96DDE94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15分</w:t>
                  </w:r>
                </w:p>
              </w:tc>
              <w:tc>
                <w:tcPr>
                  <w:tcW w:w="371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3612401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企业选取符合制造业+A股上市要求，数据完整、来源权威可追溯，数据底稿规范，无缺失/错误/篡改数据，文献选取贴合分析主题</w:t>
                  </w:r>
                </w:p>
              </w:tc>
            </w:tr>
            <w:tr w14:paraId="48B748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5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CBE23C8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2. 分析内容完整性与学术性</w:t>
                  </w:r>
                </w:p>
              </w:tc>
              <w:tc>
                <w:tcPr>
                  <w:tcW w:w="43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3A5A6E5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  <w:lang w:val="en-US" w:eastAsia="zh-CN"/>
                    </w:rPr>
                    <w:t>40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371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C67649F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项核心模块无缺失，指标计算准确，分析结合财务管理理论，逻辑闭环，能关联企业经营与行业实际，问题识别精准，无单纯指标罗列</w:t>
                  </w:r>
                </w:p>
              </w:tc>
            </w:tr>
            <w:tr w14:paraId="56F2C4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5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861F18B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3. 报告撰写规范性</w:t>
                  </w:r>
                </w:p>
              </w:tc>
              <w:tc>
                <w:tcPr>
                  <w:tcW w:w="43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CBCC9B2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25分</w:t>
                  </w:r>
                </w:p>
              </w:tc>
              <w:tc>
                <w:tcPr>
                  <w:tcW w:w="371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D9117AD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结构符合毕业论文标准（要素齐全、层级清晰），格式严格对标要求（字体、行距、图表、参考文献等无偏差），排版整洁，抄袭率＜15%，无格式错误</w:t>
                  </w:r>
                </w:p>
              </w:tc>
            </w:tr>
            <w:tr w14:paraId="1D0AEA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85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627E408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4. 结论与建议可行性</w:t>
                  </w:r>
                </w:p>
              </w:tc>
              <w:tc>
                <w:tcPr>
                  <w:tcW w:w="432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8CFF056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20分</w:t>
                  </w:r>
                </w:p>
              </w:tc>
              <w:tc>
                <w:tcPr>
                  <w:tcW w:w="371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33EC9B0">
                  <w:pPr>
                    <w:pStyle w:val="12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after="0" w:line="240" w:lineRule="auto"/>
                    <w:textAlignment w:val="auto"/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18"/>
                      <w:szCs w:val="18"/>
                    </w:rPr>
                    <w:t>核心结论客观有据，贴合分析结果；优化建议针对性强、可落地，结合学术理论与企业实际，无空泛表述，报告语言流畅、学术性达标</w:t>
                  </w:r>
                </w:p>
              </w:tc>
            </w:tr>
          </w:tbl>
          <w:p w14:paraId="6F259AE2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0E6570A4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</w:tc>
      </w:tr>
    </w:tbl>
    <w:p w14:paraId="3DC7951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实践内容与过程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8A2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4F4192">
            <w:pPr>
              <w:pStyle w:val="6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  <w:t>（这是报告的核心部分，需详细、具体地描述你“做了什么”和“怎么做的”。建议分点、分阶段叙述。</w:t>
            </w: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  <w:lang w:val="en-US" w:eastAsia="zh-CN"/>
              </w:rPr>
              <w:t>附过程截图、照片等支持材料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  <w:t>）</w:t>
            </w:r>
          </w:p>
          <w:p w14:paraId="74C2C774">
            <w:pPr>
              <w:pStyle w:val="6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</w:rPr>
            </w:pPr>
          </w:p>
          <w:p w14:paraId="3340790C">
            <w:pPr>
              <w:pStyle w:val="6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b w:val="0"/>
                <w:bCs w:val="0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  <w:lang w:val="en-US" w:eastAsia="zh-CN"/>
              </w:rPr>
              <w:t>见《xx公司投资（XX能力）分析报告》</w:t>
            </w:r>
          </w:p>
          <w:p w14:paraId="41E14628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41C6410F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27E680D6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1E5A40B2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007FFC81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60B4AF7B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58F5D04E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0923B7EB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1C285202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47ED666D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46C46EF8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20EBA9C0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48B72B7C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  <w:p w14:paraId="398AA9C5">
            <w:pPr>
              <w:widowControl w:val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</w:p>
        </w:tc>
      </w:tr>
    </w:tbl>
    <w:p w14:paraId="2230FE9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3"/>
          <w:szCs w:val="33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实践收获与体会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7F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B83E09">
            <w:pPr>
              <w:pStyle w:val="6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  <w:p w14:paraId="10143F24">
            <w:pPr>
              <w:pStyle w:val="6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  <w:p w14:paraId="1E9ADC0A">
            <w:pPr>
              <w:pStyle w:val="6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</w:tbl>
    <w:p w14:paraId="2C57711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3"/>
          <w:szCs w:val="33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、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指导教师评价</w:t>
      </w:r>
    </w:p>
    <w:tbl>
      <w:tblPr>
        <w:tblStyle w:val="7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4300B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9" w:hRule="atLeast"/>
        </w:trPr>
        <w:tc>
          <w:tcPr>
            <w:tcW w:w="8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ECF1C8">
            <w:pPr>
              <w:rPr>
                <w:kern w:val="1"/>
                <w:sz w:val="28"/>
              </w:rPr>
            </w:pPr>
            <w:r>
              <w:rPr>
                <w:rFonts w:hint="eastAsia" w:eastAsia="宋体"/>
                <w:kern w:val="1"/>
                <w:sz w:val="28"/>
                <w:lang w:val="en-US" w:eastAsia="zh-CN"/>
              </w:rPr>
              <w:t>1</w:t>
            </w:r>
            <w:r>
              <w:rPr>
                <w:kern w:val="1"/>
                <w:sz w:val="28"/>
              </w:rPr>
              <w:t>、教师评</w:t>
            </w:r>
            <w:r>
              <w:rPr>
                <w:rFonts w:hint="eastAsia" w:eastAsia="宋体"/>
                <w:kern w:val="1"/>
                <w:sz w:val="28"/>
                <w:lang w:val="en-US" w:eastAsia="zh-CN"/>
              </w:rPr>
              <w:t>语</w:t>
            </w:r>
            <w:r>
              <w:rPr>
                <w:kern w:val="1"/>
                <w:sz w:val="28"/>
              </w:rPr>
              <w:t>：</w:t>
            </w:r>
          </w:p>
          <w:p w14:paraId="513078BA">
            <w:pPr>
              <w:rPr>
                <w:kern w:val="1"/>
                <w:sz w:val="28"/>
              </w:rPr>
            </w:pPr>
          </w:p>
        </w:tc>
      </w:tr>
      <w:tr w14:paraId="7E56C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2" w:hRule="atLeast"/>
        </w:trPr>
        <w:tc>
          <w:tcPr>
            <w:tcW w:w="8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6AAF37F">
            <w:pPr>
              <w:rPr>
                <w:kern w:val="1"/>
                <w:sz w:val="28"/>
              </w:rPr>
            </w:pPr>
            <w:r>
              <w:rPr>
                <w:rFonts w:hint="eastAsia" w:eastAsia="宋体"/>
                <w:kern w:val="1"/>
                <w:sz w:val="28"/>
                <w:lang w:val="en-US" w:eastAsia="zh-CN"/>
              </w:rPr>
              <w:t>2</w:t>
            </w:r>
            <w:r>
              <w:rPr>
                <w:kern w:val="1"/>
                <w:sz w:val="28"/>
              </w:rPr>
              <w:t>、评分</w:t>
            </w:r>
          </w:p>
          <w:tbl>
            <w:tblPr>
              <w:tblStyle w:val="8"/>
              <w:tblW w:w="806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65"/>
              <w:gridCol w:w="2511"/>
              <w:gridCol w:w="2688"/>
            </w:tblGrid>
            <w:tr w14:paraId="22774C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65" w:type="dxa"/>
                  <w:shd w:val="clear" w:color="auto" w:fill="auto"/>
                  <w:vAlign w:val="top"/>
                </w:tcPr>
                <w:p w14:paraId="25865B10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考核项目</w:t>
                  </w:r>
                </w:p>
              </w:tc>
              <w:tc>
                <w:tcPr>
                  <w:tcW w:w="2511" w:type="dxa"/>
                  <w:shd w:val="clear" w:color="auto" w:fill="auto"/>
                  <w:vAlign w:val="top"/>
                </w:tcPr>
                <w:p w14:paraId="74CF85D5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分值</w:t>
                  </w:r>
                </w:p>
              </w:tc>
              <w:tc>
                <w:tcPr>
                  <w:tcW w:w="2688" w:type="dxa"/>
                  <w:shd w:val="clear" w:color="auto" w:fill="auto"/>
                  <w:vAlign w:val="top"/>
                </w:tcPr>
                <w:p w14:paraId="3FDF9A4A">
                  <w:pPr>
                    <w:widowControl w:val="0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得分</w:t>
                  </w:r>
                </w:p>
              </w:tc>
            </w:tr>
            <w:tr w14:paraId="1417AE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65" w:type="dxa"/>
                  <w:shd w:val="clear" w:color="auto" w:fill="auto"/>
                  <w:vAlign w:val="top"/>
                </w:tcPr>
                <w:p w14:paraId="4659AD39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态度与纪律</w:t>
                  </w:r>
                </w:p>
              </w:tc>
              <w:tc>
                <w:tcPr>
                  <w:tcW w:w="2511" w:type="dxa"/>
                  <w:shd w:val="clear" w:color="auto" w:fill="auto"/>
                  <w:vAlign w:val="top"/>
                </w:tcPr>
                <w:p w14:paraId="775DDFE7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20</w:t>
                  </w:r>
                </w:p>
              </w:tc>
              <w:tc>
                <w:tcPr>
                  <w:tcW w:w="2688" w:type="dxa"/>
                </w:tcPr>
                <w:p w14:paraId="3E0BB97C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  <w:tr w14:paraId="24DA87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65" w:type="dxa"/>
                  <w:shd w:val="clear" w:color="auto" w:fill="auto"/>
                  <w:vAlign w:val="top"/>
                </w:tcPr>
                <w:p w14:paraId="2D872095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过程与任务完成情况</w:t>
                  </w:r>
                </w:p>
              </w:tc>
              <w:tc>
                <w:tcPr>
                  <w:tcW w:w="2511" w:type="dxa"/>
                  <w:shd w:val="clear" w:color="auto" w:fill="auto"/>
                  <w:vAlign w:val="top"/>
                </w:tcPr>
                <w:p w14:paraId="6C20A9E0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30</w:t>
                  </w:r>
                </w:p>
              </w:tc>
              <w:tc>
                <w:tcPr>
                  <w:tcW w:w="2688" w:type="dxa"/>
                </w:tcPr>
                <w:p w14:paraId="1E67C3A0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  <w:tr w14:paraId="2F1602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65" w:type="dxa"/>
                  <w:shd w:val="clear" w:color="auto" w:fill="auto"/>
                  <w:vAlign w:val="top"/>
                </w:tcPr>
                <w:p w14:paraId="7EE6C85C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报告质量</w:t>
                  </w:r>
                </w:p>
              </w:tc>
              <w:tc>
                <w:tcPr>
                  <w:tcW w:w="2511" w:type="dxa"/>
                  <w:shd w:val="clear" w:color="auto" w:fill="auto"/>
                  <w:vAlign w:val="top"/>
                </w:tcPr>
                <w:p w14:paraId="7BC587EE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50</w:t>
                  </w:r>
                </w:p>
              </w:tc>
              <w:tc>
                <w:tcPr>
                  <w:tcW w:w="2688" w:type="dxa"/>
                </w:tcPr>
                <w:p w14:paraId="41F384FD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  <w:tr w14:paraId="735725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65" w:type="dxa"/>
                  <w:shd w:val="clear" w:color="auto" w:fill="auto"/>
                  <w:vAlign w:val="top"/>
                </w:tcPr>
                <w:p w14:paraId="636A0552">
                  <w:pPr>
                    <w:widowControl w:val="0"/>
                    <w:jc w:val="center"/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b/>
                      <w:bCs/>
                      <w:kern w:val="1"/>
                      <w:sz w:val="28"/>
                      <w:lang w:val="en-US" w:eastAsia="zh-CN"/>
                    </w:rPr>
                    <w:t>总成绩</w:t>
                  </w:r>
                </w:p>
              </w:tc>
              <w:tc>
                <w:tcPr>
                  <w:tcW w:w="2511" w:type="dxa"/>
                  <w:shd w:val="clear" w:color="auto" w:fill="auto"/>
                  <w:vAlign w:val="top"/>
                </w:tcPr>
                <w:p w14:paraId="6446E8D4">
                  <w:pPr>
                    <w:widowControl w:val="0"/>
                    <w:jc w:val="center"/>
                    <w:rPr>
                      <w:rFonts w:hint="eastAsia" w:eastAsia="宋体"/>
                      <w:kern w:val="1"/>
                      <w:sz w:val="28"/>
                      <w:lang w:val="en-US" w:eastAsia="en-US"/>
                    </w:rPr>
                  </w:pPr>
                  <w:r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  <w:t>100</w:t>
                  </w:r>
                </w:p>
              </w:tc>
              <w:tc>
                <w:tcPr>
                  <w:tcW w:w="2688" w:type="dxa"/>
                </w:tcPr>
                <w:p w14:paraId="3C050F71">
                  <w:pPr>
                    <w:widowControl w:val="0"/>
                    <w:rPr>
                      <w:rFonts w:hint="eastAsia" w:eastAsia="宋体"/>
                      <w:kern w:val="1"/>
                      <w:sz w:val="28"/>
                      <w:lang w:val="en-US" w:eastAsia="zh-CN"/>
                    </w:rPr>
                  </w:pPr>
                </w:p>
              </w:tc>
            </w:tr>
          </w:tbl>
          <w:p w14:paraId="6EB059D8">
            <w:pPr>
              <w:tabs>
                <w:tab w:val="center" w:pos="4032"/>
              </w:tabs>
              <w:rPr>
                <w:kern w:val="1"/>
                <w:sz w:val="32"/>
              </w:rPr>
            </w:pPr>
          </w:p>
          <w:p w14:paraId="076A7E30">
            <w:pPr>
              <w:tabs>
                <w:tab w:val="center" w:pos="4032"/>
              </w:tabs>
              <w:ind w:firstLine="570"/>
              <w:rPr>
                <w:kern w:val="1"/>
                <w:sz w:val="32"/>
              </w:rPr>
            </w:pPr>
            <w:r>
              <w:rPr>
                <w:kern w:val="1"/>
                <w:sz w:val="32"/>
              </w:rPr>
              <w:t>综合成绩：</w:t>
            </w:r>
            <w:r>
              <w:rPr>
                <w:kern w:val="1"/>
                <w:sz w:val="32"/>
                <w:u w:val="single"/>
              </w:rPr>
              <w:tab/>
            </w:r>
            <w:r>
              <w:rPr>
                <w:kern w:val="1"/>
                <w:sz w:val="32"/>
                <w:u w:val="single"/>
              </w:rPr>
              <w:t xml:space="preserve">        </w:t>
            </w:r>
            <w:r>
              <w:rPr>
                <w:kern w:val="1"/>
                <w:sz w:val="32"/>
              </w:rPr>
              <w:t xml:space="preserve"> 分 （折合等级</w:t>
            </w:r>
            <w:r>
              <w:rPr>
                <w:kern w:val="1"/>
                <w:sz w:val="32"/>
                <w:u w:val="single"/>
              </w:rPr>
              <w:t xml:space="preserve">         </w:t>
            </w:r>
            <w:r>
              <w:rPr>
                <w:kern w:val="1"/>
                <w:sz w:val="32"/>
              </w:rPr>
              <w:t>）</w:t>
            </w:r>
          </w:p>
          <w:p w14:paraId="7521CF58">
            <w:pPr>
              <w:tabs>
                <w:tab w:val="center" w:pos="4032"/>
              </w:tabs>
              <w:ind w:firstLine="570"/>
              <w:rPr>
                <w:kern w:val="1"/>
                <w:sz w:val="28"/>
              </w:rPr>
            </w:pPr>
          </w:p>
          <w:p w14:paraId="0C6CD0D5">
            <w:pPr>
              <w:tabs>
                <w:tab w:val="center" w:pos="4032"/>
              </w:tabs>
              <w:ind w:firstLine="570"/>
              <w:jc w:val="right"/>
              <w:rPr>
                <w:b/>
                <w:kern w:val="1"/>
                <w:sz w:val="28"/>
              </w:rPr>
            </w:pPr>
          </w:p>
          <w:p w14:paraId="5DD3F56A">
            <w:pPr>
              <w:tabs>
                <w:tab w:val="center" w:pos="4032"/>
              </w:tabs>
              <w:ind w:firstLine="570"/>
              <w:jc w:val="right"/>
              <w:rPr>
                <w:b/>
                <w:kern w:val="1"/>
                <w:sz w:val="28"/>
              </w:rPr>
            </w:pPr>
          </w:p>
          <w:p w14:paraId="3CA00012">
            <w:pPr>
              <w:tabs>
                <w:tab w:val="center" w:pos="4032"/>
              </w:tabs>
              <w:ind w:firstLine="570"/>
              <w:rPr>
                <w:b/>
                <w:kern w:val="1"/>
                <w:sz w:val="28"/>
              </w:rPr>
            </w:pPr>
            <w:r>
              <w:rPr>
                <w:kern w:val="1"/>
                <w:sz w:val="28"/>
              </w:rPr>
              <w:t xml:space="preserve">                    </w:t>
            </w:r>
            <w:r>
              <w:rPr>
                <w:b/>
                <w:kern w:val="1"/>
                <w:sz w:val="28"/>
              </w:rPr>
              <w:t>指导教师签名：</w:t>
            </w:r>
          </w:p>
          <w:p w14:paraId="0794343A">
            <w:pPr>
              <w:rPr>
                <w:kern w:val="1"/>
              </w:rPr>
            </w:pPr>
          </w:p>
          <w:p w14:paraId="0EC1D2D7">
            <w:pPr>
              <w:tabs>
                <w:tab w:val="center" w:pos="4032"/>
              </w:tabs>
              <w:ind w:firstLine="570"/>
              <w:rPr>
                <w:kern w:val="1"/>
                <w:sz w:val="28"/>
              </w:rPr>
            </w:pPr>
            <w:r>
              <w:rPr>
                <w:b/>
                <w:bCs/>
                <w:kern w:val="1"/>
                <w:sz w:val="28"/>
              </w:rPr>
              <w:t xml:space="preserve">                   </w:t>
            </w:r>
            <w:r>
              <w:rPr>
                <w:kern w:val="1"/>
                <w:sz w:val="28"/>
              </w:rPr>
              <w:t xml:space="preserve">     </w:t>
            </w:r>
            <w:r>
              <w:rPr>
                <w:b/>
                <w:bCs/>
                <w:kern w:val="1"/>
                <w:sz w:val="28"/>
              </w:rPr>
              <w:t>时间：     年    月    日</w:t>
            </w:r>
            <w:r>
              <w:rPr>
                <w:kern w:val="1"/>
                <w:sz w:val="28"/>
              </w:rPr>
              <w:t xml:space="preserve">                        </w:t>
            </w:r>
          </w:p>
        </w:tc>
      </w:tr>
      <w:tr w14:paraId="7A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2" w:hRule="atLeast"/>
        </w:trPr>
        <w:tc>
          <w:tcPr>
            <w:tcW w:w="8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853902D">
            <w:pPr>
              <w:pStyle w:val="6"/>
              <w:keepNext w:val="0"/>
              <w:keepLines w:val="0"/>
              <w:widowControl/>
              <w:suppressLineNumbers w:val="0"/>
              <w:spacing w:before="240" w:beforeAutospacing="0" w:after="240" w:afterAutospacing="0"/>
              <w:ind w:right="0" w:firstLine="1687" w:firstLineChars="700"/>
              <w:rPr>
                <w:b w:val="0"/>
                <w:bCs w:val="0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C00000"/>
                <w:spacing w:val="0"/>
                <w:sz w:val="24"/>
                <w:szCs w:val="24"/>
                <w:shd w:val="clear" w:fill="FFFFFF"/>
                <w:lang w:val="en-US" w:eastAsia="zh-CN"/>
              </w:rPr>
              <w:t>xx公司投资（XX能力）分析报告</w:t>
            </w:r>
          </w:p>
          <w:p w14:paraId="19125101">
            <w:pPr>
              <w:tabs>
                <w:tab w:val="center" w:pos="4032"/>
              </w:tabs>
              <w:ind w:firstLine="570"/>
              <w:rPr>
                <w:b/>
                <w:bCs/>
                <w:kern w:val="1"/>
                <w:sz w:val="28"/>
              </w:rPr>
            </w:pPr>
          </w:p>
        </w:tc>
      </w:tr>
    </w:tbl>
    <w:p w14:paraId="70B1EC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eastAsia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5AFE3D"/>
    <w:multiLevelType w:val="multilevel"/>
    <w:tmpl w:val="EC5AF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86921"/>
    <w:rsid w:val="005A062B"/>
    <w:rsid w:val="07B611C8"/>
    <w:rsid w:val="09D9119E"/>
    <w:rsid w:val="1DA90A2F"/>
    <w:rsid w:val="26D80D79"/>
    <w:rsid w:val="2CCB451E"/>
    <w:rsid w:val="34BC51CF"/>
    <w:rsid w:val="3B5A30F5"/>
    <w:rsid w:val="3F2D71DA"/>
    <w:rsid w:val="3F8F762D"/>
    <w:rsid w:val="4B357F76"/>
    <w:rsid w:val="503F6B23"/>
    <w:rsid w:val="56886921"/>
    <w:rsid w:val="56A00F31"/>
    <w:rsid w:val="57650F48"/>
    <w:rsid w:val="5B5A08CA"/>
    <w:rsid w:val="5FB558AA"/>
    <w:rsid w:val="61701A85"/>
    <w:rsid w:val="61EF4188"/>
    <w:rsid w:val="647240D5"/>
    <w:rsid w:val="67267D41"/>
    <w:rsid w:val="6E5B2BCB"/>
    <w:rsid w:val="749C3A88"/>
    <w:rsid w:val="7536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paragraph" w:customStyle="1" w:styleId="1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3179</Words>
  <Characters>3327</Characters>
  <Lines>0</Lines>
  <Paragraphs>0</Paragraphs>
  <TotalTime>2</TotalTime>
  <ScaleCrop>false</ScaleCrop>
  <LinksUpToDate>false</LinksUpToDate>
  <CharactersWithSpaces>3382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2025-11-27T06:33:00Z</dcterms:created>
  <dc:creator>黄志勇</dc:creator>
  <cp:lastModifiedBy>Admin</cp:lastModifiedBy>
  <dcterms:modified xsi:type="dcterms:W3CDTF">2026-10-27T07:37:32Z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53D928C6B9374728820598204F3365D4_13</vt:lpwstr>
  </property>
  <property fmtid="{D5CDD505-2E9C-101B-9397-08002B2CF9AE}" pid="4" name="KSOTemplateDocerSaveRecord">
    <vt:lpwstr>eyJoZGlkIjoiMjJhOTAxYmU4NTU0Y2IyY2Y5MGI2MmI4YjJkNzllYjIifQ==</vt:lpwstr>
  </property>
</Properties>
</file>