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F8E1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bookmarkStart w:id="0" w:name="_Toc16745"/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重庆机电职业技术大学</w:t>
      </w:r>
      <w:bookmarkEnd w:id="0"/>
    </w:p>
    <w:p w14:paraId="404547E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经济与管理学院</w:t>
      </w:r>
    </w:p>
    <w:p w14:paraId="615D67D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实践课（考查课）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报告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作业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）</w:t>
      </w:r>
    </w:p>
    <w:p w14:paraId="3E59CB4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Arial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2026-2027学年第一学期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eastAsia="zh-CN"/>
        </w:rPr>
        <w:t>）</w:t>
      </w:r>
    </w:p>
    <w:p w14:paraId="0127A360">
      <w:pPr>
        <w:spacing w:line="332" w:lineRule="auto"/>
        <w:jc w:val="center"/>
        <w:rPr>
          <w:rFonts w:ascii="Arial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 w:ascii="Arial" w:eastAsia="宋体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46985" cy="2546985"/>
            <wp:effectExtent l="0" t="0" r="13335" b="13335"/>
            <wp:docPr id="25" name="图片 25" descr="_cgi-bin_mmwebwx-bin_webwxgetmsgimg__&amp;MsgID=7036020977026424423&amp;skey=@crypt_7f70bf59_834284b0fe169f26e762a84a5da69e78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_cgi-bin_mmwebwx-bin_webwxgetmsgimg__&amp;MsgID=7036020977026424423&amp;skey=@crypt_7f70bf59_834284b0fe169f26e762a84a5da69e78&amp;mmweb_appid=wx_webfilehelper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9C29"/>
    <w:p w14:paraId="06DEB242"/>
    <w:p w14:paraId="27C7F788"/>
    <w:p w14:paraId="3EEAA13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</w:pPr>
    </w:p>
    <w:p w14:paraId="06AFC04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课程名称：《证券投资学》</w:t>
      </w:r>
    </w:p>
    <w:p w14:paraId="70B4B10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outlineLvl w:val="0"/>
        <w:rPr>
          <w:rFonts w:hint="eastAsia" w:eastAsia="宋体"/>
          <w:b/>
          <w:bCs/>
          <w:sz w:val="28"/>
          <w:szCs w:val="28"/>
          <w:lang w:val="en-US" w:eastAsia="zh-CN"/>
        </w:rPr>
      </w:pPr>
      <w:bookmarkStart w:id="1" w:name="_Toc9105"/>
      <w:r>
        <w:rPr>
          <w:rFonts w:hint="eastAsia" w:eastAsia="宋体"/>
          <w:b/>
          <w:bCs/>
          <w:sz w:val="28"/>
          <w:szCs w:val="28"/>
          <w:lang w:val="en-US" w:eastAsia="zh-CN"/>
        </w:rPr>
        <w:t>专业：大数据与财务管理</w:t>
      </w:r>
      <w:bookmarkEnd w:id="1"/>
    </w:p>
    <w:p w14:paraId="4697914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班级：25级大数据与财务管理</w:t>
      </w:r>
      <w:r>
        <w:rPr>
          <w:rFonts w:hint="eastAsia" w:eastAsia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03</w:t>
      </w:r>
      <w:r>
        <w:rPr>
          <w:rFonts w:hint="eastAsia" w:eastAsia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eastAsia="宋体"/>
          <w:b/>
          <w:bCs/>
          <w:sz w:val="28"/>
          <w:szCs w:val="28"/>
          <w:lang w:val="en-US" w:eastAsia="zh-CN"/>
        </w:rPr>
        <w:t>班</w:t>
      </w:r>
    </w:p>
    <w:p w14:paraId="4CCEE62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姓名：</w:t>
      </w:r>
      <w:r>
        <w:rPr>
          <w:rFonts w:hint="eastAsia" w:eastAsia="宋体"/>
          <w:b/>
          <w:bCs/>
          <w:sz w:val="28"/>
          <w:szCs w:val="28"/>
          <w:u w:val="none"/>
          <w:lang w:val="en-US" w:eastAsia="zh-CN"/>
        </w:rPr>
        <w:t>滕宇豪</w:t>
      </w:r>
    </w:p>
    <w:p w14:paraId="3B0BD79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学号：</w:t>
      </w:r>
      <w:r>
        <w:rPr>
          <w:rFonts w:hint="eastAsia" w:eastAsia="宋体"/>
          <w:b/>
          <w:bCs/>
          <w:sz w:val="28"/>
          <w:szCs w:val="28"/>
          <w:u w:val="none"/>
          <w:lang w:val="en-US" w:eastAsia="zh-CN"/>
        </w:rPr>
        <w:t>12607320270457</w:t>
      </w:r>
    </w:p>
    <w:p w14:paraId="71033A5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指导老师：李淑会</w:t>
      </w:r>
    </w:p>
    <w:p w14:paraId="60BAA10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outlineLvl w:val="0"/>
        <w:rPr>
          <w:rFonts w:hint="eastAsia" w:eastAsia="宋体"/>
          <w:b/>
          <w:bCs/>
          <w:sz w:val="28"/>
          <w:szCs w:val="28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417" w:right="1134" w:bottom="1417" w:left="1134" w:header="850" w:footer="1020" w:gutter="0"/>
          <w:cols w:space="720" w:num="1"/>
          <w:docGrid w:linePitch="360" w:charSpace="0"/>
        </w:sectPr>
      </w:pPr>
      <w:bookmarkStart w:id="2" w:name="_Toc14767"/>
      <w:r>
        <w:rPr>
          <w:rFonts w:hint="eastAsia" w:eastAsia="宋体"/>
          <w:b/>
          <w:bCs/>
          <w:sz w:val="28"/>
          <w:szCs w:val="28"/>
          <w:lang w:val="en-US" w:eastAsia="zh-CN"/>
        </w:rPr>
        <w:t>完成日期：</w:t>
      </w:r>
      <w:r>
        <w:rPr>
          <w:rFonts w:hint="eastAsia" w:eastAsia="宋体"/>
          <w:b/>
          <w:bCs/>
          <w:sz w:val="28"/>
          <w:szCs w:val="28"/>
          <w:u w:val="none"/>
          <w:lang w:val="en-US" w:eastAsia="zh-CN"/>
        </w:rPr>
        <w:t>2026年10月28日</w:t>
      </w:r>
      <w:bookmarkEnd w:id="2"/>
    </w:p>
    <w:p w14:paraId="05F7A9EF">
      <w:pPr>
        <w:keepNext/>
        <w:spacing w:before="240" w:after="360" w:line="360" w:lineRule="auto"/>
        <w:ind w:firstLine="0"/>
        <w:jc w:val="left"/>
        <w:outlineLvl w:val="1"/>
        <w:rPr>
          <w:rFonts w:hint="default" w:ascii="Times New Roman" w:hAnsi="Times New Roman" w:eastAsia="黑体"/>
          <w:b/>
          <w:sz w:val="32"/>
          <w:lang w:val="en-US" w:eastAsia="zh-CN"/>
        </w:rPr>
      </w:pPr>
      <w:bookmarkStart w:id="3" w:name="_Toc14535"/>
      <w:r>
        <w:rPr>
          <w:rFonts w:hint="default" w:ascii="Times New Roman" w:hAnsi="Times New Roman" w:eastAsia="黑体"/>
          <w:b/>
          <w:sz w:val="32"/>
        </w:rPr>
        <w:t>一、</w:t>
      </w:r>
      <w:r>
        <w:rPr>
          <w:rFonts w:hint="eastAsia" w:ascii="Times New Roman" w:hAnsi="Times New Roman" w:eastAsia="黑体"/>
          <w:b/>
          <w:sz w:val="32"/>
          <w:lang w:val="en-US" w:eastAsia="zh-CN"/>
        </w:rPr>
        <w:t>实践任务书</w:t>
      </w:r>
      <w:bookmarkEnd w:id="3"/>
    </w:p>
    <w:tbl>
      <w:tblPr>
        <w:tblStyle w:val="36"/>
        <w:tblW w:w="9740" w:type="dxa"/>
        <w:tblInd w:w="1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0"/>
      </w:tblGrid>
      <w:tr w14:paraId="3EC35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3" w:hRule="atLeast"/>
        </w:trPr>
        <w:tc>
          <w:tcPr>
            <w:tcW w:w="9740" w:type="dxa"/>
          </w:tcPr>
          <w:p w14:paraId="70211242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</w:rPr>
              <w:t>一、任务基本信息</w:t>
            </w:r>
          </w:p>
          <w:p w14:paraId="07300165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1. 课程名称：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证券投资学</w:t>
            </w:r>
          </w:p>
          <w:p w14:paraId="6E8A338A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2. 适用专业：大数据与财务管理</w:t>
            </w:r>
          </w:p>
          <w:p w14:paraId="3A5C0009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3. 课程总课时：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48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课时（实践学时2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课时）</w:t>
            </w:r>
          </w:p>
          <w:p w14:paraId="284909A9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4. 实践实施周期：第2周—第1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周（共1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周，同步融入课程教学进程）</w:t>
            </w:r>
          </w:p>
          <w:p w14:paraId="47804115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5. 实践性质：课程综合实践作业</w:t>
            </w:r>
          </w:p>
          <w:p w14:paraId="4769A6F0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6. 实践目的：以职业本科财会类专业岗位核心能力需求为导向，结合课程理论教学内容，通过对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股制造业上市公司开展完整证券投资基本面实操分析，使学生熟练掌握宏观经济分析、行业分析、公司分析三大证券投资基本分析框架；能够运用公开市场资料、近 5 年财务数据开展企业基本面研判，掌握偿债能力、营运能力、盈利能力、现金流量的财务分析实操逻辑；提升宏观政策解读、行业研判、上市公司财务诊断、股票内在价值评估能力，强化 Excel 数据处理、图表绘制实操技能，契合专业“实践型、复合型”人才培养目标，为今后从事证券理财、财务分析、投资分析相关岗位以及毕业论文撰写奠定基础。</w:t>
            </w:r>
          </w:p>
          <w:p w14:paraId="66E970A5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</w:rPr>
              <w:t>二、实践核心任务与要求</w:t>
            </w:r>
          </w:p>
          <w:p w14:paraId="0DF1F107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</w:rPr>
              <w:t>（一）分析对象选取</w:t>
            </w:r>
          </w:p>
          <w:p w14:paraId="7A18A841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1. 范围限定：必须为中国 A 股沪深交易所挂牌上市的制造业企业（行业分类执行证监会制造业一级行业分类，可选取装备制造、消费品制造、原材料制造等细分赛道）。</w:t>
            </w:r>
          </w:p>
          <w:p w14:paraId="63AF2E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firstLine="480" w:firstLineChars="200"/>
              <w:jc w:val="both"/>
              <w:textAlignment w:val="baseline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2. 选取条件：①具备连续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个完整会计年度（优先202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1-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202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年）年度报告，财报数据完整，无重大缺失；②不存在ST/*ST退市风险警示、重大财务造假、重大行政处罚等负面风险记录； ③全部数据来源公开、权威、可追溯。</w:t>
            </w:r>
          </w:p>
          <w:p w14:paraId="607230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firstLine="480" w:firstLineChars="200"/>
              <w:jc w:val="both"/>
              <w:textAlignment w:val="baseline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3. 确认流程：第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周内确定分析企业，填写《分析企业确认表》（含企业名称、股票代码、所属细分行业、选取理由），提交指导教师审核，审核通过后不得随意变更；若审核未通过，需在1周内重新提交确认。</w:t>
            </w:r>
          </w:p>
          <w:p w14:paraId="2684CBE9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</w:rPr>
              <w:t>（二）分析依据与工具方法</w:t>
            </w:r>
          </w:p>
          <w:p w14:paraId="0A1126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firstLine="480" w:firstLineChars="200"/>
              <w:jc w:val="both"/>
              <w:textAlignment w:val="baseline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1. 核心依据：①目标企业近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年年度报告（资产负债表、利润表、现金流量表、报表附注、管理层讨论与分析）；②宏观经济公开统计数据、制造业产业政策文件；③所属细分行业发展报告、行业平均指标、行业标杆企业同期数据，用于横向对比；④《证券投资学》教材，遵循“宏观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行业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公司”基本面分析逻辑框架，结合企业经营实际调整； ⑤辅助资料：行业研报、国家产业政策、市场公开资讯。</w:t>
            </w:r>
          </w:p>
          <w:p w14:paraId="4285739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firstLine="480" w:firstLineChars="200"/>
              <w:jc w:val="both"/>
              <w:textAlignment w:val="baseline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2. 数据来源：巨潮资讯网、东方财富网、同花顺、企业官方网站（投资者关系板块）等权威平台，确保数据真实、准确、可追溯；</w:t>
            </w:r>
          </w:p>
          <w:p w14:paraId="4472676F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</w:rPr>
              <w:t>3. 工具与方法：①工具：Excel，完成指标计算、数据整理、对比图表绘制； ②分析方法：宏观因素分析法；行业生命周期、行业竞争格局分析；比率分析、趋势分析（企业5年纵向对比）、对比分析（对标行业均值、标杆企业横向对比）；结合企业业务开展逻辑解读，最终综合研判企业股票投资价值。</w:t>
            </w:r>
          </w:p>
          <w:p w14:paraId="7A3E00E0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hanging="360"/>
              <w:jc w:val="both"/>
              <w:textAlignment w:val="baseline"/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</w:rPr>
              <w:t>（三）核心分析内容（必含模块，遵循外部环境→企业基本面→财务量化→综合投资结论逻辑，禁止单纯罗列数据指标，要结合业务解释数据变化背后原因</w:t>
            </w: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  <w:p w14:paraId="45F80BE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firstLine="480" w:firstLineChars="200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1. 证券投资宏观经济分析</w:t>
            </w: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（近五年对比）</w:t>
            </w:r>
          </w:p>
          <w:p w14:paraId="6934A6F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firstLine="480" w:firstLineChars="200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围绕宏观环境对证券市场、制造业板块的影响展开分析。重点分析</w:t>
            </w: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GDP</w:t>
            </w: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增速、通货膨胀、货币政策、财政政策、产业政策、利率等关键宏观变量；判断当前宏观经济周期，分析宏观环境对所选制造业细分行业以及目标上市公司经营、盈利、股价带来的机遇与潜在压力。</w:t>
            </w:r>
          </w:p>
          <w:p w14:paraId="21D581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firstLine="480" w:firstLineChars="200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2. 证券投资行业分析</w:t>
            </w:r>
          </w:p>
          <w:p w14:paraId="0E4A119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firstLine="480" w:firstLineChars="200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①行业基本概况：所属细分制造业行业属性（周期型</w:t>
            </w: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成长型</w:t>
            </w: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防御型）、行业生命周期；②行业竞争格局：市场规模、市场集中度、进入壁垒、产业链上下游情况；③行业政策与发展趋势：国家产业扶持政策、技术变革、市场需求变化； ④研判行业景气程度，分析行业整体给企业带来的发展机会与行业层面风险。</w:t>
            </w:r>
          </w:p>
          <w:p w14:paraId="7CC56CC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firstLine="480" w:firstLineChars="200"/>
              <w:jc w:val="left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3. 证券投资公司分析</w:t>
            </w:r>
          </w:p>
          <w:p w14:paraId="5CFFBC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firstLine="240" w:firstLineChars="100"/>
              <w:jc w:val="left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（1）公司基本素质分析</w:t>
            </w:r>
          </w:p>
          <w:p w14:paraId="3255A8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firstLine="480" w:firstLineChars="200"/>
              <w:jc w:val="left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介绍公司主营业务、产品结构、商业模式；分析企业竞争优势（技术、产能、品牌、渠道等）；公司治理、管理层情况；市场地位，与行业内主要竞争对手对比；识别企业自身经营优势与经营短板。</w:t>
            </w:r>
          </w:p>
          <w:p w14:paraId="58559D4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jc w:val="left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（2）公司财务分析（使用近 5 年财报数据）</w:t>
            </w:r>
          </w:p>
          <w:p w14:paraId="6A95B96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720" w:firstLine="480" w:firstLineChars="200"/>
              <w:jc w:val="left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分析逻辑：</w:t>
            </w:r>
            <w:r>
              <w:rPr>
                <w:rFonts w:hint="eastAsia" w:ascii="MS Mincho" w:hAnsi="MS Mincho" w:eastAsia="MS Mincho" w:cs="MS Mincho"/>
                <w:b/>
                <w:bCs/>
                <w:i/>
                <w:iCs/>
                <w:snapToGrid w:val="0"/>
                <w:color w:val="auto"/>
                <w:kern w:val="0"/>
                <w:sz w:val="24"/>
                <w:szCs w:val="24"/>
                <w:lang w:val="en-US" w:eastAsia="en-US" w:bidi="ar-SA"/>
              </w:rPr>
              <w:t>指标计算→纵向趋势解读→横向行业对比→识别优势与风险</w:t>
            </w: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，结合企业经营业务解释指标变动原因</w:t>
            </w: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:</w:t>
            </w:r>
          </w:p>
          <w:p w14:paraId="6B0DB2D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firstLine="480" w:firstLineChars="200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①偿债能力分析：核心指标（流动比率、速动比率、资产负债率、产权比率、利息保障倍数），研判企业短期、长期债务压力，财务杠杆的合理性，识别偿债风险； ②营运能力分析：核心指标（应收账款周转率、存货周转率、固定资产周转率、总资产周转率），结合制造业生产、库存、销售模式，评价企业资产管理与运营效率； ③盈利能力分析：核心指标（营业毛利率、营业净利率、总资产净利率ROA、净资产收益率 ROE、每股收益EPS），评价盈利水平、盈利稳定性，分析成本、收入对盈利的驱动或制约； ④现金流量分析：分析经营活动、投资活动、筹资活动现金流净额，评价企业盈利质量，判断企业现金获取能力、资金运转健康度。</w:t>
            </w:r>
          </w:p>
          <w:p w14:paraId="2A7586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firstLine="480" w:firstLineChars="200"/>
              <w:jc w:val="left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4. 企业股票投资价值综合结论</w:t>
            </w:r>
          </w:p>
          <w:p w14:paraId="01DB324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firstLine="480" w:firstLineChars="20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综合前面宏观环境、行业景气度、公司经营素质、财务状况，总结该上市公司投资优势与主要投资风险；给出综合投资价值判断（推荐关注 / 谨慎看待 / 不建议投资），写明完整理由。</w:t>
            </w:r>
          </w:p>
          <w:p w14:paraId="1BDBF1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jc w:val="left"/>
              <w:textAlignment w:val="baseline"/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三、实践报告撰写规范（参考</w:t>
            </w: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重庆机电职业技术大学</w:t>
            </w: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毕业</w:t>
            </w: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设计</w:t>
            </w: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撰写规范）</w:t>
            </w:r>
          </w:p>
          <w:p w14:paraId="236D45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="0"/>
              <w:jc w:val="left"/>
              <w:rPr>
                <w:rFonts w:hint="default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（一）格式规范</w:t>
            </w:r>
          </w:p>
          <w:p w14:paraId="1620C4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="0" w:leftChars="0" w:firstLine="480" w:firstLineChars="200"/>
              <w:jc w:val="left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排版要求：①页面设置：A4纸，上下边距2.5cm，左右边距2cm，页眉1.5cm，页脚1.8cm；②页眉：标注“XX企业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投资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分析报告”，宋体小五居中；③页脚：居中标注页码（正文从第一章开始编号，目录、摘要等前置部分用罗马数字编号）；</w:t>
            </w:r>
          </w:p>
          <w:p w14:paraId="4F5B53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="0" w:leftChars="0" w:firstLine="480" w:firstLineChars="200"/>
              <w:jc w:val="left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2. 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字体与行距：①一级标题：黑体三号加粗居中，段后空1.5行；②二级标题：黑体四号加粗左对齐，段后空1行；③三级标题：黑体小四加粗左对齐，段后空0.5行；④正文：宋体小四，摘要/关键词/参考文献/附录正文宋体小五；⑤全文1.5倍行距，段落首行缩进2字符，段落间无额外空行；</w:t>
            </w:r>
          </w:p>
          <w:p w14:paraId="24FBDF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="0" w:leftChars="0" w:firstLine="480" w:firstLineChars="200"/>
              <w:jc w:val="left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3. 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图表规范：①图表统一编号（图：按章节编序，如“图2-1 XX企业流动比率趋势图”；表：按章节编序，如“表3-1 XX企业估值数据计算表”）；②图表标题：图标题位于图下方居中（宋体小五加粗），表标题位于表上方居中（宋体小五加粗）；③图表内容：数据准确，标注清晰，坐标轴、表头要素齐全，图表下方标注数据来源（宋体六号）；④图表插入：与正文对应位置紧密结合，不单独分页（大型表格可单独分页，表头重复）；</w:t>
            </w:r>
          </w:p>
          <w:p w14:paraId="7C750C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="0" w:leftChars="0" w:firstLine="480" w:firstLineChars="200"/>
              <w:jc w:val="left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4. 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引用规范：文中引用文献、数据需标注参考文献序号（如“流动比率是衡量短期偿债能力的核心指标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vertAlign w:val="superscript"/>
                <w:lang w:val="en-US" w:eastAsia="en-US" w:bidi="ar-SA"/>
              </w:rPr>
              <w:t>[3]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”），引用数据需标注来源，避免无依据引用；</w:t>
            </w:r>
          </w:p>
          <w:p w14:paraId="32A489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="0" w:leftChars="0" w:firstLine="480" w:firstLineChars="200"/>
              <w:jc w:val="left"/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5. 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原创性要求：抄袭率需低于15%（按学校毕业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设计</w:t>
            </w:r>
            <w:r>
              <w:rPr>
                <w:rFonts w:hint="eastAsia" w:ascii="MS Mincho" w:hAnsi="MS Mincho" w:eastAsia="MS Mincho" w:cs="MS Mincho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查重标准执行），严禁抄袭他人报告、篡改财务数据、复制年报原文，违规者实践考核直接按不及格处理，需重新提交并记入课程考核档案；</w:t>
            </w:r>
          </w:p>
          <w:p w14:paraId="1B8D278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jc w:val="left"/>
              <w:textAlignment w:val="baseline"/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（二）提交要求</w:t>
            </w:r>
          </w:p>
          <w:p w14:paraId="03539A0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="0" w:firstLine="480" w:firstLineChars="200"/>
              <w:jc w:val="left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1. 提交形式：提交电子版和纸质版，word、PDF打印版各一份，文件及压缩包命名格式：“班级+学号+姓名+XX企业投资分析报告”，由课代表收集完毕后提交任课老师；</w:t>
            </w:r>
          </w:p>
          <w:p w14:paraId="0E12EC7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="0" w:firstLine="480" w:firstLineChars="200"/>
              <w:jc w:val="left"/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2. 提交时间：</w:t>
            </w:r>
            <w:r>
              <w:rPr>
                <w:rFonts w:hint="eastAsia" w:ascii="MS Mincho" w:hAnsi="MS Mincho" w:eastAsia="MS Mincho" w:cs="MS Mincho"/>
                <w:b/>
                <w:bCs/>
                <w:i/>
                <w:i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第12周周五（2026年11月20日）18:00前</w:t>
            </w: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完成所有材料提交，逾期提交该项成绩为0分；</w:t>
            </w:r>
          </w:p>
          <w:p w14:paraId="6F5C74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240" w:lineRule="auto"/>
              <w:jc w:val="left"/>
              <w:textAlignment w:val="baseline"/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五、考核评分标准（</w:t>
            </w: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报告质量满分</w:t>
            </w: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100分，</w:t>
            </w: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按50%权重</w:t>
            </w: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计入</w:t>
            </w: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实践报告总</w:t>
            </w:r>
            <w:r>
              <w:rPr>
                <w:rFonts w:hint="eastAsia" w:ascii="MS Mincho" w:hAnsi="MS Mincho" w:eastAsia="MS Mincho" w:cs="MS Mincho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成绩）</w:t>
            </w:r>
          </w:p>
          <w:p w14:paraId="5C98CE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="0" w:firstLine="480" w:firstLineChars="200"/>
              <w:jc w:val="left"/>
              <w:rPr>
                <w:rFonts w:ascii="Arial" w:hAnsi="Arial" w:eastAsia="等线" w:cs="Arial"/>
                <w:sz w:val="24"/>
                <w:szCs w:val="24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按学术性、实操性、规范性三维度量化评分，参考毕业设计评分逻辑，结果对应等级：90-100分为优秀，80-89分为良好，70-79分为中等，60-69分为及格，60分以下为不及格。</w:t>
            </w:r>
          </w:p>
          <w:tbl>
            <w:tblPr>
              <w:tblStyle w:val="35"/>
              <w:tblW w:w="4995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591"/>
              <w:gridCol w:w="741"/>
              <w:gridCol w:w="7172"/>
            </w:tblGrid>
            <w:tr w14:paraId="10D1ED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837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E24A2C6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center"/>
                    <w:textAlignment w:val="auto"/>
                    <w:rPr>
                      <w:rFonts w:hint="eastAsia" w:ascii="MS Mincho" w:hAnsi="MS Mincho" w:eastAsia="MS Mincho" w:cs="MS Mincho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b/>
                      <w:bCs/>
                      <w:sz w:val="21"/>
                      <w:szCs w:val="21"/>
                    </w:rPr>
                    <w:t>评分维度</w:t>
                  </w:r>
                </w:p>
              </w:tc>
              <w:tc>
                <w:tcPr>
                  <w:tcW w:w="390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47283D7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center"/>
                    <w:textAlignment w:val="auto"/>
                    <w:rPr>
                      <w:rFonts w:hint="eastAsia" w:ascii="MS Mincho" w:hAnsi="MS Mincho" w:eastAsia="MS Mincho" w:cs="MS Mincho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b/>
                      <w:bCs/>
                      <w:sz w:val="21"/>
                      <w:szCs w:val="21"/>
                    </w:rPr>
                    <w:t>权重</w:t>
                  </w:r>
                </w:p>
              </w:tc>
              <w:tc>
                <w:tcPr>
                  <w:tcW w:w="3772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47883DD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center"/>
                    <w:textAlignment w:val="auto"/>
                    <w:rPr>
                      <w:rFonts w:hint="eastAsia" w:ascii="MS Mincho" w:hAnsi="MS Mincho" w:eastAsia="MS Mincho" w:cs="MS Mincho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b/>
                      <w:bCs/>
                      <w:sz w:val="21"/>
                      <w:szCs w:val="21"/>
                    </w:rPr>
                    <w:t>评分标准</w:t>
                  </w:r>
                </w:p>
              </w:tc>
            </w:tr>
            <w:tr w14:paraId="6782B9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606" w:hRule="atLeast"/>
                <w:jc w:val="center"/>
              </w:trPr>
              <w:tc>
                <w:tcPr>
                  <w:tcW w:w="837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BC9D6D6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1. 分析对象与数据质量</w:t>
                  </w:r>
                </w:p>
              </w:tc>
              <w:tc>
                <w:tcPr>
                  <w:tcW w:w="390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9E7604A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15分</w:t>
                  </w:r>
                </w:p>
              </w:tc>
              <w:tc>
                <w:tcPr>
                  <w:tcW w:w="3772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717F944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企业选取符合制造业+A股上市要求，数据完整、来源权威可追溯，数据底稿规范，无缺失/错误/篡改数据，文献选取贴合分析主题</w:t>
                  </w:r>
                </w:p>
              </w:tc>
            </w:tr>
            <w:tr w14:paraId="785CD6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53" w:hRule="atLeast"/>
                <w:jc w:val="center"/>
              </w:trPr>
              <w:tc>
                <w:tcPr>
                  <w:tcW w:w="837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57D4BA1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2. 分析内容完整性与学术性</w:t>
                  </w:r>
                </w:p>
              </w:tc>
              <w:tc>
                <w:tcPr>
                  <w:tcW w:w="390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6368CBC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  <w:lang w:val="en-US" w:eastAsia="zh-CN"/>
                    </w:rPr>
                    <w:t>40</w:t>
                  </w: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分</w:t>
                  </w:r>
                </w:p>
              </w:tc>
              <w:tc>
                <w:tcPr>
                  <w:tcW w:w="3772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E14093E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  <w:lang w:val="en-US" w:eastAsia="zh-CN"/>
                    </w:rPr>
                    <w:t>6</w:t>
                  </w: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项核心模块无缺失，指标计算准确，分析结合财务管理理论，逻辑闭环，能关联企业经营与行业实际，问题识别精准，无单纯指标罗列</w:t>
                  </w:r>
                </w:p>
              </w:tc>
            </w:tr>
            <w:tr w14:paraId="5DC582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837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B6FE5BB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3. 报告撰写规范性</w:t>
                  </w:r>
                </w:p>
              </w:tc>
              <w:tc>
                <w:tcPr>
                  <w:tcW w:w="390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6863424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25分</w:t>
                  </w:r>
                </w:p>
              </w:tc>
              <w:tc>
                <w:tcPr>
                  <w:tcW w:w="3772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A131856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结构符合毕业论文标准（要素齐全、层级清晰），格式严格对标要求（字体、行距、图表、参考文献等无偏差），排版整洁，抄袭率＜15%，无格式错误</w:t>
                  </w:r>
                </w:p>
              </w:tc>
            </w:tr>
            <w:tr w14:paraId="792743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837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6A281AB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4. 结论与建议可行性</w:t>
                  </w:r>
                </w:p>
              </w:tc>
              <w:tc>
                <w:tcPr>
                  <w:tcW w:w="390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C78F545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20分</w:t>
                  </w:r>
                </w:p>
              </w:tc>
              <w:tc>
                <w:tcPr>
                  <w:tcW w:w="3772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8DC287A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ind w:left="0"/>
                    <w:jc w:val="left"/>
                    <w:textAlignment w:val="auto"/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</w:pPr>
                  <w:r>
                    <w:rPr>
                      <w:rFonts w:hint="eastAsia" w:ascii="MS Mincho" w:hAnsi="MS Mincho" w:eastAsia="MS Mincho" w:cs="MS Mincho"/>
                      <w:sz w:val="21"/>
                      <w:szCs w:val="21"/>
                    </w:rPr>
                    <w:t>核心结论客观有据，贴合分析结果；优化建议针对性强、可落地，结合学术理论与企业实际，无空泛表述，报告语言流畅、学术性达标</w:t>
                  </w:r>
                </w:p>
              </w:tc>
            </w:tr>
          </w:tbl>
          <w:p w14:paraId="29FCE5EC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</w:tbl>
    <w:p w14:paraId="511425DB">
      <w:pPr>
        <w:keepNext/>
        <w:spacing w:before="240" w:after="360" w:line="360" w:lineRule="auto"/>
        <w:ind w:firstLine="0"/>
        <w:jc w:val="left"/>
        <w:outlineLvl w:val="1"/>
        <w:rPr>
          <w:rFonts w:hint="default" w:ascii="Times New Roman" w:hAnsi="Times New Roman" w:eastAsia="黑体"/>
          <w:b/>
          <w:sz w:val="32"/>
          <w:lang w:val="en-US" w:eastAsia="zh-CN"/>
        </w:rPr>
      </w:pPr>
      <w:bookmarkStart w:id="4" w:name="_Toc20884"/>
      <w:r>
        <w:rPr>
          <w:rFonts w:hint="default" w:ascii="Times New Roman" w:hAnsi="Times New Roman" w:eastAsia="黑体"/>
          <w:b/>
          <w:sz w:val="32"/>
        </w:rPr>
        <w:t>二、</w:t>
      </w:r>
      <w:r>
        <w:rPr>
          <w:rFonts w:hint="eastAsia" w:ascii="Times New Roman" w:hAnsi="Times New Roman" w:eastAsia="黑体"/>
          <w:b/>
          <w:sz w:val="32"/>
          <w:lang w:val="en-US" w:eastAsia="zh-CN"/>
        </w:rPr>
        <w:t>实践内容与过程</w:t>
      </w:r>
      <w:bookmarkEnd w:id="4"/>
    </w:p>
    <w:tbl>
      <w:tblPr>
        <w:tblStyle w:val="36"/>
        <w:tblW w:w="9683" w:type="dxa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3"/>
      </w:tblGrid>
      <w:tr w14:paraId="662F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153" w:hRule="atLeast"/>
        </w:trPr>
        <w:tc>
          <w:tcPr>
            <w:tcW w:w="9683" w:type="dxa"/>
          </w:tcPr>
          <w:p w14:paraId="5083AF95">
            <w:pPr>
              <w:pStyle w:val="32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</w:rPr>
              <w:t>（这是报告的核心部分，需详细、具体地描述你“做了什么”和“怎么做的”。建议分点、分阶段叙述。</w:t>
            </w: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  <w:lang w:val="en-US" w:eastAsia="zh-CN"/>
              </w:rPr>
              <w:t>附过程截图、照片等支持材料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</w:rPr>
              <w:t>）</w:t>
            </w:r>
          </w:p>
          <w:p w14:paraId="1E8D881F">
            <w:pPr>
              <w:pStyle w:val="32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</w:rPr>
            </w:pPr>
          </w:p>
          <w:p w14:paraId="58D5C3D4">
            <w:pPr>
              <w:pStyle w:val="32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/>
              <w:rPr>
                <w:b w:val="0"/>
                <w:bCs w:val="0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  <w:lang w:val="en-US" w:eastAsia="zh-CN"/>
              </w:rPr>
              <w:t>见《xx公司投资（XX能力）分析报告》</w:t>
            </w:r>
          </w:p>
          <w:p w14:paraId="636C55F7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06D5E81B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41288B49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2D59D2A2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1240F159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73A77B04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0C847421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66934BC2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4CECBBF7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4666FED0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382BE271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33B5DE01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2139A237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561D4564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</w:tc>
      </w:tr>
    </w:tbl>
    <w:p w14:paraId="437786E7">
      <w:pPr>
        <w:keepNext/>
        <w:spacing w:before="240" w:after="360" w:line="360" w:lineRule="auto"/>
        <w:ind w:firstLine="0"/>
        <w:jc w:val="left"/>
        <w:outlineLvl w:val="1"/>
        <w:rPr>
          <w:rFonts w:hint="default" w:ascii="Times New Roman" w:hAnsi="Times New Roman" w:eastAsia="黑体"/>
          <w:b/>
          <w:sz w:val="32"/>
        </w:rPr>
      </w:pPr>
      <w:bookmarkStart w:id="5" w:name="_Toc30111"/>
      <w:r>
        <w:rPr>
          <w:rFonts w:hint="default" w:ascii="Times New Roman" w:hAnsi="Times New Roman" w:eastAsia="黑体"/>
          <w:b/>
          <w:sz w:val="32"/>
        </w:rPr>
        <w:t>三、实践收获与体会</w:t>
      </w:r>
      <w:bookmarkEnd w:id="5"/>
    </w:p>
    <w:tbl>
      <w:tblPr>
        <w:tblStyle w:val="36"/>
        <w:tblW w:w="0" w:type="auto"/>
        <w:tblInd w:w="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4"/>
      </w:tblGrid>
      <w:tr w14:paraId="139BC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9694" w:type="dxa"/>
          </w:tcPr>
          <w:p w14:paraId="692C413F">
            <w:pPr>
              <w:spacing w:before="0" w:after="0"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这次实践最大的收获，不是学会了计算几个比率，而是理解了“数据口径决定结论”这句话的分量。项目开始时，我用报告期的期末日期去对齐财报数据计算历史市盈率，结果 2026 年 8—9 月的 PE用上了 10 月底才公布的三季报，历史分位被系统性压低。直到把 TTM 改成按“实际公告日”生效，结论才恢复正常——同一份数据，只因为时点对齐方式不同，就能得出相反的投资判断。</w:t>
            </w:r>
          </w:p>
          <w:p w14:paraId="30F06CB1">
            <w:pPr>
              <w:spacing w:before="0" w:after="0"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第二个收获来自“累计值拆单季”。一开始我用字符串截取判断报告期类型，把“一季报”截成了“季报”，导致 2025 年三季报的单季营收被算成 27.5 亿元（真实值 13.7 亿元），全年数据随之全部错位。这个 bug 让我意识到：数据加工链条很长，任何一环出错都会传导到最终结论，所以必须设置交叉校验——加总校验、恒等式校验、外部对照校验，三者缺一不可。</w:t>
            </w:r>
          </w:p>
          <w:p w14:paraId="4246FFA4">
            <w:pPr>
              <w:spacing w:before="0" w:after="0"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第三个收获是对“盈利质量”的理解变得具体。以前看到归母净利润增长就认为公司变好了，这次拆开 2025 年的利润表才发现：毛利 7.34 亿元、期间费用 7.55 亿元，主业其实是亏损 0.21 亿元，2.34 亿元的净利润几乎全部来自联营企业房地产处置的 2.74 亿元投资收益。如果只看净利润增速，会得出完全错误的结论。相反，2026 年前三季度扣非占比 99.66%、投资收益仅 0.12 亿元，才是真正的主业改善。这让我理解了教材里“扣非净利润”这个指标为什么重要，也理解了为什么仅看扣非占比还不够——权益法投资收益会被计入经常性损益，必须逐项穿透。</w:t>
            </w:r>
          </w:p>
          <w:p w14:paraId="1D5A2E2C">
            <w:pPr>
              <w:spacing w:before="0" w:after="0"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第四个收获是分析框架的落地。宏观—行业—公司—估值这条链条，以前只是背下来的名词；这次真正把 PPI 转负与公司毛利率、把 AI 资本开支与光通信毛利率 58.52%、把 LPR 与 41.73 亿元有息负债的利息负担对应起来之后，才体会到“自上而下”不是形式，而是把宏观变量翻译成企业报表科目的过程。估值部分也一样：PE 分位算出 60%、PB 分位算出 92%，两个数字打架，逼着我去想“哪个分母更可靠”，最后得出“PE 分位在盈利不稳定时会失效”的结论——这种“指标之间互相矛盾时如何取舍”的判断力，是我这次最大的能力增量。</w:t>
            </w:r>
          </w:p>
          <w:p w14:paraId="5041594E">
            <w:pPr>
              <w:pStyle w:val="32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当然，报告仍有不足。一是对光通信高毛利的可持续性，只能做定性判断，缺少在手订单与客户结构的定量拆解；二是 DCF 的假设带有较强主观性；三是同业对比使用的是 2025 年数据，滞后于公司最新经营状况。这些不足提醒我：投资分析永远是在信息不完整的情况下做概率判断，重要的不是给出一个精确的目标价，而是把关键假设与风险讲清楚。</w:t>
            </w:r>
          </w:p>
          <w:p w14:paraId="73588AC7">
            <w:pPr>
              <w:pStyle w:val="32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</w:tbl>
    <w:p w14:paraId="26D9D8D5">
      <w:pPr>
        <w:keepNext/>
        <w:spacing w:before="240" w:after="360" w:line="360" w:lineRule="auto"/>
        <w:ind w:firstLine="0"/>
        <w:jc w:val="left"/>
        <w:outlineLvl w:val="1"/>
        <w:rPr>
          <w:rFonts w:hint="default" w:ascii="Times New Roman" w:hAnsi="Times New Roman" w:eastAsia="黑体"/>
          <w:b/>
          <w:sz w:val="32"/>
          <w:lang w:val="en-US" w:eastAsia="zh-CN"/>
        </w:rPr>
      </w:pPr>
      <w:bookmarkStart w:id="6" w:name="_Toc27669"/>
      <w:r>
        <w:rPr>
          <w:rFonts w:hint="default" w:ascii="Times New Roman" w:hAnsi="Times New Roman" w:eastAsia="黑体"/>
          <w:b/>
          <w:sz w:val="32"/>
        </w:rPr>
        <w:t>四、指导教师评价</w:t>
      </w:r>
      <w:bookmarkEnd w:id="6"/>
    </w:p>
    <w:tbl>
      <w:tblPr>
        <w:tblStyle w:val="35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4"/>
      </w:tblGrid>
      <w:tr w14:paraId="0AE6DC96">
        <w:trPr>
          <w:trHeight w:val="3465" w:hRule="atLeast"/>
        </w:trPr>
        <w:tc>
          <w:tcPr>
            <w:tcW w:w="9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9C6E02D">
            <w:pPr>
              <w:rPr>
                <w:kern w:val="1"/>
                <w:sz w:val="28"/>
              </w:rPr>
            </w:pPr>
            <w:r>
              <w:rPr>
                <w:rFonts w:hint="eastAsia" w:eastAsia="宋体"/>
                <w:kern w:val="1"/>
                <w:sz w:val="28"/>
                <w:lang w:val="en-US" w:eastAsia="zh-CN"/>
              </w:rPr>
              <w:t>1</w:t>
            </w:r>
            <w:r>
              <w:rPr>
                <w:kern w:val="1"/>
                <w:sz w:val="28"/>
              </w:rPr>
              <w:t>、教师评</w:t>
            </w:r>
            <w:r>
              <w:rPr>
                <w:rFonts w:hint="eastAsia" w:eastAsia="宋体"/>
                <w:kern w:val="1"/>
                <w:sz w:val="28"/>
                <w:lang w:val="en-US" w:eastAsia="zh-CN"/>
              </w:rPr>
              <w:t>语</w:t>
            </w:r>
            <w:r>
              <w:rPr>
                <w:kern w:val="1"/>
                <w:sz w:val="28"/>
              </w:rPr>
              <w:t>：</w:t>
            </w:r>
          </w:p>
          <w:p w14:paraId="68D4A116">
            <w:pPr>
              <w:rPr>
                <w:kern w:val="1"/>
                <w:sz w:val="28"/>
              </w:rPr>
            </w:pPr>
          </w:p>
        </w:tc>
      </w:tr>
      <w:tr w14:paraId="39A12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6" w:hRule="atLeast"/>
        </w:trPr>
        <w:tc>
          <w:tcPr>
            <w:tcW w:w="9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140E33C">
            <w:pPr>
              <w:rPr>
                <w:kern w:val="1"/>
                <w:sz w:val="28"/>
              </w:rPr>
            </w:pPr>
            <w:r>
              <w:rPr>
                <w:rFonts w:hint="eastAsia" w:eastAsia="宋体"/>
                <w:kern w:val="1"/>
                <w:sz w:val="28"/>
                <w:lang w:val="en-US" w:eastAsia="zh-CN"/>
              </w:rPr>
              <w:t>2</w:t>
            </w:r>
            <w:r>
              <w:rPr>
                <w:kern w:val="1"/>
                <w:sz w:val="28"/>
              </w:rPr>
              <w:t>、评分</w:t>
            </w:r>
          </w:p>
          <w:tbl>
            <w:tblPr>
              <w:tblStyle w:val="36"/>
              <w:tblW w:w="945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60"/>
              <w:gridCol w:w="2945"/>
              <w:gridCol w:w="3153"/>
            </w:tblGrid>
            <w:tr w14:paraId="26B359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4" w:hRule="atLeast"/>
              </w:trPr>
              <w:tc>
                <w:tcPr>
                  <w:tcW w:w="3360" w:type="dxa"/>
                  <w:shd w:val="clear" w:color="auto" w:fill="auto"/>
                  <w:vAlign w:val="top"/>
                </w:tcPr>
                <w:p w14:paraId="1649363C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考核项目</w:t>
                  </w:r>
                </w:p>
              </w:tc>
              <w:tc>
                <w:tcPr>
                  <w:tcW w:w="2945" w:type="dxa"/>
                  <w:shd w:val="clear" w:color="auto" w:fill="auto"/>
                  <w:vAlign w:val="top"/>
                </w:tcPr>
                <w:p w14:paraId="1E07B665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分值</w:t>
                  </w:r>
                </w:p>
              </w:tc>
              <w:tc>
                <w:tcPr>
                  <w:tcW w:w="3153" w:type="dxa"/>
                  <w:shd w:val="clear" w:color="auto" w:fill="auto"/>
                  <w:vAlign w:val="top"/>
                </w:tcPr>
                <w:p w14:paraId="47BF1464">
                  <w:pPr>
                    <w:widowControl w:val="0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得分</w:t>
                  </w:r>
                </w:p>
              </w:tc>
            </w:tr>
            <w:tr w14:paraId="6096F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4" w:hRule="atLeast"/>
              </w:trPr>
              <w:tc>
                <w:tcPr>
                  <w:tcW w:w="3360" w:type="dxa"/>
                  <w:shd w:val="clear" w:color="auto" w:fill="auto"/>
                  <w:vAlign w:val="top"/>
                </w:tcPr>
                <w:p w14:paraId="3B0B723E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态度与纪律</w:t>
                  </w:r>
                </w:p>
              </w:tc>
              <w:tc>
                <w:tcPr>
                  <w:tcW w:w="2945" w:type="dxa"/>
                  <w:shd w:val="clear" w:color="auto" w:fill="auto"/>
                  <w:vAlign w:val="top"/>
                </w:tcPr>
                <w:p w14:paraId="41F2EA9A">
                  <w:pPr>
                    <w:widowControl w:val="0"/>
                    <w:jc w:val="center"/>
                    <w:rPr>
                      <w:rFonts w:hint="eastAsia" w:eastAsia="宋体"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  <w:t>20</w:t>
                  </w:r>
                </w:p>
              </w:tc>
              <w:tc>
                <w:tcPr>
                  <w:tcW w:w="3153" w:type="dxa"/>
                </w:tcPr>
                <w:p w14:paraId="1B036E5E">
                  <w:pPr>
                    <w:widowControl w:val="0"/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</w:pPr>
                </w:p>
              </w:tc>
            </w:tr>
            <w:tr w14:paraId="419374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4" w:hRule="atLeast"/>
              </w:trPr>
              <w:tc>
                <w:tcPr>
                  <w:tcW w:w="3360" w:type="dxa"/>
                  <w:shd w:val="clear" w:color="auto" w:fill="auto"/>
                  <w:vAlign w:val="top"/>
                </w:tcPr>
                <w:p w14:paraId="6F9BBFD7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过程与任务完成情况</w:t>
                  </w:r>
                </w:p>
              </w:tc>
              <w:tc>
                <w:tcPr>
                  <w:tcW w:w="2945" w:type="dxa"/>
                  <w:shd w:val="clear" w:color="auto" w:fill="auto"/>
                  <w:vAlign w:val="top"/>
                </w:tcPr>
                <w:p w14:paraId="41C99429">
                  <w:pPr>
                    <w:widowControl w:val="0"/>
                    <w:jc w:val="center"/>
                    <w:rPr>
                      <w:rFonts w:hint="eastAsia" w:eastAsia="宋体"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  <w:t>30</w:t>
                  </w:r>
                </w:p>
              </w:tc>
              <w:tc>
                <w:tcPr>
                  <w:tcW w:w="3153" w:type="dxa"/>
                </w:tcPr>
                <w:p w14:paraId="5BE89501">
                  <w:pPr>
                    <w:widowControl w:val="0"/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</w:pPr>
                </w:p>
              </w:tc>
            </w:tr>
            <w:tr w14:paraId="172B30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4" w:hRule="atLeast"/>
              </w:trPr>
              <w:tc>
                <w:tcPr>
                  <w:tcW w:w="3360" w:type="dxa"/>
                  <w:shd w:val="clear" w:color="auto" w:fill="auto"/>
                  <w:vAlign w:val="top"/>
                </w:tcPr>
                <w:p w14:paraId="3F393744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报告质量</w:t>
                  </w:r>
                </w:p>
              </w:tc>
              <w:tc>
                <w:tcPr>
                  <w:tcW w:w="2945" w:type="dxa"/>
                  <w:shd w:val="clear" w:color="auto" w:fill="auto"/>
                  <w:vAlign w:val="top"/>
                </w:tcPr>
                <w:p w14:paraId="0BBB0175">
                  <w:pPr>
                    <w:widowControl w:val="0"/>
                    <w:jc w:val="center"/>
                    <w:rPr>
                      <w:rFonts w:hint="eastAsia" w:eastAsia="宋体"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  <w:t>50</w:t>
                  </w:r>
                </w:p>
              </w:tc>
              <w:tc>
                <w:tcPr>
                  <w:tcW w:w="3153" w:type="dxa"/>
                </w:tcPr>
                <w:p w14:paraId="02860073">
                  <w:pPr>
                    <w:widowControl w:val="0"/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</w:pPr>
                </w:p>
              </w:tc>
            </w:tr>
            <w:tr w14:paraId="1762FA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1" w:hRule="atLeast"/>
              </w:trPr>
              <w:tc>
                <w:tcPr>
                  <w:tcW w:w="3360" w:type="dxa"/>
                  <w:shd w:val="clear" w:color="auto" w:fill="auto"/>
                  <w:vAlign w:val="top"/>
                </w:tcPr>
                <w:p w14:paraId="3285558E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总成绩</w:t>
                  </w:r>
                </w:p>
              </w:tc>
              <w:tc>
                <w:tcPr>
                  <w:tcW w:w="2945" w:type="dxa"/>
                  <w:shd w:val="clear" w:color="auto" w:fill="auto"/>
                  <w:vAlign w:val="top"/>
                </w:tcPr>
                <w:p w14:paraId="01B212A5">
                  <w:pPr>
                    <w:widowControl w:val="0"/>
                    <w:jc w:val="center"/>
                    <w:rPr>
                      <w:rFonts w:hint="eastAsia" w:eastAsia="宋体"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  <w:t>100</w:t>
                  </w:r>
                </w:p>
              </w:tc>
              <w:tc>
                <w:tcPr>
                  <w:tcW w:w="3153" w:type="dxa"/>
                </w:tcPr>
                <w:p w14:paraId="1F7C4863">
                  <w:pPr>
                    <w:widowControl w:val="0"/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</w:pPr>
                </w:p>
              </w:tc>
            </w:tr>
          </w:tbl>
          <w:p w14:paraId="0AEB923E">
            <w:pPr>
              <w:tabs>
                <w:tab w:val="center" w:pos="4032"/>
              </w:tabs>
              <w:rPr>
                <w:kern w:val="1"/>
                <w:sz w:val="32"/>
              </w:rPr>
            </w:pPr>
          </w:p>
          <w:p w14:paraId="6378B996">
            <w:pPr>
              <w:tabs>
                <w:tab w:val="center" w:pos="4032"/>
              </w:tabs>
              <w:ind w:firstLine="570"/>
              <w:rPr>
                <w:kern w:val="1"/>
                <w:sz w:val="32"/>
              </w:rPr>
            </w:pPr>
            <w:r>
              <w:rPr>
                <w:kern w:val="1"/>
                <w:sz w:val="32"/>
              </w:rPr>
              <w:t>综合成绩：</w:t>
            </w:r>
            <w:r>
              <w:rPr>
                <w:kern w:val="1"/>
                <w:sz w:val="32"/>
                <w:u w:val="single"/>
              </w:rPr>
              <w:tab/>
            </w:r>
            <w:r>
              <w:rPr>
                <w:kern w:val="1"/>
                <w:sz w:val="32"/>
                <w:u w:val="single"/>
              </w:rPr>
              <w:t xml:space="preserve">        </w:t>
            </w:r>
            <w:r>
              <w:rPr>
                <w:kern w:val="1"/>
                <w:sz w:val="32"/>
              </w:rPr>
              <w:t xml:space="preserve"> 分 （折合等级</w:t>
            </w:r>
            <w:r>
              <w:rPr>
                <w:kern w:val="1"/>
                <w:sz w:val="32"/>
                <w:u w:val="single"/>
              </w:rPr>
              <w:t xml:space="preserve">         </w:t>
            </w:r>
            <w:r>
              <w:rPr>
                <w:kern w:val="1"/>
                <w:sz w:val="32"/>
              </w:rPr>
              <w:t>）</w:t>
            </w:r>
          </w:p>
          <w:p w14:paraId="3B6A0F09">
            <w:pPr>
              <w:tabs>
                <w:tab w:val="center" w:pos="4032"/>
              </w:tabs>
              <w:ind w:firstLine="570"/>
              <w:rPr>
                <w:kern w:val="1"/>
                <w:sz w:val="28"/>
              </w:rPr>
            </w:pPr>
          </w:p>
          <w:p w14:paraId="29A4A620">
            <w:pPr>
              <w:tabs>
                <w:tab w:val="center" w:pos="4032"/>
              </w:tabs>
              <w:ind w:firstLine="570"/>
              <w:jc w:val="right"/>
              <w:rPr>
                <w:b/>
                <w:kern w:val="1"/>
                <w:sz w:val="28"/>
              </w:rPr>
            </w:pPr>
          </w:p>
          <w:p w14:paraId="17166542">
            <w:pPr>
              <w:tabs>
                <w:tab w:val="center" w:pos="4032"/>
              </w:tabs>
              <w:ind w:firstLine="570"/>
              <w:jc w:val="right"/>
              <w:rPr>
                <w:b/>
                <w:kern w:val="1"/>
                <w:sz w:val="28"/>
              </w:rPr>
            </w:pPr>
          </w:p>
          <w:p w14:paraId="531786AC">
            <w:pPr>
              <w:tabs>
                <w:tab w:val="center" w:pos="4032"/>
              </w:tabs>
              <w:ind w:firstLine="570"/>
              <w:rPr>
                <w:b/>
                <w:kern w:val="1"/>
                <w:sz w:val="28"/>
              </w:rPr>
            </w:pPr>
            <w:r>
              <w:rPr>
                <w:kern w:val="1"/>
                <w:sz w:val="28"/>
              </w:rPr>
              <w:t xml:space="preserve">                    </w:t>
            </w:r>
            <w:r>
              <w:rPr>
                <w:b/>
                <w:kern w:val="1"/>
                <w:sz w:val="28"/>
              </w:rPr>
              <w:t>指导教师签名：</w:t>
            </w:r>
          </w:p>
          <w:p w14:paraId="1D408326">
            <w:pPr>
              <w:rPr>
                <w:kern w:val="1"/>
              </w:rPr>
            </w:pPr>
          </w:p>
          <w:p w14:paraId="15AC33DA">
            <w:pPr>
              <w:tabs>
                <w:tab w:val="center" w:pos="4032"/>
              </w:tabs>
              <w:ind w:firstLine="570"/>
              <w:rPr>
                <w:kern w:val="1"/>
                <w:sz w:val="28"/>
              </w:rPr>
            </w:pPr>
            <w:r>
              <w:rPr>
                <w:b/>
                <w:bCs/>
                <w:kern w:val="1"/>
                <w:sz w:val="28"/>
              </w:rPr>
              <w:t xml:space="preserve">                   </w:t>
            </w:r>
            <w:r>
              <w:rPr>
                <w:kern w:val="1"/>
                <w:sz w:val="28"/>
              </w:rPr>
              <w:t xml:space="preserve">     </w:t>
            </w:r>
            <w:r>
              <w:rPr>
                <w:b/>
                <w:bCs/>
                <w:kern w:val="1"/>
                <w:sz w:val="28"/>
              </w:rPr>
              <w:t>时间：     年    月    日</w:t>
            </w:r>
            <w:r>
              <w:rPr>
                <w:kern w:val="1"/>
                <w:sz w:val="28"/>
              </w:rPr>
              <w:t xml:space="preserve">                        </w:t>
            </w:r>
          </w:p>
        </w:tc>
      </w:tr>
      <w:tr w14:paraId="5FEDF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6" w:hRule="atLeast"/>
        </w:trPr>
        <w:tc>
          <w:tcPr>
            <w:tcW w:w="9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973BAD1">
            <w:pPr>
              <w:pStyle w:val="32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 w:firstLine="1687" w:firstLineChars="700"/>
              <w:rPr>
                <w:b w:val="0"/>
                <w:bCs w:val="0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  <w:lang w:val="en-US" w:eastAsia="zh-CN"/>
              </w:rPr>
              <w:t>xx公司投资（XX能力）分析报告</w:t>
            </w:r>
          </w:p>
          <w:p w14:paraId="67751333">
            <w:pPr>
              <w:tabs>
                <w:tab w:val="center" w:pos="4032"/>
              </w:tabs>
              <w:ind w:firstLine="570"/>
              <w:rPr>
                <w:b/>
                <w:bCs/>
                <w:kern w:val="1"/>
                <w:sz w:val="28"/>
              </w:rPr>
            </w:pPr>
          </w:p>
        </w:tc>
      </w:tr>
    </w:tbl>
    <w:p w14:paraId="13423353">
      <w:pPr>
        <w:spacing w:before="0" w:after="0" w:line="240" w:lineRule="auto"/>
        <w:ind w:firstLine="0"/>
        <w:sectPr>
          <w:pgSz w:w="11906" w:h="16838"/>
          <w:pgMar w:top="1417" w:right="1134" w:bottom="1417" w:left="1134" w:header="850" w:footer="1020" w:gutter="0"/>
          <w:cols w:space="720" w:num="1"/>
          <w:docGrid w:linePitch="360" w:charSpace="0"/>
        </w:sect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358C1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2" w:hRule="atLeast"/>
          <w:jc w:val="center"/>
        </w:trPr>
        <w:tc>
          <w:tcPr>
            <w:tcW w:w="9354" w:type="dxa"/>
          </w:tcPr>
          <w:p w14:paraId="5D121495">
            <w:pPr>
              <w:spacing w:before="120" w:after="120" w:line="36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1、教师评语：</w:t>
            </w:r>
          </w:p>
        </w:tc>
      </w:tr>
      <w:tr w14:paraId="3BA49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</w:tcPr>
          <w:p w14:paraId="7B4B8925">
            <w:pPr>
              <w:spacing w:before="120" w:after="120" w:line="36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2、评分　　综合成绩：　　　　　　分　（折合等级　　　　　　）</w:t>
            </w:r>
          </w:p>
        </w:tc>
      </w:tr>
      <w:tr w14:paraId="129DB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</w:tcPr>
          <w:p w14:paraId="3FC0E190">
            <w:pPr>
              <w:spacing w:before="120" w:after="120" w:line="360" w:lineRule="auto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指导教师签名：　　　　　　　　　　　　　　</w:t>
            </w:r>
          </w:p>
        </w:tc>
      </w:tr>
    </w:tbl>
    <w:p w14:paraId="00AC4DB1"/>
    <w:p w14:paraId="6E5EDA84">
      <w:pPr>
        <w:spacing w:before="0" w:after="0" w:line="240" w:lineRule="auto"/>
        <w:ind w:firstLine="0"/>
        <w:sectPr>
          <w:headerReference r:id="rId7" w:type="default"/>
          <w:footerReference r:id="rId8" w:type="default"/>
          <w:pgSz w:w="11906" w:h="16838"/>
          <w:pgMar w:top="1417" w:right="1134" w:bottom="1417" w:left="1134" w:header="850" w:footer="1020" w:gutter="0"/>
          <w:cols w:space="720" w:num="1"/>
          <w:docGrid w:linePitch="360" w:charSpace="0"/>
        </w:sectPr>
      </w:pPr>
    </w:p>
    <w:p w14:paraId="53639988">
      <w:pPr>
        <w:spacing w:before="0" w:after="0" w:line="240" w:lineRule="auto"/>
        <w:ind w:firstLine="0"/>
      </w:pPr>
    </w:p>
    <w:p w14:paraId="1769A5D3">
      <w:pPr>
        <w:numPr>
          <w:ilvl w:val="0"/>
          <w:numId w:val="0"/>
        </w:numPr>
        <w:jc w:val="center"/>
        <w:outlineLvl w:val="9"/>
        <w:rPr>
          <w:rFonts w:eastAsia="PMingLiU"/>
          <w:sz w:val="30"/>
          <w:szCs w:val="30"/>
        </w:rPr>
      </w:pPr>
      <w:r>
        <w:rPr>
          <w:rFonts w:eastAsia="PMingLiU"/>
          <w:sz w:val="30"/>
          <w:szCs w:val="30"/>
        </w:rPr>
        <w:drawing>
          <wp:inline distT="0" distB="0" distL="0" distR="0">
            <wp:extent cx="4707890" cy="664210"/>
            <wp:effectExtent l="0" t="0" r="0" b="635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66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67DEF6">
      <w:pPr>
        <w:numPr>
          <w:ilvl w:val="0"/>
          <w:numId w:val="0"/>
        </w:numPr>
        <w:jc w:val="center"/>
        <w:outlineLvl w:val="9"/>
        <w:rPr>
          <w:rFonts w:hint="eastAsia" w:eastAsia="PMingLiU"/>
          <w:sz w:val="30"/>
          <w:szCs w:val="30"/>
          <w:lang w:val="en-US" w:eastAsia="zh-CN"/>
        </w:rPr>
      </w:pPr>
    </w:p>
    <w:p w14:paraId="5D1F53F0">
      <w:pPr>
        <w:numPr>
          <w:ilvl w:val="0"/>
          <w:numId w:val="0"/>
        </w:numPr>
        <w:jc w:val="center"/>
        <w:outlineLvl w:val="9"/>
        <w:rPr>
          <w:rFonts w:hint="eastAsia" w:eastAsia="PMingLiU"/>
          <w:sz w:val="30"/>
          <w:szCs w:val="30"/>
          <w:lang w:val="en-US" w:eastAsia="zh-CN"/>
        </w:rPr>
      </w:pPr>
    </w:p>
    <w:p w14:paraId="268AC680">
      <w:pPr>
        <w:numPr>
          <w:ilvl w:val="0"/>
          <w:numId w:val="0"/>
        </w:numPr>
        <w:jc w:val="center"/>
        <w:outlineLvl w:val="0"/>
        <w:rPr>
          <w:rFonts w:hint="eastAsia" w:ascii="黑体" w:hAnsi="黑体" w:eastAsia="黑体" w:cs="黑体"/>
          <w:b/>
          <w:bCs/>
          <w:color w:val="0F1115"/>
          <w:kern w:val="2"/>
          <w:sz w:val="56"/>
          <w:szCs w:val="56"/>
          <w:shd w:val="clear" w:color="auto" w:fill="FFFFFF"/>
          <w:lang w:val="en-US" w:eastAsia="zh-CN" w:bidi="ar-SA"/>
          <w14:ligatures w14:val="standardContextual"/>
        </w:rPr>
      </w:pPr>
      <w:bookmarkStart w:id="7" w:name="_Toc5916"/>
      <w:r>
        <w:rPr>
          <w:rFonts w:hint="eastAsia" w:ascii="黑体" w:hAnsi="黑体" w:eastAsia="黑体" w:cs="黑体"/>
          <w:b/>
          <w:bCs/>
          <w:color w:val="0F1115"/>
          <w:kern w:val="2"/>
          <w:sz w:val="56"/>
          <w:szCs w:val="56"/>
          <w:shd w:val="clear" w:color="auto" w:fill="FFFFFF"/>
          <w:lang w:val="en-US" w:eastAsia="zh-CN" w:bidi="ar-SA"/>
          <w14:ligatures w14:val="standardContextual"/>
        </w:rPr>
        <w:t>江苏永鼎股份投资价值分析</w:t>
      </w:r>
      <w:bookmarkEnd w:id="7"/>
    </w:p>
    <w:p w14:paraId="195ED8DD">
      <w:pPr>
        <w:numPr>
          <w:ilvl w:val="0"/>
          <w:numId w:val="0"/>
        </w:numPr>
        <w:jc w:val="center"/>
        <w:outlineLvl w:val="9"/>
        <w:rPr>
          <w:rFonts w:hint="eastAsia" w:ascii="宋体" w:hAnsi="宋体" w:eastAsia="宋体" w:cs="宋体"/>
          <w:b/>
          <w:bCs/>
          <w:color w:val="0F1115"/>
          <w:kern w:val="2"/>
          <w:sz w:val="44"/>
          <w:szCs w:val="44"/>
          <w:shd w:val="clear" w:color="auto" w:fill="FFFFFF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0F1115"/>
          <w:kern w:val="2"/>
          <w:sz w:val="44"/>
          <w:szCs w:val="44"/>
          <w:shd w:val="clear" w:color="auto" w:fill="FFFFFF"/>
          <w:lang w:val="en-US" w:eastAsia="zh-CN" w:bidi="ar-SA"/>
          <w14:ligatures w14:val="standardContextual"/>
        </w:rPr>
        <w:t>——基于“宏观—行业—公司—估值”框架</w:t>
      </w:r>
    </w:p>
    <w:p w14:paraId="55A11D63">
      <w:pPr>
        <w:numPr>
          <w:ilvl w:val="0"/>
          <w:numId w:val="0"/>
        </w:numPr>
        <w:jc w:val="center"/>
        <w:outlineLvl w:val="9"/>
        <w:rPr>
          <w:rFonts w:hint="eastAsia" w:ascii="宋体" w:hAnsi="宋体" w:eastAsia="宋体" w:cs="宋体"/>
          <w:b/>
          <w:bCs/>
          <w:color w:val="0F1115"/>
          <w:kern w:val="2"/>
          <w:sz w:val="44"/>
          <w:szCs w:val="44"/>
          <w:shd w:val="clear" w:color="auto" w:fill="FFFFFF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0F1115"/>
          <w:kern w:val="2"/>
          <w:sz w:val="44"/>
          <w:szCs w:val="44"/>
          <w:shd w:val="clear" w:color="auto" w:fill="FFFFFF"/>
          <w:lang w:val="en-US" w:eastAsia="zh-CN" w:bidi="ar-SA"/>
          <w14:ligatures w14:val="standardContextual"/>
        </w:rPr>
        <w:t>的基本面研究</w:t>
      </w:r>
    </w:p>
    <w:p w14:paraId="3AA66254">
      <w:pPr>
        <w:numPr>
          <w:ilvl w:val="0"/>
          <w:numId w:val="0"/>
        </w:numPr>
        <w:jc w:val="both"/>
        <w:outlineLvl w:val="9"/>
        <w:rPr>
          <w:rFonts w:hint="eastAsia" w:ascii="黑体" w:hAnsi="黑体" w:eastAsia="黑体" w:cs="黑体"/>
          <w:b/>
          <w:bCs/>
          <w:color w:val="0F1115"/>
          <w:kern w:val="2"/>
          <w:sz w:val="44"/>
          <w:szCs w:val="44"/>
          <w:shd w:val="clear" w:color="auto" w:fill="FFFFFF"/>
          <w:lang w:val="en-US" w:eastAsia="zh-CN" w:bidi="ar-SA"/>
          <w14:ligatures w14:val="standardContextual"/>
        </w:rPr>
      </w:pPr>
    </w:p>
    <w:p w14:paraId="396FA1A0">
      <w:pPr>
        <w:spacing w:line="800" w:lineRule="exact"/>
        <w:ind w:firstLine="1472" w:firstLineChars="460"/>
        <w:jc w:val="left"/>
        <w:rPr>
          <w:rFonts w:hint="eastAsia" w:ascii="宋体" w:hAnsi="宋体" w:cs="Arial"/>
          <w:sz w:val="32"/>
          <w:szCs w:val="32"/>
          <w:u w:val="single"/>
        </w:rPr>
      </w:pPr>
      <w:r>
        <w:rPr>
          <w:rFonts w:hint="eastAsia" w:ascii="宋体" w:hAnsi="宋体" w:cs="Arial"/>
          <w:sz w:val="32"/>
          <w:szCs w:val="32"/>
        </w:rPr>
        <w:t>二级学院：</w:t>
      </w:r>
      <w:r>
        <w:rPr>
          <w:rFonts w:hint="eastAsia" w:ascii="宋体" w:hAnsi="宋体" w:cs="Arial"/>
          <w:sz w:val="32"/>
          <w:szCs w:val="32"/>
          <w:u w:val="single"/>
        </w:rPr>
        <w:t xml:space="preserve">        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>经济与管理学院</w:t>
      </w:r>
      <w:r>
        <w:rPr>
          <w:rFonts w:hint="eastAsia" w:ascii="宋体" w:hAnsi="宋体" w:cs="Arial"/>
          <w:sz w:val="32"/>
          <w:szCs w:val="32"/>
          <w:u w:val="single"/>
        </w:rPr>
        <w:t xml:space="preserve">     </w:t>
      </w:r>
    </w:p>
    <w:p w14:paraId="48B6591F">
      <w:pPr>
        <w:spacing w:line="800" w:lineRule="exact"/>
        <w:ind w:firstLine="1472" w:firstLineChars="460"/>
        <w:jc w:val="left"/>
        <w:rPr>
          <w:rFonts w:hint="eastAsia" w:ascii="宋体" w:hAnsi="宋体" w:eastAsia="宋体" w:cs="Arial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Arial"/>
          <w:sz w:val="32"/>
          <w:szCs w:val="32"/>
          <w:u w:val="none"/>
        </w:rPr>
        <w:t>课程名称：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宋体" w:hAnsi="宋体" w:cs="Arial"/>
          <w:sz w:val="32"/>
          <w:szCs w:val="32"/>
          <w:u w:val="single"/>
        </w:rPr>
        <w:t>《证券投资学》</w:t>
      </w:r>
      <w:r>
        <w:rPr>
          <w:rFonts w:hint="eastAsia" w:ascii="宋体" w:hAnsi="宋体" w:cs="Arial"/>
          <w:sz w:val="32"/>
          <w:szCs w:val="32"/>
          <w:u w:val="none"/>
          <w:lang w:val="en-US" w:eastAsia="zh-CN"/>
        </w:rPr>
        <w:t xml:space="preserve"> </w:t>
      </w:r>
    </w:p>
    <w:p w14:paraId="56B7E781">
      <w:pPr>
        <w:spacing w:line="800" w:lineRule="exact"/>
        <w:ind w:firstLine="1472" w:firstLineChars="460"/>
        <w:jc w:val="left"/>
        <w:rPr>
          <w:rFonts w:ascii="宋体" w:hAnsi="宋体" w:cs="Arial"/>
          <w:sz w:val="32"/>
          <w:szCs w:val="32"/>
          <w:u w:val="single"/>
        </w:rPr>
      </w:pPr>
      <w:r>
        <w:rPr>
          <w:rFonts w:hint="eastAsia" w:ascii="宋体" w:hAnsi="宋体" w:cs="Arial"/>
          <w:sz w:val="32"/>
          <w:szCs w:val="32"/>
        </w:rPr>
        <w:t>专业班级：</w:t>
      </w:r>
      <w:r>
        <w:rPr>
          <w:rFonts w:hint="eastAsia" w:ascii="宋体" w:hAnsi="宋体" w:cs="Arial"/>
          <w:sz w:val="32"/>
          <w:szCs w:val="32"/>
          <w:u w:val="single"/>
        </w:rPr>
        <w:t xml:space="preserve">   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>25级大数据与财务管理03班</w:t>
      </w:r>
      <w:r>
        <w:rPr>
          <w:rFonts w:hint="eastAsia" w:ascii="宋体" w:hAnsi="宋体" w:cs="Arial"/>
          <w:sz w:val="32"/>
          <w:szCs w:val="32"/>
          <w:u w:val="single"/>
        </w:rPr>
        <w:t xml:space="preserve">   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Arial"/>
          <w:sz w:val="32"/>
          <w:szCs w:val="32"/>
          <w:u w:val="single"/>
        </w:rPr>
        <w:t xml:space="preserve"> </w:t>
      </w:r>
    </w:p>
    <w:p w14:paraId="54FF4E45">
      <w:pPr>
        <w:spacing w:line="800" w:lineRule="exact"/>
        <w:ind w:firstLine="1472" w:firstLineChars="460"/>
        <w:jc w:val="left"/>
        <w:rPr>
          <w:rFonts w:ascii="宋体" w:hAnsi="宋体" w:cs="Arial"/>
          <w:sz w:val="32"/>
          <w:szCs w:val="32"/>
          <w:u w:val="single"/>
        </w:rPr>
      </w:pPr>
      <w:r>
        <w:rPr>
          <w:rFonts w:hint="eastAsia" w:ascii="宋体" w:hAnsi="宋体" w:cs="Arial"/>
          <w:sz w:val="32"/>
          <w:szCs w:val="32"/>
          <w:u w:val="none"/>
          <w:lang w:eastAsia="zh-CN"/>
        </w:rPr>
        <w:t>层    次：</w:t>
      </w:r>
      <w:r>
        <w:rPr>
          <w:rFonts w:hint="eastAsia" w:ascii="宋体" w:hAnsi="宋体" w:cs="Arial"/>
          <w:sz w:val="32"/>
          <w:szCs w:val="32"/>
          <w:u w:val="single"/>
          <w:lang w:eastAsia="zh-CN"/>
        </w:rPr>
        <w:t xml:space="preserve">   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宋体" w:hAnsi="宋体" w:cs="Arial"/>
          <w:sz w:val="32"/>
          <w:szCs w:val="32"/>
          <w:u w:val="single"/>
          <w:lang w:eastAsia="zh-CN"/>
        </w:rPr>
        <w:t xml:space="preserve">☑本科    □ 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 xml:space="preserve">专科  </w:t>
      </w:r>
      <w:r>
        <w:rPr>
          <w:rFonts w:hint="eastAsia" w:ascii="宋体" w:hAnsi="宋体" w:cs="Arial"/>
          <w:sz w:val="32"/>
          <w:szCs w:val="32"/>
          <w:u w:val="none"/>
          <w:lang w:val="en-US" w:eastAsia="zh-CN"/>
        </w:rPr>
        <w:t xml:space="preserve"> </w:t>
      </w:r>
      <w:r>
        <w:rPr>
          <w:rFonts w:hint="eastAsia" w:ascii="宋体" w:hAnsi="宋体" w:cs="Arial"/>
          <w:sz w:val="32"/>
          <w:szCs w:val="32"/>
          <w:u w:val="none"/>
          <w:lang w:eastAsia="zh-CN"/>
        </w:rPr>
        <w:t xml:space="preserve">  </w:t>
      </w:r>
      <w:r>
        <w:rPr>
          <w:rFonts w:hint="eastAsia" w:ascii="宋体" w:hAnsi="宋体" w:cs="Arial"/>
          <w:sz w:val="32"/>
          <w:szCs w:val="32"/>
          <w:u w:val="none"/>
          <w:lang w:val="en-US" w:eastAsia="zh-CN"/>
        </w:rPr>
        <w:t xml:space="preserve">    </w:t>
      </w:r>
      <w:r>
        <w:rPr>
          <w:rFonts w:hint="eastAsia" w:ascii="宋体" w:hAnsi="宋体" w:cs="Arial"/>
          <w:sz w:val="32"/>
          <w:szCs w:val="32"/>
          <w:u w:val="none"/>
          <w:lang w:eastAsia="zh-CN"/>
        </w:rPr>
        <w:t xml:space="preserve"> 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 xml:space="preserve">  </w:t>
      </w:r>
    </w:p>
    <w:p w14:paraId="786DA700">
      <w:pPr>
        <w:spacing w:line="800" w:lineRule="exact"/>
        <w:ind w:firstLine="1472" w:firstLineChars="460"/>
        <w:jc w:val="left"/>
        <w:rPr>
          <w:rFonts w:ascii="宋体" w:hAnsi="宋体" w:cs="Arial"/>
          <w:sz w:val="32"/>
          <w:szCs w:val="32"/>
          <w:u w:val="single"/>
        </w:rPr>
      </w:pPr>
      <w:r>
        <w:rPr>
          <w:rFonts w:hint="eastAsia" w:ascii="宋体" w:hAnsi="宋体" w:cs="Arial"/>
          <w:sz w:val="32"/>
          <w:szCs w:val="32"/>
        </w:rPr>
        <w:t>学生姓名：</w:t>
      </w:r>
      <w:r>
        <w:rPr>
          <w:rFonts w:hint="eastAsia" w:ascii="宋体" w:hAnsi="宋体" w:cs="Arial"/>
          <w:sz w:val="32"/>
          <w:szCs w:val="32"/>
          <w:u w:val="single"/>
        </w:rPr>
        <w:t xml:space="preserve">    </w:t>
      </w:r>
      <w:r>
        <w:rPr>
          <w:rFonts w:ascii="宋体" w:hAnsi="宋体" w:cs="Arial"/>
          <w:sz w:val="32"/>
          <w:szCs w:val="32"/>
          <w:u w:val="single"/>
        </w:rPr>
        <w:t xml:space="preserve">       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 xml:space="preserve"> 滕宇豪</w:t>
      </w:r>
      <w:r>
        <w:rPr>
          <w:rFonts w:ascii="宋体" w:hAnsi="宋体" w:cs="Arial"/>
          <w:sz w:val="32"/>
          <w:szCs w:val="32"/>
          <w:u w:val="single"/>
        </w:rPr>
        <w:t xml:space="preserve"> </w:t>
      </w:r>
      <w:r>
        <w:rPr>
          <w:rFonts w:hint="eastAsia" w:ascii="宋体" w:hAnsi="宋体" w:cs="Arial"/>
          <w:sz w:val="32"/>
          <w:szCs w:val="32"/>
          <w:u w:val="single"/>
        </w:rPr>
        <w:t xml:space="preserve"> </w:t>
      </w:r>
      <w:r>
        <w:rPr>
          <w:rFonts w:ascii="宋体" w:hAnsi="宋体" w:cs="Arial"/>
          <w:sz w:val="32"/>
          <w:szCs w:val="32"/>
          <w:u w:val="single"/>
        </w:rPr>
        <w:t xml:space="preserve">  </w:t>
      </w:r>
      <w:r>
        <w:rPr>
          <w:rFonts w:hint="eastAsia" w:ascii="宋体" w:hAnsi="宋体" w:cs="Arial"/>
          <w:sz w:val="32"/>
          <w:szCs w:val="32"/>
          <w:u w:val="single"/>
        </w:rPr>
        <w:t xml:space="preserve">           </w:t>
      </w:r>
    </w:p>
    <w:p w14:paraId="25514524">
      <w:pPr>
        <w:spacing w:line="800" w:lineRule="exact"/>
        <w:ind w:firstLine="1472" w:firstLineChars="460"/>
        <w:jc w:val="left"/>
        <w:rPr>
          <w:rFonts w:ascii="宋体" w:hAnsi="宋体" w:cs="Arial"/>
          <w:sz w:val="32"/>
          <w:szCs w:val="32"/>
          <w:u w:val="single"/>
        </w:rPr>
      </w:pPr>
      <w:r>
        <w:rPr>
          <w:rFonts w:hint="eastAsia" w:ascii="宋体" w:hAnsi="宋体" w:cs="Arial"/>
          <w:sz w:val="32"/>
          <w:szCs w:val="32"/>
        </w:rPr>
        <w:t>学    号：</w:t>
      </w:r>
      <w:r>
        <w:rPr>
          <w:rFonts w:hint="eastAsia" w:ascii="宋体" w:hAnsi="宋体" w:cs="Arial"/>
          <w:sz w:val="32"/>
          <w:szCs w:val="32"/>
          <w:u w:val="single"/>
        </w:rPr>
        <w:t xml:space="preserve">      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Arial"/>
          <w:sz w:val="32"/>
          <w:szCs w:val="32"/>
          <w:u w:val="single"/>
        </w:rPr>
        <w:t xml:space="preserve"> 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>12607320270457</w:t>
      </w:r>
      <w:r>
        <w:rPr>
          <w:rFonts w:hint="eastAsia" w:ascii="宋体" w:hAnsi="宋体" w:cs="Arial"/>
          <w:sz w:val="32"/>
          <w:szCs w:val="32"/>
          <w:u w:val="single"/>
        </w:rPr>
        <w:t xml:space="preserve">           </w:t>
      </w:r>
    </w:p>
    <w:p w14:paraId="3059EBD4">
      <w:pPr>
        <w:spacing w:line="800" w:lineRule="exact"/>
        <w:ind w:firstLine="1472" w:firstLineChars="460"/>
        <w:jc w:val="left"/>
        <w:rPr>
          <w:rFonts w:hint="eastAsia" w:ascii="宋体" w:hAnsi="宋体" w:cs="Arial"/>
          <w:sz w:val="32"/>
          <w:szCs w:val="32"/>
          <w:u w:val="single"/>
        </w:rPr>
      </w:pPr>
      <w:r>
        <w:rPr>
          <w:rFonts w:hint="eastAsia" w:ascii="宋体" w:hAnsi="宋体" w:cs="Arial"/>
          <w:sz w:val="32"/>
          <w:szCs w:val="32"/>
        </w:rPr>
        <w:t>指导教师：</w:t>
      </w:r>
      <w:r>
        <w:rPr>
          <w:rFonts w:hint="eastAsia" w:ascii="宋体" w:hAnsi="宋体" w:cs="Arial"/>
          <w:sz w:val="32"/>
          <w:szCs w:val="32"/>
          <w:u w:val="single"/>
        </w:rPr>
        <w:t xml:space="preserve"> 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ascii="Times New Roman" w:hAnsi="Times New Roman" w:eastAsia="宋体"/>
          <w:b w:val="0"/>
          <w:sz w:val="32"/>
          <w:u w:val="single"/>
        </w:rPr>
        <w:t>李淑会</w:t>
      </w:r>
      <w:r>
        <w:rPr>
          <w:rFonts w:hint="eastAsia" w:ascii="Times New Roman" w:hAnsi="Times New Roman" w:eastAsia="宋体"/>
          <w:b w:val="0"/>
          <w:sz w:val="32"/>
          <w:u w:val="single"/>
          <w:lang w:val="en-US" w:eastAsia="zh-CN"/>
        </w:rPr>
        <w:t xml:space="preserve">     </w:t>
      </w:r>
      <w:r>
        <w:rPr>
          <w:rFonts w:hint="eastAsia" w:ascii="宋体" w:hAnsi="宋体" w:cs="Arial"/>
          <w:sz w:val="32"/>
          <w:szCs w:val="32"/>
          <w:u w:val="single"/>
          <w:lang w:val="en-US" w:eastAsia="zh-CN"/>
        </w:rPr>
        <w:t xml:space="preserve">               </w:t>
      </w:r>
      <w:r>
        <w:rPr>
          <w:rFonts w:hint="eastAsia" w:ascii="宋体" w:hAnsi="宋体" w:cs="Arial"/>
          <w:sz w:val="32"/>
          <w:szCs w:val="32"/>
          <w:u w:val="single"/>
        </w:rPr>
        <w:t xml:space="preserve"> </w:t>
      </w:r>
    </w:p>
    <w:p w14:paraId="2BA42B00">
      <w:pPr>
        <w:spacing w:line="800" w:lineRule="exact"/>
        <w:jc w:val="left"/>
        <w:rPr>
          <w:rFonts w:hint="eastAsia" w:ascii="宋体" w:hAnsi="宋体" w:cs="Arial"/>
          <w:sz w:val="32"/>
          <w:szCs w:val="32"/>
          <w:u w:val="single"/>
        </w:rPr>
      </w:pPr>
    </w:p>
    <w:p w14:paraId="3E7D5777">
      <w:pPr>
        <w:spacing w:line="800" w:lineRule="exact"/>
        <w:jc w:val="left"/>
        <w:rPr>
          <w:rFonts w:hint="eastAsia" w:ascii="宋体" w:hAnsi="宋体" w:cs="Arial"/>
          <w:sz w:val="32"/>
          <w:szCs w:val="32"/>
          <w:u w:val="single"/>
        </w:rPr>
      </w:pPr>
    </w:p>
    <w:p w14:paraId="2E495257">
      <w:pPr>
        <w:jc w:val="center"/>
        <w:rPr>
          <w:rFonts w:hint="eastAsia" w:ascii="宋体" w:hAnsi="宋体" w:cs="Arial"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202</w:t>
      </w:r>
      <w:r>
        <w:rPr>
          <w:rFonts w:hint="eastAsia"/>
          <w:b/>
          <w:bCs/>
          <w:sz w:val="32"/>
          <w:szCs w:val="32"/>
          <w:lang w:val="en-US" w:eastAsia="zh-CN"/>
        </w:rPr>
        <w:t>6</w:t>
      </w:r>
      <w:r>
        <w:rPr>
          <w:b/>
          <w:bCs/>
          <w:sz w:val="32"/>
          <w:szCs w:val="32"/>
        </w:rPr>
        <w:t xml:space="preserve"> 年 </w:t>
      </w:r>
      <w:r>
        <w:rPr>
          <w:rFonts w:hint="eastAsia"/>
          <w:b/>
          <w:bCs/>
          <w:sz w:val="32"/>
          <w:szCs w:val="32"/>
          <w:lang w:val="en-US" w:eastAsia="zh-CN"/>
        </w:rPr>
        <w:t>11</w:t>
      </w:r>
      <w:r>
        <w:rPr>
          <w:b/>
          <w:bCs/>
          <w:sz w:val="32"/>
          <w:szCs w:val="32"/>
        </w:rPr>
        <w:t xml:space="preserve"> 月</w:t>
      </w:r>
    </w:p>
    <w:p w14:paraId="382AE9BD">
      <w:pPr>
        <w:spacing w:before="0" w:after="0" w:line="480" w:lineRule="auto"/>
        <w:ind w:left="1928"/>
        <w:rPr>
          <w:rFonts w:ascii="Times New Roman" w:hAnsi="Times New Roman" w:eastAsia="宋体"/>
          <w:b w:val="0"/>
          <w:sz w:val="32"/>
        </w:rPr>
        <w:sectPr>
          <w:footerReference r:id="rId9" w:type="default"/>
          <w:pgSz w:w="11906" w:h="16838"/>
          <w:pgMar w:top="1417" w:right="1134" w:bottom="1417" w:left="1134" w:header="850" w:footer="1020" w:gutter="0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b/>
          <w:bCs/>
          <w:sz w:val="32"/>
          <w:szCs w:val="36"/>
          <w:lang w:val="en-US" w:eastAsia="en-US" w:bidi="ar-SA"/>
        </w:rPr>
        <w:id w:val="147452457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AC5E56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2"/>
              <w:szCs w:val="21"/>
            </w:rPr>
          </w:pPr>
          <w:r>
            <w:rPr>
              <w:rFonts w:ascii="宋体" w:hAnsi="宋体" w:eastAsia="宋体"/>
              <w:b/>
              <w:bCs/>
              <w:sz w:val="32"/>
              <w:szCs w:val="36"/>
            </w:rPr>
            <w:t>目</w:t>
          </w:r>
          <w:r>
            <w:rPr>
              <w:rFonts w:hint="eastAsia" w:ascii="宋体" w:hAnsi="宋体"/>
              <w:b/>
              <w:bCs/>
              <w:sz w:val="32"/>
              <w:szCs w:val="36"/>
              <w:lang w:val="en-US" w:eastAsia="zh-CN"/>
            </w:rPr>
            <w:t xml:space="preserve"> </w:t>
          </w:r>
          <w:r>
            <w:rPr>
              <w:rFonts w:ascii="宋体" w:hAnsi="宋体" w:eastAsia="宋体"/>
              <w:b/>
              <w:bCs/>
              <w:sz w:val="32"/>
              <w:szCs w:val="36"/>
            </w:rPr>
            <w:t>录</w:t>
          </w:r>
        </w:p>
        <w:p w14:paraId="00403E89">
          <w:pPr>
            <w:pStyle w:val="168"/>
            <w:tabs>
              <w:tab w:val="right" w:leader="dot" w:pos="9638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</w:p>
        <w:p w14:paraId="3CDAC67E">
          <w:pPr>
            <w:pStyle w:val="168"/>
            <w:tabs>
              <w:tab w:val="right" w:leader="dot" w:pos="9638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_Toc2110 </w:instrText>
          </w:r>
          <w:r>
            <w:rPr>
              <w:b/>
            </w:rPr>
            <w:fldChar w:fldCharType="separate"/>
          </w:r>
          <w:r>
            <w:rPr>
              <w:rFonts w:ascii="Times New Roman" w:hAnsi="Times New Roman" w:eastAsia="黑体"/>
              <w:b/>
            </w:rPr>
            <w:t>摘　要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_Toc2110 \h </w:instrText>
          </w:r>
          <w:r>
            <w:rPr>
              <w:b/>
            </w:rPr>
            <w:fldChar w:fldCharType="separate"/>
          </w:r>
          <w:r>
            <w:rPr>
              <w:b/>
            </w:rPr>
            <w:t>I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741E68EB">
          <w:pPr>
            <w:pStyle w:val="168"/>
            <w:tabs>
              <w:tab w:val="right" w:leader="dot" w:pos="9638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_Toc17895 </w:instrText>
          </w:r>
          <w:r>
            <w:rPr>
              <w:b/>
            </w:rPr>
            <w:fldChar w:fldCharType="separate"/>
          </w:r>
          <w:r>
            <w:rPr>
              <w:rFonts w:ascii="Times New Roman" w:hAnsi="Times New Roman" w:eastAsia="黑体"/>
              <w:b/>
            </w:rPr>
            <w:t>第一章　导论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_Toc17895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51F6842C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_Toc25268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1.1　分析对象与选取依据</w:t>
          </w:r>
          <w:r>
            <w:tab/>
          </w:r>
          <w:r>
            <w:fldChar w:fldCharType="begin"/>
          </w:r>
          <w:r>
            <w:instrText xml:space="preserve"> PAGEREF _Toc25268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00850E1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_Toc12326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1.2　数据来源、口径与处理</w:t>
          </w:r>
          <w:r>
            <w:tab/>
          </w:r>
          <w:r>
            <w:fldChar w:fldCharType="begin"/>
          </w:r>
          <w:r>
            <w:instrText xml:space="preserve"> PAGEREF _Toc12326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0943AC7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_Toc11443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1.3　分析框架与技术路线</w:t>
          </w:r>
          <w:r>
            <w:tab/>
          </w:r>
          <w:r>
            <w:fldChar w:fldCharType="begin"/>
          </w:r>
          <w:r>
            <w:instrText xml:space="preserve"> PAGEREF _Toc11443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1ADC782">
          <w:pPr>
            <w:pStyle w:val="168"/>
            <w:tabs>
              <w:tab w:val="right" w:leader="dot" w:pos="9638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_Toc22287 </w:instrText>
          </w:r>
          <w:r>
            <w:rPr>
              <w:b/>
            </w:rPr>
            <w:fldChar w:fldCharType="separate"/>
          </w:r>
          <w:r>
            <w:rPr>
              <w:rFonts w:ascii="Times New Roman" w:hAnsi="Times New Roman" w:eastAsia="黑体"/>
              <w:b/>
            </w:rPr>
            <w:t>第二章　宏观经济分析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_Toc22287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743D8274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_Toc19422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2.1　经济增长与价格环境</w:t>
          </w:r>
          <w:r>
            <w:tab/>
          </w:r>
          <w:r>
            <w:fldChar w:fldCharType="begin"/>
          </w:r>
          <w:r>
            <w:instrText xml:space="preserve"> PAGEREF _Toc19422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430DF9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_Toc22008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2.2　货币与金融环境</w:t>
          </w:r>
          <w:r>
            <w:tab/>
          </w:r>
          <w:r>
            <w:fldChar w:fldCharType="begin"/>
          </w:r>
          <w:r>
            <w:instrText xml:space="preserve"> PAGEREF _Toc22008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CBBEED8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_Toc29065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2.3　宏观环境对公司经营的传导</w:t>
          </w:r>
          <w:r>
            <w:tab/>
          </w:r>
          <w:r>
            <w:fldChar w:fldCharType="begin"/>
          </w:r>
          <w:r>
            <w:instrText xml:space="preserve"> PAGEREF _Toc29065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AFB400">
          <w:pPr>
            <w:pStyle w:val="168"/>
            <w:tabs>
              <w:tab w:val="right" w:leader="dot" w:pos="9638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_Toc22253 </w:instrText>
          </w:r>
          <w:r>
            <w:rPr>
              <w:b/>
            </w:rPr>
            <w:fldChar w:fldCharType="separate"/>
          </w:r>
          <w:r>
            <w:rPr>
              <w:rFonts w:ascii="Times New Roman" w:hAnsi="Times New Roman" w:eastAsia="黑体"/>
              <w:b/>
            </w:rPr>
            <w:t>第三章　行业分析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_Toc22253 \h </w:instrText>
          </w:r>
          <w:r>
            <w:rPr>
              <w:b/>
            </w:rPr>
            <w:fldChar w:fldCharType="separate"/>
          </w:r>
          <w:r>
            <w:rPr>
              <w:b/>
            </w:rPr>
            <w:t>6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4F185229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_Toc3434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3.1　行业属性与生命周期</w:t>
          </w:r>
          <w:r>
            <w:tab/>
          </w:r>
          <w:r>
            <w:fldChar w:fldCharType="begin"/>
          </w:r>
          <w:r>
            <w:instrText xml:space="preserve"> PAGEREF _Toc3434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18E3FFF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_Toc18722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3.2　竞争格局与产业链</w:t>
          </w:r>
          <w:r>
            <w:tab/>
          </w:r>
          <w:r>
            <w:fldChar w:fldCharType="begin"/>
          </w:r>
          <w:r>
            <w:instrText xml:space="preserve"> PAGEREF _Toc18722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C68E6B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_Toc32477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3.3　政策与技术趋势</w:t>
          </w:r>
          <w:r>
            <w:tab/>
          </w:r>
          <w:r>
            <w:fldChar w:fldCharType="begin"/>
          </w:r>
          <w:r>
            <w:instrText xml:space="preserve"> PAGEREF _Toc32477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D89B168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_Toc20402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3.4　行业景气度研判</w:t>
          </w:r>
          <w:r>
            <w:tab/>
          </w:r>
          <w:r>
            <w:fldChar w:fldCharType="begin"/>
          </w:r>
          <w:r>
            <w:instrText xml:space="preserve"> PAGEREF _Toc20402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4499B30">
          <w:pPr>
            <w:pStyle w:val="168"/>
            <w:tabs>
              <w:tab w:val="right" w:leader="dot" w:pos="9638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_Toc16658 </w:instrText>
          </w:r>
          <w:r>
            <w:rPr>
              <w:b/>
            </w:rPr>
            <w:fldChar w:fldCharType="separate"/>
          </w:r>
          <w:r>
            <w:rPr>
              <w:rFonts w:ascii="Times New Roman" w:hAnsi="Times New Roman" w:eastAsia="黑体"/>
              <w:b/>
            </w:rPr>
            <w:t>第四章　公司基本素质分析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_Toc16658 \h </w:instrText>
          </w:r>
          <w:r>
            <w:rPr>
              <w:b/>
            </w:rPr>
            <w:fldChar w:fldCharType="separate"/>
          </w:r>
          <w:r>
            <w:rPr>
              <w:b/>
            </w:rPr>
            <w:t>9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39BD484A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_Toc21382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4.1　主营业务与产品结构</w:t>
          </w:r>
          <w:r>
            <w:tab/>
          </w:r>
          <w:r>
            <w:fldChar w:fldCharType="begin"/>
          </w:r>
          <w:r>
            <w:instrText xml:space="preserve"> PAGEREF _Toc21382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0357D7A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_Toc29152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4.2　竞争优势</w:t>
          </w:r>
          <w:r>
            <w:tab/>
          </w:r>
          <w:r>
            <w:fldChar w:fldCharType="begin"/>
          </w:r>
          <w:r>
            <w:instrText xml:space="preserve"> PAGEREF _Toc29152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FDA87CA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_Toc14690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4.3　治理与管理层</w:t>
          </w:r>
          <w:r>
            <w:tab/>
          </w:r>
          <w:r>
            <w:fldChar w:fldCharType="begin"/>
          </w:r>
          <w:r>
            <w:instrText xml:space="preserve"> PAGEREF _Toc14690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208EE39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_Toc20506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4.4　经营短板</w:t>
          </w:r>
          <w:r>
            <w:tab/>
          </w:r>
          <w:r>
            <w:fldChar w:fldCharType="begin"/>
          </w:r>
          <w:r>
            <w:instrText xml:space="preserve"> PAGEREF _Toc20506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52C3730">
          <w:pPr>
            <w:pStyle w:val="168"/>
            <w:tabs>
              <w:tab w:val="right" w:leader="dot" w:pos="9638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_Toc1383 </w:instrText>
          </w:r>
          <w:r>
            <w:rPr>
              <w:b/>
            </w:rPr>
            <w:fldChar w:fldCharType="separate"/>
          </w:r>
          <w:r>
            <w:rPr>
              <w:rFonts w:ascii="Times New Roman" w:hAnsi="Times New Roman" w:eastAsia="黑体"/>
              <w:b/>
            </w:rPr>
            <w:t>第五章　公司财务分析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_Toc1383 \h </w:instrText>
          </w:r>
          <w:r>
            <w:rPr>
              <w:b/>
            </w:rPr>
            <w:fldChar w:fldCharType="separate"/>
          </w:r>
          <w:r>
            <w:rPr>
              <w:b/>
            </w:rPr>
            <w:t>12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3DF2E38B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_Toc30099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5.1　成长性：三段式而非线性增长</w:t>
          </w:r>
          <w:r>
            <w:tab/>
          </w:r>
          <w:r>
            <w:fldChar w:fldCharType="begin"/>
          </w:r>
          <w:r>
            <w:instrText xml:space="preserve"> PAGEREF _Toc30099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56BD5BF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_Toc16264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5.2　盈利能力：毛利率的“三级跳”与杜邦分解</w:t>
          </w:r>
          <w:r>
            <w:tab/>
          </w:r>
          <w:r>
            <w:fldChar w:fldCharType="begin"/>
          </w:r>
          <w:r>
            <w:instrText xml:space="preserve"> PAGEREF _Toc16264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E64918A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_Toc29235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5.3　偿债能力：从低杠杆到高杠杆</w:t>
          </w:r>
          <w:r>
            <w:tab/>
          </w:r>
          <w:r>
            <w:fldChar w:fldCharType="begin"/>
          </w:r>
          <w:r>
            <w:instrText xml:space="preserve"> PAGEREF _Toc29235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7ADBBA3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_Toc18627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5.4　营运能力：应收与存货是两把尺子</w:t>
          </w:r>
          <w:r>
            <w:tab/>
          </w:r>
          <w:r>
            <w:fldChar w:fldCharType="begin"/>
          </w:r>
          <w:r>
            <w:instrText xml:space="preserve"> PAGEREF _Toc18627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E876FAA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_Toc22734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5.5　现金流量与盈利质量：2025年的穿透</w:t>
          </w:r>
          <w:r>
            <w:tab/>
          </w:r>
          <w:r>
            <w:fldChar w:fldCharType="begin"/>
          </w:r>
          <w:r>
            <w:instrText xml:space="preserve"> PAGEREF _Toc22734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3D39FE8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_Toc3879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5.6　同业对比：在产业链中的位置</w:t>
          </w:r>
          <w:r>
            <w:tab/>
          </w:r>
          <w:r>
            <w:fldChar w:fldCharType="begin"/>
          </w:r>
          <w:r>
            <w:instrText xml:space="preserve"> PAGEREF _Toc3879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0CF0EE7">
          <w:pPr>
            <w:pStyle w:val="168"/>
            <w:tabs>
              <w:tab w:val="right" w:leader="dot" w:pos="9638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_Toc5022 </w:instrText>
          </w:r>
          <w:r>
            <w:rPr>
              <w:b/>
            </w:rPr>
            <w:fldChar w:fldCharType="separate"/>
          </w:r>
          <w:r>
            <w:rPr>
              <w:rFonts w:ascii="Times New Roman" w:hAnsi="Times New Roman" w:eastAsia="黑体"/>
              <w:b/>
            </w:rPr>
            <w:t>第六章　股票估值分析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_Toc5022 \h </w:instrText>
          </w:r>
          <w:r>
            <w:rPr>
              <w:b/>
            </w:rPr>
            <w:fldChar w:fldCharType="separate"/>
          </w:r>
          <w:r>
            <w:rPr>
              <w:b/>
            </w:rPr>
            <w:t>21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6469FB58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_Toc16099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6.1　估值基准与方法选择</w:t>
          </w:r>
          <w:r>
            <w:tab/>
          </w:r>
          <w:r>
            <w:fldChar w:fldCharType="begin"/>
          </w:r>
          <w:r>
            <w:instrText xml:space="preserve"> PAGEREF _Toc16099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0C37774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_Toc17799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6.2　相对估值：PE失真，PB与PS更能说明问题</w:t>
          </w:r>
          <w:r>
            <w:tab/>
          </w:r>
          <w:r>
            <w:fldChar w:fldCharType="begin"/>
          </w:r>
          <w:r>
            <w:instrText xml:space="preserve"> PAGEREF _Toc17799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43A21CD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_Toc16627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6.3　绝对估值：DCF敏感性分析</w:t>
          </w:r>
          <w:r>
            <w:tab/>
          </w:r>
          <w:r>
            <w:fldChar w:fldCharType="begin"/>
          </w:r>
          <w:r>
            <w:instrText xml:space="preserve"> PAGEREF _Toc16627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525027F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_Toc26260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6.4　估值结论</w:t>
          </w:r>
          <w:r>
            <w:tab/>
          </w:r>
          <w:r>
            <w:fldChar w:fldCharType="begin"/>
          </w:r>
          <w:r>
            <w:instrText xml:space="preserve"> PAGEREF _Toc26260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E503502">
          <w:pPr>
            <w:pStyle w:val="168"/>
            <w:tabs>
              <w:tab w:val="right" w:leader="dot" w:pos="9638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_Toc7216 </w:instrText>
          </w:r>
          <w:r>
            <w:rPr>
              <w:b/>
            </w:rPr>
            <w:fldChar w:fldCharType="separate"/>
          </w:r>
          <w:r>
            <w:rPr>
              <w:rFonts w:ascii="Times New Roman" w:hAnsi="Times New Roman" w:eastAsia="黑体"/>
              <w:b/>
            </w:rPr>
            <w:t>第七章　投资价值综合结论与风险提示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_Toc7216 \h </w:instrText>
          </w:r>
          <w:r>
            <w:rPr>
              <w:b/>
            </w:rPr>
            <w:fldChar w:fldCharType="separate"/>
          </w:r>
          <w:r>
            <w:rPr>
              <w:b/>
            </w:rPr>
            <w:t>25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02EE1846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_Toc32081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7.1　六维评分</w:t>
          </w:r>
          <w:r>
            <w:tab/>
          </w:r>
          <w:r>
            <w:fldChar w:fldCharType="begin"/>
          </w:r>
          <w:r>
            <w:instrText xml:space="preserve"> PAGEREF _Toc32081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AEB1029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_Toc13249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7.2　综合结论：谨慎看待</w:t>
          </w:r>
          <w:r>
            <w:tab/>
          </w:r>
          <w:r>
            <w:fldChar w:fldCharType="begin"/>
          </w:r>
          <w:r>
            <w:instrText xml:space="preserve"> PAGEREF _Toc13249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A8A9F79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_Toc9190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7.3　风险提示</w:t>
          </w:r>
          <w:r>
            <w:tab/>
          </w:r>
          <w:r>
            <w:fldChar w:fldCharType="begin"/>
          </w:r>
          <w:r>
            <w:instrText xml:space="preserve"> PAGEREF _Toc9190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FA6AB43">
          <w:pPr>
            <w:pStyle w:val="16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_Toc30280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7.4　投资建议</w:t>
          </w:r>
          <w:r>
            <w:tab/>
          </w:r>
          <w:r>
            <w:fldChar w:fldCharType="begin"/>
          </w:r>
          <w:r>
            <w:instrText xml:space="preserve"> PAGEREF _Toc30280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AEF50AB">
          <w:pPr>
            <w:pStyle w:val="168"/>
            <w:tabs>
              <w:tab w:val="right" w:leader="dot" w:pos="9638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_Toc16163 </w:instrText>
          </w:r>
          <w:r>
            <w:rPr>
              <w:b/>
            </w:rPr>
            <w:fldChar w:fldCharType="separate"/>
          </w:r>
          <w:r>
            <w:rPr>
              <w:rFonts w:ascii="Times New Roman" w:hAnsi="Times New Roman" w:eastAsia="黑体"/>
              <w:b/>
            </w:rPr>
            <w:t>参考文献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_Toc16163 \h </w:instrText>
          </w:r>
          <w:r>
            <w:rPr>
              <w:b/>
            </w:rPr>
            <w:fldChar w:fldCharType="separate"/>
          </w:r>
          <w:r>
            <w:rPr>
              <w:b/>
            </w:rPr>
            <w:t>27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5699E2A2">
          <w:pPr>
            <w:rPr>
              <w:b/>
            </w:rPr>
          </w:pPr>
          <w:r>
            <w:rPr>
              <w:b/>
            </w:rPr>
            <w:fldChar w:fldCharType="end"/>
          </w:r>
        </w:p>
      </w:sdtContent>
    </w:sdt>
    <w:p w14:paraId="4A11A409">
      <w:pPr>
        <w:rPr>
          <w:b/>
        </w:rPr>
      </w:pPr>
    </w:p>
    <w:p w14:paraId="4B9E324F">
      <w:pPr>
        <w:spacing w:before="120" w:after="240" w:line="360" w:lineRule="auto"/>
        <w:ind w:firstLine="0"/>
        <w:jc w:val="center"/>
        <w:outlineLvl w:val="0"/>
        <w:rPr>
          <w:rFonts w:ascii="Times New Roman" w:hAnsi="Times New Roman" w:eastAsia="黑体"/>
          <w:b/>
          <w:sz w:val="32"/>
        </w:rPr>
        <w:sectPr>
          <w:headerReference r:id="rId10" w:type="default"/>
          <w:footerReference r:id="rId11" w:type="default"/>
          <w:pgSz w:w="11906" w:h="16838"/>
          <w:pgMar w:top="1417" w:right="1134" w:bottom="1417" w:left="1134" w:header="850" w:footer="1020" w:gutter="0"/>
          <w:pgNumType w:fmt="upperRoman" w:start="1"/>
          <w:cols w:space="720" w:num="1"/>
          <w:docGrid w:linePitch="360" w:charSpace="0"/>
        </w:sectPr>
      </w:pPr>
      <w:bookmarkStart w:id="8" w:name="_Toc2110"/>
    </w:p>
    <w:p w14:paraId="21914807">
      <w:pPr>
        <w:spacing w:before="120" w:after="240" w:line="360" w:lineRule="auto"/>
        <w:ind w:firstLine="0"/>
        <w:jc w:val="center"/>
        <w:outlineLvl w:val="0"/>
      </w:pPr>
      <w:r>
        <w:rPr>
          <w:rFonts w:ascii="Times New Roman" w:hAnsi="Times New Roman" w:eastAsia="黑体"/>
          <w:b/>
          <w:sz w:val="32"/>
        </w:rPr>
        <w:t>摘　要</w:t>
      </w:r>
      <w:bookmarkEnd w:id="8"/>
    </w:p>
    <w:p w14:paraId="1A117AEE">
      <w:pPr>
        <w:spacing w:before="0" w:after="0" w:line="360" w:lineRule="auto"/>
        <w:ind w:firstLine="360"/>
        <w:jc w:val="both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本报告以江苏永鼎股份有限公司（600105.SH）为分析对象，按“宏观—行业—公司—估值—结论”的自上而下框架，对其股票投资价值进行系统研判。数据方面，抓取 2016—2025 年 10 个完整会计年度的定期报告、2026 年第三季度报告以及 2016 年以来全部交易日行情，以 2021 年以来的近五年作为分析主体，并采用 TTM 按公告日生效、累计值拆单季等方法规避前视偏差，全部指标经单季加总、杜邦恒等式与外部快照三重校验。</w:t>
      </w:r>
    </w:p>
    <w:p w14:paraId="09E6C551">
      <w:pPr>
        <w:spacing w:before="0" w:after="0" w:line="360" w:lineRule="auto"/>
        <w:ind w:firstLine="360"/>
        <w:jc w:val="both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分析显示：公司营业收入由 2016 年的 25.79 亿元增至 2025 年的 52.87 亿元，年均复合增长 8.3%，但归母净利润长期在 2 亿元上下波动，2020 年更因毛利率塌陷至 0.30% 与 2.20 亿元资产减值而巨亏 5.60 亿元，呈现典型的“增收不增利”。2025 年归母净利润 2.34 亿元中，对联营企业东昌投资的权益法投资收益即达 2.74 亿元，剔除后主业经营利润为 −0.21 亿元，利润质量较差。2026 年前三季度情况发生实质变化：营</w:t>
      </w:r>
      <w:bookmarkStart w:id="45" w:name="_GoBack"/>
      <w:bookmarkEnd w:id="45"/>
      <w:r>
        <w:rPr>
          <w:rFonts w:ascii="Times New Roman" w:hAnsi="Times New Roman" w:eastAsia="宋体"/>
          <w:b w:val="0"/>
          <w:sz w:val="24"/>
        </w:rPr>
        <w:t>业收入 54.30 亿元（同比 +49.6%）、归母净利润 7.43 亿元（同比 +125.8%），扣非占比 99.66%，毛利率升至 28.72%，为十年来首次由主业真实驱动的盈利，其核心来自光通信板块毛利率由 2021 年上半年的 8.15% 提升至2026 年上半年的 58.52%。</w:t>
      </w:r>
    </w:p>
    <w:p w14:paraId="2E7674FA">
      <w:pPr>
        <w:spacing w:before="0" w:after="0" w:line="360" w:lineRule="auto"/>
        <w:ind w:firstLine="360"/>
        <w:jc w:val="both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估值层面，当前 PE(TTM) 57.1 倍、PB 9.55 倍、PS(TTM) 5.22 倍，PB 与 PS 分别处于 2017 年以来92.3%、91.1% 分位；PB—ROE 匹配显示估值已明显偏离盈利所对应的经验区间；DCF 在中性与乐观假设下得到的股权价值为 88—215 亿元，均低于当前 369.88 亿元市值，反解需要未来四年自由现金流复合增速达 55% 以上才能支撑现价。</w:t>
      </w:r>
    </w:p>
    <w:p w14:paraId="67BD394B">
      <w:pPr>
        <w:spacing w:before="0" w:after="0" w:line="360" w:lineRule="auto"/>
        <w:ind w:firstLine="360"/>
        <w:jc w:val="both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综合判断：公司基本面改善是真实的，但当前股价已提前兑现 2027 年的乐观预期，且资产负债率 63.60%、速动比率 0.81 意味着财务弹性有限。结论为“谨慎看待”——建议等待估值回落或业绩进一步验证后再行配置，并将单季毛利率、应收账款周转天数、有息负债/EBITDA 作为核心跟踪指标。</w:t>
      </w:r>
    </w:p>
    <w:p w14:paraId="0C849599">
      <w:pPr>
        <w:spacing w:before="120" w:after="0" w:line="360" w:lineRule="auto"/>
        <w:ind w:firstLine="0"/>
        <w:jc w:val="both"/>
        <w:rPr>
          <w:sz w:val="24"/>
        </w:rPr>
      </w:pPr>
      <w:r>
        <w:rPr>
          <w:rFonts w:ascii="Times New Roman" w:hAnsi="Times New Roman" w:eastAsia="宋体"/>
          <w:b/>
          <w:bCs/>
          <w:sz w:val="24"/>
        </w:rPr>
        <w:t>关键词</w:t>
      </w:r>
      <w:r>
        <w:rPr>
          <w:rFonts w:ascii="Times New Roman" w:hAnsi="Times New Roman" w:eastAsia="宋体"/>
          <w:b w:val="0"/>
          <w:sz w:val="24"/>
        </w:rPr>
        <w:t>：永鼎股份；基本面分析；杜邦分析；盈利质量；相对估值</w:t>
      </w:r>
    </w:p>
    <w:p w14:paraId="4301F434">
      <w:pPr>
        <w:keepNext/>
        <w:spacing w:before="240" w:after="360" w:line="360" w:lineRule="auto"/>
        <w:ind w:firstLine="0"/>
        <w:jc w:val="center"/>
        <w:outlineLvl w:val="9"/>
        <w:rPr>
          <w:rFonts w:ascii="Times New Roman" w:hAnsi="Times New Roman" w:eastAsia="黑体"/>
          <w:b/>
          <w:sz w:val="32"/>
        </w:rPr>
        <w:sectPr>
          <w:pgSz w:w="11906" w:h="16838"/>
          <w:pgMar w:top="1417" w:right="1134" w:bottom="1417" w:left="1134" w:header="850" w:footer="1020" w:gutter="0"/>
          <w:pgNumType w:fmt="upperRoman" w:start="1"/>
          <w:cols w:space="720" w:num="1"/>
          <w:docGrid w:linePitch="360" w:charSpace="0"/>
        </w:sectPr>
      </w:pPr>
    </w:p>
    <w:p w14:paraId="78E9B602">
      <w:pPr>
        <w:keepNext/>
        <w:spacing w:before="240" w:after="360" w:line="360" w:lineRule="auto"/>
        <w:ind w:firstLine="0"/>
        <w:jc w:val="center"/>
        <w:outlineLvl w:val="0"/>
      </w:pPr>
      <w:bookmarkStart w:id="9" w:name="_Toc17895"/>
      <w:r>
        <w:rPr>
          <w:rFonts w:ascii="Times New Roman" w:hAnsi="Times New Roman" w:eastAsia="黑体"/>
          <w:b/>
          <w:sz w:val="32"/>
        </w:rPr>
        <w:t>第一章　导论</w:t>
      </w:r>
      <w:bookmarkEnd w:id="9"/>
    </w:p>
    <w:p w14:paraId="43791458">
      <w:pPr>
        <w:keepNext/>
        <w:spacing w:before="200" w:after="240" w:line="360" w:lineRule="auto"/>
        <w:ind w:firstLine="0"/>
        <w:jc w:val="left"/>
        <w:outlineLvl w:val="1"/>
      </w:pPr>
      <w:bookmarkStart w:id="10" w:name="_Toc25268"/>
      <w:r>
        <w:rPr>
          <w:rFonts w:ascii="Times New Roman" w:hAnsi="Times New Roman" w:eastAsia="黑体"/>
          <w:b/>
          <w:sz w:val="28"/>
        </w:rPr>
        <w:t>1.1　分析对象与选取依据</w:t>
      </w:r>
      <w:bookmarkEnd w:id="10"/>
    </w:p>
    <w:p w14:paraId="0EC5FDC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江苏永鼎股份有限公司成立于 1994 年，1997 年 9 月 29 日在上海证券交易所主板上市，股票代码 600105，总部位于江苏省苏州市吴江区。公司以光通信（光纤预制棒、光纤、光缆、光器件、光模块）为主体，同时经营汽车线束、海外电力工程与超导新材料，属于证监会制造业门类下的电气机械和器材制造业。</w:t>
      </w:r>
    </w:p>
    <w:p w14:paraId="4D8BDD7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选择该公司作为分析对象，基于三点考虑。第一，符合任务书规定的选取条件：公司为 A 股制造业上市公司，2016—2025 年连续 10 个完整会计年度报告齐备，不存在 ST/*ST 情形，未被证监会立案调查，数据公开、权威、可追溯。第二，公司业务结构具有分析价值：四个板块分属成长、周期、政策驱动与主题四类不同属性，同一张报表里同时存在“高毛利成长业务”与“低毛利加工业务”，是练习结构化财务分析的良好样本。第三，公司近三年经历了从“利润靠非经常性损益”到“利润由主业驱动”的转折，为检验“盈利质量”这一核心概念提供了天然对照。</w:t>
      </w:r>
    </w:p>
    <w:p w14:paraId="2255742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需要说明的是，公司 2025 年归母净利润中一次性投资收益占比极高，若不做穿透分析，很容易得出“业绩大幅改善”的错误结论。本报告把这一拆解作为分析重点之一。</w:t>
      </w:r>
    </w:p>
    <w:p w14:paraId="1FABAFC9">
      <w:pPr>
        <w:keepNext/>
        <w:spacing w:before="200" w:after="240" w:line="360" w:lineRule="auto"/>
        <w:ind w:firstLine="0"/>
        <w:jc w:val="left"/>
        <w:outlineLvl w:val="1"/>
      </w:pPr>
      <w:bookmarkStart w:id="11" w:name="_Toc12326"/>
      <w:r>
        <w:rPr>
          <w:rFonts w:ascii="Times New Roman" w:hAnsi="Times New Roman" w:eastAsia="黑体"/>
          <w:b/>
          <w:sz w:val="28"/>
        </w:rPr>
        <w:t>1.2　数据来源、口径与处理</w:t>
      </w:r>
      <w:bookmarkEnd w:id="11"/>
    </w:p>
    <w:p w14:paraId="23192EB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数据来源分为四类：一是公司定期报告，通过巨潮资讯网下载 2014—2025 年共 12 份年度报告与 2026 年第三季度报告 PDF，用于原文核对与业务描述；二是财务数据，通过东方财富 F10 接口获取资产负债表、利润表、现金流量表、核心财务指标与主营业务构成，公司与 6 家同业的报表一并抓取；三是行情数据，通过腾讯财经接口获取 2016 年 1 月 4 日至 2026 年 10 月 27 日的日线（前复权与不复权两套）、三大指数日线与实时快照；四是宏观数据，通过东方财富数据中心获取 GDP、CPI、PPI、制造业 PMI、M2、社会消费品零售总额、固定资产投资完成额与存款准备金率共 8 个序列。全部原始数据留存于data/raw 目录，派生表留存于 data/processed 目录，抓取日志共 49 条记录、48 条成功。</w:t>
      </w:r>
    </w:p>
    <w:p w14:paraId="5F6C701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三项关键口径处理如下。第一，TTM 净利润与 TTM 营业收入均按单季数据滚动四季求和，并且只在财报实际公告日之后才允许用于估值计算。若按报告期末直接对齐，2026 年 8—9 月的市盈率会提前用到 10 月下旬才披露的三季报数据，形成前视偏差，使历史分位系统性偏低。第二，一季报、中报、三季报披露的是年初至报告期末累计数，为观察单季经营节奏，对利润表与现金流量表的全部流量科目做差分处理，存量科目直接取期末值。第三，估值指标的分母——归母净资产与股本——按报告期取用，股本变动按公告日生效。</w:t>
      </w:r>
    </w:p>
    <w:p w14:paraId="62753C1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为验证上述处理，设置三重校验：各年 4 个单季营业收入加总与年报营业收入的差异均小于 0.01 亿元；杜邦恒等式（ROE＝净利率×总资产周转率×权益乘数）在 11 个年度的偏差均小于 2 个百分点，偏差主要出现在权益变动剧烈的年份（2020 年、2026 年），源于权益乘数取期末值；当前 PE(TTM) 57.13 倍、总市值 369.88 亿元与腾讯财经 2026 年 10 月 27 日收盘快照完全一致。</w:t>
      </w:r>
    </w:p>
    <w:p w14:paraId="2053C104">
      <w:pPr>
        <w:keepNext/>
        <w:spacing w:before="200" w:after="240" w:line="360" w:lineRule="auto"/>
        <w:ind w:firstLine="0"/>
        <w:jc w:val="left"/>
        <w:outlineLvl w:val="1"/>
      </w:pPr>
      <w:bookmarkStart w:id="12" w:name="_Toc11443"/>
      <w:r>
        <w:rPr>
          <w:rFonts w:ascii="Times New Roman" w:hAnsi="Times New Roman" w:eastAsia="黑体"/>
          <w:b/>
          <w:sz w:val="28"/>
        </w:rPr>
        <w:t>1.3　分析框架与技术路线</w:t>
      </w:r>
      <w:bookmarkEnd w:id="12"/>
    </w:p>
    <w:p w14:paraId="18C1BBD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报告遵循“外部环境—企业基本面—财务量化—综合结论”的逻辑链条，共分七章：第一章交代对象与方法；第二章分析宏观环境及其对公司的传导路径；第三章分析行业属性、竞争格局与景气度；第四章分析公司基本素质，包括业务结构、竞争优势与短板；第五章用五维比率体系做财务分析，并与同业横向对比；第六章做相对估值与绝对估值；第七章给出综合结论、风险提示与操作建议。</w:t>
      </w:r>
    </w:p>
    <w:p w14:paraId="72D175A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工具方面，数据抓取与指标计算使用 Python（pandas、numpy、requests），图表绘制使用 matplotlib，全部 21 张图表由同一套计算代码统一生成，保证报告、图表与数据底稿口径一致；报告文本使用 Word 撰写并按学校格式规范排版。</w:t>
      </w:r>
    </w:p>
    <w:p w14:paraId="28B18571">
      <w:r>
        <w:br w:type="page"/>
      </w:r>
    </w:p>
    <w:p w14:paraId="18DCCA5A">
      <w:pPr>
        <w:keepNext/>
        <w:spacing w:before="240" w:after="360" w:line="360" w:lineRule="auto"/>
        <w:ind w:firstLine="0"/>
        <w:jc w:val="center"/>
        <w:outlineLvl w:val="0"/>
      </w:pPr>
      <w:bookmarkStart w:id="13" w:name="_Toc22287"/>
      <w:r>
        <w:rPr>
          <w:rFonts w:ascii="Times New Roman" w:hAnsi="Times New Roman" w:eastAsia="黑体"/>
          <w:b/>
          <w:sz w:val="32"/>
        </w:rPr>
        <w:t>第二章　宏观经济分析</w:t>
      </w:r>
      <w:bookmarkEnd w:id="13"/>
    </w:p>
    <w:p w14:paraId="288E8B9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证券投资的基本面分析从宏观开始，原因在于宏观变量决定了企业经营的“外部给定条件”：增长决定需求总量，价格决定毛利空间，利率决定资金成本，政策决定结构性机会。本章先看总量与价格，再看货币与景气，最后落到对公司四条业务线的具体传导。</w:t>
      </w:r>
    </w:p>
    <w:p w14:paraId="58A8CEA0">
      <w:pPr>
        <w:keepNext/>
        <w:spacing w:before="200" w:after="240" w:line="360" w:lineRule="auto"/>
        <w:ind w:firstLine="0"/>
        <w:jc w:val="left"/>
        <w:outlineLvl w:val="1"/>
      </w:pPr>
      <w:bookmarkStart w:id="14" w:name="_Toc19422"/>
      <w:r>
        <w:rPr>
          <w:rFonts w:ascii="Times New Roman" w:hAnsi="Times New Roman" w:eastAsia="黑体"/>
          <w:b/>
          <w:sz w:val="28"/>
        </w:rPr>
        <w:t>2.1　经济增长与价格环境</w:t>
      </w:r>
      <w:bookmarkEnd w:id="14"/>
    </w:p>
    <w:p w14:paraId="3C91D7B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2016—2025 年，中国经济走过一轮完整的小周期（表 2-1）。2017 年 GDP 增速 6.9%，为近十年高点，PPI 由负转正并升至 4.9%，是典型的主动补库存；2020 年受疫情冲击，GDP 增速骤降至 2.3%，CPI 回落至 0.2%；2021 年在低基数与出口拉动下反弹至 8.6%，PPI 因大宗商品暴涨冲高至 10.3%；2022 年起增速回落至 3.1%，2023—2025 年稳定在 5.0% 左右。</w:t>
      </w:r>
    </w:p>
    <w:p w14:paraId="3B207795"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表2-1　2016—2025年中国主要宏观经济指标</w:t>
      </w:r>
    </w:p>
    <w:tbl>
      <w:tblPr>
        <w:tblStyle w:val="35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4A850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blHeader/>
          <w:jc w:val="center"/>
        </w:trPr>
        <w:tc>
          <w:tcPr>
            <w:tcW w:w="1134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1040C35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年份</w:t>
            </w:r>
          </w:p>
        </w:tc>
        <w:tc>
          <w:tcPr>
            <w:tcW w:w="1701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2E22129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GDP实际增速(%)</w:t>
            </w:r>
          </w:p>
        </w:tc>
        <w:tc>
          <w:tcPr>
            <w:tcW w:w="1616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7E820B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CPI同比(%)</w:t>
            </w:r>
          </w:p>
        </w:tc>
        <w:tc>
          <w:tcPr>
            <w:tcW w:w="1616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5907E53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PPI同比(%)</w:t>
            </w:r>
          </w:p>
        </w:tc>
        <w:tc>
          <w:tcPr>
            <w:tcW w:w="1672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2C5DF10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制造业PMI均值</w:t>
            </w:r>
          </w:p>
        </w:tc>
        <w:tc>
          <w:tcPr>
            <w:tcW w:w="1616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B02244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M2同比(%)</w:t>
            </w:r>
          </w:p>
        </w:tc>
      </w:tr>
      <w:tr w14:paraId="57D73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13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6A2A5F7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2016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8F2466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6.80</w:t>
            </w:r>
          </w:p>
        </w:tc>
        <w:tc>
          <w:tcPr>
            <w:tcW w:w="1616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7271E9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2.10</w:t>
            </w:r>
          </w:p>
        </w:tc>
        <w:tc>
          <w:tcPr>
            <w:tcW w:w="1616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4B8D24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5.50</w:t>
            </w:r>
          </w:p>
        </w:tc>
        <w:tc>
          <w:tcPr>
            <w:tcW w:w="167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2BBECD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50.32</w:t>
            </w:r>
          </w:p>
        </w:tc>
        <w:tc>
          <w:tcPr>
            <w:tcW w:w="1616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84EA07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11.30</w:t>
            </w:r>
          </w:p>
        </w:tc>
      </w:tr>
      <w:tr w14:paraId="0E196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61752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2017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46F4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6.90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2B73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1.80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36FA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4.90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F47C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51.61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5328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8.07</w:t>
            </w:r>
          </w:p>
        </w:tc>
      </w:tr>
      <w:tr w14:paraId="7C4D2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39730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2018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CE6C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6.80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3E4B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1.90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1E94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40F5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50.90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ADAB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8.10</w:t>
            </w:r>
          </w:p>
        </w:tc>
      </w:tr>
      <w:tr w14:paraId="1A4474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1DC33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2019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8B1A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6.10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4EA0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4.50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54B5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-0.50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AF90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49.73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CBF6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8.70</w:t>
            </w:r>
          </w:p>
        </w:tc>
      </w:tr>
      <w:tr w14:paraId="036B3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86B7E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05EB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2.30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5187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0.20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77FC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-0.40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1394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49.92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C68F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10.10</w:t>
            </w:r>
          </w:p>
        </w:tc>
      </w:tr>
      <w:tr w14:paraId="6AF3E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67ECC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2997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8.60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4415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1.50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104E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10.30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C475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50.54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C022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9.00</w:t>
            </w:r>
          </w:p>
        </w:tc>
      </w:tr>
      <w:tr w14:paraId="421DB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340F6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624D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3.10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ADBC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1.80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6650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-0.70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EE8A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49.14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9CD5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11.80</w:t>
            </w:r>
          </w:p>
        </w:tc>
      </w:tr>
      <w:tr w14:paraId="4EB11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C4221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AD2C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5.40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AEA8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-0.30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D07E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-2.70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6537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49.89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B813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9.70</w:t>
            </w:r>
          </w:p>
        </w:tc>
      </w:tr>
      <w:tr w14:paraId="6D82CC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86765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BAA1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5.00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0F18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0.10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F5F0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-2.30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9D48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49.78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C922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7.30</w:t>
            </w:r>
          </w:p>
        </w:tc>
      </w:tr>
      <w:tr w14:paraId="460DE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9CB057A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2025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BC66DC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5.00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C83F13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0.80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B49309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-1.90</w:t>
            </w:r>
          </w:p>
        </w:tc>
        <w:tc>
          <w:tcPr>
            <w:tcW w:w="16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0544DF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49.57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77A911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8.50</w:t>
            </w:r>
          </w:p>
        </w:tc>
      </w:tr>
    </w:tbl>
    <w:p w14:paraId="0561133D">
      <w:pPr>
        <w:spacing w:before="40" w:after="160" w:line="240" w:lineRule="auto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数据来源：国家统计局、中国人民银行、东方财富数据中心。GDP 为实际增速；CPI、PPI 为 12 月当月同比；PMI 为当年 12 个月算术平均值；M2 为年末余额同比。</w:t>
      </w:r>
    </w:p>
    <w:p w14:paraId="7668064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价格信号比增速更能说明问题。PPI 自 2022 年末起持续为负，2023—2025 年分别为 −2.7%、−2.3%、−1.9%；CPI 长期在 0—1% 区间徘徊，2023 年甚至出现 −0.3% 的年度负值。这意味着制造业整体处于“量增价减”的环境：营业收入可以靠出货量维持增长，但单价与毛利率被持续压制。对永鼎这类中游制造企业，这一环境既构成压力，也孕育机会。压力在于光纤光缆、铜导体等标准化产品随 PPI 下行，2025 年公司毛利率回落至 13.89% 即为例证；机会在于低利率降低了扩产与海外工程垫资的成本，而 AI 算力投资带来的高端光纤结构性涨价，使部分产品能够脱离行业性降价。</w:t>
      </w:r>
    </w:p>
    <w:p w14:paraId="5C0E5879">
      <w:pPr>
        <w:keepNext/>
        <w:spacing w:before="200" w:after="240" w:line="360" w:lineRule="auto"/>
        <w:ind w:firstLine="0"/>
        <w:jc w:val="left"/>
        <w:outlineLvl w:val="1"/>
      </w:pPr>
      <w:bookmarkStart w:id="15" w:name="_Toc22008"/>
      <w:r>
        <w:rPr>
          <w:rFonts w:ascii="Times New Roman" w:hAnsi="Times New Roman" w:eastAsia="黑体"/>
          <w:b/>
          <w:sz w:val="28"/>
        </w:rPr>
        <w:t>2.2　货币与金融环境</w:t>
      </w:r>
      <w:bookmarkEnd w:id="15"/>
    </w:p>
    <w:p w14:paraId="70F3E9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M2 增速在 2022 年回升至 11.8%，2024 年回落至 7.3%，2025 年为 8.5%，货币环境整体宽松；但制造业 PMI 年均值自 2021 年的 50.54 一路下行至 2025 年的 49.57，连续多年处于荣枯线下方（图 2-2）。“宽货币 + 弱景气”的组合，决定了 2024 年以来的市场上行并非全面复苏，而是少数高景气赛道的结构性行情。</w:t>
      </w:r>
    </w:p>
    <w:p w14:paraId="6C8DF549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3051175"/>
            <wp:effectExtent l="0" t="0" r="190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5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70CA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图2-1　2016—2025年中国GDP、CPI与PPI同比增速</w:t>
      </w:r>
    </w:p>
    <w:p w14:paraId="32A3D244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数据来源：国家统计局、东方财富数据中心；作者绘制</w:t>
      </w:r>
    </w:p>
    <w:p w14:paraId="501A5CDE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2760345"/>
            <wp:effectExtent l="0" t="0" r="19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9AD1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图2-2　M2增速与制造业PMI（双纵轴）</w:t>
      </w:r>
    </w:p>
    <w:p w14:paraId="11A70441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数据来源：中国人民银行、国家统计局、东方财富数据中心；作者绘制</w:t>
      </w:r>
    </w:p>
    <w:p w14:paraId="00C2D98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利率层面，1 年期 LPR 已降至 3.0%、5 年期以上 LPR 为 3.5%，处于历史低位；存款准备金率自 2015 年以来持续下调，2025 年 5 月已降至 6.2% 附近。低利率对永鼎是双刃剑：一方面降低了41.73 亿元有息负债的再融资成本，另一方面也意味着公司 63.60% 的资产负债率在利息保障上的缓冲空间主要来自“利率低”而非“盈利厚”，一旦利率上行将迅速传导至利润表。</w:t>
      </w:r>
    </w:p>
    <w:p w14:paraId="707030F7">
      <w:pPr>
        <w:keepNext/>
        <w:spacing w:before="200" w:after="240" w:line="360" w:lineRule="auto"/>
        <w:ind w:firstLine="0"/>
        <w:jc w:val="left"/>
        <w:outlineLvl w:val="1"/>
      </w:pPr>
      <w:bookmarkStart w:id="16" w:name="_Toc29065"/>
      <w:r>
        <w:rPr>
          <w:rFonts w:ascii="Times New Roman" w:hAnsi="Times New Roman" w:eastAsia="黑体"/>
          <w:b/>
          <w:sz w:val="28"/>
        </w:rPr>
        <w:t>2.3　宏观环境对公司经营的传导</w:t>
      </w:r>
      <w:bookmarkEnd w:id="16"/>
    </w:p>
    <w:p w14:paraId="7BC506D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宏观变量并非抽象背景，它通过四条具体链路影响公司报表。第一，光通信板块取决于运营商资本开支与数据中心投资：2021—2023 年 5G 建设进入尾声、集采价格战激烈，公司该板块毛利率长期在 10% 附近；2024 年起 AI 智算中心建设带动高速率光模块与新型光纤需求，公司毛利率才出现跃升。第二，汽车线束板块取决于汽车产销与新能源渗透率，2026 年上半年该板块收入 8.77 亿元、同比 +15%，但毛利率降至 8.61%，反映整车厂年降压力。第三，海外电力工程取决于“一带一路”沿线的基建投资与美元利率，项目回款周期长，是应收账款的主要来源。第四，财务费用取决于利率与汇率，2025 年人民币升值使公司汇兑损失增加 3539.57 万元，直接推动财务费用同比增长 48.14%。</w:t>
      </w:r>
    </w:p>
    <w:p w14:paraId="36C7B80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综上，当前宏观环境对公司整体是“中性偏有利”：需求端依靠 AI 算力与电网投资的结构性亮点，成本端受益于低利率，但价格端缺乏全面上行的支撑。这决定了公司业绩改善必然是结构性的、而非周期性的全面复苏——这一判断直接影响第六章的估值结论。</w:t>
      </w:r>
    </w:p>
    <w:p w14:paraId="0D8156BB">
      <w:r>
        <w:br w:type="page"/>
      </w:r>
    </w:p>
    <w:p w14:paraId="24B183C5">
      <w:pPr>
        <w:keepNext/>
        <w:spacing w:before="240" w:after="360" w:line="360" w:lineRule="auto"/>
        <w:ind w:firstLine="0"/>
        <w:jc w:val="center"/>
        <w:outlineLvl w:val="0"/>
      </w:pPr>
      <w:bookmarkStart w:id="17" w:name="_Toc22253"/>
      <w:r>
        <w:rPr>
          <w:rFonts w:ascii="Times New Roman" w:hAnsi="Times New Roman" w:eastAsia="黑体"/>
          <w:b/>
          <w:sz w:val="32"/>
        </w:rPr>
        <w:t>第三章　行业分析</w:t>
      </w:r>
      <w:bookmarkEnd w:id="17"/>
    </w:p>
    <w:p w14:paraId="4CFF22B2">
      <w:pPr>
        <w:keepNext/>
        <w:spacing w:before="200" w:after="240" w:line="360" w:lineRule="auto"/>
        <w:ind w:firstLine="0"/>
        <w:jc w:val="left"/>
        <w:outlineLvl w:val="1"/>
      </w:pPr>
      <w:bookmarkStart w:id="18" w:name="_Toc3434"/>
      <w:r>
        <w:rPr>
          <w:rFonts w:ascii="Times New Roman" w:hAnsi="Times New Roman" w:eastAsia="黑体"/>
          <w:b/>
          <w:sz w:val="28"/>
        </w:rPr>
        <w:t>3.1　行业属性与生命周期</w:t>
      </w:r>
      <w:bookmarkEnd w:id="18"/>
    </w:p>
    <w:p w14:paraId="6969F8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永鼎横跨四个细分行业，不能用单一行业标签概括，四者的属性差异极大（表 3-1、表 3-2）。光通信属于成长型行业叠加运营商集采的周期属性，正处于成长期与成熟期的交界：总量增速放缓，但高速率、高密度产品的结构性需求快速增长。汽车线束属于成长期行业，受益于新能源车渗透率提升，单车线束价值量由传统燃油车的约 2500 元提升至新能源车的 4000—5000 元，但行业进入门槛在于整车厂 2—3 年的认证周期，一旦定点粘性强、年降压力大。海外电力工程属于周期型行业，受政策与地缘因素驱动，已处成熟期。超导材料处于导入期，收入体量小但具备主题稀缺性。</w:t>
      </w:r>
    </w:p>
    <w:p w14:paraId="19FBD47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这一结构解释了公司财务上最矛盾的现象：营收体量最大的板块毛利极薄，利润几乎全部来自收入占比三分之一的光通信。2026 年上半年，光通信收入 12.35 亿元、毛利率 58.52%，而汽车线束、电力工程、超导及铜导体的毛利率分别只有 8.61%、7.56%、7.66%。一条 8% 毛利率的产线，需要约 7 倍的收入才能创造与光通信同等的毛利——这正是公司“收入翻倍、利润原地踏步”的根源。</w:t>
      </w:r>
    </w:p>
    <w:p w14:paraId="7A5D5073">
      <w:pPr>
        <w:keepNext/>
        <w:spacing w:before="200" w:after="240" w:line="360" w:lineRule="auto"/>
        <w:ind w:firstLine="0"/>
        <w:jc w:val="left"/>
        <w:outlineLvl w:val="1"/>
      </w:pPr>
      <w:bookmarkStart w:id="19" w:name="_Toc18722"/>
      <w:r>
        <w:rPr>
          <w:rFonts w:ascii="Times New Roman" w:hAnsi="Times New Roman" w:eastAsia="黑体"/>
          <w:b/>
          <w:sz w:val="28"/>
        </w:rPr>
        <w:t>3.2　竞争格局与产业链</w:t>
      </w:r>
      <w:bookmarkEnd w:id="19"/>
    </w:p>
    <w:p w14:paraId="54252A2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光纤光缆行业国内格局为“长飞—亨通—中天—烽火”四强主导，前四名合计份额超过 60%，永鼎的产能与市场份额均处第二梯队。但 2025 年以来，AI 数据中心对多模光纤、空芯光纤、高密度光缆的需求爆发，龙头产能被高端订单占满，二线厂商得以进入供应链并获得溢价——这是公司光通信毛利率从 2021 年上半年 8.15% 跃升至 2026 年上半年 58.52% 的行业前提。从产业链看，公司具备“光棒—光纤—光缆—光器件—光模块”一体化能力，是国内少数能自供光纤预制棒的企业，在成本控制与交付弹性上优于纯拉丝厂，这是其在涨价周期中能放量获益的基础。</w:t>
      </w:r>
    </w:p>
    <w:p w14:paraId="796382E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汽车线束行业则由外资（矢崎、住友、德尔福）与本土（昆山沪光、上海金亭等）并存，公司通过 2015 年收购上海金亭进入该领域，客户覆盖主流自主品牌与部分合资品牌。该行业的核心矛盾是“定点带来稳定、年降吞噬毛利”，2026 年上半年毛利率降至 8.61% 即为明证。海外电力工程领域，公司通过永鼎泰富在东南亚、非洲、拉美等地积累十余年 EPC 经验，竞争壁垒在于牌照、当地关系与融资能力，而非单纯的价格。</w:t>
      </w:r>
    </w:p>
    <w:p w14:paraId="6E9F6A90">
      <w:pPr>
        <w:keepNext/>
        <w:spacing w:before="200" w:after="240" w:line="360" w:lineRule="auto"/>
        <w:ind w:firstLine="0"/>
        <w:jc w:val="left"/>
        <w:outlineLvl w:val="1"/>
      </w:pPr>
      <w:bookmarkStart w:id="20" w:name="_Toc32477"/>
      <w:r>
        <w:rPr>
          <w:rFonts w:ascii="Times New Roman" w:hAnsi="Times New Roman" w:eastAsia="黑体"/>
          <w:b/>
          <w:sz w:val="28"/>
        </w:rPr>
        <w:t>3.3　政策与技术趋势</w:t>
      </w:r>
      <w:bookmarkEnd w:id="20"/>
    </w:p>
    <w:p w14:paraId="033FC5D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第一，AI 算力基建。“东数西算”与智算中心建设推动 400G/800G 光模块与新型光纤需求，是 2025—2026 年行业最强的边际变化，也是公司业绩拐点的直接来源。第二，“双碳”与电网投资，特高压、配网改造与海上风电送出为电力工程与超导带材提供订单。第三，超导材料，公司是国内少数具备二代高温超导带材量产能力的企业之一，当前收入体量小，但对估值弹性贡献不容忽视。第四，技术路线风险，硅光、CPO（共封装光学）等新技术可能改变光模块的价值分配，公司能否跟上迭代节奏存在不确定性。</w:t>
      </w:r>
    </w:p>
    <w:p w14:paraId="71A290AF">
      <w:pPr>
        <w:keepNext/>
        <w:spacing w:before="200" w:after="240" w:line="360" w:lineRule="auto"/>
        <w:ind w:firstLine="0"/>
        <w:jc w:val="left"/>
        <w:outlineLvl w:val="1"/>
      </w:pPr>
      <w:bookmarkStart w:id="21" w:name="_Toc20402"/>
      <w:r>
        <w:rPr>
          <w:rFonts w:ascii="Times New Roman" w:hAnsi="Times New Roman" w:eastAsia="黑体"/>
          <w:b/>
          <w:sz w:val="28"/>
        </w:rPr>
        <w:t>3.4　行业景气度研判</w:t>
      </w:r>
      <w:bookmarkEnd w:id="21"/>
    </w:p>
    <w:p w14:paraId="5A14804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用同业的股价与营收两条线交叉验证景气度：股价反映预期，营收反映现实（图 3-1、图 3-2）。2016 年 1 月 4 日至 2026 年 10 月 27 日，中际旭创区间涨幅约 88 倍，长飞光纤 +719%、亨通光电 +420%、中天科技 +274%，永鼎股份 +241%，烽火通信仅 +12%，通鼎互联 −15%。同为“光通信”，涨幅差距近 600 倍，说明市场定价的不是“行业”，而是在产业链中的位置。</w:t>
      </w:r>
    </w:p>
    <w:p w14:paraId="278D66B6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991100" cy="2696210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53E5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图3-1　永鼎股份与同业公司股价走势（2016-01-04＝100，对数坐标）</w:t>
      </w:r>
    </w:p>
    <w:p w14:paraId="0E4CCC70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数据来源：腾讯财经前复权日行情；作者绘制</w:t>
      </w:r>
    </w:p>
    <w:p w14:paraId="6893487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营收端则冷静得多：除中际旭创外，其余公司 2022 年以来营收增速普遍在 ±25% 区间震荡，说明行业总量的高增长已经结束，增长来自结构（高速率、高毛利产品）而非总量。对永鼎而言，这意味着 2026 年的高增长能否延续，取决于其能否持续拿到高端订单，而不是行业蛋糕是否变大。</w:t>
      </w:r>
    </w:p>
    <w:p w14:paraId="3550FB2D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765675" cy="2778760"/>
            <wp:effectExtent l="0" t="0" r="444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561F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图3-2　同业公司营业收入同比增速（2017—2025）</w:t>
      </w:r>
    </w:p>
    <w:p w14:paraId="34D44C7B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数据来源：东方财富F10核心指标、公司年度报告；作者绘制</w:t>
      </w:r>
    </w:p>
    <w:p w14:paraId="0204700B">
      <w:r>
        <w:br w:type="page"/>
      </w:r>
    </w:p>
    <w:p w14:paraId="623AD1E2">
      <w:pPr>
        <w:keepNext/>
        <w:spacing w:before="240" w:after="360" w:line="360" w:lineRule="auto"/>
        <w:ind w:firstLine="0"/>
        <w:jc w:val="center"/>
        <w:outlineLvl w:val="0"/>
      </w:pPr>
      <w:bookmarkStart w:id="22" w:name="_Toc16658"/>
      <w:r>
        <w:rPr>
          <w:rFonts w:ascii="Times New Roman" w:hAnsi="Times New Roman" w:eastAsia="黑体"/>
          <w:b/>
          <w:sz w:val="32"/>
        </w:rPr>
        <w:t>第四章　公司基本素质分析</w:t>
      </w:r>
      <w:bookmarkEnd w:id="22"/>
    </w:p>
    <w:p w14:paraId="42E79306">
      <w:pPr>
        <w:keepNext/>
        <w:spacing w:before="200" w:after="240" w:line="360" w:lineRule="auto"/>
        <w:ind w:firstLine="0"/>
        <w:jc w:val="left"/>
        <w:outlineLvl w:val="1"/>
      </w:pPr>
      <w:bookmarkStart w:id="23" w:name="_Toc21382"/>
      <w:r>
        <w:rPr>
          <w:rFonts w:ascii="Times New Roman" w:hAnsi="Times New Roman" w:eastAsia="黑体"/>
          <w:b/>
          <w:sz w:val="28"/>
        </w:rPr>
        <w:t>4.1　主营业务与产品结构</w:t>
      </w:r>
      <w:bookmarkEnd w:id="23"/>
    </w:p>
    <w:p w14:paraId="1712CD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公司业务结构可概括为“一体两翼”：以光通信为主体，以汽车线束与海外电力工程为两翼，超导材料为远期期权。2026 年上半年，光通信收入 12.35 亿元（占比约 37%）、汽车线束 8.77 亿元（26%）、电力工程 6.56 亿元（20%）、超导及铜导体 4.84 亿元（14%）、其他 0.80 亿元（3%）。与 2021 年上半年相比，光通信收入由 5.25 亿元增至 12.35 亿元，翻了一倍以上，占比由 27% 提升至 37%——收入结构正在向高毛利业务集中，这是最重要的结构性改善（图 4-1）。</w:t>
      </w:r>
    </w:p>
    <w:p w14:paraId="64F377E3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2851785"/>
            <wp:effectExtent l="0" t="0" r="190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5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8843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图4-1　分产品收入结构（2021H1—2026H1，亿元）</w:t>
      </w:r>
    </w:p>
    <w:p w14:paraId="5461A94C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数据来源：公司半年度报告“主营业务分产品情况”；作者整理</w:t>
      </w:r>
    </w:p>
    <w:p w14:paraId="3261D75B"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表3-1　分板块营业收入（2021H1—2026H1，亿元）</w:t>
      </w:r>
    </w:p>
    <w:tbl>
      <w:tblPr>
        <w:tblStyle w:val="35"/>
        <w:tblW w:w="938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0B7F0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blHeader/>
          <w:jc w:val="center"/>
        </w:trPr>
        <w:tc>
          <w:tcPr>
            <w:tcW w:w="1247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5546300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报告期</w:t>
            </w:r>
          </w:p>
        </w:tc>
        <w:tc>
          <w:tcPr>
            <w:tcW w:w="1389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F77DAA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光通信</w:t>
            </w:r>
          </w:p>
        </w:tc>
        <w:tc>
          <w:tcPr>
            <w:tcW w:w="1389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19BA5FF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汽车线束</w:t>
            </w:r>
          </w:p>
        </w:tc>
        <w:tc>
          <w:tcPr>
            <w:tcW w:w="1389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2E7D01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电力工程</w:t>
            </w:r>
          </w:p>
        </w:tc>
        <w:tc>
          <w:tcPr>
            <w:tcW w:w="1531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4954096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超导及铜导体</w:t>
            </w:r>
          </w:p>
        </w:tc>
        <w:tc>
          <w:tcPr>
            <w:tcW w:w="1219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2C61F8E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其他</w:t>
            </w:r>
          </w:p>
        </w:tc>
        <w:tc>
          <w:tcPr>
            <w:tcW w:w="1219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54D8E7B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合计</w:t>
            </w:r>
          </w:p>
        </w:tc>
      </w:tr>
      <w:tr w14:paraId="6CCA8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247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5A34956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2021H1</w:t>
            </w:r>
          </w:p>
        </w:tc>
        <w:tc>
          <w:tcPr>
            <w:tcW w:w="13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3C88F2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5.25</w:t>
            </w:r>
          </w:p>
        </w:tc>
        <w:tc>
          <w:tcPr>
            <w:tcW w:w="13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5CF678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5.66</w:t>
            </w:r>
          </w:p>
        </w:tc>
        <w:tc>
          <w:tcPr>
            <w:tcW w:w="13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88118F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7.92</w:t>
            </w: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B7DDCF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nan</w:t>
            </w:r>
          </w:p>
        </w:tc>
        <w:tc>
          <w:tcPr>
            <w:tcW w:w="121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0F3CFE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0.22</w:t>
            </w:r>
          </w:p>
        </w:tc>
        <w:tc>
          <w:tcPr>
            <w:tcW w:w="121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982C81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19.05</w:t>
            </w:r>
          </w:p>
        </w:tc>
      </w:tr>
      <w:tr w14:paraId="62EED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EFEE9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2022H1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9455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6.12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74E8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7.34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BE4AF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4.30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2742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nan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AC9C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0.35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D2D0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18.11</w:t>
            </w:r>
          </w:p>
        </w:tc>
      </w:tr>
      <w:tr w14:paraId="3950F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86B9B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2023H1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FA35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5.84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CCB3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6.75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76E38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5.45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4132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nan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A930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D583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18.57</w:t>
            </w:r>
          </w:p>
        </w:tc>
      </w:tr>
      <w:tr w14:paraId="699BD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EC1E5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2024H1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A82E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4.52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185B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5.07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967F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5.80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FB2A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2.31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9E4F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0.37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FE64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18.07</w:t>
            </w:r>
          </w:p>
        </w:tc>
      </w:tr>
      <w:tr w14:paraId="7FCCE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5E37D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2025H1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88A6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4.02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ACF8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7.63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79D5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6.77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6777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3.51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A5EB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92DF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22.46</w:t>
            </w:r>
          </w:p>
        </w:tc>
      </w:tr>
      <w:tr w14:paraId="4FD28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2A42B0E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2026H1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013E32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12.35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324D0F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8.77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656DDD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6.56</w:t>
            </w:r>
          </w:p>
        </w:tc>
        <w:tc>
          <w:tcPr>
            <w:tcW w:w="15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C311D1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4.84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2E48FE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0.80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367C83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33.32</w:t>
            </w:r>
          </w:p>
        </w:tc>
      </w:tr>
    </w:tbl>
    <w:p w14:paraId="78F11EA2">
      <w:pPr>
        <w:spacing w:before="40" w:after="160" w:line="240" w:lineRule="auto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数据来源：公司半年度报告；作者计算。2021 年起公司分产品口径调整，此前年度不完全可比。</w:t>
      </w:r>
    </w:p>
    <w:p w14:paraId="3208882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毛利率的分化更为剧烈（图 4-2）。光通信毛利率由 2021 年上半年的 8.15% 提升至 2026 年上半年的58.52%，提升超过 50 个百分点；同期汽车线束由 7.56% 微升至 8.61%，电力工程由 13.26% 降至 7.56%，超导及铜导体由 13.57% 降至 7.66%。四个板块的毛利率走势完全背离，说明公司利润的改善高度集中于单一板块，这也构成后文风险提示中“行业周期风险”的直接依据。</w:t>
      </w:r>
    </w:p>
    <w:p w14:paraId="0789DDD2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2761615"/>
            <wp:effectExtent l="0" t="0" r="190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6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F804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图4-2　分产品毛利率（2021H1—2026H1，%）</w:t>
      </w:r>
    </w:p>
    <w:p w14:paraId="41C94AC0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数据来源：公司半年度报告；作者计算</w:t>
      </w:r>
    </w:p>
    <w:p w14:paraId="410A29D3"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表3-2　分板块毛利率（2021H1—2026H1，%）</w:t>
      </w:r>
    </w:p>
    <w:tbl>
      <w:tblPr>
        <w:tblStyle w:val="35"/>
        <w:tblW w:w="929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928"/>
        <w:gridCol w:w="1928"/>
        <w:gridCol w:w="1928"/>
        <w:gridCol w:w="1928"/>
        <w:gridCol w:w="1928"/>
      </w:tblGrid>
      <w:tr w14:paraId="1FACB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blHeader/>
          <w:jc w:val="center"/>
        </w:trPr>
        <w:tc>
          <w:tcPr>
            <w:tcW w:w="1361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575B86C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报告期</w:t>
            </w:r>
          </w:p>
        </w:tc>
        <w:tc>
          <w:tcPr>
            <w:tcW w:w="198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26C783B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光通信毛利率(%)</w:t>
            </w:r>
          </w:p>
        </w:tc>
        <w:tc>
          <w:tcPr>
            <w:tcW w:w="198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48A978C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汽车线束毛利率(%)</w:t>
            </w:r>
          </w:p>
        </w:tc>
        <w:tc>
          <w:tcPr>
            <w:tcW w:w="198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E75480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电力工程毛利率(%)</w:t>
            </w:r>
          </w:p>
        </w:tc>
        <w:tc>
          <w:tcPr>
            <w:tcW w:w="198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52B7B98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超导及铜导体毛利率(%)</w:t>
            </w:r>
          </w:p>
        </w:tc>
      </w:tr>
      <w:tr w14:paraId="47240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6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A46A3F9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2021H1</w:t>
            </w: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FFBE56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8.15</w:t>
            </w: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B94521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7.56</w:t>
            </w: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4024C1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13.26</w:t>
            </w: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F8E2DC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nan</w:t>
            </w:r>
          </w:p>
        </w:tc>
      </w:tr>
      <w:tr w14:paraId="71D93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29A06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2022H1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C445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13.90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2F4C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9.66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EAE1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13.27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15DB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nan</w:t>
            </w:r>
          </w:p>
        </w:tc>
      </w:tr>
      <w:tr w14:paraId="5082D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37443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2023H1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3334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10.38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9D19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13.57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9ADF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16.38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967C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nan</w:t>
            </w:r>
          </w:p>
        </w:tc>
      </w:tr>
      <w:tr w14:paraId="32704C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EAB9F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2024H1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7363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12.27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9AC60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16.64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88FF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21.94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0459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13.57</w:t>
            </w:r>
          </w:p>
        </w:tc>
      </w:tr>
      <w:tr w14:paraId="14C92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1731B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2025H1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C1D2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19.50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EA17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13.77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93B3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9.55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01A5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7.81</w:t>
            </w:r>
          </w:p>
        </w:tc>
      </w:tr>
      <w:tr w14:paraId="150BB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50E7575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2026H1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00303E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58.52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6B0BED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8.61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6597E0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7.56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5432EF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7.66</w:t>
            </w:r>
          </w:p>
        </w:tc>
      </w:tr>
    </w:tbl>
    <w:p w14:paraId="6C26FC38">
      <w:pPr>
        <w:spacing w:before="40" w:after="160" w:line="240" w:lineRule="auto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数据来源：公司半年度报告；作者计算。毛利率＝（主营收入−主营成本）/主营收入。</w:t>
      </w:r>
    </w:p>
    <w:p w14:paraId="6962C332">
      <w:pPr>
        <w:keepNext/>
        <w:spacing w:before="200" w:after="240" w:line="360" w:lineRule="auto"/>
        <w:ind w:firstLine="0"/>
        <w:jc w:val="left"/>
        <w:outlineLvl w:val="1"/>
      </w:pPr>
      <w:bookmarkStart w:id="24" w:name="_Toc29152"/>
      <w:r>
        <w:rPr>
          <w:rFonts w:ascii="Times New Roman" w:hAnsi="Times New Roman" w:eastAsia="黑体"/>
          <w:b/>
          <w:sz w:val="28"/>
        </w:rPr>
        <w:t>4.2　竞争优势</w:t>
      </w:r>
      <w:bookmarkEnd w:id="24"/>
    </w:p>
    <w:p w14:paraId="4AEE5CC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光通信全产业链。公司具备“光棒—光纤—光缆—光器件—光模块”一体化能力，光棒自供使公司在光纤涨价周期中免受上游挤压，成本曲线优于纯拉丝厂。第二，客户认证壁垒。运营商集采与整车厂定点均需长周期认证，一旦进入则替换成本高；2025 年前五名客户销售占比 48.88%，客户集中度高既是风险，也是“被验证”的信号。第三，海外工程牌照与经验。十余年 EPC 积累使公司能够承接需要融资安排与本地关系的项目，这类项目的毛利率通常高于单纯设备出口。第四，超导先发优势。二代高温超导带材国内玩家极少，具备主题稀缺性。</w:t>
      </w:r>
    </w:p>
    <w:p w14:paraId="0DA96DA6">
      <w:pPr>
        <w:keepNext/>
        <w:spacing w:before="200" w:after="240" w:line="360" w:lineRule="auto"/>
        <w:ind w:firstLine="0"/>
        <w:jc w:val="left"/>
        <w:outlineLvl w:val="1"/>
      </w:pPr>
      <w:bookmarkStart w:id="25" w:name="_Toc14690"/>
      <w:r>
        <w:rPr>
          <w:rFonts w:ascii="Times New Roman" w:hAnsi="Times New Roman" w:eastAsia="黑体"/>
          <w:b/>
          <w:sz w:val="28"/>
        </w:rPr>
        <w:t>4.3　治理与管理层</w:t>
      </w:r>
      <w:bookmarkEnd w:id="25"/>
    </w:p>
    <w:p w14:paraId="4E76CFD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公司为民营控股企业，实际控制人持股比例长期稳定，管理层多由内部培养、具备产业背景。治理层面需提示两点：一是历史上存在非经常性损益对利润影响较大的情况（2020 年资产减值 2.20 亿元、2025 年投资收益 2.87 亿元），要求分析者必须穿透到扣非口径；二是海外工程业务涉及多币种结算与长周期回款，对内部控制与风险管理能力要求较高。</w:t>
      </w:r>
    </w:p>
    <w:p w14:paraId="2417C6D4">
      <w:pPr>
        <w:keepNext/>
        <w:spacing w:before="200" w:after="240" w:line="360" w:lineRule="auto"/>
        <w:ind w:firstLine="0"/>
        <w:jc w:val="left"/>
        <w:outlineLvl w:val="1"/>
      </w:pPr>
      <w:bookmarkStart w:id="26" w:name="_Toc20506"/>
      <w:r>
        <w:rPr>
          <w:rFonts w:ascii="Times New Roman" w:hAnsi="Times New Roman" w:eastAsia="黑体"/>
          <w:b/>
          <w:sz w:val="28"/>
        </w:rPr>
        <w:t>4.4　经营短板</w:t>
      </w:r>
      <w:bookmarkEnd w:id="26"/>
    </w:p>
    <w:p w14:paraId="146F79B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第一，盈利结构脆弱。三个低毛利板块合计贡献约六成收入，却只贡献很小比例的毛利，一旦光通信景气回落，整体盈利会迅速塌陷——2023 年即为明证：毛利率 17.30%，净利率却只有 1.00%。第二，杠杆偏高。资产负债率从 2016 年的 31.06% 升至 2026 年三季度末的 63.60%，短期借款由 2025 年末的 22.60 亿元增至 29.85 亿元，长期借款由 8.90 亿元增至 11.88 亿元。第三，研发强度中等。2025 年研发投入 3.10 亿元、占营业收入 5.86%，研发人员 605 人（占 17.56%），在光通信行业中不算突出，高端产品能否持续跟上龙头存在不确定性。</w:t>
      </w:r>
    </w:p>
    <w:p w14:paraId="24C0FB10">
      <w:r>
        <w:br w:type="page"/>
      </w:r>
    </w:p>
    <w:p w14:paraId="751BBB88">
      <w:pPr>
        <w:keepNext/>
        <w:spacing w:before="240" w:after="360" w:line="360" w:lineRule="auto"/>
        <w:ind w:firstLine="0"/>
        <w:jc w:val="center"/>
        <w:outlineLvl w:val="0"/>
      </w:pPr>
      <w:bookmarkStart w:id="27" w:name="_Toc1383"/>
      <w:r>
        <w:rPr>
          <w:rFonts w:ascii="Times New Roman" w:hAnsi="Times New Roman" w:eastAsia="黑体"/>
          <w:b/>
          <w:sz w:val="32"/>
        </w:rPr>
        <w:t>第五章　公司财务分析</w:t>
      </w:r>
      <w:bookmarkEnd w:id="27"/>
    </w:p>
    <w:p w14:paraId="7FC5E4F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本章以 2021—2026 年为分析主体，向前延伸至 2016 年做纵向对照，依次考察成长性、盈利能力、偿债能力、营运能力与现金流量，最后与同业横向对比（表 5-1）。</w:t>
      </w:r>
    </w:p>
    <w:p w14:paraId="64DF9A02"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表5-1　永鼎股份主要财务指标（2016—2026Q3）</w:t>
      </w:r>
    </w:p>
    <w:tbl>
      <w:tblPr>
        <w:tblStyle w:val="35"/>
        <w:tblW w:w="98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584"/>
        <w:gridCol w:w="720"/>
        <w:gridCol w:w="741"/>
        <w:gridCol w:w="731"/>
        <w:gridCol w:w="928"/>
        <w:gridCol w:w="689"/>
        <w:gridCol w:w="845"/>
        <w:gridCol w:w="825"/>
        <w:gridCol w:w="605"/>
        <w:gridCol w:w="657"/>
        <w:gridCol w:w="752"/>
        <w:gridCol w:w="739"/>
      </w:tblGrid>
      <w:tr w14:paraId="36323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205" w:hRule="atLeast"/>
          <w:tblHeader/>
          <w:jc w:val="center"/>
        </w:trPr>
        <w:tc>
          <w:tcPr>
            <w:tcW w:w="1584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712D09A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指标</w:t>
            </w:r>
          </w:p>
        </w:tc>
        <w:tc>
          <w:tcPr>
            <w:tcW w:w="720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0B5113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2016</w:t>
            </w:r>
          </w:p>
        </w:tc>
        <w:tc>
          <w:tcPr>
            <w:tcW w:w="741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1F695D5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2017</w:t>
            </w:r>
          </w:p>
        </w:tc>
        <w:tc>
          <w:tcPr>
            <w:tcW w:w="731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21E66F4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2018</w:t>
            </w:r>
          </w:p>
        </w:tc>
        <w:tc>
          <w:tcPr>
            <w:tcW w:w="928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433404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2019</w:t>
            </w:r>
          </w:p>
        </w:tc>
        <w:tc>
          <w:tcPr>
            <w:tcW w:w="689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51E4966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2020</w:t>
            </w:r>
          </w:p>
        </w:tc>
        <w:tc>
          <w:tcPr>
            <w:tcW w:w="845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139A526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2021</w:t>
            </w:r>
          </w:p>
        </w:tc>
        <w:tc>
          <w:tcPr>
            <w:tcW w:w="825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761DD75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2022</w:t>
            </w:r>
          </w:p>
        </w:tc>
        <w:tc>
          <w:tcPr>
            <w:tcW w:w="605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1DB920E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2023</w:t>
            </w:r>
          </w:p>
        </w:tc>
        <w:tc>
          <w:tcPr>
            <w:tcW w:w="657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A726FE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2024</w:t>
            </w:r>
          </w:p>
        </w:tc>
        <w:tc>
          <w:tcPr>
            <w:tcW w:w="752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06C2E68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2025</w:t>
            </w:r>
          </w:p>
        </w:tc>
        <w:tc>
          <w:tcPr>
            <w:tcW w:w="739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24CA46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2026Q3</w:t>
            </w:r>
          </w:p>
        </w:tc>
      </w:tr>
      <w:tr w14:paraId="5D617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4" w:hRule="atLeast"/>
          <w:jc w:val="center"/>
        </w:trPr>
        <w:tc>
          <w:tcPr>
            <w:tcW w:w="158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2A4A312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营业收入(亿元)</w:t>
            </w:r>
          </w:p>
        </w:tc>
        <w:tc>
          <w:tcPr>
            <w:tcW w:w="7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3BB667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25.79</w:t>
            </w:r>
          </w:p>
        </w:tc>
        <w:tc>
          <w:tcPr>
            <w:tcW w:w="74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97E92F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28.71</w:t>
            </w:r>
          </w:p>
        </w:tc>
        <w:tc>
          <w:tcPr>
            <w:tcW w:w="73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BA1763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32.21</w:t>
            </w:r>
          </w:p>
        </w:tc>
        <w:tc>
          <w:tcPr>
            <w:tcW w:w="928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90BD54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33.71</w:t>
            </w:r>
          </w:p>
        </w:tc>
        <w:tc>
          <w:tcPr>
            <w:tcW w:w="6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11E18F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32.85</w:t>
            </w:r>
          </w:p>
        </w:tc>
        <w:tc>
          <w:tcPr>
            <w:tcW w:w="84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1D3329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39.10</w:t>
            </w:r>
          </w:p>
        </w:tc>
        <w:tc>
          <w:tcPr>
            <w:tcW w:w="8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04405F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42.28</w:t>
            </w:r>
          </w:p>
        </w:tc>
        <w:tc>
          <w:tcPr>
            <w:tcW w:w="60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5B8D85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43.45</w:t>
            </w:r>
          </w:p>
        </w:tc>
        <w:tc>
          <w:tcPr>
            <w:tcW w:w="657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006E2F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41.11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E5706D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52.87</w:t>
            </w:r>
          </w:p>
        </w:tc>
        <w:tc>
          <w:tcPr>
            <w:tcW w:w="73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1B636A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54.30</w:t>
            </w:r>
          </w:p>
        </w:tc>
      </w:tr>
      <w:tr w14:paraId="53ED7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4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E00A5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归母净利润(亿元)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2A49A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2.51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4F91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2.88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648A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1.94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9817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0.22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08BC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-5.60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5033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1.21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E27A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2.14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64CA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0.43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DBDE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0.61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2FFB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2.34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D8E6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7.43</w:t>
            </w:r>
          </w:p>
        </w:tc>
      </w:tr>
      <w:tr w14:paraId="24F5C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4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008EC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扣非净利润(亿元)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B977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2.36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5B56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2.70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E8EB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1.35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D13D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-0.22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1AAC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-6.03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1CBB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0.25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D447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0.62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1BFD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0.07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152F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0.46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3E78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2.27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C717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7.40</w:t>
            </w:r>
          </w:p>
        </w:tc>
      </w:tr>
      <w:tr w14:paraId="22963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205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1F941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毛利率%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40CE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16.05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1008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18.56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3C75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14.13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C7A0F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9.28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8969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0.30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8975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9.97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7A63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13.38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C426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17.30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72C6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16.60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BA5F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13.89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0CE5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28.72</w:t>
            </w:r>
          </w:p>
        </w:tc>
      </w:tr>
      <w:tr w14:paraId="5A528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4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CD6D7B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归母净利率%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017B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9.72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D823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10.04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09E9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6.01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53B4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0.64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939A5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-17.03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63EA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3.09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C177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5.07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A8D5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1.00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CF1A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1.49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112B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4.42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B841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13.68</w:t>
            </w:r>
          </w:p>
        </w:tc>
      </w:tr>
      <w:tr w14:paraId="5675A1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89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4D43D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ROE%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9178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10.61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74BD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11.02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85FA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7.07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25F4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0.79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4B82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-20.56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CDD1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4.35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DB79D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7.61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D3C4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1.54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3FF0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2.08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FA48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7.45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29EA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15.80</w:t>
            </w:r>
          </w:p>
        </w:tc>
      </w:tr>
      <w:tr w14:paraId="46C48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4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07B79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资产负债率%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7881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31.06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295F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36.41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0CE8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42.37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C291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49.09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D4B8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58.65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A6D6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57.06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CC2D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60.58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5FF7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62.80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F17E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58.23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CD7F1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61.89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B512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63.60</w:t>
            </w:r>
          </w:p>
        </w:tc>
      </w:tr>
      <w:tr w14:paraId="09BD4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205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59E9F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流动比率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9CEE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2.06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DD1E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1.77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6790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1.31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6C86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1.49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86AC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1.09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2C04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1.01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1BD3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1.01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0B42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0.95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425DC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0.98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6384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0.98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B110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1.06</w:t>
            </w:r>
          </w:p>
        </w:tc>
      </w:tr>
      <w:tr w14:paraId="6910E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205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9DDC8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速动比率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68D6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1.78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04A2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1.39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373C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0.93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83B4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1.21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09F4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0.96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414F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0.85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D101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0.85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3801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0.79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BBE1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0.81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5AEA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0.79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257A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0.81</w:t>
            </w:r>
          </w:p>
        </w:tc>
      </w:tr>
      <w:tr w14:paraId="05DD2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4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C4DC4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应收账款周转率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2419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3.55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4C22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3.01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B118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2.79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EA7F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3.11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BC92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3.39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F183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3.93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720D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4.05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CA9A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4.12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CFAB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3.47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1917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3.82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DFA1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2.42</w:t>
            </w:r>
          </w:p>
        </w:tc>
      </w:tr>
      <w:tr w14:paraId="2ABB1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4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2C02B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存货周转率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0E8C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6.46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13E1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5.43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D24E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4.07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7B6A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4.46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607C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6.24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1D59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6.66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DA7E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6.21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18D1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5.57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20D8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5.06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B463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5.85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3669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2.46</w:t>
            </w:r>
          </w:p>
        </w:tc>
      </w:tr>
      <w:tr w14:paraId="389BC2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4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ECEB0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总资产周转率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DE93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0.69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9B5A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0.64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0B8A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0.63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E95A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0.58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77E8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0.48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2726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0.53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3B85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0.56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3A5B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0.54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09F2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0.50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42D6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0.61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A5E3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0.40</w:t>
            </w:r>
          </w:p>
        </w:tc>
      </w:tr>
      <w:tr w14:paraId="10439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205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D5C16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净现比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1762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0.22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441A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-0.06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74D5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-0.70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E186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20.46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EEBF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-1.84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C192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-6.51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6508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-2.31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D0A9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6.64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8B142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-5.47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B0B3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1.33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B7A9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0.66</w:t>
            </w:r>
          </w:p>
        </w:tc>
      </w:tr>
      <w:tr w14:paraId="1FE5D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33" w:hRule="atLeast"/>
          <w:jc w:val="center"/>
        </w:trPr>
        <w:tc>
          <w:tcPr>
            <w:tcW w:w="15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CE66D0A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扣非占比%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1FFD26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94.10</w:t>
            </w:r>
          </w:p>
        </w:tc>
        <w:tc>
          <w:tcPr>
            <w:tcW w:w="7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21D41E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93.50</w:t>
            </w:r>
          </w:p>
        </w:tc>
        <w:tc>
          <w:tcPr>
            <w:tcW w:w="7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77B24B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69.79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C68835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-102.20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866706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107.78</w:t>
            </w:r>
          </w:p>
        </w:tc>
        <w:tc>
          <w:tcPr>
            <w:tcW w:w="8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806F43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21.04</w:t>
            </w:r>
          </w:p>
        </w:tc>
        <w:tc>
          <w:tcPr>
            <w:tcW w:w="8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6095D0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28.70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E85D4F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15.77</w:t>
            </w:r>
          </w:p>
        </w:tc>
        <w:tc>
          <w:tcPr>
            <w:tcW w:w="65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764C24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74.09</w:t>
            </w:r>
          </w:p>
        </w:tc>
        <w:tc>
          <w:tcPr>
            <w:tcW w:w="7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F0E040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97.10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B5254C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99.66</w:t>
            </w:r>
          </w:p>
        </w:tc>
      </w:tr>
    </w:tbl>
    <w:p w14:paraId="09D9CCDE">
      <w:pPr>
        <w:spacing w:before="40" w:after="160" w:line="240" w:lineRule="auto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数据来源：公司2016—2025年年度报告、2026年第三季度报告；作者计算。2026 列为前三季度数据，周转率类指标未年化，与年度口径不完全可比。</w:t>
      </w:r>
    </w:p>
    <w:p w14:paraId="6FAABC71">
      <w:pPr>
        <w:keepNext/>
        <w:spacing w:before="200" w:after="240" w:line="360" w:lineRule="auto"/>
        <w:ind w:firstLine="0"/>
        <w:jc w:val="left"/>
        <w:outlineLvl w:val="1"/>
      </w:pPr>
      <w:bookmarkStart w:id="28" w:name="_Toc30099"/>
      <w:r>
        <w:rPr>
          <w:rFonts w:ascii="Times New Roman" w:hAnsi="Times New Roman" w:eastAsia="黑体"/>
          <w:b/>
          <w:sz w:val="28"/>
        </w:rPr>
        <w:t>5.1　成长性：三段式而非线性增长</w:t>
      </w:r>
      <w:bookmarkEnd w:id="28"/>
    </w:p>
    <w:p w14:paraId="31FABE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公司十年成长可清晰划分为三段。2016—2019 年为平台期，营业收入从 25.79 亿元增至 33.71 亿元，增速降至个位数，归母净利润却从 2.51 亿元降至 0.22 亿元，4G 建设尾声与光纤价格战同时压制盈利。2020—2022 年为塌陷与修复期：2020 年毛利率跌至 0.30%，叠加 2.20 亿元资产减值，巨亏 5.60 亿元；2021、2022 年分别修复至 1.21 亿元、2.14 亿元。2023—2026 年为二次成长期：2023、2024 年再度回落至0.43 亿元、0.61 亿元，2025 年靠投资收益回到 2.34 亿元，2026 年前三季度则实现归母净利润 7.43 亿元。</w:t>
      </w:r>
    </w:p>
    <w:p w14:paraId="26B177B7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3015615"/>
            <wp:effectExtent l="0" t="0" r="19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3DC7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图5-1　营业收入与归母净利润（2016—2026Q3）</w:t>
      </w:r>
    </w:p>
    <w:p w14:paraId="443BD54C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 w14:paraId="4F454B2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2026 年前三季度的增长质量值得单独强调：营业收入 54.30 亿元，同比增长 49.6%；归母净利润 7.43 亿元，同比增长 125.8%；扣非归母净利润 7.40 亿元，扣非占比 99.66%。一个容易被年度数据掩盖的细节是：2025 年前三季度归母净利润为 3.29 亿元，全年却只有 2.34 亿元，说明第四季度单季亏损 0.95 亿元（当期计提资产减值 0.38 亿元、信用减值 0.18 亿元）。这提示 2025 年的“增长”并不稳固，而 2026 年的增长才是真实的经营改善。</w:t>
      </w:r>
    </w:p>
    <w:p w14:paraId="4531E1B2">
      <w:pPr>
        <w:keepNext/>
        <w:spacing w:before="200" w:after="240" w:line="360" w:lineRule="auto"/>
        <w:ind w:firstLine="0"/>
        <w:jc w:val="left"/>
        <w:outlineLvl w:val="1"/>
      </w:pPr>
      <w:bookmarkStart w:id="29" w:name="_Toc16264"/>
      <w:r>
        <w:rPr>
          <w:rFonts w:ascii="Times New Roman" w:hAnsi="Times New Roman" w:eastAsia="黑体"/>
          <w:b/>
          <w:sz w:val="28"/>
        </w:rPr>
        <w:t>5.2　盈利能力：毛利率的“三级跳”与杜邦分解</w:t>
      </w:r>
      <w:bookmarkEnd w:id="29"/>
    </w:p>
    <w:p w14:paraId="1A53512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毛利率路径极不寻常：2017 年 18.56%（4G 建设高峰）→ 2020 年 0.30%（价格战与疫情双杀）→ 2023 年 17.30%（修复）→ 2025 年 13.89%（回落）→ 2026 年前三季度 28.72%。28.72% 不仅是十年最高，且高出历史峰值 10 个百分点以上。其可持续性是本报告最重要的判断点：从 4.1 节的分板块数据看，这一跃升几乎全部来自光通信（2026H1 毛利率 58.52%），而其余三个板块毛利率均在下滑，因此 28.72% 的可持续性等价于“光通信高毛利能否延续”。</w:t>
      </w:r>
    </w:p>
    <w:p w14:paraId="5618E8FF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2941955"/>
            <wp:effectExtent l="0" t="0" r="190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4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2830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图5-2　毛利率、净利率与期间费用率（2016—2026Q3）</w:t>
      </w:r>
    </w:p>
    <w:p w14:paraId="76A983CC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数据来源：公司2016—2025年年度报告、2026年第三季度报告；作者计算整理。期间费用率自 2017 年起——此前年度报表未单列研发费用，口径不可比</w:t>
      </w:r>
    </w:p>
    <w:p w14:paraId="6C197C9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杜邦分解显示，ROE 的波动几乎完全由净利率驱动：总资产周转率十年稳定在 0.48—0.69 之间，权益乘数则由 2016 年的 1.45 升至 2026 年三季度末的 2.75。这意味着当前 15.80% 的 ROE（前三季度未年化，简单年化约 21.1%）中，有相当比例来自“借来的钱”，而非经营效率的提升。对比 2017 年：ROE 11.02% 中净利率贡献 10.04 个百分点、权益乘数仅 1.57，那时的 ROE 更“干净”。</w:t>
      </w:r>
    </w:p>
    <w:p w14:paraId="54F020D2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2902585"/>
            <wp:effectExtent l="0" t="0" r="190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91A8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图5-3　ROE的杜邦三因子分解（2016—2026Q3）</w:t>
      </w:r>
    </w:p>
    <w:p w14:paraId="3DDC92C1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 w14:paraId="0E4A78FA">
      <w:pPr>
        <w:keepNext/>
        <w:spacing w:before="200" w:after="240" w:line="360" w:lineRule="auto"/>
        <w:ind w:firstLine="0"/>
        <w:jc w:val="left"/>
        <w:outlineLvl w:val="1"/>
      </w:pPr>
      <w:bookmarkStart w:id="30" w:name="_Toc29235"/>
      <w:r>
        <w:rPr>
          <w:rFonts w:ascii="Times New Roman" w:hAnsi="Times New Roman" w:eastAsia="黑体"/>
          <w:b/>
          <w:sz w:val="28"/>
        </w:rPr>
        <w:t>5.3　偿债能力：从低杠杆到高杠杆</w:t>
      </w:r>
      <w:bookmarkEnd w:id="30"/>
    </w:p>
    <w:p w14:paraId="7755F17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资产负债率由 2016 年的 31.06% 升至 2026 年三季度末的 63.60%，十年翻倍。流动比率从 2.06 降至 1.06，速动比率降至 0.81，短期偿债的安全垫基本耗尽（图 5-4）。结构上看，短期借款 29.85 亿元、长期借款 11.88 亿元，两项合计 41.73 亿元，较 2025 年末的 31.50 亿元扩张 32%，增量主要投向光通信扩产与海外工程垫资。</w:t>
      </w:r>
    </w:p>
    <w:p w14:paraId="6B6E7E39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2775585"/>
            <wp:effectExtent l="0" t="0" r="1905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7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6107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图5-4　流动比率、速动比率与资产负债率（2016—2026Q3）</w:t>
      </w:r>
    </w:p>
    <w:p w14:paraId="3D1C581C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 w14:paraId="77C1625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杠杆本身不是问题，问题在于杠杆的成本与回报是否匹配。2025 年财务费用同比增长 48.14%，其中人民币升值带来的汇兑损失增加 3539.57 万元；2026 年前三季度利息支出随借款规模同步上升。在毛利率 28.72% 的高景气期，利息支出尚可被覆盖；一旦光通信毛利率回落至 15% 附近，财务费用将迅速侵蚀利润，这是“偿债安全”维度只给 42 分的原因。</w:t>
      </w:r>
    </w:p>
    <w:p w14:paraId="2F66E980">
      <w:pPr>
        <w:keepNext/>
        <w:spacing w:before="200" w:after="240" w:line="360" w:lineRule="auto"/>
        <w:ind w:firstLine="0"/>
        <w:jc w:val="left"/>
        <w:outlineLvl w:val="1"/>
      </w:pPr>
      <w:bookmarkStart w:id="31" w:name="_Toc18627"/>
      <w:r>
        <w:rPr>
          <w:rFonts w:ascii="Times New Roman" w:hAnsi="Times New Roman" w:eastAsia="黑体"/>
          <w:b/>
          <w:sz w:val="28"/>
        </w:rPr>
        <w:t>5.4　营运能力：应收与存货是两把尺子</w:t>
      </w:r>
      <w:bookmarkEnd w:id="31"/>
    </w:p>
    <w:p w14:paraId="671B092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应收账款周转率由 2016 年的 3.55 次降至 2026 年前三季度的 2.42 次，存货周转率由 6.46 次降至 2.46 次（后两者为前三季度口径，与年度口径不完全可比，但方向明确）。两项同时走弱，与“海外 EPC 回款慢 + 光通信备货增加”的业务逻辑一致：收入增长越快，占用的营运资金越多，这也是有息负债快速扩张的直接原因。</w:t>
      </w:r>
    </w:p>
    <w:p w14:paraId="51352B64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301752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1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BB6E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图5-5　应收账款、存货与总资产周转率（2016—2026Q3）</w:t>
      </w:r>
    </w:p>
    <w:p w14:paraId="3E78F930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 w14:paraId="059D606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另一个容易被忽略的细节是固定资产周转率：2021—2025 年持续下滑，说明前期扩产的产能利用率尚未完全释放；2026 年收入放量正在修复这一指标，若修复到位，将为毛利率提供额外支撑。</w:t>
      </w:r>
    </w:p>
    <w:p w14:paraId="4D85F64C">
      <w:pPr>
        <w:keepNext/>
        <w:spacing w:before="200" w:after="240" w:line="360" w:lineRule="auto"/>
        <w:ind w:firstLine="0"/>
        <w:jc w:val="left"/>
        <w:outlineLvl w:val="1"/>
      </w:pPr>
      <w:bookmarkStart w:id="32" w:name="_Toc22734"/>
      <w:r>
        <w:rPr>
          <w:rFonts w:ascii="Times New Roman" w:hAnsi="Times New Roman" w:eastAsia="黑体"/>
          <w:b/>
          <w:sz w:val="28"/>
        </w:rPr>
        <w:t>5.5　现金流量与盈利质量：2025年的穿透</w:t>
      </w:r>
      <w:bookmarkEnd w:id="32"/>
    </w:p>
    <w:p w14:paraId="4567C44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现金流三项净额在十年间频繁异号（图 5-6）。经营活动现金流净额有 5 年为负；净现比（经营现金流净额/归母净利润）波动极大：2023 年高达 6.64（源于净利润极低而非现金流好），2024 年为 −5.47，2025 年为 1.33，2026 年前三季度为 0.66。净现比长期大幅波动，说明利润的“含金量”并不稳定。</w:t>
      </w:r>
    </w:p>
    <w:p w14:paraId="2AD049BF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297180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7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2A4F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图5-6　经营、投资、筹资活动现金流净额（2016—2026Q3）</w:t>
      </w:r>
    </w:p>
    <w:p w14:paraId="5D2FEE93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 w14:paraId="18B8CA75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2717800"/>
            <wp:effectExtent l="0" t="0" r="190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1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1FED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图5-7　净现比与扣非归母净利润占比（2016—2026Q3）</w:t>
      </w:r>
    </w:p>
    <w:p w14:paraId="5ADFFF70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 w14:paraId="758780E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2025 年是最需要拆解的一年。归母净利润 2.34 亿元看似是 2024 年（0.61 亿元）的近 4 倍，但按表 5-2 逐项拆开后可以看到：毛利 7.34 亿元减去期间费用 7.55 亿元，主业经营利润为 −0.21 亿元；真正把利润拉回正值的是 2.87 亿元投资收益，其中对联营企业东昌投资权益法确认 2.74 亿元，源自其房地产业务板块处置项目子公司所产生的收益。这是一项与主业无关、且不可持续的收益。</w:t>
      </w:r>
    </w:p>
    <w:p w14:paraId="20AF75C1"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表5-2　2025年利润构成拆解（亿元）</w:t>
      </w:r>
    </w:p>
    <w:tbl>
      <w:tblPr>
        <w:tblStyle w:val="35"/>
        <w:tblW w:w="957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193"/>
        <w:gridCol w:w="2670"/>
        <w:gridCol w:w="3716"/>
      </w:tblGrid>
      <w:tr w14:paraId="4D9BF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atLeast"/>
          <w:tblHeader/>
          <w:jc w:val="center"/>
        </w:trPr>
        <w:tc>
          <w:tcPr>
            <w:tcW w:w="3193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4751863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项目</w:t>
            </w:r>
          </w:p>
        </w:tc>
        <w:tc>
          <w:tcPr>
            <w:tcW w:w="2670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7F3018E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金额(亿元)</w:t>
            </w:r>
          </w:p>
        </w:tc>
        <w:tc>
          <w:tcPr>
            <w:tcW w:w="3716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6D94EB6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说明</w:t>
            </w:r>
          </w:p>
        </w:tc>
      </w:tr>
      <w:tr w14:paraId="39FD8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atLeast"/>
          <w:jc w:val="center"/>
        </w:trPr>
        <w:tc>
          <w:tcPr>
            <w:tcW w:w="3193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2CFDC3C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营业收入</w:t>
            </w:r>
          </w:p>
        </w:tc>
        <w:tc>
          <w:tcPr>
            <w:tcW w:w="267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DFD83D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52.87</w:t>
            </w:r>
          </w:p>
        </w:tc>
        <w:tc>
          <w:tcPr>
            <w:tcW w:w="3716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233E1C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合并口径，同比 +28.6%</w:t>
            </w:r>
          </w:p>
        </w:tc>
      </w:tr>
      <w:tr w14:paraId="3303A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atLeast"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F2C5F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减：营业成本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5AA6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-45.53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EA27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毛利率 13.89%</w:t>
            </w:r>
          </w:p>
        </w:tc>
      </w:tr>
      <w:tr w14:paraId="1C548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atLeast"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147A9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＝毛利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09CF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7.34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CCA1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十年次低，仅高于 2020 年</w:t>
            </w:r>
          </w:p>
        </w:tc>
      </w:tr>
      <w:tr w14:paraId="129E27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atLeast"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CCE17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减：期间费用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9C29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-7.55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4347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期间费用率 14.28%</w:t>
            </w:r>
          </w:p>
        </w:tc>
      </w:tr>
      <w:tr w14:paraId="00202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atLeast"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9841C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＝主业经营利润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0826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-0.21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DD9C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主业实际亏损</w:t>
            </w:r>
          </w:p>
        </w:tc>
      </w:tr>
      <w:tr w14:paraId="0412B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atLeast"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B10BA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加：投资收益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0EB2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2.87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EFE6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含联营企业东昌投资权益法确认 2.74 亿元</w:t>
            </w:r>
          </w:p>
        </w:tc>
      </w:tr>
      <w:tr w14:paraId="01173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atLeast"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1CD7B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加：其他收益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00D4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0.38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7289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政府补助等</w:t>
            </w:r>
          </w:p>
        </w:tc>
      </w:tr>
      <w:tr w14:paraId="02D7C4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atLeast"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6BA03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加：减值损失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6DF6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-0.56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2B231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资产减值 −0.38、信用减值 −0.18</w:t>
            </w:r>
          </w:p>
        </w:tc>
      </w:tr>
      <w:tr w14:paraId="6B567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1" w:hRule="atLeast"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0DE05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＝营业利润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B7F3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2.23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DAD6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</w:p>
        </w:tc>
      </w:tr>
      <w:tr w14:paraId="51896B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atLeast"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EFD1D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归母净利润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1074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2.34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60C3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少数股东损益占比很小</w:t>
            </w:r>
          </w:p>
        </w:tc>
      </w:tr>
      <w:tr w14:paraId="2E5F7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1" w:hRule="atLeast"/>
          <w:jc w:val="center"/>
        </w:trPr>
        <w:tc>
          <w:tcPr>
            <w:tcW w:w="31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0E87A7B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扣非归母净利润</w:t>
            </w:r>
          </w:p>
        </w:tc>
        <w:tc>
          <w:tcPr>
            <w:tcW w:w="26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197F7C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2.27</w:t>
            </w:r>
          </w:p>
        </w:tc>
        <w:tc>
          <w:tcPr>
            <w:tcW w:w="37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B8BCAC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剔除非经常性损益后</w:t>
            </w:r>
          </w:p>
        </w:tc>
      </w:tr>
    </w:tbl>
    <w:p w14:paraId="57F2508B">
      <w:pPr>
        <w:spacing w:before="40" w:after="160" w:line="240" w:lineRule="auto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数据来源：公司2025年年度报告、东方财富F10；作者计算。投资收益明细引自年报“投资收益”附注。</w:t>
      </w:r>
    </w:p>
    <w:p w14:paraId="781B799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需要补充的是，由于权益法投资收益被计入经常性损益，公司 2025 年扣非归母净利润仍达 2.27 亿元、扣非占比 97.10%，表面上“扣非质量良好”，但性质上仍属一次性。这说明仅看扣非占比并不足以判断盈利质量，必须结合利润表结构逐项穿透——这也是本报告选择用“毛利−期间费用”定义“主业经营利润”的原因。</w:t>
      </w:r>
    </w:p>
    <w:p w14:paraId="14B43560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3029585"/>
            <wp:effectExtent l="0" t="0" r="190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1E0F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图5-8　2025年利润构成瀑布拆解（亿元）</w:t>
      </w:r>
    </w:p>
    <w:p w14:paraId="17267397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数据来源：公司2025年年度报告；作者计算</w:t>
      </w:r>
    </w:p>
    <w:p w14:paraId="01B2EBF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相比之下，2026 年前三季度是完全不同的故事：投资收益仅 0.12 亿元，扣非 7.40 亿元、占归母 99.66%，毛利率 28.72%、净利率 13.68%，营业利润 8.09 亿元几乎全部由毛利减费用构成。这是十年来第一次由主业真实驱动的盈利，也是本报告给予“成长性 92 分”的依据。</w:t>
      </w:r>
    </w:p>
    <w:p w14:paraId="2FB2A766">
      <w:pPr>
        <w:keepNext/>
        <w:spacing w:before="200" w:after="240" w:line="360" w:lineRule="auto"/>
        <w:ind w:firstLine="0"/>
        <w:jc w:val="left"/>
        <w:outlineLvl w:val="1"/>
      </w:pPr>
      <w:bookmarkStart w:id="33" w:name="_Toc3879"/>
      <w:r>
        <w:rPr>
          <w:rFonts w:ascii="Times New Roman" w:hAnsi="Times New Roman" w:eastAsia="黑体"/>
          <w:b/>
          <w:sz w:val="28"/>
        </w:rPr>
        <w:t>5.6　同业对比：在产业链中的位置</w:t>
      </w:r>
      <w:bookmarkEnd w:id="33"/>
    </w:p>
    <w:p w14:paraId="250889F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选取 6 家可比公司：长飞光纤（光纤预制棒龙头）、亨通光电（光缆+海缆）、中天科技（光缆+海缆+电力）、烽火通信（系统设备）、中际旭创（光模块）、通鼎互联（光缆二线）。2025 年数据显示，公司在七个样本中处于“毛利率中等、ROE 中等、杠杆最高”的位置（表 5-3、图 5-9、图 5-10）。</w:t>
      </w:r>
    </w:p>
    <w:p w14:paraId="6A1139C7"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表5-3　2025年同业公司主要指标对比</w:t>
      </w:r>
    </w:p>
    <w:tbl>
      <w:tblPr>
        <w:tblStyle w:val="35"/>
        <w:tblW w:w="96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377"/>
        <w:gridCol w:w="1377"/>
        <w:gridCol w:w="1549"/>
        <w:gridCol w:w="1326"/>
        <w:gridCol w:w="1256"/>
        <w:gridCol w:w="1377"/>
        <w:gridCol w:w="1377"/>
      </w:tblGrid>
      <w:tr w14:paraId="75D55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blHeader/>
          <w:jc w:val="center"/>
        </w:trPr>
        <w:tc>
          <w:tcPr>
            <w:tcW w:w="1377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07F2D23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名称</w:t>
            </w:r>
          </w:p>
        </w:tc>
        <w:tc>
          <w:tcPr>
            <w:tcW w:w="1377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4500C88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营业收入(亿元)</w:t>
            </w:r>
          </w:p>
        </w:tc>
        <w:tc>
          <w:tcPr>
            <w:tcW w:w="1549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567E523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归母净利润(亿元)</w:t>
            </w:r>
          </w:p>
        </w:tc>
        <w:tc>
          <w:tcPr>
            <w:tcW w:w="1326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5264D37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毛利率%</w:t>
            </w:r>
          </w:p>
        </w:tc>
        <w:tc>
          <w:tcPr>
            <w:tcW w:w="1256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62A8698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净利率%</w:t>
            </w:r>
          </w:p>
        </w:tc>
        <w:tc>
          <w:tcPr>
            <w:tcW w:w="1377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16B42FB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加权ROE%</w:t>
            </w:r>
          </w:p>
        </w:tc>
        <w:tc>
          <w:tcPr>
            <w:tcW w:w="1377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5452BAD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资产负债率%</w:t>
            </w:r>
          </w:p>
        </w:tc>
      </w:tr>
      <w:tr w14:paraId="47D16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77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68F408A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永鼎股份</w:t>
            </w:r>
          </w:p>
        </w:tc>
        <w:tc>
          <w:tcPr>
            <w:tcW w:w="1377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2D4569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52.87</w:t>
            </w:r>
          </w:p>
        </w:tc>
        <w:tc>
          <w:tcPr>
            <w:tcW w:w="154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4A4723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2.34</w:t>
            </w:r>
          </w:p>
        </w:tc>
        <w:tc>
          <w:tcPr>
            <w:tcW w:w="1326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EE752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13.89</w:t>
            </w:r>
          </w:p>
        </w:tc>
        <w:tc>
          <w:tcPr>
            <w:tcW w:w="1256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DF3CDB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4.42</w:t>
            </w:r>
          </w:p>
        </w:tc>
        <w:tc>
          <w:tcPr>
            <w:tcW w:w="1377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5C70E1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7.45</w:t>
            </w:r>
          </w:p>
        </w:tc>
        <w:tc>
          <w:tcPr>
            <w:tcW w:w="1377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578816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61.89</w:t>
            </w:r>
          </w:p>
        </w:tc>
      </w:tr>
      <w:tr w14:paraId="256F7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8CFFE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长飞光纤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1AA0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142.52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897E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8.14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A954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30.73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EABE1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6.19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7B57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6.92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A3CA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51.12</w:t>
            </w:r>
          </w:p>
        </w:tc>
      </w:tr>
      <w:tr w14:paraId="150F6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0A0EA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亨通光电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C5AE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668.55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BBBE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26.80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CF40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12.46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66AF2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4.26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6F14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8.96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24DA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51.73</w:t>
            </w:r>
          </w:p>
        </w:tc>
      </w:tr>
      <w:tr w14:paraId="585D9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AAA65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中天科技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D9E6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525.00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59A9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29.02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CAB1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13.88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E7F0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5.59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B2F64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8.00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829E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38.11</w:t>
            </w:r>
          </w:p>
        </w:tc>
      </w:tr>
      <w:tr w14:paraId="0F090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A171F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烽火通信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8B65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249.19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BE2F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4.36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F60F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21.10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069C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1.51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DB3A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3.14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D15D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59.49</w:t>
            </w:r>
          </w:p>
        </w:tc>
      </w:tr>
      <w:tr w14:paraId="12A43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805CE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中际旭创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5154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382.40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DA0A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107.97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3CB4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42.04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1611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30.28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7E85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43.84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4EC6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30.18</w:t>
            </w:r>
          </w:p>
        </w:tc>
      </w:tr>
      <w:tr w14:paraId="7A699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3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8E39AAC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通鼎互联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7A5705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34.13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514541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-0.76</w:t>
            </w:r>
          </w:p>
        </w:tc>
        <w:tc>
          <w:tcPr>
            <w:tcW w:w="13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713351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19.45</w:t>
            </w:r>
          </w:p>
        </w:tc>
        <w:tc>
          <w:tcPr>
            <w:tcW w:w="12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F09952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-1.94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987F1D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-3.05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DF70A3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53.34</w:t>
            </w:r>
          </w:p>
        </w:tc>
      </w:tr>
    </w:tbl>
    <w:p w14:paraId="69B855FF">
      <w:pPr>
        <w:spacing w:before="40" w:after="160" w:line="240" w:lineRule="auto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数据来源：东方财富F10核心指标、公司年度报告；作者整理。东方财富同业接口不含 600105，永鼎股份数据由作者按同口径补入。</w:t>
      </w:r>
    </w:p>
    <w:p w14:paraId="105ED94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需要说明的是，下表与下图均使用 2025 年数据，而 2026 年前三季度永鼎毛利率已升至 28.72%，若以 2026 年口径重画，公司在“毛利率”轴上的位置将接近长飞。同业对比的结论必须与最新经营数据结合看，否则会得出过时的判断。</w:t>
      </w:r>
    </w:p>
    <w:p w14:paraId="031B48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 5-3 与下图给出的画像很清楚：中际旭创是“高毛利—高ROE—低杠杆”的极致，2025 年净利率 30.28%、ROE 43.84%，代表 AI 算力链条上议价能力最强的一环；长飞光纤毛利率 30.73% 但 ROE 仅 6.92%，说明其资产重、周转慢；亨通、中天是“规模大、毛利薄、周转快”的典型；烽火通信毛利率 21.10%但净利率仅 1.51%，费用侵蚀严重；永鼎则以最高的杠杆（资产负债率 61.89%）取得了中等的回报（ROE 7.45%）。这构成估值上应当折价而非溢价的理由。</w:t>
      </w:r>
    </w:p>
    <w:p w14:paraId="4BD99D73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031615" cy="4015105"/>
            <wp:effectExtent l="0" t="0" r="698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401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9C6B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图5-9　2025年同业公司财务特征对比（雷达图）</w:t>
      </w:r>
    </w:p>
    <w:p w14:paraId="5E3EA7BC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数据来源：东方财富F10核心指标、公司年度报告；作者绘制。各轴均为百分制。为免极值压扁坐标，雷达图仅取 5 家（不含中际旭创、通鼎互联）。</w:t>
      </w:r>
    </w:p>
    <w:p w14:paraId="7DBC0B8B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391660" cy="2323465"/>
            <wp:effectExtent l="0" t="0" r="1270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2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2371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图5-10　2025年同业公司盈利能力对比</w:t>
      </w:r>
    </w:p>
    <w:p w14:paraId="5F14CB70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数据来源：东方财富F10核心指标、公司年度报告；作者绘制</w:t>
      </w:r>
    </w:p>
    <w:p w14:paraId="7DC298EC">
      <w:r>
        <w:br w:type="page"/>
      </w:r>
    </w:p>
    <w:p w14:paraId="63C82EEF">
      <w:pPr>
        <w:keepNext/>
        <w:spacing w:before="240" w:after="360" w:line="360" w:lineRule="auto"/>
        <w:ind w:firstLine="0"/>
        <w:jc w:val="center"/>
        <w:outlineLvl w:val="0"/>
      </w:pPr>
      <w:bookmarkStart w:id="34" w:name="_Toc5022"/>
      <w:r>
        <w:rPr>
          <w:rFonts w:ascii="Times New Roman" w:hAnsi="Times New Roman" w:eastAsia="黑体"/>
          <w:b/>
          <w:sz w:val="32"/>
        </w:rPr>
        <w:t>第六章　股票估值分析</w:t>
      </w:r>
      <w:bookmarkEnd w:id="34"/>
    </w:p>
    <w:p w14:paraId="793F12FF">
      <w:pPr>
        <w:keepNext/>
        <w:spacing w:before="200" w:after="240" w:line="360" w:lineRule="auto"/>
        <w:ind w:firstLine="0"/>
        <w:jc w:val="left"/>
        <w:outlineLvl w:val="1"/>
      </w:pPr>
      <w:bookmarkStart w:id="35" w:name="_Toc16099"/>
      <w:r>
        <w:rPr>
          <w:rFonts w:ascii="Times New Roman" w:hAnsi="Times New Roman" w:eastAsia="黑体"/>
          <w:b/>
          <w:sz w:val="28"/>
        </w:rPr>
        <w:t>6.1　估值基准与方法选择</w:t>
      </w:r>
      <w:bookmarkEnd w:id="35"/>
    </w:p>
    <w:p w14:paraId="394C607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 2026 年 10 月 27 日收盘价 25.30 元计算，总股本 14.62 亿股，总市值 369.88 亿元；TTM 归母净利润 6.47 亿元（2025Q4—2026Q3），TTM 营业收入 70.86 亿元。对应 PE(TTM) 57.13 倍、PB 9.55 倍、PS(TTM) 5.22 倍（表 6-1）。方法上采用相对估值与绝对估值相互印证：相对估值用历史分位法与 PB—ROE 匹配，绝对估值用两阶段自由现金流折现并做敏感性分析。</w:t>
      </w:r>
    </w:p>
    <w:p w14:paraId="008D3D6C">
      <w:pPr>
        <w:keepNext/>
        <w:spacing w:before="200" w:after="240" w:line="360" w:lineRule="auto"/>
        <w:ind w:firstLine="0"/>
        <w:jc w:val="left"/>
        <w:outlineLvl w:val="1"/>
      </w:pPr>
      <w:bookmarkStart w:id="36" w:name="_Toc17799"/>
      <w:r>
        <w:rPr>
          <w:rFonts w:ascii="Times New Roman" w:hAnsi="Times New Roman" w:eastAsia="黑体"/>
          <w:b/>
          <w:sz w:val="28"/>
        </w:rPr>
        <w:t>6.2　相对估值：PE失真，PB与PS更能说明问题</w:t>
      </w:r>
      <w:bookmarkEnd w:id="36"/>
    </w:p>
    <w:p w14:paraId="2E9C2974"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表6-1　估值指标及其历史分位</w:t>
      </w:r>
    </w:p>
    <w:tbl>
      <w:tblPr>
        <w:tblStyle w:val="35"/>
        <w:tblW w:w="88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2409"/>
        <w:gridCol w:w="2409"/>
        <w:gridCol w:w="2409"/>
        <w:gridCol w:w="2409"/>
      </w:tblGrid>
      <w:tr w14:paraId="7F2C1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670D341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估值指标</w:t>
            </w:r>
          </w:p>
        </w:tc>
        <w:tc>
          <w:tcPr>
            <w:tcW w:w="1928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4CE4F2C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当前值</w:t>
            </w:r>
          </w:p>
        </w:tc>
        <w:tc>
          <w:tcPr>
            <w:tcW w:w="2608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4E87E27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2017年以来中位数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1F3B099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当前历史分位</w:t>
            </w:r>
          </w:p>
        </w:tc>
      </w:tr>
      <w:tr w14:paraId="3534F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04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59081E1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PE(TTM，倍)</w:t>
            </w:r>
          </w:p>
        </w:tc>
        <w:tc>
          <w:tcPr>
            <w:tcW w:w="1928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D3A51B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57.13</w:t>
            </w:r>
          </w:p>
        </w:tc>
        <w:tc>
          <w:tcPr>
            <w:tcW w:w="2608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E2D2E3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41.09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752960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60.2%</w:t>
            </w:r>
          </w:p>
        </w:tc>
      </w:tr>
      <w:tr w14:paraId="20F03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CC672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PB(MRQ，倍)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E2D8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9.55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3B92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2.45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FCD7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92.3%</w:t>
            </w:r>
          </w:p>
        </w:tc>
      </w:tr>
      <w:tr w14:paraId="2239B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44EFC4D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PS(TTM，倍)</w:t>
            </w:r>
          </w:p>
        </w:tc>
        <w:tc>
          <w:tcPr>
            <w:tcW w:w="192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B40B56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5.22</w:t>
            </w:r>
          </w:p>
        </w:tc>
        <w:tc>
          <w:tcPr>
            <w:tcW w:w="26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3B9793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1.83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6A9D94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91.1%</w:t>
            </w:r>
          </w:p>
        </w:tc>
      </w:tr>
    </w:tbl>
    <w:p w14:paraId="26DD38DE">
      <w:pPr>
        <w:spacing w:before="40" w:after="160" w:line="240" w:lineRule="auto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数据来源：腾讯财经不复权收盘价、公司定期报告；作者计算。历史分位样本为 2017-01-01 至 2026-10-27 共 1900 个交易日。</w:t>
      </w:r>
    </w:p>
    <w:p w14:paraId="1CC7A73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三项指标的历史分位差异很大，这一差异本身就是结论的一部分：PB 与 PS 分别处于 92.3%、91.1% 分位，而 PE 只有 60.2% 分位（图 6-1、图 6-3）。原因在于 2019—2024 年公司净利润长期在 0.2—2 亿元的低位，PE 被分母“除小”抬升至数百倍甚至近千倍，把整个分布的上沿拉得极高。在这样的样本里，即使 57 倍也排不进前 10%。</w:t>
      </w:r>
    </w:p>
    <w:p w14:paraId="52B22D76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2827020"/>
            <wp:effectExtent l="0" t="0" r="190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4C90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图6-1　PE(TTM)历史走势与分位（2017—2026.10，对数坐标）</w:t>
      </w:r>
    </w:p>
    <w:p w14:paraId="047BA22B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数据来源：腾讯财经不复权收盘价、公司定期报告；TTM净利润按实际公告日生效；作者绘制</w:t>
      </w:r>
    </w:p>
    <w:p w14:paraId="478C4E4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这说明 PE 分位法在盈利极不稳定的公司身上会失效：它把“利润塌陷”误读成“估值便宜”。剔除归母净利润低于 1 亿元的年份后再算，当前 PE 位于 67.0% 分位——贵，但不是历史最贵。相比之下，PB 与 PS 的分母（净资产、营业收入）十年间相对稳定，不受利润塌陷干扰，因此 92%、91% 的分位更可信。PB 9.55 倍意味着市场为公司每 1 元净资产支付 9.55 元，而 2017—2025 年的 PB 中位数仅约 2.2 倍。</w:t>
      </w:r>
    </w:p>
    <w:p w14:paraId="36CAB63D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2354580"/>
            <wp:effectExtent l="0" t="0" r="190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5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EAD4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图6-2　当前估值所对应的历史分位</w:t>
      </w:r>
    </w:p>
    <w:p w14:paraId="4F1705C3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数据来源：作者基于不复权收盘价、报告期股本与TTM净利润计算</w:t>
      </w:r>
    </w:p>
    <w:p w14:paraId="6A0A646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PB—ROE 匹配图揭示了估值的核心矛盾（图 6-3）。2017—2025 年，公司的 PB 与 ROE 基本落在一条“ROE 每提升 1 个百分点、PB 提升约 0.2 倍”的经验线上；而 2026 年三季度末的点（ROE 年化 21.1%、PB 9.5）远高于这条线——市场给出的估值，已经超出了当期盈利所能解释的范围，隐含的是对 2027—2028 年光通信高景气的持续预期。</w:t>
      </w:r>
    </w:p>
    <w:p w14:paraId="0F9DE18B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751705" cy="3103245"/>
            <wp:effectExtent l="0" t="0" r="317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ED6A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图6-3　PB—ROE匹配关系（2017—2026Q3）</w:t>
      </w:r>
    </w:p>
    <w:p w14:paraId="785D3BD8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数据来源：腾讯财经不复权收盘价与报告期每股净资产、公司定期报告；2026Q3 的 ROE 为前三季度累计值（15.80%）按 4/3 简单年化</w:t>
      </w:r>
    </w:p>
    <w:p w14:paraId="5D4B42DA">
      <w:pPr>
        <w:keepNext/>
        <w:spacing w:before="200" w:after="240" w:line="360" w:lineRule="auto"/>
        <w:ind w:firstLine="0"/>
        <w:jc w:val="left"/>
        <w:outlineLvl w:val="1"/>
      </w:pPr>
      <w:bookmarkStart w:id="37" w:name="_Toc16627"/>
      <w:r>
        <w:rPr>
          <w:rFonts w:ascii="Times New Roman" w:hAnsi="Times New Roman" w:eastAsia="黑体"/>
          <w:b/>
          <w:sz w:val="28"/>
        </w:rPr>
        <w:t>6.3　绝对估值：DCF敏感性分析</w:t>
      </w:r>
      <w:bookmarkEnd w:id="37"/>
    </w:p>
    <w:p w14:paraId="28141A2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 2026 年自由现金流约 6.0 亿元为基期（2026 年前三季度经营活动现金流净额约 4.9 亿元，全年约 6.5 亿元，扣除维持性资本开支后取 6.0 亿元），设置两组增长假设：中性情形为2027—2030 年增速 30%/18%/10%/6%，乐观情形为 50%/35%/20%/10%；WACC 取 9%—11%，永续增长率取 2%—3%。计算得到企业价值：中性情形 109—161 亿元，乐观情形 159—236 亿元。扣除净有息负债（有息负债 41.73 亿元减货币资金 21.01 亿元，约 20.7 亿元）后，对应股权价值约 88—215 亿元，而当前市值为 369.88 亿元。</w:t>
      </w:r>
    </w:p>
    <w:p w14:paraId="093ECEED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535805" cy="2767330"/>
            <wp:effectExtent l="0" t="0" r="571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7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327F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图6-4　自由现金流折现的企业价值敏感性（亿元）</w:t>
      </w:r>
    </w:p>
    <w:p w14:paraId="21543E50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数据来源：作者计算。假设基期自由现金流 6.0 亿元，2027—2030 年增速 30%/18%/10%/6%</w:t>
      </w:r>
    </w:p>
    <w:p w14:paraId="111EA00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反过来问：当前市值隐含了多高的增长假设？在 WACC 10%、永续增长 2.5% 的条件下，要支撑 369.88 亿元市值，需要未来四年自由现金流复合增速达到 55% 以上。这是一个只有在“光通信订单持续超预期 + 高毛利长期维持”同时成立时才能实现的路径。因此 DCF 在本案例中的作用不是“算出精确的内在价值”，而是检验当前市值隐含的增长假设是否合理。</w:t>
      </w:r>
    </w:p>
    <w:p w14:paraId="511AE7FA">
      <w:pPr>
        <w:keepNext/>
        <w:spacing w:before="200" w:after="240" w:line="360" w:lineRule="auto"/>
        <w:ind w:firstLine="0"/>
        <w:jc w:val="left"/>
        <w:outlineLvl w:val="1"/>
      </w:pPr>
      <w:bookmarkStart w:id="38" w:name="_Toc26260"/>
      <w:r>
        <w:rPr>
          <w:rFonts w:ascii="Times New Roman" w:hAnsi="Times New Roman" w:eastAsia="黑体"/>
          <w:b/>
          <w:sz w:val="28"/>
        </w:rPr>
        <w:t>6.4　估值结论</w:t>
      </w:r>
      <w:bookmarkEnd w:id="38"/>
    </w:p>
    <w:p w14:paraId="0FC1BB18"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表6-2　不同估值方法的结论对照</w:t>
      </w:r>
    </w:p>
    <w:tbl>
      <w:tblPr>
        <w:tblStyle w:val="35"/>
        <w:tblW w:w="96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2509"/>
        <w:gridCol w:w="4184"/>
        <w:gridCol w:w="2946"/>
      </w:tblGrid>
      <w:tr w14:paraId="04EFAB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blHeader/>
          <w:jc w:val="center"/>
        </w:trPr>
        <w:tc>
          <w:tcPr>
            <w:tcW w:w="2509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605E2E6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方法</w:t>
            </w:r>
          </w:p>
        </w:tc>
        <w:tc>
          <w:tcPr>
            <w:tcW w:w="418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412A072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结果</w:t>
            </w:r>
          </w:p>
        </w:tc>
        <w:tc>
          <w:tcPr>
            <w:tcW w:w="2946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0AC03437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含义</w:t>
            </w:r>
          </w:p>
        </w:tc>
      </w:tr>
      <w:tr w14:paraId="5266E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50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5F31F1A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PE 历史分位</w:t>
            </w:r>
          </w:p>
        </w:tc>
        <w:tc>
          <w:tcPr>
            <w:tcW w:w="418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3F8051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57.1 倍，60.2% 分位（剔除低利润年份后 67.0%）</w:t>
            </w:r>
          </w:p>
        </w:tc>
        <w:tc>
          <w:tcPr>
            <w:tcW w:w="2946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61E981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高于中枢，未达极端</w:t>
            </w:r>
          </w:p>
        </w:tc>
      </w:tr>
      <w:tr w14:paraId="6CAF9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9FE3B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PB 历史分位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E2E1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9.55 倍，92.3% 分位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8BDF4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显著高估</w:t>
            </w:r>
          </w:p>
        </w:tc>
      </w:tr>
      <w:tr w14:paraId="26415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8D889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PS 历史分位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20BD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5.22 倍，91.1% 分位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916A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显著高估</w:t>
            </w:r>
          </w:p>
        </w:tc>
      </w:tr>
      <w:tr w14:paraId="4862E9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19612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PB—ROE 匹配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5A99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PB 9.5 倍远高于 ROE 对应的经验水平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DFB4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高估</w:t>
            </w:r>
          </w:p>
        </w:tc>
      </w:tr>
      <w:tr w14:paraId="14662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05D2D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DCF（中性）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F9C0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股权价值 88 亿元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1A20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较市值折价 76%</w:t>
            </w:r>
          </w:p>
        </w:tc>
      </w:tr>
      <w:tr w14:paraId="50450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5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6A3B19E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DCF（乐观）</w:t>
            </w:r>
          </w:p>
        </w:tc>
        <w:tc>
          <w:tcPr>
            <w:tcW w:w="4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F3A47B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股权价值 215 亿元</w:t>
            </w:r>
          </w:p>
        </w:tc>
        <w:tc>
          <w:tcPr>
            <w:tcW w:w="29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E915E3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较市值折价 42%</w:t>
            </w:r>
          </w:p>
        </w:tc>
      </w:tr>
    </w:tbl>
    <w:p w14:paraId="6E943484">
      <w:pPr>
        <w:spacing w:before="40" w:after="160" w:line="240" w:lineRule="auto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数据来源：作者计算整理。折价率＝1−股权价值/当前市值（369.88 亿元）。</w:t>
      </w:r>
    </w:p>
    <w:p w14:paraId="0AE716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除 PE 因分母极不稳定而参考价值有限外，其余四个角度一致指向“估值已充分反映甚至透支2026—2027 年业绩预期”。需要客观说明的是，本报告的 DCF 对假设高度敏感：若公司光通信订单在 2027 年继续超预期（增速 50% 以上），股权价值可升至 300 亿元以上，接近当前市值。因此更准确的表述是：当前价格已经为“最好的情形”付了钱，安全边际不足。</w:t>
      </w:r>
    </w:p>
    <w:p w14:paraId="4D67C57D">
      <w:r>
        <w:br w:type="page"/>
      </w:r>
    </w:p>
    <w:p w14:paraId="3B468303">
      <w:pPr>
        <w:keepNext/>
        <w:spacing w:before="240" w:after="360" w:line="360" w:lineRule="auto"/>
        <w:ind w:firstLine="0"/>
        <w:jc w:val="center"/>
        <w:outlineLvl w:val="0"/>
      </w:pPr>
      <w:bookmarkStart w:id="39" w:name="_Toc7216"/>
      <w:r>
        <w:rPr>
          <w:rFonts w:ascii="Times New Roman" w:hAnsi="Times New Roman" w:eastAsia="黑体"/>
          <w:b/>
          <w:sz w:val="32"/>
        </w:rPr>
        <w:t>第七章　投资价值综合结论与风险提示</w:t>
      </w:r>
      <w:bookmarkEnd w:id="39"/>
    </w:p>
    <w:p w14:paraId="1EC423AB">
      <w:pPr>
        <w:keepNext/>
        <w:spacing w:before="200" w:after="240" w:line="360" w:lineRule="auto"/>
        <w:ind w:firstLine="0"/>
        <w:jc w:val="left"/>
        <w:outlineLvl w:val="1"/>
      </w:pPr>
      <w:bookmarkStart w:id="40" w:name="_Toc32081"/>
      <w:r>
        <w:rPr>
          <w:rFonts w:ascii="Times New Roman" w:hAnsi="Times New Roman" w:eastAsia="黑体"/>
          <w:b/>
          <w:sz w:val="28"/>
        </w:rPr>
        <w:t>7.1　六维评分</w:t>
      </w:r>
      <w:bookmarkEnd w:id="40"/>
    </w:p>
    <w:p w14:paraId="6480174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按成长性、盈利能力、盈利质量、偿债安全、营运效率、估值吸引力六个维度打分（满分 100），结果如图 7-1 与表 7-1。综合得分 62.8 分，处于“中等偏上、但性价比不足”的区间：基本面三项（成长、盈利、质量）得分较高，财务与估值三项（偿债、营运、估值）得分偏低。</w:t>
      </w:r>
    </w:p>
    <w:p w14:paraId="75699826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175760" cy="34194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42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97C2">
      <w:pPr>
        <w:keepNext/>
        <w:spacing w:before="40" w:after="4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图7-1　永鼎股份投资价值六维评分</w:t>
      </w:r>
    </w:p>
    <w:p w14:paraId="41B48E61"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数据来源：作者评分</w:t>
      </w:r>
    </w:p>
    <w:p w14:paraId="7E339D3D"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表7-1　六维评分明细</w:t>
      </w:r>
    </w:p>
    <w:tbl>
      <w:tblPr>
        <w:tblStyle w:val="35"/>
        <w:tblW w:w="96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2436"/>
        <w:gridCol w:w="2483"/>
        <w:gridCol w:w="4720"/>
      </w:tblGrid>
      <w:tr w14:paraId="63E425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7209472B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维度</w:t>
            </w:r>
          </w:p>
        </w:tc>
        <w:tc>
          <w:tcPr>
            <w:tcW w:w="248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64B73A8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得分（满分100）</w:t>
            </w:r>
          </w:p>
        </w:tc>
        <w:tc>
          <w:tcPr>
            <w:tcW w:w="4720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B9DA00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评分依据</w:t>
            </w:r>
          </w:p>
        </w:tc>
      </w:tr>
      <w:tr w14:paraId="0A5D1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436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2168CDF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成长性</w:t>
            </w:r>
          </w:p>
        </w:tc>
        <w:tc>
          <w:tcPr>
            <w:tcW w:w="2483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FE08EF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92</w:t>
            </w:r>
          </w:p>
        </w:tc>
        <w:tc>
          <w:tcPr>
            <w:tcW w:w="47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C2C7D52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 前三季度营收 +49.6%、归母 +125.8%</w:t>
            </w:r>
          </w:p>
        </w:tc>
      </w:tr>
      <w:tr w14:paraId="147BC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7BF76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盈利能力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1992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78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10CB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毛利率 28.72% 创十年新高，但可持续性待验证</w:t>
            </w:r>
          </w:p>
        </w:tc>
      </w:tr>
      <w:tr w14:paraId="3172AF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28D7C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盈利质量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8220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85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BCE5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扣非占比 99.66%，2025 年的一次性收益问题已消除</w:t>
            </w:r>
          </w:p>
        </w:tc>
      </w:tr>
      <w:tr w14:paraId="2B95D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DD37B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偿债安全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302E1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42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EAFC9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资产负债率 63.60%，速动比率 0.81</w:t>
            </w:r>
          </w:p>
        </w:tc>
      </w:tr>
      <w:tr w14:paraId="4DA6C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A4313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营运效率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0C8D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55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D3FBC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应收、存货周转率均低于 2016—2019 年水平</w:t>
            </w:r>
          </w:p>
        </w:tc>
      </w:tr>
      <w:tr w14:paraId="2E12A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24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4D7585C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估值吸引力</w:t>
            </w:r>
          </w:p>
        </w:tc>
        <w:tc>
          <w:tcPr>
            <w:tcW w:w="248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650AF3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EAFBEF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PB、PS 均处历史 90% 分位以上</w:t>
            </w:r>
          </w:p>
        </w:tc>
      </w:tr>
    </w:tbl>
    <w:p w14:paraId="3A464EDF">
      <w:pPr>
        <w:spacing w:before="40" w:after="160" w:line="240" w:lineRule="auto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评分说明：各维度满分 100，依据本报告第二至六章的计算结果按相对同业与历史水平打分。</w:t>
      </w:r>
    </w:p>
    <w:p w14:paraId="5EFE1551">
      <w:pPr>
        <w:keepNext/>
        <w:spacing w:before="200" w:after="240" w:line="360" w:lineRule="auto"/>
        <w:ind w:firstLine="0"/>
        <w:jc w:val="left"/>
        <w:outlineLvl w:val="1"/>
      </w:pPr>
      <w:bookmarkStart w:id="41" w:name="_Toc13249"/>
      <w:r>
        <w:rPr>
          <w:rFonts w:ascii="Times New Roman" w:hAnsi="Times New Roman" w:eastAsia="黑体"/>
          <w:b/>
          <w:sz w:val="28"/>
        </w:rPr>
        <w:t>7.2　综合结论：谨慎看待</w:t>
      </w:r>
      <w:bookmarkEnd w:id="41"/>
    </w:p>
    <w:p w14:paraId="6A87901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支持“看好”的理由有三：一是 2026 年前三季度扣非归母 7.40 亿元、扣非占比 99.66%，是十年来第一次由主业驱动的真实盈利；二是光通信毛利率 58.52%（2026H1），验证了公司在AI 算力链条中拿到了高附加值订单；三是行业景气度向上（AI 数据中心、海风、电网投资），赛道本身没有逆风。</w:t>
      </w:r>
    </w:p>
    <w:p w14:paraId="3D82C44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支持“谨慎”的理由有五：一是 PB 处于 2017 年以来 92.3% 分位（9.55 倍，历史中位 2.2 倍），PS 处于 91.1% 分位；二是 DCF 在中性与乐观假设下的股权价值（88—215 亿元）明显低于当前市值（369.88 亿元），反解需要未来四年自由现金流复合增速 55% 以上；三是资产负债率 63.60%、速动比率 0.81，杠杆已处历史高位，财务弹性有限；四是历史盈利记录不稳定，2016—2025 十年中有4 年扣非归母净利润低于 0.3 亿元（2019、2020、2021、2023），2025 年利润还高度依赖一次性投资收益；五是光通信高毛利能否延续取决于 AI 资本开支周期，存在明显的外部不确定性。</w:t>
      </w:r>
    </w:p>
    <w:p w14:paraId="3D22466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综合判断：公司基本面改善是真实的，但当前股价已提前兑现 2027 年的乐观预期，属于“好公司、贵价格”。最终结论为“谨慎看待”，评级含义为“不建议在当前价位买入，但保留在价格合适时的配置价值”。</w:t>
      </w:r>
    </w:p>
    <w:p w14:paraId="560AFC66">
      <w:pPr>
        <w:keepNext/>
        <w:spacing w:before="200" w:after="240" w:line="360" w:lineRule="auto"/>
        <w:ind w:firstLine="0"/>
        <w:jc w:val="left"/>
        <w:outlineLvl w:val="1"/>
      </w:pPr>
      <w:bookmarkStart w:id="42" w:name="_Toc9190"/>
      <w:r>
        <w:rPr>
          <w:rFonts w:ascii="Times New Roman" w:hAnsi="Times New Roman" w:eastAsia="黑体"/>
          <w:b/>
          <w:sz w:val="28"/>
        </w:rPr>
        <w:t>7.3　风险提示</w:t>
      </w:r>
      <w:bookmarkEnd w:id="42"/>
    </w:p>
    <w:p w14:paraId="3D6FD018"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表7-2　主要风险及影响</w:t>
      </w:r>
    </w:p>
    <w:tbl>
      <w:tblPr>
        <w:tblStyle w:val="35"/>
        <w:tblW w:w="963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985"/>
        <w:gridCol w:w="3955"/>
        <w:gridCol w:w="1287"/>
        <w:gridCol w:w="2409"/>
      </w:tblGrid>
      <w:tr w14:paraId="216BE3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blHeader/>
          <w:jc w:val="center"/>
        </w:trPr>
        <w:tc>
          <w:tcPr>
            <w:tcW w:w="1985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1B25B91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风险类别</w:t>
            </w:r>
          </w:p>
        </w:tc>
        <w:tc>
          <w:tcPr>
            <w:tcW w:w="3955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413F759A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具体表现</w:t>
            </w:r>
          </w:p>
        </w:tc>
        <w:tc>
          <w:tcPr>
            <w:tcW w:w="1287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4FAE5E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程度</w:t>
            </w:r>
          </w:p>
        </w:tc>
        <w:tc>
          <w:tcPr>
            <w:tcW w:w="2409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45B3F71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可能影响</w:t>
            </w:r>
          </w:p>
        </w:tc>
      </w:tr>
      <w:tr w14:paraId="464B3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98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919DB46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估值风险</w:t>
            </w:r>
          </w:p>
        </w:tc>
        <w:tc>
          <w:tcPr>
            <w:tcW w:w="395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3A5BD9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PE 57 倍、PB 9.55 倍，处于历史高位</w:t>
            </w:r>
          </w:p>
        </w:tc>
        <w:tc>
          <w:tcPr>
            <w:tcW w:w="1287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8CB845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w="240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5FF5C1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业绩不及预期时回撤空间大</w:t>
            </w:r>
          </w:p>
        </w:tc>
      </w:tr>
      <w:tr w14:paraId="49757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626F19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行业周期风险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BD0A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AI 算力资本开支放缓，光纤光缆溢价收窄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0B229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中高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23808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毛利率可能回落至 15% 附近</w:t>
            </w:r>
          </w:p>
        </w:tc>
      </w:tr>
      <w:tr w14:paraId="1ED2A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09868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财务风险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3340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有息负债 41.73 亿元，财务费用同比 +48.14%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FE29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FC1F6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利率、汇率波动侵蚀利润</w:t>
            </w:r>
          </w:p>
        </w:tc>
      </w:tr>
      <w:tr w14:paraId="08FFA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AD9C9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客户集中风险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4200E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前五名客户销售占比 48.88%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BBB63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40BD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单一大客户流失影响显著</w:t>
            </w:r>
          </w:p>
        </w:tc>
      </w:tr>
      <w:tr w14:paraId="7D2DB4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E4519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海外经营风险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52C3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EPC 回款周期长、结算货币多元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0DBB0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73F2D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应收账款与汇兑损失</w:t>
            </w:r>
          </w:p>
        </w:tc>
      </w:tr>
      <w:tr w14:paraId="7A826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ECAFA31">
            <w:pPr>
              <w:spacing w:before="40" w:after="4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技术迭代风险</w:t>
            </w:r>
          </w:p>
        </w:tc>
        <w:tc>
          <w:tcPr>
            <w:tcW w:w="395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9AF25B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高速率光模块与新型光纤技术路线变化快</w:t>
            </w:r>
          </w:p>
        </w:tc>
        <w:tc>
          <w:tcPr>
            <w:tcW w:w="12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B24829F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180F995">
            <w:pPr>
              <w:spacing w:before="40" w:after="4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现有产能存在贬值风险</w:t>
            </w:r>
          </w:p>
        </w:tc>
      </w:tr>
    </w:tbl>
    <w:p w14:paraId="4692F895">
      <w:pPr>
        <w:spacing w:before="40" w:after="160" w:line="240" w:lineRule="auto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数据来源：作者根据本报告分析整理。</w:t>
      </w:r>
    </w:p>
    <w:p w14:paraId="45CACE4A">
      <w:pPr>
        <w:keepNext/>
        <w:spacing w:before="200" w:after="240" w:line="360" w:lineRule="auto"/>
        <w:ind w:firstLine="0"/>
        <w:jc w:val="left"/>
        <w:outlineLvl w:val="1"/>
      </w:pPr>
      <w:bookmarkStart w:id="43" w:name="_Toc30280"/>
      <w:r>
        <w:rPr>
          <w:rFonts w:ascii="Times New Roman" w:hAnsi="Times New Roman" w:eastAsia="黑体"/>
          <w:b/>
          <w:sz w:val="28"/>
        </w:rPr>
        <w:t>7.4　投资建议</w:t>
      </w:r>
      <w:bookmarkEnd w:id="43"/>
    </w:p>
    <w:p w14:paraId="7F9782E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对尚未持仓者：不建议在当前价位追高。可等待两种情形之一出现再考虑配置——一是股价回调至 PB 6 倍以下（对应约 16 元），二是 2026 年年报确认光通信毛利率维持在 25% 以上且经营活动现金流净额/净利润大于 1。</w:t>
      </w:r>
    </w:p>
    <w:p w14:paraId="24B0D7B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对已持仓者：可继续持有并设置止盈线，重点跟踪单季毛利率与在手订单；一旦单季毛利率跌破 20%，应视为景气拐点信号，及时降低仓位。</w:t>
      </w:r>
    </w:p>
    <w:p w14:paraId="68F5AC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核心跟踪指标有四个：单季毛利率、应收账款周转天数、有息负债/EBITDA、AI 相关订单公告。其中单季毛利率是最灵敏的先行指标，因为它同时反映了产品结构、议价能力与行业供需三个变量。</w:t>
      </w:r>
    </w:p>
    <w:p w14:paraId="1A5AC94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最后需要说明本报告的局限：一是估值结论高度依赖对光通信高毛利可持续性的判断，而该判断缺乏 2027 年订单数据的支持；二是 DCF 的基期自由现金流取自 2026 年，若 2027 年资本开支大幅上升，自由现金流将被显著高估；三是同业对比使用的 2025 年数据已滞后于公司最新经营状况，读者应结合 2026 年三季报与后续年报更新判断。</w:t>
      </w:r>
    </w:p>
    <w:p w14:paraId="507AB16E">
      <w:pPr>
        <w:keepNext/>
        <w:spacing w:before="240" w:after="360" w:line="360" w:lineRule="auto"/>
        <w:ind w:firstLine="0"/>
        <w:jc w:val="center"/>
        <w:outlineLvl w:val="0"/>
      </w:pPr>
      <w:bookmarkStart w:id="44" w:name="_Toc16163"/>
      <w:r>
        <w:rPr>
          <w:rFonts w:ascii="Times New Roman" w:hAnsi="Times New Roman" w:eastAsia="黑体"/>
          <w:b/>
          <w:sz w:val="32"/>
        </w:rPr>
        <w:t>参考文献</w:t>
      </w:r>
      <w:bookmarkEnd w:id="44"/>
    </w:p>
    <w:p w14:paraId="70E4AD17">
      <w:pPr>
        <w:spacing w:before="0" w:after="0" w:line="360" w:lineRule="auto"/>
        <w:ind w:left="0"/>
      </w:pPr>
      <w:r>
        <w:rPr>
          <w:rFonts w:ascii="Times New Roman" w:hAnsi="Times New Roman" w:eastAsia="宋体"/>
          <w:b w:val="0"/>
          <w:sz w:val="18"/>
        </w:rPr>
        <w:t>[1] 中国证券监督管理委员会. 上市公司行业分类指引（2012年修订）[S]. 北京: 中国证监会, 2012.</w:t>
      </w:r>
    </w:p>
    <w:p w14:paraId="7BD1669F">
      <w:pPr>
        <w:spacing w:before="0" w:after="0" w:line="360" w:lineRule="auto"/>
        <w:ind w:left="0"/>
      </w:pPr>
      <w:r>
        <w:rPr>
          <w:rFonts w:ascii="Times New Roman" w:hAnsi="Times New Roman" w:eastAsia="宋体"/>
          <w:b w:val="0"/>
          <w:sz w:val="18"/>
        </w:rPr>
        <w:t>[2] 江苏永鼎股份有限公司. 2016—2025年年度报告[R]. 上海: 上海证券交易所, 2017—2026.</w:t>
      </w:r>
    </w:p>
    <w:p w14:paraId="5B0A4BFC">
      <w:pPr>
        <w:spacing w:before="0" w:after="0" w:line="360" w:lineRule="auto"/>
        <w:ind w:left="0"/>
      </w:pPr>
      <w:r>
        <w:rPr>
          <w:rFonts w:ascii="Times New Roman" w:hAnsi="Times New Roman" w:eastAsia="宋体"/>
          <w:b w:val="0"/>
          <w:sz w:val="18"/>
        </w:rPr>
        <w:t>[3] 江苏永鼎股份有限公司. 2026年第三季度报告[R]. 上海: 上海证券交易所, 2026.</w:t>
      </w:r>
    </w:p>
    <w:p w14:paraId="47BBF381">
      <w:pPr>
        <w:spacing w:before="0" w:after="0" w:line="360" w:lineRule="auto"/>
        <w:ind w:left="0"/>
      </w:pPr>
      <w:r>
        <w:rPr>
          <w:rFonts w:ascii="Times New Roman" w:hAnsi="Times New Roman" w:eastAsia="宋体"/>
          <w:b w:val="0"/>
          <w:sz w:val="18"/>
        </w:rPr>
        <w:t>[4] 兹维·博迪, 亚历克斯·凯恩, 艾伦·马库斯. 投资学（第10版）[M]. 汪昌云, 张永冀, 译. 北京: 机械工业出版社, 2017.</w:t>
      </w:r>
    </w:p>
    <w:p w14:paraId="30B6B5BB">
      <w:pPr>
        <w:spacing w:before="0" w:after="0" w:line="360" w:lineRule="auto"/>
        <w:ind w:left="0"/>
      </w:pPr>
      <w:r>
        <w:rPr>
          <w:rFonts w:ascii="Times New Roman" w:hAnsi="Times New Roman" w:eastAsia="宋体"/>
          <w:b w:val="0"/>
          <w:sz w:val="18"/>
        </w:rPr>
        <w:t>[5] 斯蒂芬·A·罗斯, 伦道夫·W·韦斯特菲尔德, 杰弗利·F·杰富. 公司理财（第11版）[M]. 吴世农, 沈艺峰, 王志强, 译. 北京: 机械工业出版社, 2017.</w:t>
      </w:r>
    </w:p>
    <w:p w14:paraId="50C6C1AB">
      <w:pPr>
        <w:spacing w:before="0" w:after="0" w:line="360" w:lineRule="auto"/>
        <w:ind w:left="0"/>
      </w:pPr>
      <w:r>
        <w:rPr>
          <w:rFonts w:ascii="Times New Roman" w:hAnsi="Times New Roman" w:eastAsia="宋体"/>
          <w:b w:val="0"/>
          <w:sz w:val="18"/>
        </w:rPr>
        <w:t>[6] 张新民, 钱爱民. 财务报表分析（第5版）[M]. 北京: 中国人民大学出版社, 2019.</w:t>
      </w:r>
    </w:p>
    <w:p w14:paraId="27493239">
      <w:pPr>
        <w:spacing w:before="0" w:after="0" w:line="360" w:lineRule="auto"/>
        <w:ind w:left="0"/>
      </w:pPr>
      <w:r>
        <w:rPr>
          <w:rFonts w:ascii="Times New Roman" w:hAnsi="Times New Roman" w:eastAsia="宋体"/>
          <w:b w:val="0"/>
          <w:sz w:val="18"/>
        </w:rPr>
        <w:t>[7] 中国信息通信研究院. 中国光通信产业发展研究报告[R]. 北京: 中国信息通信研究院, 2025.</w:t>
      </w:r>
    </w:p>
    <w:p w14:paraId="11FB848A">
      <w:pPr>
        <w:spacing w:before="0" w:after="0" w:line="360" w:lineRule="auto"/>
        <w:ind w:left="0"/>
      </w:pPr>
      <w:r>
        <w:rPr>
          <w:rFonts w:ascii="Times New Roman" w:hAnsi="Times New Roman" w:eastAsia="宋体"/>
          <w:b w:val="0"/>
          <w:sz w:val="18"/>
        </w:rPr>
        <w:t>[8] 国家统计局. 中华人民共和国2025年国民经济和社会发展统计公报[R]. 北京: 国家统计局, 2026.</w:t>
      </w:r>
    </w:p>
    <w:p w14:paraId="5AD2C0BA">
      <w:pPr>
        <w:spacing w:before="0" w:after="0" w:line="360" w:lineRule="auto"/>
        <w:ind w:left="0"/>
      </w:pPr>
      <w:r>
        <w:rPr>
          <w:rFonts w:ascii="Times New Roman" w:hAnsi="Times New Roman" w:eastAsia="宋体"/>
          <w:b w:val="0"/>
          <w:sz w:val="18"/>
        </w:rPr>
        <w:t>[9] 中国人民银行. 2025年第四季度中国货币政策执行报告[R]. 北京: 中国人民银行, 2026.</w:t>
      </w:r>
    </w:p>
    <w:p w14:paraId="75BA6720">
      <w:pPr>
        <w:spacing w:before="0" w:after="0" w:line="360" w:lineRule="auto"/>
        <w:ind w:left="0"/>
      </w:pPr>
      <w:r>
        <w:rPr>
          <w:rFonts w:ascii="Times New Roman" w:hAnsi="Times New Roman" w:eastAsia="宋体"/>
          <w:b w:val="0"/>
          <w:sz w:val="18"/>
        </w:rPr>
        <w:t>[10] 东方财富网. 永鼎股份（600105）财务数据[EB/OL]. https://data.eastmoney.com/, 2026-10-27.</w:t>
      </w:r>
    </w:p>
    <w:p w14:paraId="6BE85626">
      <w:pPr>
        <w:spacing w:before="0" w:after="0" w:line="360" w:lineRule="auto"/>
        <w:ind w:left="0"/>
      </w:pPr>
      <w:r>
        <w:rPr>
          <w:rFonts w:ascii="Times New Roman" w:hAnsi="Times New Roman" w:eastAsia="宋体"/>
          <w:b w:val="0"/>
          <w:sz w:val="18"/>
        </w:rPr>
        <w:t>[11] 巨潮资讯网. 永鼎股份定期报告[EB/OL]. http://www.cninfo.com.cn/, 2026-10-27.</w:t>
      </w:r>
    </w:p>
    <w:p w14:paraId="1674B7D3">
      <w:pPr>
        <w:spacing w:before="0" w:after="0" w:line="360" w:lineRule="auto"/>
        <w:ind w:left="0"/>
        <w:sectPr>
          <w:footerReference r:id="rId12" w:type="default"/>
          <w:pgSz w:w="11906" w:h="16838"/>
          <w:pgMar w:top="1417" w:right="1134" w:bottom="1417" w:left="1134" w:header="850" w:footer="1020" w:gutter="0"/>
          <w:pgNumType w:start="1"/>
          <w:cols w:space="720" w:num="1"/>
          <w:docGrid w:linePitch="360" w:charSpace="0"/>
        </w:sectPr>
      </w:pPr>
      <w:r>
        <w:rPr>
          <w:rFonts w:ascii="Times New Roman" w:hAnsi="Times New Roman" w:eastAsia="宋体"/>
          <w:b w:val="0"/>
          <w:sz w:val="18"/>
        </w:rPr>
        <w:t>[12] 腾讯财经. 永鼎股份（600105）历史行情[EB/OL]. https://gu.qq.com/sh600105, 2026-10-27.</w:t>
      </w:r>
    </w:p>
    <w:p w14:paraId="39298F09"/>
    <w:sectPr>
      <w:headerReference r:id="rId13" w:type="default"/>
      <w:footerReference r:id="rId14" w:type="default"/>
      <w:pgSz w:w="11906" w:h="16838"/>
      <w:pgMar w:top="1417" w:right="1134" w:bottom="1417" w:left="1134" w:header="850" w:footer="10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2A781">
    <w:pPr>
      <w:pStyle w:val="24"/>
      <w:spacing w:before="0" w:after="0" w:line="240" w:lineRule="auto"/>
      <w:ind w:firstLine="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B455D">
    <w:pPr>
      <w:pStyle w:val="24"/>
      <w:spacing w:before="0" w:after="0" w:line="240" w:lineRule="auto"/>
      <w:ind w:firstLine="0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2659B">
    <w:pPr>
      <w:pStyle w:val="24"/>
      <w:spacing w:before="0" w:after="0" w:line="240" w:lineRule="auto"/>
      <w:ind w:firstLine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9C487">
    <w:pPr>
      <w:pStyle w:val="24"/>
      <w:spacing w:before="0" w:after="0" w:line="240" w:lineRule="auto"/>
      <w:ind w:firstLine="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6F15D4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c33cre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Cc33cr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6F15D4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57F57">
    <w:pPr>
      <w:pStyle w:val="24"/>
      <w:spacing w:before="0" w:after="0" w:line="240" w:lineRule="auto"/>
      <w:ind w:firstLine="0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FFDAD">
    <w:pPr>
      <w:pStyle w:val="24"/>
      <w:spacing w:before="0" w:after="0" w:line="240" w:lineRule="auto"/>
      <w:ind w:firstLine="0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18F39">
    <w:pPr>
      <w:pStyle w:val="25"/>
      <w:spacing w:before="0" w:after="0" w:line="240" w:lineRule="auto"/>
      <w:ind w:firstLine="0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E0E4E">
    <w:pPr>
      <w:pStyle w:val="25"/>
      <w:spacing w:before="0" w:after="0" w:line="240" w:lineRule="auto"/>
      <w:ind w:firstLine="0"/>
      <w:jc w:val="center"/>
    </w:pPr>
    <w:r>
      <w:rPr>
        <w:rFonts w:ascii="Times New Roman" w:hAnsi="Times New Roman" w:eastAsia="宋体"/>
        <w:b w:val="0"/>
        <w:sz w:val="18"/>
      </w:rPr>
      <w:t>永鼎股份（600105.SH）投资分析报告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952C2">
    <w:pPr>
      <w:pStyle w:val="25"/>
      <w:spacing w:before="0" w:after="0" w:line="240" w:lineRule="auto"/>
      <w:ind w:firstLine="0"/>
      <w:jc w:val="center"/>
    </w:pPr>
    <w:r>
      <w:rPr>
        <w:rFonts w:ascii="Times New Roman" w:hAnsi="Times New Roman" w:eastAsia="宋体"/>
        <w:b w:val="0"/>
        <w:sz w:val="18"/>
      </w:rPr>
      <w:t>永鼎股份（600105.SH）投资分析报告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50C9B">
    <w:pPr>
      <w:pStyle w:val="25"/>
      <w:spacing w:before="0" w:after="0" w:line="240" w:lineRule="auto"/>
      <w:ind w:firstLine="0"/>
      <w:jc w:val="center"/>
    </w:pPr>
    <w:r>
      <w:rPr>
        <w:rFonts w:ascii="Times New Roman" w:hAnsi="Times New Roman" w:eastAsia="宋体"/>
        <w:b w:val="0"/>
        <w:sz w:val="18"/>
      </w:rPr>
      <w:t>永鼎股份（600105.SH）投资分析报告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5AFE3D"/>
    <w:multiLevelType w:val="multilevel"/>
    <w:tmpl w:val="EC5AF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31BD2"/>
    <w:rsid w:val="0B6C7DF0"/>
    <w:rsid w:val="52224F53"/>
    <w:rsid w:val="75EB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5"/>
    <w:uiPriority w:val="99"/>
  </w:style>
  <w:style w:type="character" w:customStyle="1" w:styleId="139">
    <w:name w:val="Footer Char"/>
    <w:basedOn w:val="135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0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68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9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customXml" Target="../customXml/item2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header" Target="header4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2915</Words>
  <Characters>3082</Characters>
  <Lines>0</Lines>
  <Paragraphs>0</Paragraphs>
  <TotalTime>2</TotalTime>
  <ScaleCrop>false</ScaleCrop>
  <LinksUpToDate>false</LinksUpToDate>
  <CharactersWithSpaces>3132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</cp:lastModifiedBy>
  <dcterms:modified xsi:type="dcterms:W3CDTF">2026-10-28T15:07:09Z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eyJoZGlkIjoiNjRmZGI5ZDg5YTZjM2E4Y2NlNGQ2YWEzNGYzMmJmZjMiLCJ1c2VySWQiOiIxMzQ2MTU5NzM3In0=</vt:lpwstr>
  </property>
  <property fmtid="{D5CDD505-2E9C-101B-9397-08002B2CF9AE}" pid="3" name="KSOProductBuildVer">
    <vt:lpwstr>2052-12.1.0.19770</vt:lpwstr>
  </property>
  <property fmtid="{D5CDD505-2E9C-101B-9397-08002B2CF9AE}" pid="4" name="ICV">
    <vt:lpwstr>8DC8427C466B437F84AF66A611635FBA_12</vt:lpwstr>
  </property>
</Properties>
</file>