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BA94C">
      <w:pPr>
        <w:jc w:val="center"/>
        <w:rPr>
          <w:rFonts w:eastAsia="方正黑体简体"/>
          <w:b/>
          <w:sz w:val="28"/>
          <w:szCs w:val="28"/>
        </w:rPr>
      </w:pPr>
    </w:p>
    <w:p w14:paraId="7FCE95DC">
      <w:pPr>
        <w:jc w:val="center"/>
        <w:rPr>
          <w:rFonts w:eastAsia="方正黑体简体"/>
          <w:b/>
          <w:sz w:val="28"/>
          <w:szCs w:val="28"/>
        </w:rPr>
      </w:pPr>
      <w:r>
        <w:drawing>
          <wp:inline distT="0" distB="0" distL="114300" distR="114300">
            <wp:extent cx="3411220" cy="720090"/>
            <wp:effectExtent l="0" t="0" r="2540" b="11430"/>
            <wp:docPr id="1" name="图片 1" descr="湖南财政经济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湖南财政经济学院Logo"/>
                    <pic:cNvPicPr preferRelativeResize="0">
                      <a:picLocks noChangeAspect="1"/>
                    </pic:cNvPicPr>
                  </pic:nvPicPr>
                  <pic:blipFill>
                    <a:blip r:embed="rId9"/>
                    <a:stretch>
                      <a:fillRect/>
                    </a:stretch>
                  </pic:blipFill>
                  <pic:spPr>
                    <a:xfrm>
                      <a:off x="0" y="0"/>
                      <a:ext cx="3411220" cy="720090"/>
                    </a:xfrm>
                    <a:prstGeom prst="rect">
                      <a:avLst/>
                    </a:prstGeom>
                    <a:noFill/>
                    <a:ln>
                      <a:noFill/>
                    </a:ln>
                  </pic:spPr>
                </pic:pic>
              </a:graphicData>
            </a:graphic>
          </wp:inline>
        </w:drawing>
      </w:r>
    </w:p>
    <w:p w14:paraId="00D1A6CD">
      <w:pPr>
        <w:rPr>
          <w:w w:val="90"/>
          <w:sz w:val="32"/>
          <w:szCs w:val="32"/>
        </w:rPr>
      </w:pPr>
    </w:p>
    <w:p w14:paraId="33A1AE59">
      <w:pPr>
        <w:rPr>
          <w:w w:val="90"/>
          <w:sz w:val="32"/>
          <w:szCs w:val="32"/>
        </w:rPr>
      </w:pPr>
    </w:p>
    <w:p w14:paraId="5EFECC69">
      <w:pPr>
        <w:jc w:val="center"/>
        <w:rPr>
          <w:rFonts w:eastAsia="黑体"/>
          <w:w w:val="90"/>
          <w:sz w:val="44"/>
          <w:szCs w:val="44"/>
        </w:rPr>
      </w:pPr>
      <w:r>
        <w:rPr>
          <w:rFonts w:eastAsia="黑体"/>
          <w:w w:val="90"/>
          <w:sz w:val="44"/>
          <w:szCs w:val="44"/>
        </w:rPr>
        <w:t>本科毕业论文（设计）开题报告及相关表格</w:t>
      </w:r>
    </w:p>
    <w:p w14:paraId="63669E4A">
      <w:pPr>
        <w:jc w:val="center"/>
        <w:rPr>
          <w:rFonts w:eastAsia="黑体"/>
          <w:w w:val="90"/>
          <w:sz w:val="32"/>
          <w:szCs w:val="32"/>
        </w:rPr>
      </w:pPr>
    </w:p>
    <w:p w14:paraId="0568EA36">
      <w:pPr>
        <w:ind w:firstLine="1880" w:firstLineChars="400"/>
        <w:jc w:val="both"/>
        <w:rPr>
          <w:rFonts w:hint="eastAsia"/>
          <w:b/>
          <w:w w:val="90"/>
          <w:sz w:val="52"/>
          <w:szCs w:val="52"/>
        </w:rPr>
      </w:pPr>
      <w:r>
        <w:rPr>
          <w:rFonts w:hint="eastAsia"/>
          <w:b/>
          <w:w w:val="90"/>
          <w:sz w:val="52"/>
          <w:szCs w:val="52"/>
        </w:rPr>
        <w:t>YOLOv11优化及其</w:t>
      </w:r>
    </w:p>
    <w:p w14:paraId="7433561E">
      <w:pPr>
        <w:jc w:val="center"/>
        <w:rPr>
          <w:b/>
          <w:w w:val="90"/>
          <w:sz w:val="52"/>
          <w:szCs w:val="52"/>
        </w:rPr>
      </w:pPr>
      <w:r>
        <w:rPr>
          <w:rFonts w:hint="eastAsia"/>
          <w:b/>
          <w:w w:val="90"/>
          <w:sz w:val="52"/>
          <w:szCs w:val="52"/>
        </w:rPr>
        <w:t>在田间小麦穗实时检测中的应用</w:t>
      </w:r>
    </w:p>
    <w:p w14:paraId="132A477D">
      <w:pPr>
        <w:rPr>
          <w:w w:val="90"/>
          <w:sz w:val="32"/>
          <w:szCs w:val="32"/>
        </w:rPr>
      </w:pPr>
    </w:p>
    <w:p w14:paraId="0B05C7F9">
      <w:pPr>
        <w:rPr>
          <w:w w:val="90"/>
          <w:sz w:val="32"/>
          <w:szCs w:val="32"/>
        </w:rPr>
      </w:pPr>
    </w:p>
    <w:p w14:paraId="6DB35360">
      <w:pPr>
        <w:rPr>
          <w:w w:val="90"/>
          <w:sz w:val="32"/>
          <w:szCs w:val="32"/>
        </w:rPr>
      </w:pPr>
    </w:p>
    <w:p w14:paraId="19AB0430">
      <w:pPr>
        <w:rPr>
          <w:w w:val="90"/>
          <w:sz w:val="32"/>
          <w:szCs w:val="32"/>
        </w:rPr>
      </w:pPr>
    </w:p>
    <w:tbl>
      <w:tblPr>
        <w:tblStyle w:val="11"/>
        <w:tblpPr w:leftFromText="180" w:rightFromText="180" w:vertAnchor="text" w:tblpXSpec="center" w:tblpY="1"/>
        <w:tblOverlap w:val="never"/>
        <w:tblW w:w="9128" w:type="dxa"/>
        <w:tblInd w:w="0" w:type="dxa"/>
        <w:tblLayout w:type="fixed"/>
        <w:tblCellMar>
          <w:top w:w="0" w:type="dxa"/>
          <w:left w:w="108" w:type="dxa"/>
          <w:bottom w:w="0" w:type="dxa"/>
          <w:right w:w="108" w:type="dxa"/>
        </w:tblCellMar>
      </w:tblPr>
      <w:tblGrid>
        <w:gridCol w:w="1368"/>
        <w:gridCol w:w="3064"/>
        <w:gridCol w:w="1080"/>
        <w:gridCol w:w="3616"/>
      </w:tblGrid>
      <w:tr w14:paraId="705C7D96">
        <w:tc>
          <w:tcPr>
            <w:tcW w:w="1368" w:type="dxa"/>
          </w:tcPr>
          <w:p w14:paraId="0F435A37">
            <w:pPr>
              <w:spacing w:line="600" w:lineRule="exact"/>
              <w:ind w:left="-1079" w:leftChars="-514" w:right="-105" w:rightChars="-50" w:firstLine="979" w:firstLineChars="325"/>
              <w:jc w:val="center"/>
              <w:rPr>
                <w:b/>
                <w:bCs/>
                <w:sz w:val="30"/>
                <w:szCs w:val="30"/>
              </w:rPr>
            </w:pPr>
            <w:r>
              <w:rPr>
                <w:b/>
                <w:bCs/>
                <w:sz w:val="30"/>
                <w:szCs w:val="30"/>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233680</wp:posOffset>
                      </wp:positionV>
                      <wp:extent cx="114300" cy="0"/>
                      <wp:effectExtent l="0" t="7620" r="7620" b="15240"/>
                      <wp:wrapNone/>
                      <wp:docPr id="2" name="直接连接符 2"/>
                      <wp:cNvGraphicFramePr/>
                      <a:graphic xmlns:a="http://schemas.openxmlformats.org/drawingml/2006/main">
                        <a:graphicData uri="http://schemas.microsoft.com/office/word/2010/wordprocessingShape">
                          <wps:wsp>
                            <wps:cNvCnPr/>
                            <wps:spPr>
                              <a:xfrm flipH="1">
                                <a:off x="0" y="0"/>
                                <a:ext cx="114300" cy="0"/>
                              </a:xfrm>
                              <a:prstGeom prst="line">
                                <a:avLst/>
                              </a:prstGeom>
                              <a:ln w="15875" cap="flat" cmpd="sng">
                                <a:solidFill>
                                  <a:srgbClr val="739CC3"/>
                                </a:solidFill>
                                <a:prstDash val="solid"/>
                                <a:headEnd type="none" w="med" len="med"/>
                                <a:tailEnd type="none" w="med" len="med"/>
                              </a:ln>
                            </wps:spPr>
                            <wps:bodyPr/>
                          </wps:wsp>
                        </a:graphicData>
                      </a:graphic>
                    </wp:anchor>
                  </w:drawing>
                </mc:Choice>
                <mc:Fallback>
                  <w:pict>
                    <v:line id="_x0000_s1026" o:spid="_x0000_s1026" o:spt="20" style="position:absolute;left:0pt;flip:x;margin-left:0.25pt;margin-top:18.4pt;height:0pt;width:9pt;z-index:251660288;mso-width-relative:page;mso-height-relative:page;" filled="f" stroked="t" coordsize="21600,21600" o:gfxdata="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aqohPSAAAABQEAAA8AAAAAAAAAAQAgAAAAIgAAAGRycy9kb3ducmV2LnhtbFBLAQIUABQA&#10;AAAIAIdO4kCzGpyg9gEAAOIDAAAOAAAAAAAAAAEAIAAAACEBAABkcnMvZTJvRG9jLnhtbFBLBQYA&#10;AAAABgAGAFkBAACJBQAAAAA=&#10;">
                      <v:fill on="f" focussize="0,0"/>
                      <v:stroke weight="1.25pt" color="#739CC3" joinstyle="round"/>
                      <v:imagedata o:title=""/>
                      <o:lock v:ext="edit" aspectratio="f"/>
                    </v:line>
                  </w:pict>
                </mc:Fallback>
              </mc:AlternateContent>
            </w:r>
            <w:r>
              <w:rPr>
                <w:b/>
                <w:bCs/>
                <w:sz w:val="30"/>
                <w:szCs w:val="30"/>
              </w:rPr>
              <w:t>院　　别</w:t>
            </w:r>
          </w:p>
        </w:tc>
        <w:tc>
          <w:tcPr>
            <w:tcW w:w="3064" w:type="dxa"/>
            <w:tcBorders>
              <w:bottom w:val="single" w:color="auto" w:sz="4" w:space="0"/>
            </w:tcBorders>
          </w:tcPr>
          <w:p w14:paraId="6315EB7F">
            <w:pPr>
              <w:spacing w:line="600" w:lineRule="exact"/>
              <w:jc w:val="center"/>
              <w:rPr>
                <w:b/>
                <w:bCs/>
                <w:sz w:val="30"/>
                <w:szCs w:val="30"/>
              </w:rPr>
            </w:pPr>
            <w:r>
              <w:rPr>
                <w:rFonts w:hint="eastAsia"/>
                <w:b/>
                <w:bCs/>
                <w:sz w:val="30"/>
                <w:szCs w:val="30"/>
              </w:rPr>
              <w:t>信息技术与管理学院</w:t>
            </w:r>
            <w:r>
              <w:rPr>
                <w:b/>
                <w:bCs/>
                <w:sz w:val="30"/>
                <w:szCs w:val="30"/>
              </w:rPr>
              <w:t xml:space="preserve">    </w:t>
            </w:r>
          </w:p>
        </w:tc>
        <w:tc>
          <w:tcPr>
            <w:tcW w:w="1080" w:type="dxa"/>
          </w:tcPr>
          <w:p w14:paraId="1AF9DFF2">
            <w:pPr>
              <w:spacing w:line="600" w:lineRule="exact"/>
              <w:ind w:left="-105" w:leftChars="-50" w:right="-105" w:rightChars="-50"/>
              <w:jc w:val="center"/>
              <w:rPr>
                <w:b/>
                <w:bCs/>
                <w:sz w:val="30"/>
                <w:szCs w:val="30"/>
              </w:rPr>
            </w:pPr>
            <w:r>
              <w:rPr>
                <w:b/>
                <w:bCs/>
                <w:sz w:val="30"/>
                <w:szCs w:val="30"/>
              </w:rPr>
              <w:t>专   业</w:t>
            </w:r>
          </w:p>
        </w:tc>
        <w:tc>
          <w:tcPr>
            <w:tcW w:w="3616" w:type="dxa"/>
            <w:tcBorders>
              <w:bottom w:val="single" w:color="auto" w:sz="4" w:space="0"/>
            </w:tcBorders>
          </w:tcPr>
          <w:p w14:paraId="714264D2">
            <w:pPr>
              <w:spacing w:line="600" w:lineRule="exact"/>
              <w:jc w:val="center"/>
              <w:rPr>
                <w:b/>
                <w:bCs/>
                <w:sz w:val="30"/>
                <w:szCs w:val="30"/>
              </w:rPr>
            </w:pPr>
            <w:r>
              <w:rPr>
                <w:rFonts w:hint="eastAsia"/>
                <w:b/>
                <w:bCs/>
                <w:sz w:val="30"/>
                <w:szCs w:val="30"/>
              </w:rPr>
              <w:t>人工智能</w:t>
            </w:r>
          </w:p>
        </w:tc>
      </w:tr>
      <w:tr w14:paraId="38424772">
        <w:tblPrEx>
          <w:tblCellMar>
            <w:top w:w="0" w:type="dxa"/>
            <w:left w:w="108" w:type="dxa"/>
            <w:bottom w:w="0" w:type="dxa"/>
            <w:right w:w="108" w:type="dxa"/>
          </w:tblCellMar>
        </w:tblPrEx>
        <w:tc>
          <w:tcPr>
            <w:tcW w:w="1368" w:type="dxa"/>
          </w:tcPr>
          <w:p w14:paraId="389BA565">
            <w:pPr>
              <w:spacing w:line="600" w:lineRule="exact"/>
              <w:ind w:left="-105" w:leftChars="-50" w:right="-105" w:rightChars="-50"/>
              <w:jc w:val="center"/>
              <w:rPr>
                <w:b/>
                <w:bCs/>
                <w:sz w:val="30"/>
                <w:szCs w:val="30"/>
              </w:rPr>
            </w:pPr>
            <w:r>
              <w:rPr>
                <w:b/>
                <w:bCs/>
                <w:sz w:val="30"/>
                <w:szCs w:val="30"/>
              </w:rPr>
              <w:t>届    别</w:t>
            </w:r>
          </w:p>
        </w:tc>
        <w:tc>
          <w:tcPr>
            <w:tcW w:w="3064" w:type="dxa"/>
            <w:tcBorders>
              <w:top w:val="single" w:color="auto" w:sz="4" w:space="0"/>
              <w:bottom w:val="single" w:color="auto" w:sz="4" w:space="0"/>
            </w:tcBorders>
          </w:tcPr>
          <w:p w14:paraId="001516C2">
            <w:pPr>
              <w:spacing w:line="600" w:lineRule="exact"/>
              <w:jc w:val="center"/>
              <w:rPr>
                <w:b/>
                <w:bCs/>
                <w:sz w:val="30"/>
                <w:szCs w:val="30"/>
              </w:rPr>
            </w:pPr>
            <w:r>
              <w:rPr>
                <w:b/>
                <w:bCs/>
                <w:sz w:val="30"/>
                <w:szCs w:val="30"/>
              </w:rPr>
              <w:t>20</w:t>
            </w:r>
            <w:r>
              <w:rPr>
                <w:rFonts w:hint="eastAsia"/>
                <w:b/>
                <w:bCs/>
                <w:sz w:val="30"/>
                <w:szCs w:val="30"/>
              </w:rPr>
              <w:t>2</w:t>
            </w:r>
            <w:r>
              <w:rPr>
                <w:rFonts w:hint="eastAsia"/>
                <w:b/>
                <w:bCs/>
                <w:sz w:val="30"/>
                <w:szCs w:val="30"/>
                <w:lang w:val="en-US" w:eastAsia="zh-CN"/>
              </w:rPr>
              <w:t>6</w:t>
            </w:r>
            <w:r>
              <w:rPr>
                <w:b/>
                <w:bCs/>
                <w:sz w:val="30"/>
                <w:szCs w:val="30"/>
              </w:rPr>
              <w:t>届</w:t>
            </w:r>
          </w:p>
        </w:tc>
        <w:tc>
          <w:tcPr>
            <w:tcW w:w="1080" w:type="dxa"/>
          </w:tcPr>
          <w:p w14:paraId="579ECD73">
            <w:pPr>
              <w:spacing w:line="600" w:lineRule="exact"/>
              <w:ind w:left="-105" w:leftChars="-50" w:right="-105" w:rightChars="-50"/>
              <w:jc w:val="center"/>
              <w:rPr>
                <w:b/>
                <w:bCs/>
                <w:sz w:val="30"/>
                <w:szCs w:val="30"/>
              </w:rPr>
            </w:pPr>
            <w:r>
              <w:rPr>
                <w:b/>
                <w:bCs/>
                <w:sz w:val="30"/>
                <w:szCs w:val="30"/>
              </w:rPr>
              <w:t>班   级</w:t>
            </w:r>
          </w:p>
        </w:tc>
        <w:tc>
          <w:tcPr>
            <w:tcW w:w="3616" w:type="dxa"/>
            <w:tcBorders>
              <w:top w:val="single" w:color="auto" w:sz="4" w:space="0"/>
              <w:bottom w:val="single" w:color="auto" w:sz="4" w:space="0"/>
            </w:tcBorders>
          </w:tcPr>
          <w:p w14:paraId="22E1CA17">
            <w:pPr>
              <w:spacing w:line="600" w:lineRule="exact"/>
              <w:jc w:val="center"/>
              <w:rPr>
                <w:b/>
                <w:bCs/>
                <w:sz w:val="30"/>
                <w:szCs w:val="30"/>
              </w:rPr>
            </w:pPr>
            <w:r>
              <w:rPr>
                <w:b/>
                <w:bCs/>
                <w:sz w:val="30"/>
                <w:szCs w:val="30"/>
              </w:rPr>
              <w:t>20</w:t>
            </w:r>
            <w:r>
              <w:rPr>
                <w:rFonts w:hint="eastAsia"/>
                <w:b/>
                <w:bCs/>
                <w:sz w:val="30"/>
                <w:szCs w:val="30"/>
              </w:rPr>
              <w:t>2</w:t>
            </w:r>
            <w:r>
              <w:rPr>
                <w:rFonts w:hint="eastAsia"/>
                <w:b/>
                <w:bCs/>
                <w:sz w:val="30"/>
                <w:szCs w:val="30"/>
                <w:lang w:val="en-US" w:eastAsia="zh-CN"/>
              </w:rPr>
              <w:t>2</w:t>
            </w:r>
            <w:r>
              <w:rPr>
                <w:b/>
                <w:bCs/>
                <w:sz w:val="30"/>
                <w:szCs w:val="30"/>
              </w:rPr>
              <w:t>级</w:t>
            </w:r>
            <w:r>
              <w:rPr>
                <w:rFonts w:hint="eastAsia"/>
                <w:b/>
                <w:bCs/>
                <w:sz w:val="30"/>
                <w:szCs w:val="30"/>
              </w:rPr>
              <w:t>人工智能</w:t>
            </w:r>
            <w:r>
              <w:rPr>
                <w:rFonts w:hint="eastAsia"/>
                <w:b/>
                <w:bCs/>
                <w:sz w:val="30"/>
                <w:szCs w:val="30"/>
                <w:lang w:val="en-US" w:eastAsia="zh-CN"/>
              </w:rPr>
              <w:t>2</w:t>
            </w:r>
            <w:r>
              <w:rPr>
                <w:b/>
                <w:bCs/>
                <w:sz w:val="30"/>
                <w:szCs w:val="30"/>
              </w:rPr>
              <w:t>班</w:t>
            </w:r>
          </w:p>
        </w:tc>
      </w:tr>
      <w:tr w14:paraId="0C80D4B3">
        <w:tblPrEx>
          <w:tblCellMar>
            <w:top w:w="0" w:type="dxa"/>
            <w:left w:w="108" w:type="dxa"/>
            <w:bottom w:w="0" w:type="dxa"/>
            <w:right w:w="108" w:type="dxa"/>
          </w:tblCellMar>
        </w:tblPrEx>
        <w:tc>
          <w:tcPr>
            <w:tcW w:w="1368" w:type="dxa"/>
          </w:tcPr>
          <w:p w14:paraId="7436ADA3">
            <w:pPr>
              <w:spacing w:line="600" w:lineRule="exact"/>
              <w:ind w:left="-105" w:leftChars="-50" w:right="-105" w:rightChars="-50"/>
              <w:jc w:val="center"/>
              <w:rPr>
                <w:b/>
                <w:bCs/>
                <w:sz w:val="30"/>
                <w:szCs w:val="30"/>
              </w:rPr>
            </w:pPr>
            <w:r>
              <w:rPr>
                <w:b/>
                <w:bCs/>
                <w:sz w:val="30"/>
                <w:szCs w:val="30"/>
              </w:rPr>
              <w:t>学生姓名</w:t>
            </w:r>
          </w:p>
        </w:tc>
        <w:tc>
          <w:tcPr>
            <w:tcW w:w="3064" w:type="dxa"/>
            <w:tcBorders>
              <w:top w:val="single" w:color="auto" w:sz="4" w:space="0"/>
              <w:bottom w:val="single" w:color="auto" w:sz="4" w:space="0"/>
            </w:tcBorders>
          </w:tcPr>
          <w:p w14:paraId="190C6BF2">
            <w:pPr>
              <w:spacing w:line="600" w:lineRule="exact"/>
              <w:jc w:val="center"/>
              <w:rPr>
                <w:rFonts w:hint="eastAsia" w:eastAsia="宋体"/>
                <w:b/>
                <w:bCs/>
                <w:sz w:val="30"/>
                <w:szCs w:val="30"/>
                <w:lang w:eastAsia="zh-CN"/>
              </w:rPr>
            </w:pPr>
            <w:r>
              <w:rPr>
                <w:rFonts w:hint="eastAsia"/>
                <w:b/>
                <w:bCs/>
                <w:sz w:val="30"/>
                <w:szCs w:val="30"/>
                <w:lang w:val="en-US" w:eastAsia="zh-CN"/>
              </w:rPr>
              <w:t>杨佳敏</w:t>
            </w:r>
          </w:p>
        </w:tc>
        <w:tc>
          <w:tcPr>
            <w:tcW w:w="1080" w:type="dxa"/>
          </w:tcPr>
          <w:p w14:paraId="0F17068B">
            <w:pPr>
              <w:spacing w:line="600" w:lineRule="exact"/>
              <w:ind w:left="-105" w:leftChars="-50" w:right="-105" w:rightChars="-50"/>
              <w:jc w:val="center"/>
              <w:rPr>
                <w:b/>
                <w:bCs/>
                <w:sz w:val="30"/>
                <w:szCs w:val="30"/>
              </w:rPr>
            </w:pPr>
            <w:r>
              <w:rPr>
                <w:b/>
                <w:bCs/>
                <w:sz w:val="30"/>
                <w:szCs w:val="30"/>
              </w:rPr>
              <w:t>学   号</w:t>
            </w:r>
          </w:p>
        </w:tc>
        <w:tc>
          <w:tcPr>
            <w:tcW w:w="3616" w:type="dxa"/>
            <w:tcBorders>
              <w:top w:val="single" w:color="auto" w:sz="4" w:space="0"/>
              <w:bottom w:val="single" w:color="auto" w:sz="4" w:space="0"/>
            </w:tcBorders>
          </w:tcPr>
          <w:p w14:paraId="099190DE">
            <w:pPr>
              <w:spacing w:line="600" w:lineRule="exact"/>
              <w:jc w:val="center"/>
              <w:rPr>
                <w:rFonts w:hint="default" w:eastAsia="宋体"/>
                <w:b/>
                <w:bCs/>
                <w:sz w:val="30"/>
                <w:szCs w:val="30"/>
                <w:lang w:val="en-US" w:eastAsia="zh-CN"/>
              </w:rPr>
            </w:pPr>
            <w:r>
              <w:rPr>
                <w:rFonts w:hint="eastAsia"/>
                <w:b/>
                <w:bCs/>
                <w:sz w:val="30"/>
                <w:szCs w:val="30"/>
              </w:rPr>
              <w:t>202</w:t>
            </w:r>
            <w:r>
              <w:rPr>
                <w:rFonts w:hint="eastAsia"/>
                <w:b/>
                <w:bCs/>
                <w:sz w:val="30"/>
                <w:szCs w:val="30"/>
                <w:lang w:val="en-US" w:eastAsia="zh-CN"/>
              </w:rPr>
              <w:t>205630445</w:t>
            </w:r>
          </w:p>
        </w:tc>
      </w:tr>
      <w:tr w14:paraId="0D058955">
        <w:tblPrEx>
          <w:tblCellMar>
            <w:top w:w="0" w:type="dxa"/>
            <w:left w:w="108" w:type="dxa"/>
            <w:bottom w:w="0" w:type="dxa"/>
            <w:right w:w="108" w:type="dxa"/>
          </w:tblCellMar>
        </w:tblPrEx>
        <w:tc>
          <w:tcPr>
            <w:tcW w:w="1368" w:type="dxa"/>
          </w:tcPr>
          <w:p w14:paraId="3270FA0D">
            <w:pPr>
              <w:spacing w:line="600" w:lineRule="exact"/>
              <w:ind w:left="-105" w:leftChars="-50" w:right="-105" w:rightChars="-50"/>
              <w:jc w:val="center"/>
              <w:rPr>
                <w:b/>
                <w:bCs/>
                <w:sz w:val="30"/>
                <w:szCs w:val="30"/>
              </w:rPr>
            </w:pPr>
            <w:r>
              <w:rPr>
                <w:b/>
                <w:bCs/>
                <w:sz w:val="30"/>
                <w:szCs w:val="30"/>
              </w:rPr>
              <w:t>指导教师</w:t>
            </w:r>
          </w:p>
        </w:tc>
        <w:tc>
          <w:tcPr>
            <w:tcW w:w="3064" w:type="dxa"/>
            <w:tcBorders>
              <w:top w:val="single" w:color="auto" w:sz="4" w:space="0"/>
              <w:bottom w:val="single" w:color="auto" w:sz="4" w:space="0"/>
            </w:tcBorders>
          </w:tcPr>
          <w:p w14:paraId="502635CD">
            <w:pPr>
              <w:spacing w:line="600" w:lineRule="exact"/>
              <w:jc w:val="center"/>
              <w:rPr>
                <w:b/>
                <w:bCs/>
                <w:sz w:val="30"/>
                <w:szCs w:val="30"/>
              </w:rPr>
            </w:pPr>
            <w:r>
              <w:rPr>
                <w:rFonts w:hint="eastAsia"/>
                <w:b/>
                <w:bCs/>
                <w:sz w:val="30"/>
                <w:szCs w:val="30"/>
              </w:rPr>
              <w:t>刘兴庭</w:t>
            </w:r>
          </w:p>
        </w:tc>
        <w:tc>
          <w:tcPr>
            <w:tcW w:w="1080" w:type="dxa"/>
          </w:tcPr>
          <w:p w14:paraId="21E0FC8B">
            <w:pPr>
              <w:spacing w:line="600" w:lineRule="exact"/>
              <w:ind w:left="-105" w:leftChars="-50" w:right="-105" w:rightChars="-50"/>
              <w:jc w:val="center"/>
              <w:rPr>
                <w:b/>
                <w:bCs/>
                <w:sz w:val="30"/>
                <w:szCs w:val="30"/>
              </w:rPr>
            </w:pPr>
            <w:r>
              <w:rPr>
                <w:b/>
                <w:bCs/>
                <w:sz w:val="30"/>
                <w:szCs w:val="30"/>
              </w:rPr>
              <w:t>职   称</w:t>
            </w:r>
          </w:p>
        </w:tc>
        <w:tc>
          <w:tcPr>
            <w:tcW w:w="3616" w:type="dxa"/>
            <w:tcBorders>
              <w:top w:val="single" w:color="auto" w:sz="4" w:space="0"/>
              <w:bottom w:val="single" w:color="auto" w:sz="4" w:space="0"/>
            </w:tcBorders>
          </w:tcPr>
          <w:p w14:paraId="50B85029">
            <w:pPr>
              <w:spacing w:line="600" w:lineRule="exact"/>
              <w:jc w:val="center"/>
              <w:rPr>
                <w:b/>
                <w:bCs/>
                <w:sz w:val="30"/>
                <w:szCs w:val="30"/>
              </w:rPr>
            </w:pPr>
            <w:r>
              <w:rPr>
                <w:rFonts w:hint="eastAsia"/>
                <w:b/>
                <w:bCs/>
                <w:sz w:val="30"/>
                <w:szCs w:val="30"/>
              </w:rPr>
              <w:t>讲师</w:t>
            </w:r>
          </w:p>
        </w:tc>
      </w:tr>
    </w:tbl>
    <w:p w14:paraId="1FE03513">
      <w:pPr>
        <w:rPr>
          <w:w w:val="90"/>
          <w:sz w:val="32"/>
          <w:szCs w:val="32"/>
        </w:rPr>
      </w:pPr>
    </w:p>
    <w:p w14:paraId="7E8E4EB1">
      <w:pPr>
        <w:rPr>
          <w:w w:val="90"/>
          <w:sz w:val="32"/>
          <w:szCs w:val="32"/>
        </w:rPr>
      </w:pPr>
    </w:p>
    <w:p w14:paraId="2B40BF92">
      <w:pPr>
        <w:rPr>
          <w:w w:val="90"/>
          <w:sz w:val="32"/>
          <w:szCs w:val="32"/>
        </w:rPr>
      </w:pPr>
    </w:p>
    <w:p w14:paraId="7C7C297D">
      <w:pPr>
        <w:rPr>
          <w:w w:val="90"/>
          <w:sz w:val="32"/>
          <w:szCs w:val="32"/>
        </w:rPr>
      </w:pPr>
    </w:p>
    <w:p w14:paraId="4A7ADB29">
      <w:pPr>
        <w:rPr>
          <w:w w:val="90"/>
          <w:sz w:val="32"/>
          <w:szCs w:val="32"/>
        </w:rPr>
      </w:pPr>
    </w:p>
    <w:p w14:paraId="6DCD0C99">
      <w:pPr>
        <w:pStyle w:val="6"/>
        <w:spacing w:line="400" w:lineRule="exact"/>
        <w:jc w:val="center"/>
        <w:rPr>
          <w:rFonts w:ascii="Times New Roman" w:hAnsi="Times New Roman" w:cs="Times New Roman"/>
          <w:b/>
          <w:sz w:val="32"/>
          <w:szCs w:val="32"/>
        </w:rPr>
      </w:pPr>
      <w:r>
        <w:rPr>
          <w:rFonts w:ascii="Times New Roman" w:hAnsi="Times New Roman" w:cs="Times New Roman"/>
          <w:b/>
          <w:sz w:val="32"/>
          <w:szCs w:val="32"/>
        </w:rPr>
        <w:t>湖南财政经济学院教务处制</w:t>
      </w:r>
    </w:p>
    <w:p w14:paraId="3A896F1F">
      <w:pPr>
        <w:jc w:val="center"/>
        <w:rPr>
          <w:sz w:val="24"/>
        </w:rPr>
      </w:pPr>
      <w:r>
        <w:rPr>
          <w:b/>
          <w:bCs/>
          <w:sz w:val="32"/>
          <w:szCs w:val="32"/>
        </w:rPr>
        <w:t>20</w:t>
      </w:r>
      <w:r>
        <w:rPr>
          <w:rFonts w:hint="eastAsia"/>
          <w:b/>
          <w:bCs/>
          <w:sz w:val="32"/>
          <w:szCs w:val="32"/>
        </w:rPr>
        <w:t>2</w:t>
      </w:r>
      <w:r>
        <w:rPr>
          <w:rFonts w:hint="eastAsia"/>
          <w:b/>
          <w:bCs/>
          <w:sz w:val="32"/>
          <w:szCs w:val="32"/>
          <w:lang w:val="en-US" w:eastAsia="zh-CN"/>
        </w:rPr>
        <w:t>5</w:t>
      </w:r>
      <w:r>
        <w:rPr>
          <w:b/>
          <w:bCs/>
          <w:sz w:val="32"/>
          <w:szCs w:val="32"/>
        </w:rPr>
        <w:t xml:space="preserve"> 年 </w:t>
      </w:r>
      <w:r>
        <w:rPr>
          <w:rFonts w:hint="eastAsia"/>
          <w:b/>
          <w:bCs/>
          <w:sz w:val="32"/>
          <w:szCs w:val="32"/>
        </w:rPr>
        <w:t>1</w:t>
      </w:r>
      <w:r>
        <w:rPr>
          <w:rFonts w:hint="eastAsia"/>
          <w:b/>
          <w:bCs/>
          <w:sz w:val="32"/>
          <w:szCs w:val="32"/>
          <w:lang w:val="en-US" w:eastAsia="zh-CN"/>
        </w:rPr>
        <w:t>2</w:t>
      </w:r>
      <w:r>
        <w:rPr>
          <w:b/>
          <w:bCs/>
          <w:sz w:val="32"/>
          <w:szCs w:val="32"/>
        </w:rPr>
        <w:t xml:space="preserve"> 月</w:t>
      </w:r>
    </w:p>
    <w:p w14:paraId="7CABEA10">
      <w:pPr>
        <w:sectPr>
          <w:headerReference r:id="rId3" w:type="default"/>
          <w:footerReference r:id="rId5" w:type="default"/>
          <w:headerReference r:id="rId4" w:type="even"/>
          <w:footerReference r:id="rId6" w:type="even"/>
          <w:pgSz w:w="11906" w:h="16838"/>
          <w:pgMar w:top="1701" w:right="1701" w:bottom="1531" w:left="1701" w:header="1134" w:footer="1134" w:gutter="567"/>
          <w:pgNumType w:start="1"/>
          <w:cols w:space="720" w:num="1"/>
          <w:docGrid w:type="lines" w:linePitch="438" w:charSpace="4800"/>
        </w:sectPr>
      </w:pPr>
    </w:p>
    <w:p w14:paraId="2AF87664">
      <w:pPr>
        <w:pStyle w:val="2"/>
        <w:spacing w:line="360" w:lineRule="exact"/>
        <w:rPr>
          <w:rFonts w:eastAsia="方正黑体简体"/>
          <w:b w:val="0"/>
        </w:rPr>
      </w:pPr>
      <w:bookmarkStart w:id="0" w:name="_Toc25319"/>
      <w:r>
        <w:rPr>
          <w:rFonts w:eastAsia="方正黑体简体"/>
          <w:b w:val="0"/>
        </w:rPr>
        <w:t>本科毕业论文（设计）开题报告及任务书</w:t>
      </w:r>
      <w:bookmarkEnd w:id="0"/>
    </w:p>
    <w:tbl>
      <w:tblPr>
        <w:tblStyle w:val="11"/>
        <w:tblW w:w="4927"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317"/>
        <w:gridCol w:w="323"/>
        <w:gridCol w:w="760"/>
        <w:gridCol w:w="963"/>
        <w:gridCol w:w="1569"/>
        <w:gridCol w:w="969"/>
        <w:gridCol w:w="400"/>
        <w:gridCol w:w="509"/>
        <w:gridCol w:w="1751"/>
        <w:gridCol w:w="33"/>
      </w:tblGrid>
      <w:tr w14:paraId="791C9A3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408" w:hRule="atLeast"/>
          <w:jc w:val="center"/>
        </w:trPr>
        <w:tc>
          <w:tcPr>
            <w:tcW w:w="1396" w:type="pct"/>
            <w:gridSpan w:val="3"/>
            <w:vAlign w:val="center"/>
          </w:tcPr>
          <w:p w14:paraId="5DFF5FE1">
            <w:pPr>
              <w:spacing w:line="440" w:lineRule="exact"/>
              <w:jc w:val="center"/>
              <w:rPr>
                <w:sz w:val="24"/>
              </w:rPr>
            </w:pPr>
            <w:r>
              <w:rPr>
                <w:sz w:val="24"/>
              </w:rPr>
              <w:t>论文（设计）题目</w:t>
            </w:r>
          </w:p>
        </w:tc>
        <w:tc>
          <w:tcPr>
            <w:tcW w:w="3603" w:type="pct"/>
            <w:gridSpan w:val="7"/>
            <w:vAlign w:val="center"/>
          </w:tcPr>
          <w:p w14:paraId="5BA8C716">
            <w:pPr>
              <w:spacing w:line="440" w:lineRule="exact"/>
              <w:jc w:val="center"/>
              <w:rPr>
                <w:sz w:val="24"/>
              </w:rPr>
            </w:pPr>
            <w:r>
              <w:rPr>
                <w:rFonts w:hint="eastAsia" w:asciiTheme="minorEastAsia" w:hAnsiTheme="minorEastAsia" w:eastAsiaTheme="minorEastAsia" w:cstheme="minorEastAsia"/>
                <w:sz w:val="24"/>
              </w:rPr>
              <w:t>YOLOv11 优化及其在田间</w:t>
            </w:r>
            <w:bookmarkStart w:id="1" w:name="OLE_LINK2"/>
            <w:r>
              <w:rPr>
                <w:rFonts w:hint="eastAsia" w:asciiTheme="minorEastAsia" w:hAnsiTheme="minorEastAsia" w:eastAsiaTheme="minorEastAsia" w:cstheme="minorEastAsia"/>
                <w:sz w:val="24"/>
              </w:rPr>
              <w:t>小麦穗实时检测</w:t>
            </w:r>
            <w:r>
              <w:rPr>
                <w:rFonts w:hint="eastAsia" w:asciiTheme="minorEastAsia" w:hAnsiTheme="minorEastAsia" w:eastAsiaTheme="minorEastAsia" w:cstheme="minorEastAsia"/>
                <w:sz w:val="24"/>
                <w:lang w:val="en-US" w:eastAsia="zh-CN"/>
              </w:rPr>
              <w:t>计数</w:t>
            </w:r>
            <w:bookmarkEnd w:id="1"/>
            <w:r>
              <w:rPr>
                <w:rFonts w:hint="eastAsia" w:asciiTheme="minorEastAsia" w:hAnsiTheme="minorEastAsia" w:eastAsiaTheme="minorEastAsia" w:cstheme="minorEastAsia"/>
                <w:sz w:val="24"/>
              </w:rPr>
              <w:t>中的应用</w:t>
            </w:r>
          </w:p>
        </w:tc>
      </w:tr>
      <w:tr w14:paraId="26B48B0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455" w:hRule="atLeast"/>
          <w:jc w:val="center"/>
        </w:trPr>
        <w:tc>
          <w:tcPr>
            <w:tcW w:w="766" w:type="pct"/>
            <w:vAlign w:val="center"/>
          </w:tcPr>
          <w:p w14:paraId="122F8DD8">
            <w:pPr>
              <w:spacing w:line="440" w:lineRule="exact"/>
              <w:jc w:val="center"/>
              <w:rPr>
                <w:sz w:val="24"/>
              </w:rPr>
            </w:pPr>
            <w:r>
              <w:rPr>
                <w:sz w:val="24"/>
              </w:rPr>
              <w:t>学生姓名</w:t>
            </w:r>
          </w:p>
        </w:tc>
        <w:tc>
          <w:tcPr>
            <w:tcW w:w="630" w:type="pct"/>
            <w:gridSpan w:val="2"/>
            <w:vAlign w:val="center"/>
          </w:tcPr>
          <w:p w14:paraId="1217359D">
            <w:pPr>
              <w:spacing w:line="440" w:lineRule="exact"/>
              <w:jc w:val="center"/>
              <w:rPr>
                <w:rFonts w:hint="eastAsia" w:eastAsia="宋体"/>
                <w:sz w:val="24"/>
                <w:lang w:val="en-US" w:eastAsia="zh-CN"/>
              </w:rPr>
            </w:pPr>
            <w:r>
              <w:rPr>
                <w:rFonts w:hint="eastAsia"/>
                <w:sz w:val="24"/>
                <w:lang w:val="en-US" w:eastAsia="zh-CN"/>
              </w:rPr>
              <w:t>杨佳敏</w:t>
            </w:r>
          </w:p>
        </w:tc>
        <w:tc>
          <w:tcPr>
            <w:tcW w:w="560" w:type="pct"/>
            <w:vAlign w:val="center"/>
          </w:tcPr>
          <w:p w14:paraId="76551632">
            <w:pPr>
              <w:spacing w:line="440" w:lineRule="exact"/>
              <w:jc w:val="center"/>
              <w:rPr>
                <w:sz w:val="24"/>
              </w:rPr>
            </w:pPr>
            <w:r>
              <w:rPr>
                <w:sz w:val="24"/>
              </w:rPr>
              <w:t>专业</w:t>
            </w:r>
          </w:p>
        </w:tc>
        <w:tc>
          <w:tcPr>
            <w:tcW w:w="1477" w:type="pct"/>
            <w:gridSpan w:val="2"/>
            <w:vAlign w:val="center"/>
          </w:tcPr>
          <w:p w14:paraId="2DED0D57">
            <w:pPr>
              <w:spacing w:line="440" w:lineRule="exact"/>
              <w:jc w:val="center"/>
              <w:rPr>
                <w:sz w:val="24"/>
              </w:rPr>
            </w:pPr>
            <w:r>
              <w:rPr>
                <w:rFonts w:hint="eastAsia"/>
                <w:sz w:val="24"/>
              </w:rPr>
              <w:t>人工智能</w:t>
            </w:r>
          </w:p>
        </w:tc>
        <w:tc>
          <w:tcPr>
            <w:tcW w:w="529" w:type="pct"/>
            <w:gridSpan w:val="2"/>
            <w:vAlign w:val="center"/>
          </w:tcPr>
          <w:p w14:paraId="392501A7">
            <w:pPr>
              <w:spacing w:line="440" w:lineRule="exact"/>
              <w:jc w:val="center"/>
              <w:rPr>
                <w:sz w:val="24"/>
              </w:rPr>
            </w:pPr>
            <w:r>
              <w:rPr>
                <w:sz w:val="24"/>
              </w:rPr>
              <w:t>学号</w:t>
            </w:r>
          </w:p>
        </w:tc>
        <w:tc>
          <w:tcPr>
            <w:tcW w:w="1036" w:type="pct"/>
            <w:gridSpan w:val="2"/>
          </w:tcPr>
          <w:p w14:paraId="7D11B732">
            <w:pPr>
              <w:spacing w:line="440" w:lineRule="exact"/>
              <w:jc w:val="center"/>
              <w:rPr>
                <w:rFonts w:hint="default" w:eastAsia="宋体"/>
                <w:sz w:val="24"/>
                <w:lang w:val="en-US" w:eastAsia="zh-CN"/>
              </w:rPr>
            </w:pPr>
            <w:r>
              <w:rPr>
                <w:rFonts w:hint="eastAsia"/>
                <w:sz w:val="24"/>
              </w:rPr>
              <w:t>202</w:t>
            </w:r>
            <w:r>
              <w:rPr>
                <w:rFonts w:hint="eastAsia"/>
                <w:sz w:val="24"/>
                <w:lang w:val="en-US" w:eastAsia="zh-CN"/>
              </w:rPr>
              <w:t>205630445</w:t>
            </w:r>
          </w:p>
        </w:tc>
      </w:tr>
      <w:tr w14:paraId="7840115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455" w:hRule="atLeast"/>
          <w:jc w:val="center"/>
        </w:trPr>
        <w:tc>
          <w:tcPr>
            <w:tcW w:w="954" w:type="pct"/>
            <w:gridSpan w:val="2"/>
            <w:vAlign w:val="center"/>
          </w:tcPr>
          <w:p w14:paraId="2035B3A7">
            <w:pPr>
              <w:spacing w:line="440" w:lineRule="exact"/>
              <w:jc w:val="center"/>
              <w:rPr>
                <w:sz w:val="24"/>
              </w:rPr>
            </w:pPr>
            <w:r>
              <w:rPr>
                <w:sz w:val="24"/>
              </w:rPr>
              <w:t>指导教师</w:t>
            </w:r>
          </w:p>
        </w:tc>
        <w:tc>
          <w:tcPr>
            <w:tcW w:w="1915" w:type="pct"/>
            <w:gridSpan w:val="3"/>
            <w:vAlign w:val="center"/>
          </w:tcPr>
          <w:p w14:paraId="5FD21FFA">
            <w:pPr>
              <w:spacing w:line="440" w:lineRule="exact"/>
              <w:jc w:val="center"/>
              <w:rPr>
                <w:sz w:val="24"/>
              </w:rPr>
            </w:pPr>
            <w:r>
              <w:rPr>
                <w:rFonts w:hint="eastAsia"/>
                <w:sz w:val="24"/>
              </w:rPr>
              <w:t>刘兴庭</w:t>
            </w:r>
          </w:p>
        </w:tc>
        <w:tc>
          <w:tcPr>
            <w:tcW w:w="797" w:type="pct"/>
            <w:gridSpan w:val="2"/>
            <w:vAlign w:val="center"/>
          </w:tcPr>
          <w:p w14:paraId="183515BE">
            <w:pPr>
              <w:spacing w:line="440" w:lineRule="exact"/>
              <w:jc w:val="center"/>
              <w:rPr>
                <w:sz w:val="24"/>
              </w:rPr>
            </w:pPr>
            <w:r>
              <w:rPr>
                <w:sz w:val="24"/>
              </w:rPr>
              <w:t>职  称</w:t>
            </w:r>
          </w:p>
        </w:tc>
        <w:tc>
          <w:tcPr>
            <w:tcW w:w="1332" w:type="pct"/>
            <w:gridSpan w:val="3"/>
            <w:vAlign w:val="center"/>
          </w:tcPr>
          <w:p w14:paraId="07221FD3">
            <w:pPr>
              <w:spacing w:line="440" w:lineRule="exact"/>
              <w:jc w:val="center"/>
              <w:rPr>
                <w:sz w:val="24"/>
              </w:rPr>
            </w:pPr>
            <w:r>
              <w:rPr>
                <w:rFonts w:hint="eastAsia"/>
                <w:sz w:val="24"/>
              </w:rPr>
              <w:t>讲师</w:t>
            </w:r>
          </w:p>
        </w:tc>
      </w:tr>
      <w:tr w14:paraId="0B34859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4805" w:hRule="atLeast"/>
          <w:jc w:val="center"/>
        </w:trPr>
        <w:tc>
          <w:tcPr>
            <w:tcW w:w="5000" w:type="pct"/>
            <w:gridSpan w:val="10"/>
            <w:tcBorders>
              <w:bottom w:val="single" w:color="auto" w:sz="2" w:space="0"/>
            </w:tcBorders>
          </w:tcPr>
          <w:p w14:paraId="4659244F">
            <w:pPr>
              <w:spacing w:line="440" w:lineRule="exact"/>
              <w:rPr>
                <w:b/>
                <w:bCs/>
                <w:sz w:val="24"/>
              </w:rPr>
            </w:pPr>
            <w:bookmarkStart w:id="2" w:name="OLE_LINK4" w:colFirst="0" w:colLast="0"/>
            <w:r>
              <w:rPr>
                <w:rFonts w:hint="eastAsia"/>
                <w:b/>
                <w:bCs/>
                <w:sz w:val="24"/>
              </w:rPr>
              <w:t>1 选题目的和意义</w:t>
            </w:r>
          </w:p>
          <w:p w14:paraId="32FB910F">
            <w:pPr>
              <w:spacing w:line="440" w:lineRule="exact"/>
              <w:rPr>
                <w:rFonts w:eastAsiaTheme="majorEastAsia" w:cstheme="majorEastAsia"/>
                <w:b/>
                <w:bCs/>
                <w:sz w:val="24"/>
                <w:szCs w:val="28"/>
              </w:rPr>
            </w:pPr>
            <w:r>
              <w:rPr>
                <w:rFonts w:hint="eastAsia" w:eastAsiaTheme="majorEastAsia" w:cstheme="majorEastAsia"/>
                <w:b/>
                <w:bCs/>
                <w:sz w:val="24"/>
                <w:szCs w:val="28"/>
              </w:rPr>
              <w:t>1.1 选题背景</w:t>
            </w:r>
          </w:p>
          <w:p w14:paraId="754E2295">
            <w:pPr>
              <w:ind w:firstLine="480" w:firstLineChars="200"/>
              <w:rPr>
                <w:rFonts w:hint="eastAsia" w:ascii="宋体" w:hAnsi="宋体"/>
                <w:sz w:val="24"/>
                <w:lang w:val="en-US" w:eastAsia="zh-CN"/>
              </w:rPr>
            </w:pPr>
            <w:r>
              <w:rPr>
                <w:rFonts w:hint="eastAsia" w:ascii="宋体" w:hAnsi="宋体"/>
                <w:sz w:val="24"/>
                <w:lang w:val="en-US" w:eastAsia="zh-CN"/>
              </w:rPr>
              <w:t>小麦是我国的主要粮食作物，其产量和质量对保障国家粮食安全具有重要作用。麦穗是预测和评价小麦产量的关键，因此，快速准确地在移动设备上进行麦穗检测和小麦产量计数对于现代智能农业大规模生产具有重要意义。小麦不容易与复杂的杂草背景区分开来；小麦耳的外观因生长期、颜色和所处的小麦类型而有所不同。现有的目标检测算法存在模型大、计算要求高、计算时间长等问题，不适合配置在便携式设备上进行实时现场计算。为了实现现场的实时检测计数，在减少参数数量和计算时间的同时，确保模型检测的准确性至关重要。</w:t>
            </w:r>
          </w:p>
          <w:p w14:paraId="5E0AC805">
            <w:pPr>
              <w:spacing w:line="440" w:lineRule="exact"/>
              <w:ind w:firstLine="480" w:firstLineChars="200"/>
              <w:rPr>
                <w:rFonts w:hint="eastAsia" w:ascii="宋体" w:hAnsi="宋体"/>
                <w:sz w:val="24"/>
              </w:rPr>
            </w:pPr>
            <w:r>
              <w:rPr>
                <w:rFonts w:hint="eastAsia" w:ascii="宋体" w:hAnsi="宋体"/>
                <w:sz w:val="24"/>
                <w:lang w:val="en-US" w:eastAsia="zh-CN"/>
              </w:rPr>
              <w:t>为了提高小麦育种效率与田间表型分析的准确性，近年来许多研究人员致力于利用深度学习技术实现小麦穗的自动检测。传统的检测方法以人工观测和单一数据集训练的简单模型为主，人工观测存在劳动强度大、测量误差大的问题，早期模型则受限于数据多样性不足，难以适配不同基因型、种植密度及光照条件的田间场景，导致检测结果的泛化能力弱、漏检误检率较高。</w:t>
            </w:r>
          </w:p>
          <w:p w14:paraId="7DDCC247">
            <w:pPr>
              <w:spacing w:line="440" w:lineRule="exact"/>
              <w:rPr>
                <w:rFonts w:hint="eastAsia" w:ascii="宋体" w:hAnsi="宋体"/>
                <w:sz w:val="24"/>
              </w:rPr>
            </w:pPr>
            <w:r>
              <w:rPr>
                <w:rFonts w:hint="eastAsia" w:ascii="宋体" w:hAnsi="宋体"/>
                <w:sz w:val="24"/>
                <w:lang w:val="en-US" w:eastAsia="zh-CN"/>
              </w:rPr>
              <w:t>随着深度学习技术在农业计算机视觉领域的深度应用，目标检测网络尤其是 YOLO 系列模型展现出强大的实时检测与复杂场景适配能力。Ultralytics 团队提出的 YOLOv11 作为新一代实时检测架构，与 GWHD（全球小麦穗检测数据集）的跨环境特性高度契合，在小麦穗检测任务中得到重点应用。YOLOv11 通过轻量化骨干网络、跨阶段特征融合及无锚点检测设计，能够在控制参数量的同时，强化对小尺度、密集重叠小麦穗的特征捕捉，即便在田间复杂背景（杂草、土壤）和有限样本条件下，也能实现高效精准的检测效果。</w:t>
            </w:r>
          </w:p>
          <w:p w14:paraId="3F85FBDA">
            <w:pPr>
              <w:spacing w:line="440" w:lineRule="exact"/>
              <w:rPr>
                <w:rFonts w:eastAsiaTheme="majorEastAsia" w:cstheme="majorEastAsia"/>
                <w:b/>
                <w:bCs/>
                <w:sz w:val="24"/>
                <w:szCs w:val="28"/>
              </w:rPr>
            </w:pPr>
            <w:r>
              <w:rPr>
                <w:rFonts w:hint="eastAsia" w:eastAsiaTheme="majorEastAsia" w:cstheme="majorEastAsia"/>
                <w:b/>
                <w:bCs/>
                <w:sz w:val="24"/>
                <w:szCs w:val="28"/>
              </w:rPr>
              <w:t>1.2 研究意义</w:t>
            </w:r>
          </w:p>
          <w:p w14:paraId="016DC770">
            <w:pPr>
              <w:ind w:firstLine="480" w:firstLineChars="200"/>
              <w:rPr>
                <w:rFonts w:hint="eastAsia" w:ascii="宋体" w:hAnsi="宋体"/>
                <w:sz w:val="24"/>
              </w:rPr>
            </w:pPr>
            <w:r>
              <w:rPr>
                <w:rFonts w:hint="eastAsia" w:ascii="宋体" w:hAnsi="宋体"/>
                <w:sz w:val="24"/>
              </w:rPr>
              <w:t>基于深度学习的方法虽然使小麦穗检测性能得到较大提升，但很多改进后的模型结构复杂，尽管检测精度有所提升，却不可避免地增加了计算负担，难以适配田间移动设备的实时检测需求。同时小麦穗具有密集重叠、尺度差异大、田间背景（杂草、土壤）干扰强等特点，仅仅使用原始 YOLOv11n 对其训练，存在特征融合不充分、小目标特征易丢失、背景干扰抑制不足等问题，最终导致模型的检测精度和跨场景泛化能力难以提高。</w:t>
            </w:r>
          </w:p>
          <w:p w14:paraId="74B5ABEF">
            <w:pPr>
              <w:ind w:firstLine="480" w:firstLineChars="200"/>
              <w:rPr>
                <w:rFonts w:ascii="宋体" w:hAnsi="宋体"/>
                <w:sz w:val="24"/>
              </w:rPr>
            </w:pPr>
            <w:r>
              <w:rPr>
                <w:rFonts w:hint="eastAsia" w:ascii="宋体" w:hAnsi="宋体"/>
                <w:sz w:val="24"/>
              </w:rPr>
              <w:t>针对以上问题，本文引入了 Dysample 动态上采样算子与 Slim-Neck 模块，Dysample 算子可根据输入特征图语义分布动态学习采样偏移量，突破固定采样模式的局限，在放大特征图的同时保留小目标细节；Slim-Neck 模块通过注意力机制与跨尺度特征交互技术，强化不同尺度小麦穗特征的聚合与传递。通过这两种机制的协同作用，仅增加少量参数量，就能显著提升密集场景与小目标穗的检测性能，以 YOLOv11n 为基础架构，在 Neck 层嵌入这两个模块，优化特征提取与融合路径，使模型在小麦穗检测中兼具轻量化与强泛化能力。同时，针对小麦穗检测的数据特点，引入高效通道注意力机制抑制背景干扰，结合适配田间数据分布的混合损失函数，该混合损失函数保证了网络能够稳定且有针对性地对重叠穗、小尺度穗等难学习样本进行优化，从而缓解穗部与背景的类不平衡问题，改善模型的检测结果。</w:t>
            </w:r>
          </w:p>
          <w:p w14:paraId="18A6F80F">
            <w:pPr>
              <w:spacing w:line="440" w:lineRule="exact"/>
              <w:rPr>
                <w:b/>
                <w:bCs/>
                <w:sz w:val="24"/>
              </w:rPr>
            </w:pPr>
            <w:r>
              <w:rPr>
                <w:rFonts w:hint="eastAsia"/>
                <w:b/>
                <w:bCs/>
                <w:sz w:val="24"/>
              </w:rPr>
              <w:t>2 国内外研究现状</w:t>
            </w:r>
          </w:p>
          <w:p w14:paraId="67C5CB28">
            <w:pPr>
              <w:spacing w:line="440" w:lineRule="exact"/>
              <w:rPr>
                <w:rFonts w:eastAsiaTheme="majorEastAsia" w:cstheme="majorEastAsia"/>
                <w:b/>
                <w:bCs/>
                <w:sz w:val="24"/>
              </w:rPr>
            </w:pPr>
            <w:r>
              <w:rPr>
                <w:rFonts w:hint="eastAsia" w:eastAsiaTheme="majorEastAsia" w:cstheme="majorEastAsia"/>
                <w:b/>
                <w:bCs/>
                <w:sz w:val="24"/>
              </w:rPr>
              <w:t>2.1 国内研究现状</w:t>
            </w:r>
          </w:p>
          <w:p w14:paraId="558F8F26">
            <w:pPr>
              <w:spacing w:line="440" w:lineRule="exact"/>
              <w:ind w:firstLine="240" w:firstLineChars="100"/>
              <w:rPr>
                <w:rFonts w:hint="eastAsia"/>
                <w:kern w:val="0"/>
                <w:sz w:val="24"/>
              </w:rPr>
            </w:pPr>
            <w:r>
              <w:rPr>
                <w:rFonts w:hint="eastAsia"/>
                <w:kern w:val="0"/>
                <w:sz w:val="24"/>
                <w:lang w:val="en-US" w:eastAsia="zh-CN"/>
              </w:rPr>
              <w:t>基于深度学习的作物检测方法成为目前的研究主流。作物的检测与计数方法主要可分为目标检测网络和密度图估计两种方法。这两种方法都采用卷积神经网络进行特征提取。我国的研究者薛卫等[1]通过集成全局上下文模块（GC-Module）和特征金字塔网络（FPN）增强了 CascadeR-CNN 框架，这种集成增强了语义相关性和特征融合能力，</w:t>
            </w:r>
            <w:r>
              <w:rPr>
                <w:rFonts w:hint="eastAsia"/>
                <w:kern w:val="0"/>
                <w:sz w:val="24"/>
              </w:rPr>
              <w:t>基于深度学习的麦穗检测方法研究进展传统方法普遍依赖人工特征工程如：阈值分割、形态学运算、聚类分析等，刘东等[</w:t>
            </w:r>
            <w:r>
              <w:rPr>
                <w:rFonts w:hint="eastAsia"/>
                <w:kern w:val="0"/>
                <w:sz w:val="24"/>
                <w:lang w:val="en-US" w:eastAsia="zh-CN"/>
              </w:rPr>
              <w:t>2</w:t>
            </w:r>
            <w:r>
              <w:rPr>
                <w:rFonts w:hint="eastAsia"/>
                <w:kern w:val="0"/>
                <w:sz w:val="24"/>
              </w:rPr>
              <w:t>]使用改进的 Harris 角点算法取得 96.06%的麦穗检测精度，但实验处于特定场景下完成，算法存在对环境变动敏感高、较的高计算复杂度、可扩展性差的局限性。相较之下，深度学习方法通过端到端的特征学习策略，在检测精度、处理速度及对不同环境的鲁棒性方面均实现突破，其中，尤其是迁移学习与轻量化技术的融合，如陈佳玮等[</w:t>
            </w:r>
            <w:r>
              <w:rPr>
                <w:rFonts w:hint="eastAsia"/>
                <w:kern w:val="0"/>
                <w:sz w:val="24"/>
                <w:lang w:val="en-US" w:eastAsia="zh-CN"/>
              </w:rPr>
              <w:t>3</w:t>
            </w:r>
            <w:r>
              <w:rPr>
                <w:rFonts w:hint="eastAsia"/>
                <w:kern w:val="0"/>
                <w:sz w:val="24"/>
              </w:rPr>
              <w:t>]通过结合 MobileNetV2 与 YOLOV4，完成了深度学习模型的移动端部署，能够为田间实时监测提供可行性的方案。这种从人工经验驱动到数据特征驱动的转变，标志着作物表型分析进入智能化的新阶段。在传统图像处理方面，毕昆等[</w:t>
            </w:r>
            <w:r>
              <w:rPr>
                <w:rFonts w:hint="eastAsia"/>
                <w:kern w:val="0"/>
                <w:sz w:val="24"/>
                <w:lang w:val="en-US" w:eastAsia="zh-CN"/>
              </w:rPr>
              <w:t>4</w:t>
            </w:r>
            <w:r>
              <w:rPr>
                <w:rFonts w:hint="eastAsia"/>
                <w:kern w:val="0"/>
                <w:sz w:val="24"/>
              </w:rPr>
              <w:t>]将 BP 神经网络与小麦形态学分割融合，通过外接矩阵的长度计算与穗型相关的系数，最终识别准确率 88%。鲍文霞等[</w:t>
            </w:r>
            <w:r>
              <w:rPr>
                <w:rFonts w:hint="eastAsia"/>
                <w:kern w:val="0"/>
                <w:sz w:val="24"/>
                <w:lang w:val="en-US" w:eastAsia="zh-CN"/>
              </w:rPr>
              <w:t>5</w:t>
            </w:r>
            <w:r>
              <w:rPr>
                <w:rFonts w:hint="eastAsia"/>
                <w:kern w:val="0"/>
                <w:sz w:val="24"/>
              </w:rPr>
              <w:t>]基于频谱差异的阈值分割结合形态学运算，实现不同品种小麦的麦穗预测值与真实值0.9 的决定系数 R2。杜世伟等[</w:t>
            </w:r>
            <w:r>
              <w:rPr>
                <w:rFonts w:hint="eastAsia"/>
                <w:kern w:val="0"/>
                <w:sz w:val="24"/>
                <w:lang w:val="en-US" w:eastAsia="zh-CN"/>
              </w:rPr>
              <w:t>6</w:t>
            </w:r>
            <w:r>
              <w:rPr>
                <w:rFonts w:hint="eastAsia"/>
                <w:kern w:val="0"/>
                <w:sz w:val="24"/>
              </w:rPr>
              <w:t>]对二值化图像利用三点抛物线拟合法进行解析，最终完成小麦籽粒提取平均零误差率 68.16%。刘哲等[</w:t>
            </w:r>
            <w:r>
              <w:rPr>
                <w:rFonts w:hint="eastAsia"/>
                <w:kern w:val="0"/>
                <w:sz w:val="24"/>
                <w:lang w:val="en-US" w:eastAsia="zh-CN"/>
              </w:rPr>
              <w:t>7</w:t>
            </w:r>
            <w:r>
              <w:rPr>
                <w:rFonts w:hint="eastAsia"/>
                <w:kern w:val="0"/>
                <w:sz w:val="24"/>
              </w:rPr>
              <w:t>]构建的多元岭回归模型，聚合小麦的轮廓纹理特征与田块单位面积，建立起密度与特征映射关系模型，田间小麦麦苗预测的平均精度高达到 93.99%。</w:t>
            </w:r>
          </w:p>
          <w:p w14:paraId="6CED0B0E">
            <w:pPr>
              <w:spacing w:line="440" w:lineRule="exact"/>
              <w:rPr>
                <w:rFonts w:eastAsiaTheme="majorEastAsia" w:cstheme="majorEastAsia"/>
                <w:b/>
                <w:bCs/>
                <w:sz w:val="24"/>
                <w:szCs w:val="28"/>
              </w:rPr>
            </w:pPr>
            <w:r>
              <w:rPr>
                <w:rFonts w:hint="eastAsia" w:eastAsiaTheme="majorEastAsia" w:cstheme="majorEastAsia"/>
                <w:b/>
                <w:bCs/>
                <w:sz w:val="24"/>
                <w:szCs w:val="28"/>
              </w:rPr>
              <w:t>2.2 国外研究现状</w:t>
            </w:r>
          </w:p>
          <w:p w14:paraId="760C498B">
            <w:pPr>
              <w:pStyle w:val="5"/>
              <w:spacing w:after="0" w:line="440" w:lineRule="exact"/>
              <w:ind w:left="0" w:leftChars="0" w:firstLine="480" w:firstLineChars="200"/>
              <w:rPr>
                <w:rFonts w:hint="eastAsia"/>
                <w:kern w:val="0"/>
                <w:sz w:val="24"/>
              </w:rPr>
            </w:pPr>
            <w:r>
              <w:rPr>
                <w:rFonts w:hint="eastAsia"/>
                <w:kern w:val="0"/>
                <w:sz w:val="24"/>
              </w:rPr>
              <w:t>国外研究同样呈现多样化趋势，Xu X等[</w:t>
            </w:r>
            <w:r>
              <w:rPr>
                <w:rFonts w:hint="eastAsia"/>
                <w:kern w:val="0"/>
                <w:sz w:val="24"/>
                <w:lang w:val="en-US" w:eastAsia="zh-CN"/>
              </w:rPr>
              <w:t>8</w:t>
            </w:r>
            <w:r>
              <w:rPr>
                <w:rFonts w:hint="eastAsia"/>
                <w:kern w:val="0"/>
                <w:sz w:val="24"/>
              </w:rPr>
              <w:t>]（2020）基于K-means聚类算法自动分割麦穗的轮廓特征，构建非麦穗、一个麦穗、两个麦穗、三个麦穗四类图像标签的数据集送入CNN模型进行训练和验证，将麦穗的识别精度提高到了98.07%以上，显著增加了麦穗计数的效率和准确性。Zhao J等[</w:t>
            </w:r>
            <w:r>
              <w:rPr>
                <w:rFonts w:hint="eastAsia"/>
                <w:kern w:val="0"/>
                <w:sz w:val="24"/>
                <w:lang w:val="en-US" w:eastAsia="zh-CN"/>
              </w:rPr>
              <w:t>9</w:t>
            </w:r>
            <w:r>
              <w:rPr>
                <w:rFonts w:hint="eastAsia"/>
                <w:kern w:val="0"/>
                <w:sz w:val="24"/>
              </w:rPr>
              <w:t>]（2021）通过添加微尺度检测层、设置先验锚框等方式对YOLOv5模型进行改进，增强了小尺寸麦穗的特征提取，用于准确检测无人机图像中的小麦穗，相较于Faster R-CNN等模型，麦穗检测的平均准确率（AP）为94.1%。Dandrifosse S等[</w:t>
            </w:r>
            <w:r>
              <w:rPr>
                <w:rFonts w:hint="eastAsia"/>
                <w:kern w:val="0"/>
                <w:sz w:val="24"/>
                <w:lang w:val="en-US" w:eastAsia="zh-CN"/>
              </w:rPr>
              <w:t>10</w:t>
            </w:r>
            <w:r>
              <w:rPr>
                <w:rFonts w:hint="eastAsia"/>
                <w:kern w:val="0"/>
                <w:sz w:val="24"/>
              </w:rPr>
              <w:t>]（2022）针对麦穗计数过程中出现的问题，以灌浆期小麦图像为研究对象提出了一种深度学习与小麦RGB图像相结合的方法，实现了田间麦穗的准确计数，麦穗检测和分割的平均F1值分别为0.93和0.86，与人工观察相比取得了更好的结果。Wu T等[</w:t>
            </w:r>
            <w:r>
              <w:rPr>
                <w:rFonts w:hint="eastAsia"/>
                <w:kern w:val="0"/>
                <w:sz w:val="24"/>
                <w:lang w:val="en-US" w:eastAsia="zh-CN"/>
              </w:rPr>
              <w:t>11</w:t>
            </w:r>
            <w:r>
              <w:rPr>
                <w:rFonts w:hint="eastAsia"/>
                <w:kern w:val="0"/>
                <w:sz w:val="24"/>
              </w:rPr>
              <w:t>]（2023）提出了直接基于无人机视频多目标跟踪的计数方法，将坐标注意力（CA）机制加入YOLOv7模型，并改进DeepSort多目标跟踪算法，准确率在95%至98%之间。Soubry 等[</w:t>
            </w:r>
            <w:r>
              <w:rPr>
                <w:rFonts w:hint="eastAsia"/>
                <w:kern w:val="0"/>
                <w:sz w:val="24"/>
                <w:lang w:val="en-US" w:eastAsia="zh-CN"/>
              </w:rPr>
              <w:t>12</w:t>
            </w:r>
            <w:r>
              <w:rPr>
                <w:rFonts w:hint="eastAsia"/>
                <w:kern w:val="0"/>
                <w:sz w:val="24"/>
              </w:rPr>
              <w:t>]使用配备多光谱了红外和 RGB 相</w:t>
            </w:r>
            <w:bookmarkStart w:id="3" w:name="OLE_LINK1"/>
            <w:r>
              <w:rPr>
                <w:rFonts w:hint="eastAsia"/>
                <w:kern w:val="0"/>
                <w:sz w:val="24"/>
              </w:rPr>
              <w:t>机的</w:t>
            </w:r>
            <w:bookmarkEnd w:id="3"/>
            <w:r>
              <w:rPr>
                <w:rFonts w:hint="eastAsia"/>
                <w:kern w:val="0"/>
                <w:sz w:val="24"/>
              </w:rPr>
              <w:t>无人机对葡萄园进行监测，评估水分胁迫和葡萄成熟度，最终模型评估的葡萄水分状况相关系数 R2 为 0.7，对葡萄成熟度预测的 R2 为 0.52。Liu 等[</w:t>
            </w:r>
            <w:r>
              <w:rPr>
                <w:rFonts w:hint="eastAsia"/>
                <w:kern w:val="0"/>
                <w:sz w:val="24"/>
                <w:lang w:val="en-US" w:eastAsia="zh-CN"/>
              </w:rPr>
              <w:t>13</w:t>
            </w:r>
            <w:r>
              <w:rPr>
                <w:rFonts w:hint="eastAsia"/>
                <w:kern w:val="0"/>
                <w:sz w:val="24"/>
              </w:rPr>
              <w:t>]使用改进的 FasterR-CNN 算法，对无人机以及手机采集的不同分辨率图像玉米雄穗进行计数，对于无人机数据集玉米雄穗计数 mAP 为 89.96%，对于手机近地采集图像 mAP高达 95.95%，预示了深度学习模型对不同尺度图像的适应性与鲁棒性。</w:t>
            </w:r>
          </w:p>
          <w:p w14:paraId="4F77CDA0">
            <w:pPr>
              <w:pStyle w:val="5"/>
              <w:spacing w:after="0" w:line="440" w:lineRule="exact"/>
              <w:ind w:left="0" w:leftChars="0" w:firstLine="480" w:firstLineChars="200"/>
              <w:rPr>
                <w:rFonts w:ascii="宋体" w:hAnsi="宋体"/>
                <w:sz w:val="24"/>
              </w:rPr>
            </w:pPr>
            <w:r>
              <w:rPr>
                <w:rFonts w:hint="eastAsia"/>
                <w:kern w:val="0"/>
                <w:sz w:val="24"/>
              </w:rPr>
              <w:t>综上所述，尽管基于传统方法和深度学习的</w:t>
            </w:r>
            <w:r>
              <w:rPr>
                <w:rFonts w:hint="eastAsia" w:asciiTheme="minorEastAsia" w:hAnsiTheme="minorEastAsia" w:eastAsiaTheme="minorEastAsia" w:cstheme="minorEastAsia"/>
                <w:sz w:val="24"/>
              </w:rPr>
              <w:t>小麦穗实时检测</w:t>
            </w:r>
            <w:r>
              <w:rPr>
                <w:rFonts w:hint="eastAsia" w:asciiTheme="minorEastAsia" w:hAnsiTheme="minorEastAsia" w:eastAsiaTheme="minorEastAsia" w:cstheme="minorEastAsia"/>
                <w:sz w:val="24"/>
                <w:lang w:val="en-US" w:eastAsia="zh-CN"/>
              </w:rPr>
              <w:t>计数</w:t>
            </w:r>
            <w:r>
              <w:rPr>
                <w:rFonts w:hint="eastAsia"/>
                <w:kern w:val="0"/>
                <w:sz w:val="24"/>
              </w:rPr>
              <w:t>研究取得了一定成果，但复杂的大田环境使麦穗图像的处理比较困难，特别是密集小目标识别、分割的问题，如小麦小穗和穗粒，传统方法的识别分割效果很差，目标之间容易出现粘连，精度难以提高。</w:t>
            </w:r>
          </w:p>
        </w:tc>
      </w:tr>
      <w:tr w14:paraId="6344CA6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5000" w:type="pct"/>
            <w:gridSpan w:val="10"/>
            <w:tcBorders>
              <w:bottom w:val="single" w:color="auto" w:sz="2" w:space="0"/>
            </w:tcBorders>
          </w:tcPr>
          <w:p w14:paraId="55A832A3">
            <w:pPr>
              <w:spacing w:line="440" w:lineRule="exact"/>
              <w:rPr>
                <w:b/>
                <w:bCs/>
                <w:sz w:val="24"/>
              </w:rPr>
            </w:pPr>
            <w:r>
              <w:rPr>
                <w:rFonts w:hint="eastAsia"/>
                <w:b/>
                <w:bCs/>
                <w:sz w:val="24"/>
              </w:rPr>
              <w:t xml:space="preserve">3 </w:t>
            </w:r>
            <w:r>
              <w:rPr>
                <w:b/>
                <w:bCs/>
                <w:sz w:val="24"/>
              </w:rPr>
              <w:t>主要研究内容(含论文提纲)</w:t>
            </w:r>
          </w:p>
          <w:p w14:paraId="0334BB9F">
            <w:pPr>
              <w:spacing w:line="440" w:lineRule="exact"/>
              <w:rPr>
                <w:rFonts w:eastAsiaTheme="majorEastAsia" w:cstheme="majorEastAsia"/>
                <w:b/>
                <w:bCs/>
                <w:sz w:val="24"/>
                <w:szCs w:val="28"/>
              </w:rPr>
            </w:pPr>
            <w:r>
              <w:rPr>
                <w:rFonts w:hint="eastAsia" w:eastAsiaTheme="majorEastAsia" w:cstheme="majorEastAsia"/>
                <w:b/>
                <w:bCs/>
                <w:sz w:val="24"/>
                <w:szCs w:val="28"/>
              </w:rPr>
              <w:t>3.1研究思路</w:t>
            </w:r>
          </w:p>
          <w:p w14:paraId="12B86079">
            <w:pPr>
              <w:spacing w:line="440" w:lineRule="exact"/>
              <w:ind w:firstLine="480" w:firstLineChars="200"/>
              <w:rPr>
                <w:rFonts w:hint="eastAsia" w:eastAsia="宋体" w:cstheme="minorEastAsia"/>
                <w:sz w:val="24"/>
                <w:lang w:eastAsia="zh-CN"/>
              </w:rPr>
            </w:pPr>
            <w:r>
              <w:rPr>
                <w:sz w:val="24"/>
              </w:rPr>
              <w:t>本文的研究思路通过以 YOLOv11n 为基础架构，在 Neck 层嵌入这</w:t>
            </w:r>
            <w:r>
              <w:rPr>
                <w:rFonts w:hint="eastAsia"/>
                <w:sz w:val="24"/>
              </w:rPr>
              <w:t xml:space="preserve">Slim-Neck </w:t>
            </w:r>
            <w:r>
              <w:rPr>
                <w:sz w:val="24"/>
              </w:rPr>
              <w:t>模块，优化特征提取与融合路径，使模型在小麦穗检测中兼具轻量化与强泛化能力。同时，针对小麦穗检测的数据特点，引入高效通道注意力机制抑制背景干扰，结合适配田间数据分布的混合损失函数</w:t>
            </w:r>
            <w:r>
              <w:rPr>
                <w:rFonts w:hint="eastAsia"/>
                <w:sz w:val="24"/>
                <w:lang w:eastAsia="zh-CN"/>
              </w:rPr>
              <w:t>，</w:t>
            </w:r>
            <w:r>
              <w:rPr>
                <w:sz w:val="24"/>
              </w:rPr>
              <w:t>二值交叉熵</w:t>
            </w:r>
            <w:r>
              <w:rPr>
                <w:rFonts w:hint="eastAsia"/>
                <w:sz w:val="24"/>
              </w:rPr>
              <w:t>BCE</w:t>
            </w:r>
            <w:r>
              <w:rPr>
                <w:sz w:val="24"/>
              </w:rPr>
              <w:t>损失函数</w:t>
            </w:r>
            <w:r>
              <w:rPr>
                <w:rFonts w:hint="eastAsia"/>
                <w:sz w:val="24"/>
              </w:rPr>
              <w:t>与</w:t>
            </w:r>
            <w:r>
              <w:rPr>
                <w:sz w:val="24"/>
              </w:rPr>
              <w:t>Dice相似系数损失函数</w:t>
            </w:r>
            <w:r>
              <w:rPr>
                <w:rFonts w:hint="eastAsia"/>
                <w:sz w:val="24"/>
                <w:lang w:eastAsia="zh-CN"/>
              </w:rPr>
              <w:t xml:space="preserve">，与 </w:t>
            </w:r>
            <w:r>
              <w:rPr>
                <w:rFonts w:hint="eastAsia"/>
                <w:sz w:val="24"/>
                <w:lang w:val="en-US" w:eastAsia="zh-CN"/>
              </w:rPr>
              <w:t>F</w:t>
            </w:r>
            <w:r>
              <w:rPr>
                <w:rFonts w:hint="eastAsia"/>
                <w:sz w:val="24"/>
                <w:lang w:eastAsia="zh-CN"/>
              </w:rPr>
              <w:t>ocal Loss焦点损失函数</w:t>
            </w:r>
            <w:r>
              <w:rPr>
                <w:rFonts w:hint="eastAsia"/>
                <w:sz w:val="24"/>
              </w:rPr>
              <w:t>结合</w:t>
            </w:r>
            <w:r>
              <w:rPr>
                <w:rFonts w:hint="eastAsia"/>
                <w:sz w:val="24"/>
                <w:lang w:eastAsia="zh-CN"/>
              </w:rPr>
              <w:t>，</w:t>
            </w:r>
            <w:r>
              <w:rPr>
                <w:sz w:val="24"/>
              </w:rPr>
              <w:t>该混合损失函数保证了网络能够聚焦穗部区域重叠度计算，提升密集重叠场景下的穗部分割边界精度，减少漏检</w:t>
            </w:r>
            <w:r>
              <w:rPr>
                <w:rFonts w:hint="eastAsia"/>
                <w:sz w:val="24"/>
                <w:lang w:eastAsia="zh-CN"/>
              </w:rPr>
              <w:t>。</w:t>
            </w:r>
          </w:p>
          <w:p w14:paraId="11C1AB46">
            <w:pPr>
              <w:spacing w:line="440" w:lineRule="exact"/>
              <w:rPr>
                <w:rFonts w:eastAsiaTheme="majorEastAsia" w:cstheme="majorEastAsia"/>
                <w:b/>
                <w:bCs/>
                <w:sz w:val="24"/>
                <w:szCs w:val="28"/>
              </w:rPr>
            </w:pPr>
            <w:r>
              <w:rPr>
                <w:rFonts w:hint="eastAsia" w:eastAsiaTheme="majorEastAsia" w:cstheme="majorEastAsia"/>
                <w:b/>
                <w:bCs/>
                <w:sz w:val="24"/>
                <w:szCs w:val="28"/>
              </w:rPr>
              <w:t>3.2 主要研究内容</w:t>
            </w:r>
          </w:p>
          <w:p w14:paraId="18633965">
            <w:pPr>
              <w:numPr>
                <w:ilvl w:val="0"/>
                <w:numId w:val="0"/>
              </w:numPr>
              <w:ind w:firstLine="480" w:firstLineChars="200"/>
              <w:rPr>
                <w:rFonts w:hint="eastAsia"/>
                <w:sz w:val="24"/>
              </w:rPr>
            </w:pPr>
            <w:bookmarkStart w:id="4" w:name="OLE_LINK3"/>
            <w:r>
              <w:rPr>
                <w:rFonts w:hint="eastAsia"/>
                <w:sz w:val="24"/>
              </w:rPr>
              <w:t>本文旨在针对全球小麦头检测（GWHD）数据集，提高田间小麦穗检测的精度、泛化能力与轻量化水平，适配移动设备部署需求，为小麦产量估算和农田管理提供高效可靠的目标检测方案。主要研究内容可分为以下几点：</w:t>
            </w:r>
          </w:p>
          <w:p w14:paraId="19258ECC">
            <w:pPr>
              <w:numPr>
                <w:ilvl w:val="0"/>
                <w:numId w:val="1"/>
              </w:numPr>
              <w:ind w:firstLine="480" w:firstLineChars="200"/>
              <w:rPr>
                <w:rFonts w:hint="eastAsia"/>
                <w:sz w:val="24"/>
              </w:rPr>
            </w:pPr>
            <w:r>
              <w:rPr>
                <w:rFonts w:hint="eastAsia"/>
                <w:sz w:val="24"/>
              </w:rPr>
              <w:t>数据预处理与扩充方法：研究并实现对 GWHD 小麦穗数据集的预处理方案，包括使用 Labelme 工具进行矩形边界框标注、JSON 格式与 TXT 格式转换，采用 5 折交叉验证划分训练集与验证集以避免过拟合；同时设计图像旋转、平移、裁剪等数据增强策略，扩充训练样本多样性，提升模型对复杂田间环境的适配性。</w:t>
            </w:r>
          </w:p>
          <w:p w14:paraId="1E0D9653">
            <w:pPr>
              <w:numPr>
                <w:ilvl w:val="0"/>
                <w:numId w:val="1"/>
              </w:numPr>
              <w:ind w:left="0" w:leftChars="0" w:firstLine="480" w:firstLineChars="200"/>
              <w:rPr>
                <w:rFonts w:hint="eastAsia"/>
                <w:sz w:val="24"/>
              </w:rPr>
            </w:pPr>
            <w:r>
              <w:rPr>
                <w:rFonts w:hint="eastAsia"/>
                <w:sz w:val="24"/>
              </w:rPr>
              <w:t>核心检测技术研发：以 YOLOv11轻量化模型为基础，通过 Slim-Neck 模块重构特征交互路径强化跨尺度特征融合，嵌入高效通道注意力机制抑制背景干扰；采用适配田间数据分布的混合损失函数，优化密集重叠、小尺度小麦穗的检测效果，兼顾模型精度与轻量化特性。</w:t>
            </w:r>
          </w:p>
          <w:p w14:paraId="1D2E58C9">
            <w:pPr>
              <w:numPr>
                <w:ilvl w:val="0"/>
                <w:numId w:val="1"/>
              </w:numPr>
              <w:ind w:left="0" w:leftChars="0" w:firstLine="480" w:firstLineChars="200"/>
              <w:rPr>
                <w:sz w:val="24"/>
              </w:rPr>
            </w:pPr>
            <w:r>
              <w:rPr>
                <w:rFonts w:hint="eastAsia"/>
                <w:sz w:val="24"/>
              </w:rPr>
              <w:t>性能优化与评估：分析改进后 YOLOv11 模型在特征提取、特征融合及目标匹配环节的性能瓶颈，针对 Slim-Neck 模块注意力权重等核心参数进行针对性调优；同时引入混合损失函数，其核心逻辑为结合二值交叉熵（BCE）、Dice 相似系数（DSC）与 Focal 损失的优势，强化对重叠穗、小尺度穗等难样本的学习，缓解穗部与背景的类不平衡问题，优化训练策略以提升模型收敛效率。通过实验采集足量田间小麦穗图像数据，结合数据分析量化评估模型的精确率、召回率、mAP@0.5 及 mAP@0.5:0.95 等指标，系统验证模型在小麦穗检测任务中的检测精度、鲁棒性与推理可靠性。</w:t>
            </w:r>
          </w:p>
          <w:p w14:paraId="0406C2C7">
            <w:pPr>
              <w:numPr>
                <w:ilvl w:val="0"/>
                <w:numId w:val="1"/>
              </w:numPr>
              <w:ind w:left="0" w:leftChars="0" w:firstLine="480" w:firstLineChars="200"/>
              <w:rPr>
                <w:sz w:val="24"/>
              </w:rPr>
            </w:pPr>
            <w:r>
              <w:rPr>
                <w:rFonts w:hint="eastAsia"/>
                <w:sz w:val="24"/>
              </w:rPr>
              <w:t>实际应用分析：测试模型在不同田间场景（高密度种植、遮挡、复杂背景）及不同基因型小麦穗图像上的表现，验证其在移动设备上的部署适配性；探讨模型在极端环境（光照变化、图像模糊）下的不足，为后续引入多模态数据、融合 Transformer 架构等优化方向提供针对性建议。。</w:t>
            </w:r>
            <w:bookmarkEnd w:id="4"/>
          </w:p>
        </w:tc>
      </w:tr>
      <w:bookmarkEnd w:id="2"/>
      <w:tr w14:paraId="4BA1375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436" w:hRule="atLeast"/>
          <w:jc w:val="center"/>
        </w:trPr>
        <w:tc>
          <w:tcPr>
            <w:tcW w:w="5000" w:type="pct"/>
            <w:gridSpan w:val="10"/>
            <w:tcBorders>
              <w:top w:val="single" w:color="auto" w:sz="2" w:space="0"/>
              <w:left w:val="single" w:color="auto" w:sz="2" w:space="0"/>
              <w:bottom w:val="single" w:color="auto" w:sz="6" w:space="0"/>
              <w:right w:val="single" w:color="auto" w:sz="2" w:space="0"/>
            </w:tcBorders>
          </w:tcPr>
          <w:p w14:paraId="051CCB21">
            <w:pPr>
              <w:spacing w:line="440" w:lineRule="exact"/>
              <w:rPr>
                <w:rFonts w:eastAsiaTheme="majorEastAsia" w:cstheme="majorEastAsia"/>
                <w:b/>
                <w:bCs/>
                <w:sz w:val="24"/>
                <w:szCs w:val="28"/>
              </w:rPr>
            </w:pPr>
            <w:bookmarkStart w:id="5" w:name="OLE_LINK5"/>
            <w:r>
              <w:rPr>
                <w:rFonts w:hint="eastAsia" w:eastAsiaTheme="majorEastAsia" w:cstheme="majorEastAsia"/>
                <w:b/>
                <w:bCs/>
                <w:sz w:val="24"/>
                <w:szCs w:val="28"/>
              </w:rPr>
              <w:t>3.3 论文提纲</w:t>
            </w:r>
          </w:p>
          <w:p w14:paraId="7F4DC872">
            <w:pPr>
              <w:pStyle w:val="16"/>
              <w:numPr>
                <w:ilvl w:val="2"/>
                <w:numId w:val="0"/>
              </w:numPr>
              <w:spacing w:line="440" w:lineRule="exact"/>
              <w:jc w:val="left"/>
              <w:rPr>
                <w:rFonts w:cs="宋体"/>
                <w:sz w:val="24"/>
                <w:szCs w:val="21"/>
              </w:rPr>
            </w:pPr>
            <w:r>
              <w:rPr>
                <w:rFonts w:hint="eastAsia" w:cs="宋体"/>
                <w:sz w:val="24"/>
                <w:szCs w:val="21"/>
              </w:rPr>
              <w:t>1 前言</w:t>
            </w:r>
          </w:p>
          <w:p w14:paraId="1F606BD6">
            <w:pPr>
              <w:pStyle w:val="16"/>
              <w:numPr>
                <w:ilvl w:val="2"/>
                <w:numId w:val="0"/>
              </w:numPr>
              <w:spacing w:line="440" w:lineRule="exact"/>
              <w:ind w:firstLine="458" w:firstLineChars="191"/>
              <w:jc w:val="left"/>
              <w:rPr>
                <w:rFonts w:cs="宋体"/>
                <w:sz w:val="24"/>
                <w:szCs w:val="21"/>
              </w:rPr>
            </w:pPr>
            <w:r>
              <w:rPr>
                <w:rFonts w:hint="eastAsia" w:cs="宋体"/>
                <w:sz w:val="24"/>
                <w:szCs w:val="21"/>
              </w:rPr>
              <w:t>1.1研究背景与意义</w:t>
            </w:r>
          </w:p>
          <w:bookmarkEnd w:id="5"/>
          <w:p w14:paraId="689B182F">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1.2 国内外研究现状</w:t>
            </w:r>
          </w:p>
          <w:p w14:paraId="46FFCE0C">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1.2.1 国内研究现状</w:t>
            </w:r>
          </w:p>
          <w:p w14:paraId="34B9DDBD">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1.2.2 国外研究现状</w:t>
            </w:r>
          </w:p>
          <w:p w14:paraId="3EE8D39E">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1.3 研究思路与结构</w:t>
            </w:r>
          </w:p>
          <w:p w14:paraId="6E1FF85A">
            <w:pPr>
              <w:pStyle w:val="16"/>
              <w:numPr>
                <w:ilvl w:val="2"/>
                <w:numId w:val="0"/>
              </w:numPr>
              <w:spacing w:line="440" w:lineRule="exact"/>
              <w:jc w:val="left"/>
              <w:rPr>
                <w:rFonts w:hint="eastAsia" w:cs="宋体"/>
                <w:sz w:val="24"/>
                <w:szCs w:val="21"/>
              </w:rPr>
            </w:pPr>
            <w:r>
              <w:rPr>
                <w:rFonts w:hint="eastAsia" w:cs="宋体"/>
                <w:sz w:val="24"/>
                <w:szCs w:val="21"/>
              </w:rPr>
              <w:t>2 相关理论与基础知识</w:t>
            </w:r>
          </w:p>
          <w:p w14:paraId="44A90FDD">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2.1 YOLOv11 轻量化检测架构</w:t>
            </w:r>
          </w:p>
          <w:p w14:paraId="5EF856DD">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2.2 Slim-Neck 特征融合模块</w:t>
            </w:r>
          </w:p>
          <w:p w14:paraId="3253A8D8">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2.3 高效通道注意力机制</w:t>
            </w:r>
          </w:p>
          <w:p w14:paraId="64C00111">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2.4 混合损失函数（BCE+Dice+Focal）</w:t>
            </w:r>
          </w:p>
          <w:p w14:paraId="5975CF58">
            <w:pPr>
              <w:pStyle w:val="16"/>
              <w:numPr>
                <w:ilvl w:val="2"/>
                <w:numId w:val="0"/>
              </w:numPr>
              <w:spacing w:line="440" w:lineRule="exact"/>
              <w:jc w:val="left"/>
              <w:rPr>
                <w:rFonts w:hint="eastAsia" w:cs="宋体"/>
                <w:sz w:val="24"/>
                <w:szCs w:val="21"/>
              </w:rPr>
            </w:pPr>
            <w:r>
              <w:rPr>
                <w:rFonts w:hint="eastAsia" w:cs="宋体"/>
                <w:sz w:val="24"/>
                <w:szCs w:val="21"/>
              </w:rPr>
              <w:t>3 实验分析与结果</w:t>
            </w:r>
          </w:p>
          <w:p w14:paraId="7BDA2BA9">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3.1 数据集与预处理3.1.1 GWHD 数据集介绍</w:t>
            </w:r>
          </w:p>
          <w:p w14:paraId="2DD5360E">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3.1.2 数据标注与格式转换</w:t>
            </w:r>
          </w:p>
          <w:p w14:paraId="7637DE0E">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3.1.3 数据增强与 5 折交叉验证划分</w:t>
            </w:r>
          </w:p>
          <w:p w14:paraId="25790632">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3.2 评价指标3.2.1 精确率（P）、召回率（R）</w:t>
            </w:r>
          </w:p>
          <w:p w14:paraId="64DE2208">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3.2.2  </w:t>
            </w:r>
            <w:r>
              <w:rPr>
                <w:rFonts w:hint="eastAsia" w:cs="宋体"/>
                <w:sz w:val="24"/>
                <w:szCs w:val="21"/>
              </w:rPr>
              <w:fldChar w:fldCharType="begin"/>
            </w:r>
            <w:r>
              <w:rPr>
                <w:rFonts w:hint="eastAsia" w:cs="宋体"/>
                <w:sz w:val="24"/>
                <w:szCs w:val="21"/>
              </w:rPr>
              <w:instrText xml:space="preserve"> HYPERLINK "mailto:平均精确率（mAP@0.5、mAP@0.5:0.95）" </w:instrText>
            </w:r>
            <w:r>
              <w:rPr>
                <w:rFonts w:hint="eastAsia" w:cs="宋体"/>
                <w:sz w:val="24"/>
                <w:szCs w:val="21"/>
              </w:rPr>
              <w:fldChar w:fldCharType="separate"/>
            </w:r>
            <w:r>
              <w:rPr>
                <w:rStyle w:val="14"/>
                <w:rFonts w:hint="eastAsia" w:cs="宋体"/>
                <w:sz w:val="24"/>
                <w:szCs w:val="21"/>
              </w:rPr>
              <w:t>平均精确率（mAP@0.5、mAP@0.5:0.95）</w:t>
            </w:r>
            <w:r>
              <w:rPr>
                <w:rFonts w:hint="eastAsia" w:cs="宋体"/>
                <w:sz w:val="24"/>
                <w:szCs w:val="21"/>
              </w:rPr>
              <w:fldChar w:fldCharType="end"/>
            </w:r>
          </w:p>
          <w:p w14:paraId="793D0052">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3.2.3 模型轻量化指标（参数量、推理速度）</w:t>
            </w:r>
          </w:p>
          <w:p w14:paraId="49E6A256">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3.3 参数设置</w:t>
            </w:r>
          </w:p>
          <w:p w14:paraId="647A5E6A">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3.3.1 Slim-Neck 模块注意力权重调整</w:t>
            </w:r>
          </w:p>
          <w:p w14:paraId="3CFDEC49">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3.3.2 混合损失函数权重因子选择</w:t>
            </w:r>
          </w:p>
          <w:p w14:paraId="5348BEAF">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3.3.3 训练迭代次数与优化器参数配置</w:t>
            </w:r>
          </w:p>
          <w:p w14:paraId="5F7A3880">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3.4 实验结果及分析</w:t>
            </w:r>
          </w:p>
          <w:p w14:paraId="63C6C963">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3.4.</w:t>
            </w:r>
            <w:r>
              <w:rPr>
                <w:rFonts w:hint="eastAsia" w:cs="宋体"/>
                <w:sz w:val="24"/>
                <w:szCs w:val="21"/>
                <w:lang w:val="en-US" w:eastAsia="zh-CN"/>
              </w:rPr>
              <w:t>1</w:t>
            </w:r>
            <w:r>
              <w:rPr>
                <w:rFonts w:hint="eastAsia" w:cs="宋体"/>
                <w:sz w:val="24"/>
                <w:szCs w:val="21"/>
              </w:rPr>
              <w:t>不同损失函数的对比分析</w:t>
            </w:r>
          </w:p>
          <w:p w14:paraId="3B202885">
            <w:pPr>
              <w:pStyle w:val="16"/>
              <w:numPr>
                <w:ilvl w:val="2"/>
                <w:numId w:val="0"/>
              </w:numPr>
              <w:spacing w:line="440" w:lineRule="exact"/>
              <w:ind w:firstLine="480" w:firstLineChars="200"/>
              <w:jc w:val="left"/>
              <w:rPr>
                <w:rFonts w:hint="eastAsia" w:cs="宋体"/>
                <w:sz w:val="24"/>
                <w:szCs w:val="21"/>
              </w:rPr>
            </w:pPr>
            <w:r>
              <w:rPr>
                <w:rFonts w:hint="eastAsia" w:cs="宋体"/>
                <w:sz w:val="24"/>
                <w:szCs w:val="21"/>
              </w:rPr>
              <w:t>3.4.</w:t>
            </w:r>
            <w:r>
              <w:rPr>
                <w:rFonts w:hint="eastAsia" w:cs="宋体"/>
                <w:sz w:val="24"/>
                <w:szCs w:val="21"/>
                <w:lang w:val="en-US" w:eastAsia="zh-CN"/>
              </w:rPr>
              <w:t>2</w:t>
            </w:r>
            <w:r>
              <w:rPr>
                <w:rFonts w:hint="eastAsia" w:cs="宋体"/>
                <w:sz w:val="24"/>
                <w:szCs w:val="21"/>
              </w:rPr>
              <w:t>与主流模型（YOLOv5、YOLOv</w:t>
            </w:r>
            <w:r>
              <w:rPr>
                <w:rFonts w:hint="eastAsia" w:cs="宋体"/>
                <w:sz w:val="24"/>
                <w:szCs w:val="21"/>
                <w:lang w:val="en-US" w:eastAsia="zh-CN"/>
              </w:rPr>
              <w:t>8</w:t>
            </w:r>
            <w:r>
              <w:rPr>
                <w:rFonts w:hint="eastAsia" w:cs="宋体"/>
                <w:sz w:val="24"/>
                <w:szCs w:val="21"/>
              </w:rPr>
              <w:t>、原始 YOLOv11）的性能对比</w:t>
            </w:r>
          </w:p>
          <w:p w14:paraId="4ADD6FB6">
            <w:pPr>
              <w:pStyle w:val="16"/>
              <w:numPr>
                <w:ilvl w:val="2"/>
                <w:numId w:val="0"/>
              </w:numPr>
              <w:spacing w:line="440" w:lineRule="exact"/>
              <w:jc w:val="left"/>
              <w:rPr>
                <w:rFonts w:cs="宋体"/>
                <w:sz w:val="24"/>
                <w:szCs w:val="21"/>
              </w:rPr>
            </w:pPr>
            <w:r>
              <w:rPr>
                <w:rFonts w:hint="eastAsia" w:cs="宋体"/>
                <w:sz w:val="24"/>
                <w:szCs w:val="21"/>
              </w:rPr>
              <w:t>4 结束语</w:t>
            </w:r>
          </w:p>
          <w:p w14:paraId="6B2EF3F1">
            <w:pPr>
              <w:pStyle w:val="16"/>
              <w:numPr>
                <w:ilvl w:val="2"/>
                <w:numId w:val="0"/>
              </w:numPr>
              <w:spacing w:line="440" w:lineRule="exact"/>
              <w:jc w:val="left"/>
              <w:rPr>
                <w:sz w:val="24"/>
              </w:rPr>
            </w:pPr>
            <w:r>
              <w:rPr>
                <w:rFonts w:hint="eastAsia"/>
                <w:sz w:val="24"/>
              </w:rPr>
              <w:t>5</w:t>
            </w:r>
            <w:r>
              <w:rPr>
                <w:rFonts w:hint="eastAsia"/>
              </w:rPr>
              <w:t xml:space="preserve"> </w:t>
            </w:r>
            <w:r>
              <w:fldChar w:fldCharType="begin"/>
            </w:r>
            <w:r>
              <w:instrText xml:space="preserve"> HYPERLINK \l "_Toc123750760" </w:instrText>
            </w:r>
            <w:r>
              <w:fldChar w:fldCharType="separate"/>
            </w:r>
            <w:r>
              <w:rPr>
                <w:rFonts w:hint="eastAsia" w:cs="宋体"/>
                <w:sz w:val="24"/>
                <w:szCs w:val="21"/>
              </w:rPr>
              <w:t>参考文献</w:t>
            </w:r>
            <w:r>
              <w:rPr>
                <w:rFonts w:hint="eastAsia" w:cs="宋体"/>
                <w:sz w:val="24"/>
                <w:szCs w:val="21"/>
              </w:rPr>
              <w:fldChar w:fldCharType="end"/>
            </w:r>
          </w:p>
          <w:p w14:paraId="3C76A2E3">
            <w:pPr>
              <w:spacing w:line="440" w:lineRule="exact"/>
              <w:ind w:firstLine="458" w:firstLineChars="191"/>
              <w:rPr>
                <w:sz w:val="24"/>
              </w:rPr>
            </w:pPr>
          </w:p>
          <w:p w14:paraId="0536F12B">
            <w:pPr>
              <w:spacing w:line="440" w:lineRule="exact"/>
              <w:ind w:firstLine="458" w:firstLineChars="191"/>
              <w:rPr>
                <w:sz w:val="24"/>
              </w:rPr>
            </w:pPr>
          </w:p>
          <w:p w14:paraId="31A9A2AA">
            <w:pPr>
              <w:spacing w:line="440" w:lineRule="exact"/>
              <w:ind w:firstLine="458" w:firstLineChars="191"/>
              <w:rPr>
                <w:sz w:val="24"/>
              </w:rPr>
            </w:pPr>
          </w:p>
          <w:p w14:paraId="5CECD989">
            <w:pPr>
              <w:spacing w:line="440" w:lineRule="exact"/>
              <w:rPr>
                <w:sz w:val="24"/>
              </w:rPr>
            </w:pPr>
          </w:p>
          <w:p w14:paraId="1E95E568">
            <w:pPr>
              <w:spacing w:line="440" w:lineRule="exact"/>
              <w:ind w:firstLine="458" w:firstLineChars="191"/>
              <w:rPr>
                <w:sz w:val="24"/>
              </w:rPr>
            </w:pPr>
          </w:p>
          <w:p w14:paraId="15641429">
            <w:pPr>
              <w:spacing w:line="440" w:lineRule="exact"/>
              <w:rPr>
                <w:sz w:val="24"/>
              </w:rPr>
            </w:pPr>
          </w:p>
        </w:tc>
      </w:tr>
      <w:tr w14:paraId="11DD5C5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0611" w:hRule="atLeast"/>
          <w:jc w:val="center"/>
        </w:trPr>
        <w:tc>
          <w:tcPr>
            <w:tcW w:w="5000" w:type="pct"/>
            <w:gridSpan w:val="10"/>
            <w:tcBorders>
              <w:top w:val="single" w:color="auto" w:sz="2" w:space="0"/>
              <w:left w:val="single" w:color="auto" w:sz="2" w:space="0"/>
              <w:bottom w:val="single" w:color="auto" w:sz="6" w:space="0"/>
              <w:right w:val="single" w:color="auto" w:sz="2" w:space="0"/>
            </w:tcBorders>
          </w:tcPr>
          <w:p w14:paraId="26DC5C6C">
            <w:pPr>
              <w:spacing w:line="440" w:lineRule="exact"/>
              <w:rPr>
                <w:b/>
                <w:bCs/>
                <w:sz w:val="24"/>
              </w:rPr>
            </w:pPr>
            <w:bookmarkStart w:id="6" w:name="OLE_LINK6"/>
            <w:r>
              <w:rPr>
                <w:rFonts w:hint="eastAsia"/>
                <w:b/>
                <w:bCs/>
                <w:sz w:val="24"/>
              </w:rPr>
              <w:t xml:space="preserve">4 </w:t>
            </w:r>
            <w:r>
              <w:rPr>
                <w:b/>
                <w:bCs/>
                <w:sz w:val="24"/>
              </w:rPr>
              <w:t>完成论文（设计）的条件、方法及措施，包括实验设计、调研计划、资料收集、参考文献等内容</w:t>
            </w:r>
          </w:p>
          <w:p w14:paraId="71DBC28A">
            <w:pPr>
              <w:spacing w:line="440" w:lineRule="exact"/>
              <w:ind w:firstLine="480" w:firstLineChars="200"/>
              <w:rPr>
                <w:rFonts w:ascii="宋体" w:hAnsi="宋体"/>
                <w:sz w:val="24"/>
              </w:rPr>
            </w:pPr>
            <w:r>
              <w:rPr>
                <w:rFonts w:hint="eastAsia" w:ascii="宋体" w:hAnsi="宋体" w:cs="微软雅黑"/>
                <w:sz w:val="24"/>
              </w:rPr>
              <w:t>本文</w:t>
            </w:r>
            <w:r>
              <w:rPr>
                <w:rFonts w:ascii="宋体" w:hAnsi="宋体"/>
                <w:sz w:val="24"/>
              </w:rPr>
              <w:t>研究将采用以下方法和步骤进行</w:t>
            </w:r>
            <w:r>
              <w:rPr>
                <w:rFonts w:hint="eastAsia" w:ascii="宋体" w:hAnsi="宋体"/>
                <w:sz w:val="24"/>
              </w:rPr>
              <w:t>：</w:t>
            </w:r>
          </w:p>
          <w:p w14:paraId="1F49EAF1">
            <w:pPr>
              <w:numPr>
                <w:ilvl w:val="0"/>
                <w:numId w:val="2"/>
              </w:numPr>
              <w:spacing w:line="440" w:lineRule="exact"/>
              <w:ind w:firstLine="240" w:firstLineChars="100"/>
              <w:rPr>
                <w:sz w:val="24"/>
              </w:rPr>
            </w:pPr>
            <w:r>
              <w:rPr>
                <w:rFonts w:ascii="宋体" w:hAnsi="宋体"/>
                <w:sz w:val="24"/>
              </w:rPr>
              <w:t>文献调研：</w:t>
            </w:r>
            <w:r>
              <w:rPr>
                <w:sz w:val="24"/>
              </w:rPr>
              <w:t>通过查阅相关文献，重点分析国内外主流改进方案的优缺点，为模型架构设计与参数配置提供理论支撑。</w:t>
            </w:r>
          </w:p>
          <w:p w14:paraId="2FB97514">
            <w:pPr>
              <w:numPr>
                <w:ilvl w:val="0"/>
                <w:numId w:val="2"/>
              </w:numPr>
              <w:spacing w:line="440" w:lineRule="exact"/>
              <w:ind w:firstLine="240" w:firstLineChars="100"/>
              <w:rPr>
                <w:sz w:val="24"/>
              </w:rPr>
            </w:pPr>
            <w:r>
              <w:rPr>
                <w:rFonts w:hint="eastAsia"/>
                <w:sz w:val="24"/>
              </w:rPr>
              <w:t>数据预处理：完成 GWHD 数据集标注转换、增强与划分，构建训练样本库</w:t>
            </w:r>
            <w:r>
              <w:rPr>
                <w:rFonts w:hint="eastAsia"/>
                <w:sz w:val="24"/>
                <w:lang w:eastAsia="zh-CN"/>
              </w:rPr>
              <w:t>，扩充训练样本多样性。</w:t>
            </w:r>
          </w:p>
          <w:p w14:paraId="60F0DB6F">
            <w:pPr>
              <w:numPr>
                <w:ilvl w:val="0"/>
                <w:numId w:val="2"/>
              </w:numPr>
              <w:spacing w:line="440" w:lineRule="exact"/>
              <w:ind w:firstLine="240" w:firstLineChars="100"/>
              <w:rPr>
                <w:sz w:val="24"/>
              </w:rPr>
            </w:pPr>
            <w:r>
              <w:rPr>
                <w:rStyle w:val="13"/>
                <w:b w:val="0"/>
                <w:sz w:val="24"/>
              </w:rPr>
              <w:t>系统集成与测试</w:t>
            </w:r>
            <w:r>
              <w:rPr>
                <w:rStyle w:val="13"/>
                <w:rFonts w:hint="eastAsia"/>
                <w:b w:val="0"/>
                <w:sz w:val="24"/>
              </w:rPr>
              <w:t>：集成数据预处理，高效通道注意力，混合损失函数等模块，形成一个完整的网络模型。</w:t>
            </w:r>
          </w:p>
          <w:p w14:paraId="6B0190A9">
            <w:pPr>
              <w:numPr>
                <w:ilvl w:val="0"/>
                <w:numId w:val="2"/>
              </w:numPr>
              <w:spacing w:line="440" w:lineRule="exact"/>
              <w:ind w:firstLine="240" w:firstLineChars="100"/>
              <w:rPr>
                <w:sz w:val="24"/>
              </w:rPr>
            </w:pPr>
            <w:r>
              <w:rPr>
                <w:sz w:val="24"/>
              </w:rPr>
              <w:t>性能优化与评估：针对模型特征提取不充分、难样本学习不足等瓶颈，调优核心参数 ——Slim-Neck 模块注意力权重、混合损失函数权重因子；采用精确率（P）、召回率（R）、mAP@0.5、mAP@0.5:0.95、参数量（Params）、等多指标，全面评估模型性能，持续迭代优化。</w:t>
            </w:r>
          </w:p>
          <w:p w14:paraId="364E7E14">
            <w:pPr>
              <w:numPr>
                <w:ilvl w:val="0"/>
                <w:numId w:val="2"/>
              </w:numPr>
              <w:spacing w:line="440" w:lineRule="exact"/>
              <w:ind w:firstLine="240" w:firstLineChars="100"/>
              <w:rPr>
                <w:sz w:val="24"/>
              </w:rPr>
            </w:pPr>
            <w:r>
              <w:rPr>
                <w:rFonts w:ascii="宋体" w:hAnsi="宋体"/>
                <w:sz w:val="24"/>
              </w:rPr>
              <w:t>结果分析和讨论：</w:t>
            </w:r>
            <w:r>
              <w:rPr>
                <w:rFonts w:hint="eastAsia" w:ascii="宋体" w:hAnsi="宋体"/>
                <w:sz w:val="24"/>
              </w:rPr>
              <w:t>对比主流模型性能，验证场景适配性，总结不足与优化方向</w:t>
            </w:r>
            <w:r>
              <w:rPr>
                <w:rFonts w:hint="eastAsia" w:ascii="宋体" w:hAnsi="宋体"/>
                <w:sz w:val="24"/>
                <w:lang w:eastAsia="zh-CN"/>
              </w:rPr>
              <w:t>。</w:t>
            </w:r>
          </w:p>
          <w:bookmarkEnd w:id="6"/>
          <w:p w14:paraId="61082858">
            <w:pPr>
              <w:spacing w:line="440" w:lineRule="exact"/>
              <w:rPr>
                <w:rFonts w:hint="eastAsia" w:eastAsiaTheme="majorEastAsia" w:cstheme="majorEastAsia"/>
                <w:b/>
                <w:bCs/>
                <w:sz w:val="24"/>
              </w:rPr>
            </w:pPr>
            <w:r>
              <w:rPr>
                <w:rFonts w:hint="eastAsia" w:eastAsiaTheme="majorEastAsia" w:cstheme="majorEastAsia"/>
                <w:b/>
                <w:bCs/>
                <w:sz w:val="24"/>
              </w:rPr>
              <w:t>4.3 参考文献</w:t>
            </w:r>
          </w:p>
          <w:p w14:paraId="08EC26D3">
            <w:pPr>
              <w:pStyle w:val="18"/>
              <w:numPr>
                <w:ilvl w:val="0"/>
                <w:numId w:val="3"/>
              </w:numPr>
              <w:spacing w:line="400" w:lineRule="exact"/>
              <w:ind w:left="0" w:firstLine="0"/>
            </w:pPr>
            <w:r>
              <w:rPr>
                <w:rFonts w:hint="eastAsia"/>
              </w:rPr>
              <w:t>周飞燕, 金林鹏, 董军. 卷积神经网络研究综述 [J]. 计算机学报, 2017, 40(06): 1229-51.</w:t>
            </w:r>
          </w:p>
          <w:p w14:paraId="37055044">
            <w:pPr>
              <w:pStyle w:val="18"/>
              <w:numPr>
                <w:ilvl w:val="0"/>
                <w:numId w:val="3"/>
              </w:numPr>
              <w:spacing w:line="400" w:lineRule="exact"/>
              <w:ind w:left="0" w:leftChars="0" w:firstLine="0" w:firstLineChars="0"/>
              <w:rPr>
                <w:rFonts w:hint="eastAsia"/>
              </w:rPr>
            </w:pPr>
            <w:r>
              <w:rPr>
                <w:rFonts w:hint="eastAsia"/>
              </w:rPr>
              <w:t>黄立威, 江碧涛, 吕守业, 等. 基于深度学习的推荐系统研究综述 [J]. 计算机学报, 2018,41(07): 1619-47.</w:t>
            </w:r>
          </w:p>
          <w:p w14:paraId="1C41532E">
            <w:pPr>
              <w:pStyle w:val="18"/>
              <w:numPr>
                <w:ilvl w:val="0"/>
                <w:numId w:val="3"/>
              </w:numPr>
              <w:spacing w:line="400" w:lineRule="exact"/>
              <w:ind w:left="0" w:leftChars="0" w:firstLine="0" w:firstLineChars="0"/>
              <w:rPr>
                <w:rFonts w:hint="eastAsia"/>
              </w:rPr>
            </w:pPr>
            <w:r>
              <w:rPr>
                <w:rFonts w:hint="eastAsia"/>
              </w:rPr>
              <w:t>黄硕,周亚男,王起帆,等.改进YOLOv5测量田间小麦单位面积穗数[J].农业工程学报,2022,38(16):235-242.</w:t>
            </w:r>
          </w:p>
          <w:p w14:paraId="1C020B04">
            <w:pPr>
              <w:pStyle w:val="18"/>
              <w:numPr>
                <w:ilvl w:val="0"/>
                <w:numId w:val="3"/>
              </w:numPr>
              <w:spacing w:line="400" w:lineRule="exact"/>
              <w:ind w:left="0" w:leftChars="0" w:firstLine="0" w:firstLineChars="0"/>
              <w:rPr>
                <w:rFonts w:hint="eastAsia"/>
              </w:rPr>
            </w:pPr>
            <w:r>
              <w:rPr>
                <w:rFonts w:hint="eastAsia"/>
              </w:rPr>
              <w:t>苑迎春,耿俊,许楠,等.基于YOLO v8-TRP模型的小麦麦穗识别方法[J].农业机械学报,2025,56(11):499-508.</w:t>
            </w:r>
          </w:p>
          <w:p w14:paraId="3E628E88">
            <w:pPr>
              <w:pStyle w:val="18"/>
              <w:numPr>
                <w:ilvl w:val="0"/>
                <w:numId w:val="3"/>
              </w:numPr>
              <w:spacing w:line="400" w:lineRule="exact"/>
              <w:ind w:left="0" w:firstLine="0"/>
            </w:pPr>
            <w:r>
              <w:rPr>
                <w:rFonts w:hint="eastAsia"/>
              </w:rPr>
              <w:t>裴杰, 谭绍锋,郭韩等.结合GWR</w:t>
            </w:r>
            <w:r>
              <w:rPr>
                <w:rFonts w:hint="eastAsia"/>
                <w:lang w:val="en-US" w:eastAsia="zh-CN"/>
              </w:rPr>
              <w:t>FR</w:t>
            </w:r>
            <w:r>
              <w:rPr>
                <w:rFonts w:hint="eastAsia"/>
              </w:rPr>
              <w:t>和作物物候信息的玉米产量早期预测[J]. 农业工程学报,2024,40(01):153-161.</w:t>
            </w:r>
          </w:p>
          <w:p w14:paraId="7DD827B5">
            <w:pPr>
              <w:pStyle w:val="18"/>
              <w:numPr>
                <w:ilvl w:val="0"/>
                <w:numId w:val="3"/>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Ultralytics.YOLOv11</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 xml:space="preserve">Official Documentation [EB/OL]. </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https://docs.ultralytics.com/models/yolov11/, 2024.</w:t>
            </w:r>
          </w:p>
          <w:p w14:paraId="47004D8F">
            <w:pPr>
              <w:pStyle w:val="18"/>
              <w:numPr>
                <w:ilvl w:val="0"/>
                <w:numId w:val="3"/>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 xml:space="preserve">S. Etaati, J. Khoramdel, and E. Najafi, “Automated wheat disease detection using deep </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learning: an object detection and classification approach,” in 2023 11th RSI International Conference on Robotics and Mechatronics (ICRoM), 2023, pp. 116–121.</w:t>
            </w:r>
          </w:p>
          <w:p w14:paraId="6C3960BB">
            <w:pPr>
              <w:pStyle w:val="18"/>
              <w:numPr>
                <w:ilvl w:val="0"/>
                <w:numId w:val="3"/>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X. Ban, P. Liu, L. Xu, and J. Zhao, "A lightweight model based on yolov8n in wheat spike detection," in2023 11th International Conference on Agro-Geoinformatics （Agro-Geoinformatics）, 2023, page 1-6.</w:t>
            </w:r>
          </w:p>
          <w:p w14:paraId="18A39622">
            <w:pPr>
              <w:pStyle w:val="18"/>
              <w:numPr>
                <w:ilvl w:val="0"/>
                <w:numId w:val="3"/>
              </w:numPr>
              <w:spacing w:line="400" w:lineRule="exact"/>
              <w:ind w:left="0" w:firstLine="0"/>
              <w:rPr>
                <w:rFonts w:hint="default" w:ascii="Times New Roman" w:hAnsi="Times New Roman" w:cs="Times New Roman"/>
                <w:color w:val="auto"/>
                <w:kern w:val="36"/>
                <w:sz w:val="21"/>
                <w:szCs w:val="21"/>
              </w:rPr>
            </w:pPr>
            <w:r>
              <w:rPr>
                <w:rFonts w:hint="default" w:ascii="Times New Roman" w:hAnsi="Times New Roman" w:cs="Times New Roman"/>
                <w:color w:val="auto"/>
                <w:kern w:val="36"/>
                <w:sz w:val="21"/>
                <w:szCs w:val="21"/>
              </w:rPr>
              <w:t>Maji A K, Marwaha S, Kumar S, et al. SlypNet: Spikelet-based yield prediction of wheat using advancedplant phenotyping and computer vision techniques[J]. Frontiers in Plant Science, 2022: 2552.</w:t>
            </w:r>
          </w:p>
          <w:p w14:paraId="109B75EC">
            <w:pPr>
              <w:pStyle w:val="18"/>
              <w:numPr>
                <w:ilvl w:val="0"/>
                <w:numId w:val="3"/>
              </w:numPr>
              <w:spacing w:line="400" w:lineRule="exact"/>
              <w:ind w:left="0" w:firstLine="0"/>
              <w:rPr>
                <w:rFonts w:hint="default" w:ascii="Times New Roman" w:hAnsi="Times New Roman" w:cs="Times New Roman"/>
                <w:color w:val="auto"/>
                <w:kern w:val="36"/>
                <w:sz w:val="21"/>
                <w:szCs w:val="21"/>
              </w:rPr>
            </w:pPr>
            <w:r>
              <w:rPr>
                <w:rFonts w:hint="default" w:ascii="Times New Roman" w:hAnsi="Times New Roman" w:cs="Times New Roman"/>
                <w:color w:val="auto"/>
                <w:kern w:val="36"/>
                <w:sz w:val="21"/>
                <w:szCs w:val="21"/>
              </w:rPr>
              <w:t>Gopi P S S, Karthikeyan M. Multimodal Machine Learning Based Crop Recommendation and YieldPrediction Model[J]. Intell. Autom. Soft Comput, 2023, 36: 313-326.</w:t>
            </w:r>
          </w:p>
          <w:p w14:paraId="3138739D">
            <w:pPr>
              <w:pStyle w:val="18"/>
              <w:numPr>
                <w:ilvl w:val="0"/>
                <w:numId w:val="3"/>
              </w:numPr>
              <w:spacing w:line="400" w:lineRule="exact"/>
              <w:ind w:left="0" w:firstLine="0"/>
              <w:rPr>
                <w:rFonts w:hint="eastAsia"/>
              </w:rPr>
            </w:pPr>
            <w:r>
              <w:rPr>
                <w:rFonts w:hint="eastAsia"/>
              </w:rPr>
              <w:t>罗江陶,郑建敏,邓清燕,等.2000—2020年四川小麦育成品种产量增益分析[J].中国农业科学,2024,57(20):3945-3956.</w:t>
            </w:r>
          </w:p>
          <w:p w14:paraId="7EAC8A1C">
            <w:pPr>
              <w:pStyle w:val="18"/>
              <w:numPr>
                <w:ilvl w:val="0"/>
                <w:numId w:val="3"/>
              </w:numPr>
              <w:spacing w:line="400" w:lineRule="exact"/>
              <w:ind w:left="0" w:firstLine="0"/>
              <w:rPr>
                <w:rFonts w:hint="eastAsia"/>
              </w:rPr>
            </w:pPr>
            <w:r>
              <w:rPr>
                <w:rFonts w:hint="eastAsia"/>
              </w:rPr>
              <w:t>刘哲,袁冬根,王恩.基于改进Bayes抠图算法的麦穗小穗自动计数方法[J].中国农业科技导报,2020,22(08):75-82.DOI:10.13304/j.nykjdb.2019.0461.</w:t>
            </w:r>
          </w:p>
          <w:p w14:paraId="5F5D79FF">
            <w:pPr>
              <w:pStyle w:val="18"/>
              <w:numPr>
                <w:ilvl w:val="0"/>
                <w:numId w:val="3"/>
              </w:numPr>
              <w:spacing w:line="400" w:lineRule="exact"/>
              <w:ind w:left="0" w:firstLine="0"/>
              <w:rPr>
                <w:rFonts w:hint="eastAsia"/>
              </w:rPr>
            </w:pPr>
            <w:r>
              <w:rPr>
                <w:rFonts w:hint="eastAsia"/>
              </w:rPr>
              <w:t>章权兵,胡姗姗,舒文灿,等.基于注意力机制金字塔网络的麦穗检测方法[J].农业机械学报,2021,52(11):253-262.</w:t>
            </w:r>
          </w:p>
          <w:p w14:paraId="6973DC2D">
            <w:pPr>
              <w:pStyle w:val="18"/>
              <w:numPr>
                <w:ilvl w:val="0"/>
                <w:numId w:val="3"/>
              </w:numPr>
              <w:spacing w:line="400" w:lineRule="exact"/>
              <w:ind w:left="0" w:firstLine="0"/>
              <w:rPr>
                <w:rFonts w:hint="eastAsia"/>
              </w:rPr>
            </w:pPr>
            <w:r>
              <w:rPr>
                <w:rFonts w:hint="eastAsia"/>
              </w:rPr>
              <w:t>毕昆,姜盼,唐崇伟,等.基于麦穗特征的小麦品种 BP 分类器设计[J]</w:t>
            </w:r>
            <w:r>
              <w:rPr>
                <w:rFonts w:hint="eastAsia"/>
                <w:lang w:val="en-US" w:eastAsia="zh-CN"/>
              </w:rPr>
              <w:t>.</w:t>
            </w:r>
            <w:r>
              <w:rPr>
                <w:rFonts w:hint="eastAsia"/>
              </w:rPr>
              <w:t xml:space="preserve"> 中国农学通报,2011, 27(06):464-8.</w:t>
            </w:r>
          </w:p>
          <w:p w14:paraId="4F1C3632">
            <w:pPr>
              <w:pStyle w:val="18"/>
              <w:numPr>
                <w:ilvl w:val="0"/>
                <w:numId w:val="3"/>
              </w:numPr>
              <w:spacing w:line="400" w:lineRule="exact"/>
              <w:ind w:left="0" w:firstLine="0"/>
            </w:pPr>
            <w:r>
              <w:rPr>
                <w:rFonts w:hint="eastAsia"/>
              </w:rPr>
              <w:t>杨育婷,李玲玲,刘旭等</w:t>
            </w:r>
            <w:r>
              <w:rPr>
                <w:rFonts w:hint="eastAsia"/>
                <w:lang w:val="en-US" w:eastAsia="zh-CN"/>
              </w:rPr>
              <w:t>.</w:t>
            </w:r>
            <w:r>
              <w:rPr>
                <w:rFonts w:hint="eastAsia"/>
              </w:rPr>
              <w:t>基于多尺度-多方向Transforme</w:t>
            </w:r>
            <w:r>
              <w:rPr>
                <w:rFonts w:hint="eastAsia"/>
                <w:lang w:val="en-US" w:eastAsia="zh-CN"/>
              </w:rPr>
              <w:t>r</w:t>
            </w:r>
            <w:r>
              <w:rPr>
                <w:rFonts w:hint="eastAsia"/>
              </w:rPr>
              <w:t>的图像识别[J].计算机学报, 2025,48(02): 249-65.</w:t>
            </w:r>
          </w:p>
          <w:p w14:paraId="4C58A95D">
            <w:pPr>
              <w:pStyle w:val="18"/>
              <w:numPr>
                <w:ilvl w:val="0"/>
                <w:numId w:val="3"/>
              </w:numPr>
              <w:spacing w:line="400" w:lineRule="exact"/>
              <w:ind w:left="0" w:firstLine="0"/>
            </w:pPr>
            <w:r>
              <w:rPr>
                <w:rFonts w:hint="eastAsia"/>
              </w:rPr>
              <w:t>姜岩芸.基于半监督深度学习的肿瘤病理图像分析方法研究[D], 202</w:t>
            </w:r>
            <w:r>
              <w:rPr>
                <w:rFonts w:hint="eastAsia"/>
                <w:lang w:val="en-US" w:eastAsia="zh-CN"/>
              </w:rPr>
              <w:t>3</w:t>
            </w:r>
          </w:p>
          <w:p w14:paraId="62A90F25">
            <w:pPr>
              <w:pStyle w:val="18"/>
              <w:numPr>
                <w:ilvl w:val="0"/>
                <w:numId w:val="3"/>
              </w:numPr>
              <w:spacing w:line="400" w:lineRule="exact"/>
              <w:ind w:left="0" w:firstLine="0"/>
              <w:rPr>
                <w:rFonts w:hint="default" w:ascii="Times New Roman" w:hAnsi="Times New Roman" w:cs="Times New Roman"/>
                <w:sz w:val="21"/>
                <w:szCs w:val="21"/>
              </w:rPr>
            </w:pPr>
            <w:r>
              <w:rPr>
                <w:rFonts w:hint="eastAsia"/>
                <w:lang w:val="en-US" w:eastAsia="zh-CN"/>
              </w:rPr>
              <w:t xml:space="preserve"> </w:t>
            </w:r>
            <w:r>
              <w:rPr>
                <w:rFonts w:hint="default" w:ascii="Times New Roman" w:hAnsi="Times New Roman" w:cs="Times New Roman"/>
                <w:sz w:val="21"/>
                <w:szCs w:val="21"/>
              </w:rPr>
              <w:t>ZHANG Y, ZHOU D, CHEN S, et al. Single-Image Crowd Counting via Multi-Column ConvolutionalNeural Network [C]//proceedings of the 2016 IEEE Conference on Computer Vision and PatternRecognition (CVPR), F, 2016: 27-30.</w:t>
            </w:r>
          </w:p>
          <w:p w14:paraId="605D75F6">
            <w:pPr>
              <w:pStyle w:val="18"/>
              <w:numPr>
                <w:ilvl w:val="0"/>
                <w:numId w:val="3"/>
              </w:numPr>
              <w:spacing w:line="400" w:lineRule="exact"/>
              <w:ind w:left="0" w:firstLine="0"/>
              <w:rPr>
                <w:rFonts w:hint="default" w:ascii="Times New Roman" w:hAnsi="Times New Roman" w:cs="Times New Roman"/>
                <w:sz w:val="21"/>
                <w:szCs w:val="21"/>
              </w:rPr>
            </w:pPr>
            <w:r>
              <w:rPr>
                <w:rFonts w:hint="default" w:ascii="Times New Roman" w:hAnsi="Times New Roman" w:cs="Times New Roman"/>
                <w:sz w:val="21"/>
                <w:szCs w:val="21"/>
              </w:rPr>
              <w:t>CAO X, WANG Z, ZHAO Y, et al. Scale Aggregation Network for Accurate and Efficient CrowdCounting [C]//proceedings of the Computer Vision – ECCV 2018, F, 2018.</w:t>
            </w:r>
          </w:p>
          <w:p w14:paraId="7013416D">
            <w:pPr>
              <w:pStyle w:val="18"/>
              <w:numPr>
                <w:ilvl w:val="0"/>
                <w:numId w:val="3"/>
              </w:numPr>
              <w:spacing w:line="400" w:lineRule="exact"/>
              <w:ind w:left="0" w:firstLine="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GAO J, WANG Q, YUAN Y. SCAR: Spatial-/channel-wise attention regression networks for crowdcounting [J]. Neurocomputing, 2019, 363: 1-8.</w:t>
            </w:r>
          </w:p>
          <w:p w14:paraId="5847454A">
            <w:pPr>
              <w:pStyle w:val="18"/>
              <w:spacing w:line="400" w:lineRule="exact"/>
              <w:rPr>
                <w:rFonts w:hint="default" w:ascii="Times New Roman" w:hAnsi="Times New Roman" w:cs="Times New Roman"/>
                <w:sz w:val="21"/>
                <w:szCs w:val="21"/>
              </w:rPr>
            </w:pPr>
          </w:p>
          <w:p w14:paraId="46EA05F9">
            <w:pPr>
              <w:pStyle w:val="18"/>
              <w:spacing w:line="400" w:lineRule="exact"/>
            </w:pPr>
          </w:p>
          <w:p w14:paraId="39872548">
            <w:pPr>
              <w:pStyle w:val="18"/>
              <w:spacing w:line="400" w:lineRule="exact"/>
            </w:pPr>
          </w:p>
          <w:p w14:paraId="6DE39893">
            <w:pPr>
              <w:pStyle w:val="18"/>
              <w:spacing w:line="400" w:lineRule="exact"/>
            </w:pPr>
          </w:p>
          <w:p w14:paraId="035E0B29">
            <w:pPr>
              <w:pStyle w:val="18"/>
              <w:spacing w:line="400" w:lineRule="exact"/>
            </w:pPr>
          </w:p>
          <w:p w14:paraId="68267AA7">
            <w:pPr>
              <w:pStyle w:val="18"/>
              <w:spacing w:line="400" w:lineRule="exact"/>
            </w:pPr>
          </w:p>
          <w:p w14:paraId="6E4B5C01">
            <w:pPr>
              <w:pStyle w:val="18"/>
              <w:spacing w:line="400" w:lineRule="exact"/>
            </w:pPr>
          </w:p>
          <w:p w14:paraId="4AC72C36">
            <w:pPr>
              <w:pStyle w:val="18"/>
              <w:spacing w:line="400" w:lineRule="exact"/>
            </w:pPr>
          </w:p>
          <w:p w14:paraId="15625D4A">
            <w:pPr>
              <w:pStyle w:val="18"/>
              <w:spacing w:line="400" w:lineRule="exact"/>
            </w:pPr>
          </w:p>
          <w:p w14:paraId="01DE73E2">
            <w:pPr>
              <w:pStyle w:val="18"/>
              <w:spacing w:line="400" w:lineRule="exact"/>
            </w:pPr>
          </w:p>
          <w:p w14:paraId="2AD9F627">
            <w:pPr>
              <w:pStyle w:val="18"/>
              <w:spacing w:line="400" w:lineRule="exact"/>
            </w:pPr>
          </w:p>
          <w:p w14:paraId="6C64790B">
            <w:pPr>
              <w:pStyle w:val="18"/>
              <w:spacing w:line="400" w:lineRule="exact"/>
            </w:pPr>
          </w:p>
          <w:p w14:paraId="51A6B83E">
            <w:pPr>
              <w:pStyle w:val="18"/>
              <w:spacing w:line="400" w:lineRule="exact"/>
            </w:pPr>
          </w:p>
          <w:p w14:paraId="4514AA92">
            <w:pPr>
              <w:spacing w:line="360" w:lineRule="exact"/>
              <w:ind w:firstLine="420" w:firstLineChars="200"/>
              <w:jc w:val="left"/>
              <w:rPr>
                <w:szCs w:val="21"/>
              </w:rPr>
            </w:pPr>
          </w:p>
          <w:p w14:paraId="1D89DBFD">
            <w:pPr>
              <w:spacing w:line="360" w:lineRule="exact"/>
              <w:ind w:firstLine="420" w:firstLineChars="200"/>
              <w:jc w:val="left"/>
              <w:rPr>
                <w:szCs w:val="21"/>
              </w:rPr>
            </w:pPr>
          </w:p>
          <w:p w14:paraId="521959EC">
            <w:pPr>
              <w:spacing w:line="360" w:lineRule="exact"/>
              <w:ind w:firstLine="420" w:firstLineChars="200"/>
              <w:jc w:val="left"/>
              <w:rPr>
                <w:szCs w:val="21"/>
              </w:rPr>
            </w:pPr>
          </w:p>
        </w:tc>
      </w:tr>
      <w:tr w14:paraId="3BF7F42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gridAfter w:val="1"/>
          <w:wAfter w:w="18" w:type="pct"/>
          <w:cantSplit/>
          <w:trHeight w:val="5916" w:hRule="atLeast"/>
          <w:jc w:val="center"/>
        </w:trPr>
        <w:tc>
          <w:tcPr>
            <w:tcW w:w="4981" w:type="pct"/>
            <w:gridSpan w:val="9"/>
            <w:tcBorders>
              <w:top w:val="single" w:color="auto" w:sz="2" w:space="0"/>
            </w:tcBorders>
          </w:tcPr>
          <w:p w14:paraId="54CC81A3">
            <w:pPr>
              <w:spacing w:line="440" w:lineRule="exact"/>
              <w:rPr>
                <w:b/>
                <w:bCs/>
                <w:sz w:val="24"/>
              </w:rPr>
            </w:pPr>
            <w:r>
              <w:rPr>
                <w:rFonts w:hint="eastAsia"/>
                <w:b/>
                <w:bCs/>
                <w:sz w:val="24"/>
              </w:rPr>
              <w:t xml:space="preserve">5 </w:t>
            </w:r>
            <w:r>
              <w:rPr>
                <w:b/>
                <w:bCs/>
                <w:sz w:val="24"/>
              </w:rPr>
              <w:t>论文（设计）的进程安排</w:t>
            </w:r>
          </w:p>
          <w:p w14:paraId="1799708B">
            <w:pPr>
              <w:spacing w:line="440" w:lineRule="exact"/>
              <w:rPr>
                <w:rFonts w:eastAsiaTheme="minorEastAsia" w:cstheme="minorEastAsia"/>
                <w:sz w:val="24"/>
              </w:rPr>
            </w:pPr>
          </w:p>
          <w:p w14:paraId="3019FB7F">
            <w:pPr>
              <w:spacing w:line="440" w:lineRule="exact"/>
              <w:rPr>
                <w:rFonts w:eastAsiaTheme="minorEastAsia" w:cstheme="minorEastAsia"/>
                <w:sz w:val="24"/>
              </w:rPr>
            </w:pPr>
            <w:r>
              <w:rPr>
                <w:rFonts w:hint="eastAsia" w:eastAsiaTheme="minorEastAsia" w:cstheme="minorEastAsia"/>
                <w:sz w:val="24"/>
              </w:rPr>
              <w:t>2024年10月25日-1</w:t>
            </w:r>
            <w:bookmarkStart w:id="7" w:name="_GoBack"/>
            <w:r>
              <w:rPr>
                <w:rFonts w:hint="eastAsia" w:eastAsiaTheme="minorEastAsia" w:cstheme="minorEastAsia"/>
                <w:sz w:val="24"/>
              </w:rPr>
              <w:t>1月21日：选题；</w:t>
            </w:r>
          </w:p>
          <w:p w14:paraId="6FB515BE">
            <w:pPr>
              <w:spacing w:line="440" w:lineRule="exact"/>
              <w:rPr>
                <w:rFonts w:eastAsiaTheme="minorEastAsia" w:cstheme="minorEastAsia"/>
                <w:sz w:val="24"/>
              </w:rPr>
            </w:pPr>
            <w:r>
              <w:rPr>
                <w:rFonts w:hint="eastAsia" w:eastAsiaTheme="minorEastAsia" w:cstheme="minorEastAsia"/>
                <w:sz w:val="24"/>
              </w:rPr>
              <w:t>2024年11月22日-11月24日：毕业论文（设计）开题；</w:t>
            </w:r>
          </w:p>
          <w:p w14:paraId="41319815">
            <w:pPr>
              <w:spacing w:line="440" w:lineRule="exact"/>
              <w:rPr>
                <w:rFonts w:eastAsiaTheme="minorEastAsia" w:cstheme="minorEastAsia"/>
                <w:sz w:val="24"/>
              </w:rPr>
            </w:pPr>
            <w:r>
              <w:rPr>
                <w:rFonts w:hint="eastAsia" w:eastAsiaTheme="minorEastAsia" w:cstheme="minorEastAsia"/>
                <w:sz w:val="24"/>
              </w:rPr>
              <w:t>2024年11月24日-2024年02月16日：毕业论文（设计）前期调研、一稿撰写；</w:t>
            </w:r>
          </w:p>
          <w:p w14:paraId="5B34D68F">
            <w:pPr>
              <w:spacing w:line="440" w:lineRule="exact"/>
              <w:rPr>
                <w:rFonts w:eastAsiaTheme="minorEastAsia" w:cstheme="minorEastAsia"/>
                <w:sz w:val="24"/>
              </w:rPr>
            </w:pPr>
            <w:r>
              <w:rPr>
                <w:rFonts w:hint="eastAsia" w:eastAsiaTheme="minorEastAsia" w:cstheme="minorEastAsia"/>
                <w:sz w:val="24"/>
              </w:rPr>
              <w:t>2025年02月16日-03月10日：毕业论文（设计）二稿撰写；</w:t>
            </w:r>
          </w:p>
          <w:p w14:paraId="49D92C3E">
            <w:pPr>
              <w:spacing w:line="440" w:lineRule="exact"/>
              <w:rPr>
                <w:rFonts w:eastAsiaTheme="minorEastAsia" w:cstheme="minorEastAsia"/>
                <w:sz w:val="24"/>
              </w:rPr>
            </w:pPr>
            <w:r>
              <w:rPr>
                <w:rFonts w:hint="eastAsia" w:eastAsiaTheme="minorEastAsia" w:cstheme="minorEastAsia"/>
                <w:sz w:val="24"/>
              </w:rPr>
              <w:t>2025年03月10日-04月01日：毕业论文（设计）中期检查；</w:t>
            </w:r>
          </w:p>
          <w:p w14:paraId="5B9A6371">
            <w:pPr>
              <w:spacing w:line="440" w:lineRule="exact"/>
              <w:rPr>
                <w:rFonts w:eastAsiaTheme="minorEastAsia" w:cstheme="minorEastAsia"/>
                <w:sz w:val="24"/>
              </w:rPr>
            </w:pPr>
            <w:r>
              <w:rPr>
                <w:rFonts w:hint="eastAsia" w:eastAsiaTheme="minorEastAsia" w:cstheme="minorEastAsia"/>
                <w:sz w:val="24"/>
              </w:rPr>
              <w:t>2025年04月01日-05月16日：毕业论文（设计）定稿、查重；</w:t>
            </w:r>
          </w:p>
          <w:p w14:paraId="463B7F53">
            <w:pPr>
              <w:spacing w:line="440" w:lineRule="exact"/>
              <w:rPr>
                <w:rFonts w:eastAsiaTheme="minorEastAsia" w:cstheme="minorEastAsia"/>
                <w:sz w:val="24"/>
              </w:rPr>
            </w:pPr>
            <w:r>
              <w:rPr>
                <w:rFonts w:hint="eastAsia" w:eastAsiaTheme="minorEastAsia" w:cstheme="minorEastAsia"/>
                <w:sz w:val="24"/>
              </w:rPr>
              <w:t>2025年05月17日-05月25日：毕业论文（设计）评阅答辩资格审查；</w:t>
            </w:r>
          </w:p>
          <w:p w14:paraId="0FA46359">
            <w:pPr>
              <w:spacing w:line="440" w:lineRule="exact"/>
              <w:rPr>
                <w:rFonts w:eastAsiaTheme="minorEastAsia" w:cstheme="minorEastAsia"/>
                <w:sz w:val="24"/>
              </w:rPr>
            </w:pPr>
            <w:r>
              <w:rPr>
                <w:rFonts w:hint="eastAsia" w:eastAsiaTheme="minorEastAsia" w:cstheme="minorEastAsia"/>
                <w:sz w:val="24"/>
              </w:rPr>
              <w:t>2025年05月26日-05月31日：毕业论文（设计）答辩、上报成绩；</w:t>
            </w:r>
          </w:p>
          <w:p w14:paraId="3FB3EC72">
            <w:pPr>
              <w:spacing w:line="440" w:lineRule="exact"/>
              <w:rPr>
                <w:rFonts w:eastAsiaTheme="minorEastAsia" w:cstheme="minorEastAsia"/>
                <w:sz w:val="24"/>
              </w:rPr>
            </w:pPr>
            <w:r>
              <w:rPr>
                <w:rFonts w:hint="eastAsia" w:eastAsiaTheme="minorEastAsia" w:cstheme="minorEastAsia"/>
                <w:sz w:val="24"/>
              </w:rPr>
              <w:t>2025年05月31日-06月03日：毕业论文（设计）推优；</w:t>
            </w:r>
          </w:p>
          <w:p w14:paraId="53B6D9C9">
            <w:pPr>
              <w:spacing w:line="440" w:lineRule="exact"/>
              <w:rPr>
                <w:sz w:val="24"/>
              </w:rPr>
            </w:pPr>
            <w:r>
              <w:rPr>
                <w:rFonts w:hint="eastAsia" w:eastAsiaTheme="minorEastAsia" w:cstheme="minorEastAsia"/>
                <w:sz w:val="24"/>
              </w:rPr>
              <w:t>2025年06月4日-06月10日：归档总结、期末检查。</w:t>
            </w:r>
            <w:bookmarkEnd w:id="7"/>
          </w:p>
        </w:tc>
      </w:tr>
      <w:tr w14:paraId="199561F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gridAfter w:val="1"/>
          <w:wAfter w:w="18" w:type="pct"/>
          <w:cantSplit/>
          <w:trHeight w:val="7017" w:hRule="atLeast"/>
          <w:jc w:val="center"/>
        </w:trPr>
        <w:tc>
          <w:tcPr>
            <w:tcW w:w="4981" w:type="pct"/>
            <w:gridSpan w:val="9"/>
          </w:tcPr>
          <w:p w14:paraId="7CB86669">
            <w:pPr>
              <w:spacing w:line="440" w:lineRule="exact"/>
              <w:rPr>
                <w:b/>
                <w:bCs/>
                <w:sz w:val="24"/>
              </w:rPr>
            </w:pPr>
            <w:r>
              <w:rPr>
                <w:rFonts w:hint="eastAsia"/>
                <w:b/>
                <w:bCs/>
                <w:sz w:val="24"/>
              </w:rPr>
              <w:t xml:space="preserve">6 </w:t>
            </w:r>
            <w:r>
              <w:rPr>
                <w:b/>
                <w:bCs/>
                <w:sz w:val="24"/>
              </w:rPr>
              <w:t>指导教师意见及建议</w:t>
            </w:r>
          </w:p>
          <w:p w14:paraId="3CAAF92F">
            <w:pPr>
              <w:spacing w:line="440" w:lineRule="exact"/>
              <w:jc w:val="left"/>
              <w:rPr>
                <w:sz w:val="24"/>
              </w:rPr>
            </w:pPr>
            <w:r>
              <w:rPr>
                <w:rFonts w:hint="eastAsia"/>
                <w:sz w:val="24"/>
              </w:rPr>
              <w:t xml:space="preserve">  </w:t>
            </w:r>
          </w:p>
          <w:p w14:paraId="79D4AE56">
            <w:pPr>
              <w:rPr>
                <w:sz w:val="24"/>
              </w:rPr>
            </w:pPr>
            <w:r>
              <w:rPr>
                <w:rFonts w:hint="eastAsia"/>
                <w:sz w:val="24"/>
              </w:rPr>
              <w:t>选题明确，难度适中，同意开题</w:t>
            </w:r>
          </w:p>
          <w:p w14:paraId="7EF8251E">
            <w:pPr>
              <w:ind w:firstLine="480" w:firstLineChars="200"/>
              <w:rPr>
                <w:sz w:val="24"/>
              </w:rPr>
            </w:pPr>
          </w:p>
          <w:p w14:paraId="026E5323">
            <w:pPr>
              <w:spacing w:line="440" w:lineRule="exact"/>
              <w:jc w:val="left"/>
              <w:rPr>
                <w:sz w:val="24"/>
              </w:rPr>
            </w:pPr>
          </w:p>
          <w:p w14:paraId="600FBFD5">
            <w:pPr>
              <w:spacing w:line="440" w:lineRule="exact"/>
              <w:jc w:val="left"/>
              <w:rPr>
                <w:sz w:val="24"/>
              </w:rPr>
            </w:pPr>
            <w:r>
              <w:rPr>
                <w:sz w:val="24"/>
              </w:rPr>
              <w:t>是否同意开题：</w:t>
            </w:r>
            <w:r>
              <w:rPr>
                <w:rFonts w:hint="eastAsia"/>
                <w:sz w:val="24"/>
              </w:rPr>
              <w:t>同意开题！</w:t>
            </w:r>
          </w:p>
          <w:p w14:paraId="1DEE132E">
            <w:pPr>
              <w:spacing w:line="440" w:lineRule="exact"/>
              <w:jc w:val="left"/>
              <w:rPr>
                <w:sz w:val="24"/>
              </w:rPr>
            </w:pPr>
          </w:p>
          <w:p w14:paraId="72ED31EE">
            <w:pPr>
              <w:spacing w:line="440" w:lineRule="exact"/>
              <w:jc w:val="left"/>
              <w:rPr>
                <w:sz w:val="24"/>
              </w:rPr>
            </w:pPr>
          </w:p>
          <w:p w14:paraId="10B5DD30">
            <w:pPr>
              <w:spacing w:line="440" w:lineRule="exact"/>
              <w:ind w:firstLine="4200" w:firstLineChars="1750"/>
              <w:jc w:val="left"/>
              <w:rPr>
                <w:sz w:val="24"/>
              </w:rPr>
            </w:pPr>
            <w:r>
              <w:rPr>
                <w:sz w:val="24"/>
              </w:rPr>
              <w:t xml:space="preserve">指导教师签字： </w:t>
            </w:r>
            <w:r>
              <w:rPr>
                <w:rFonts w:hint="eastAsia"/>
                <w:sz w:val="24"/>
              </w:rPr>
              <w:t>刘兴庭</w:t>
            </w:r>
          </w:p>
          <w:p w14:paraId="10D020FC">
            <w:pPr>
              <w:spacing w:line="440" w:lineRule="exact"/>
              <w:ind w:firstLine="4920" w:firstLineChars="2050"/>
              <w:jc w:val="left"/>
              <w:rPr>
                <w:sz w:val="24"/>
              </w:rPr>
            </w:pPr>
            <w:r>
              <w:rPr>
                <w:sz w:val="24"/>
              </w:rPr>
              <w:t xml:space="preserve">         </w:t>
            </w:r>
            <w:r>
              <w:rPr>
                <w:rFonts w:hint="eastAsia" w:ascii="宋体" w:hAnsi="宋体"/>
                <w:sz w:val="24"/>
              </w:rPr>
              <w:t xml:space="preserve"> 2024年11月22日</w:t>
            </w:r>
          </w:p>
        </w:tc>
      </w:tr>
    </w:tbl>
    <w:p w14:paraId="58078035">
      <w:pPr>
        <w:pStyle w:val="2"/>
        <w:jc w:val="left"/>
      </w:pPr>
    </w:p>
    <w:sectPr>
      <w:footerReference r:id="rId7" w:type="default"/>
      <w:pgSz w:w="11906" w:h="16838"/>
      <w:pgMar w:top="1701" w:right="1417" w:bottom="1531" w:left="1417" w:header="1134" w:footer="1134" w:gutter="567"/>
      <w:pgNumType w:start="1"/>
      <w:cols w:space="720" w:num="1"/>
      <w:docGrid w:type="lines" w:linePitch="438" w:charSpace="48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A47BF">
    <w:pPr>
      <w:pStyle w:val="8"/>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83C51">
    <w:pPr>
      <w:pStyle w:val="8"/>
      <w:tabs>
        <w:tab w:val="clear" w:pos="4153"/>
      </w:tabs>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793C8">
    <w:pPr>
      <w:pStyle w:val="8"/>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95F4DA">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795F4DA">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9175F">
    <w:pPr>
      <w:pStyle w:val="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47BA4">
    <w:pPr>
      <w:pStyle w:val="9"/>
      <w:pBdr>
        <w:bottom w:val="single" w:color="auto" w:sz="4" w:space="0"/>
      </w:pBdr>
      <w:rPr>
        <w:sz w:val="21"/>
        <w:szCs w:val="21"/>
      </w:rPr>
    </w:pPr>
    <w:r>
      <w:rPr>
        <w:rFonts w:hint="eastAsia"/>
        <w:sz w:val="21"/>
        <w:szCs w:val="21"/>
      </w:rPr>
      <w:t>金融促进经济发展方式转变研究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51FB1"/>
    <w:multiLevelType w:val="singleLevel"/>
    <w:tmpl w:val="9A651FB1"/>
    <w:lvl w:ilvl="0" w:tentative="0">
      <w:start w:val="1"/>
      <w:numFmt w:val="decimal"/>
      <w:suff w:val="nothing"/>
      <w:lvlText w:val="（%1）"/>
      <w:lvlJc w:val="left"/>
    </w:lvl>
  </w:abstractNum>
  <w:abstractNum w:abstractNumId="1">
    <w:nsid w:val="2A7C09FC"/>
    <w:multiLevelType w:val="multilevel"/>
    <w:tmpl w:val="2A7C09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3E2A0A8"/>
    <w:multiLevelType w:val="singleLevel"/>
    <w:tmpl w:val="63E2A0A8"/>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mOTZiYjA5Mzc2YzAwZjk2YjhlMzdkNjU4YmFjZWEifQ=="/>
  </w:docVars>
  <w:rsids>
    <w:rsidRoot w:val="0C2142C6"/>
    <w:rsid w:val="001D6A55"/>
    <w:rsid w:val="0026093B"/>
    <w:rsid w:val="00276156"/>
    <w:rsid w:val="00324409"/>
    <w:rsid w:val="00475DC0"/>
    <w:rsid w:val="009C2297"/>
    <w:rsid w:val="00AB1CB1"/>
    <w:rsid w:val="00C26E4B"/>
    <w:rsid w:val="01AE6C72"/>
    <w:rsid w:val="01B426BD"/>
    <w:rsid w:val="05021F6D"/>
    <w:rsid w:val="07440714"/>
    <w:rsid w:val="07E35D35"/>
    <w:rsid w:val="08FE0ADD"/>
    <w:rsid w:val="093A1985"/>
    <w:rsid w:val="0C2142C6"/>
    <w:rsid w:val="0C884140"/>
    <w:rsid w:val="0E67693F"/>
    <w:rsid w:val="10F76493"/>
    <w:rsid w:val="11733C86"/>
    <w:rsid w:val="15316332"/>
    <w:rsid w:val="18F27B86"/>
    <w:rsid w:val="195C618E"/>
    <w:rsid w:val="1A8567D8"/>
    <w:rsid w:val="1ACD58E4"/>
    <w:rsid w:val="1C36422E"/>
    <w:rsid w:val="1C564995"/>
    <w:rsid w:val="1ED76CF1"/>
    <w:rsid w:val="1F1C6876"/>
    <w:rsid w:val="218653C6"/>
    <w:rsid w:val="249F0D70"/>
    <w:rsid w:val="279369D8"/>
    <w:rsid w:val="28240853"/>
    <w:rsid w:val="28ED3EC6"/>
    <w:rsid w:val="29AF73CD"/>
    <w:rsid w:val="2A0554F8"/>
    <w:rsid w:val="2B4029D3"/>
    <w:rsid w:val="2E8712D4"/>
    <w:rsid w:val="2EED4C20"/>
    <w:rsid w:val="301461DC"/>
    <w:rsid w:val="3390692F"/>
    <w:rsid w:val="34B47F8E"/>
    <w:rsid w:val="383218F5"/>
    <w:rsid w:val="384C6E5B"/>
    <w:rsid w:val="3962620A"/>
    <w:rsid w:val="3E083824"/>
    <w:rsid w:val="3EA82911"/>
    <w:rsid w:val="407A50F4"/>
    <w:rsid w:val="42660B19"/>
    <w:rsid w:val="462D14F5"/>
    <w:rsid w:val="481D7ECC"/>
    <w:rsid w:val="497F0E2E"/>
    <w:rsid w:val="4D27359B"/>
    <w:rsid w:val="4F9273F2"/>
    <w:rsid w:val="4FE63299"/>
    <w:rsid w:val="502F2E92"/>
    <w:rsid w:val="57462870"/>
    <w:rsid w:val="5B557525"/>
    <w:rsid w:val="5CC6692D"/>
    <w:rsid w:val="62034D7C"/>
    <w:rsid w:val="632223E3"/>
    <w:rsid w:val="65E9368C"/>
    <w:rsid w:val="69E00902"/>
    <w:rsid w:val="6BDC6EC6"/>
    <w:rsid w:val="6C3A48F4"/>
    <w:rsid w:val="6C8934D3"/>
    <w:rsid w:val="6CC14A1B"/>
    <w:rsid w:val="6D675E5F"/>
    <w:rsid w:val="6E0E1EE1"/>
    <w:rsid w:val="6E3A4A84"/>
    <w:rsid w:val="6F7F0240"/>
    <w:rsid w:val="6FB95E7D"/>
    <w:rsid w:val="726C367A"/>
    <w:rsid w:val="72B648F6"/>
    <w:rsid w:val="77AE203F"/>
    <w:rsid w:val="78C95383"/>
    <w:rsid w:val="7908577F"/>
    <w:rsid w:val="7A392094"/>
    <w:rsid w:val="7BF24BF0"/>
    <w:rsid w:val="7CFC37D1"/>
    <w:rsid w:val="7D796C4C"/>
    <w:rsid w:val="7FCD7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9"/>
    <w:pPr>
      <w:keepNext/>
      <w:jc w:val="center"/>
      <w:outlineLvl w:val="0"/>
    </w:pPr>
    <w:rPr>
      <w:rFonts w:eastAsia="黑体"/>
      <w:b/>
      <w:bCs/>
      <w:sz w:val="32"/>
      <w:szCs w:val="32"/>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b/>
      <w:bCs/>
      <w:kern w:val="0"/>
      <w:sz w:val="36"/>
      <w:szCs w:val="36"/>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qFormat/>
    <w:uiPriority w:val="0"/>
    <w:pPr>
      <w:jc w:val="left"/>
    </w:pPr>
  </w:style>
  <w:style w:type="paragraph" w:styleId="5">
    <w:name w:val="Body Text Indent"/>
    <w:basedOn w:val="1"/>
    <w:qFormat/>
    <w:uiPriority w:val="0"/>
    <w:pPr>
      <w:spacing w:after="120"/>
      <w:ind w:left="420" w:leftChars="200"/>
    </w:pPr>
    <w:rPr>
      <w:sz w:val="32"/>
      <w:szCs w:val="20"/>
    </w:rPr>
  </w:style>
  <w:style w:type="paragraph" w:styleId="6">
    <w:name w:val="Plain Text"/>
    <w:basedOn w:val="1"/>
    <w:qFormat/>
    <w:uiPriority w:val="0"/>
    <w:rPr>
      <w:rFonts w:ascii="宋体" w:hAnsi="Courier New" w:cs="Courier New"/>
      <w:sz w:val="24"/>
      <w:szCs w:val="21"/>
    </w:rPr>
  </w:style>
  <w:style w:type="paragraph" w:styleId="7">
    <w:name w:val="Balloon Text"/>
    <w:basedOn w:val="1"/>
    <w:link w:val="19"/>
    <w:qFormat/>
    <w:uiPriority w:val="0"/>
    <w:rPr>
      <w:sz w:val="18"/>
      <w:szCs w:val="18"/>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pPr>
      <w:spacing w:beforeAutospacing="1" w:afterAutospacing="1"/>
      <w:jc w:val="left"/>
    </w:pPr>
    <w:rPr>
      <w:kern w:val="0"/>
      <w:sz w:val="24"/>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annotation reference"/>
    <w:semiHidden/>
    <w:qFormat/>
    <w:uiPriority w:val="0"/>
    <w:rPr>
      <w:sz w:val="21"/>
      <w:szCs w:val="21"/>
    </w:rPr>
  </w:style>
  <w:style w:type="paragraph" w:styleId="16">
    <w:name w:val="List Paragraph"/>
    <w:basedOn w:val="1"/>
    <w:unhideWhenUsed/>
    <w:qFormat/>
    <w:uiPriority w:val="99"/>
    <w:pPr>
      <w:ind w:firstLine="420" w:firstLineChars="200"/>
    </w:pPr>
  </w:style>
  <w:style w:type="paragraph" w:customStyle="1" w:styleId="17">
    <w:name w:val="图片"/>
    <w:next w:val="1"/>
    <w:qFormat/>
    <w:uiPriority w:val="0"/>
    <w:pPr>
      <w:spacing w:line="440" w:lineRule="exact"/>
      <w:jc w:val="center"/>
    </w:pPr>
    <w:rPr>
      <w:rFonts w:ascii="Times New Roman" w:hAnsi="Times New Roman" w:eastAsia="宋体" w:cs="Times New Roman"/>
      <w:lang w:val="en-US" w:eastAsia="zh-CN" w:bidi="ar-SA"/>
    </w:rPr>
  </w:style>
  <w:style w:type="paragraph" w:customStyle="1" w:styleId="18">
    <w:name w:val="正文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4"/>
      <w:lang w:val="en-US" w:eastAsia="zh-CN" w:bidi="ar-SA"/>
    </w:rPr>
  </w:style>
  <w:style w:type="character" w:customStyle="1" w:styleId="19">
    <w:name w:val="批注框文本 Char"/>
    <w:basedOn w:val="12"/>
    <w:link w:val="7"/>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10</Pages>
  <Words>4802</Words>
  <Characters>6766</Characters>
  <Lines>52</Lines>
  <Paragraphs>14</Paragraphs>
  <TotalTime>20</TotalTime>
  <ScaleCrop>false</ScaleCrop>
  <LinksUpToDate>false</LinksUpToDate>
  <CharactersWithSpaces>7159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2024-01-03T12:19:00Z</dcterms:created>
  <dc:creator>WPS_1602412946</dc:creator>
  <cp:lastModifiedBy>WPS</cp:lastModifiedBy>
  <dcterms:modified xsi:type="dcterms:W3CDTF">2025-12-25T13:36:53Z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FDF3D26E1B204AC4B1696A62FBDEA3DF_13</vt:lpwstr>
  </property>
  <property fmtid="{D5CDD505-2E9C-101B-9397-08002B2CF9AE}" pid="4" name="KSOTemplateDocerSaveRecord">
    <vt:lpwstr>eyJoZGlkIjoiNjRmZGI5ZDg5YTZjM2E4Y2NlNGQ2YWEzNGYzMmJmZjMiLCJ1c2VySWQiOiIxMzQ2MTU5NzM3In0=</vt:lpwstr>
  </property>
</Properties>
</file>