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做小麦穗检测数据集GWHD2020</w:t>
      </w:r>
    </w:p>
    <w:p>
      <w:pPr>
        <w:numPr>
          <w:ilvl w:val="0"/>
          <w:numId w:val="1"/>
        </w:numPr>
        <w:ind w:left="-480" w:leftChars="0" w:firstLine="480" w:firstLineChars="0"/>
        <w:rPr>
          <w:rFonts w:hint="eastAsia"/>
          <w:sz w:val="24"/>
        </w:rPr>
      </w:pPr>
      <w:r>
        <w:rPr>
          <w:rFonts w:hint="eastAsia"/>
          <w:sz w:val="24"/>
        </w:rPr>
        <w:t>数据预处理与扩充方法：研究并实现对 GWHD 小麦穗数据集的预处理方案，包括使用 Labelme 工具进行矩形边界框标注、JSON 格式与 TXT 格式转换，采用 5 折交叉验证划分训练集与验证集以避免过拟合；同时设计图像旋转、平移、裁剪等数据增强策略，扩充训练样本多样性，提升模型对复杂田间环境的适配性。</w:t>
      </w:r>
    </w:p>
    <w:p>
      <w:pPr>
        <w:numPr>
          <w:ilvl w:val="0"/>
          <w:numId w:val="1"/>
        </w:numPr>
        <w:ind w:left="-480" w:leftChars="0" w:firstLine="480" w:firstLineChars="0"/>
        <w:rPr>
          <w:rFonts w:hint="eastAsia"/>
          <w:sz w:val="24"/>
        </w:rPr>
      </w:pPr>
      <w:r>
        <w:rPr>
          <w:rFonts w:hint="eastAsia"/>
          <w:lang w:val="en-US" w:eastAsia="zh-CN"/>
        </w:rPr>
        <w:t xml:space="preserve">    </w:t>
      </w:r>
      <w:r>
        <w:rPr>
          <w:rFonts w:hint="eastAsia"/>
          <w:sz w:val="24"/>
        </w:rPr>
        <w:t>核心检测技术研发：以 YOLOv11轻量化模型为基础，通过 Slim-Neck 模块重构特征交互路径强化跨尺度特征融合，嵌入高效通道注意力机制抑制背景干扰；采用适配田间数据分布的混合损失函数</w:t>
      </w:r>
      <w:r>
        <w:rPr>
          <w:rFonts w:hint="eastAsia" w:ascii="宋体" w:hAnsi="宋体"/>
          <w:sz w:val="24"/>
          <w:lang w:val="en-US" w:eastAsia="zh-CN"/>
        </w:rPr>
        <w:t>结合 “BCE+Dice+Focal” 混合损失函数，缓解穗部与背景的类不平衡问题，强化重叠穗、小尺度穗等难样本的学习效果，</w:t>
      </w:r>
    </w:p>
    <w:p>
      <w:pPr>
        <w:pStyle w:val="5"/>
        <w:numPr>
          <w:ilvl w:val="2"/>
          <w:numId w:val="0"/>
        </w:numPr>
        <w:spacing w:line="440" w:lineRule="exact"/>
        <w:ind w:firstLine="480" w:firstLineChars="200"/>
        <w:jc w:val="left"/>
        <w:rPr>
          <w:rFonts w:hint="eastAsia" w:cs="宋体"/>
          <w:sz w:val="24"/>
          <w:szCs w:val="21"/>
        </w:rPr>
      </w:pPr>
      <w:r>
        <w:rPr>
          <w:sz w:val="24"/>
        </w:rPr>
        <w:t>本文的研究思路通过以 YOLOv11 为基础架构，在 Neck 层嵌入这</w:t>
      </w:r>
      <w:r>
        <w:rPr>
          <w:rFonts w:hint="eastAsia"/>
          <w:sz w:val="24"/>
        </w:rPr>
        <w:t xml:space="preserve">Slim-Neck </w:t>
      </w:r>
      <w:r>
        <w:rPr>
          <w:sz w:val="24"/>
        </w:rPr>
        <w:t>模块，</w:t>
      </w:r>
      <w:r>
        <w:rPr>
          <w:rFonts w:hint="eastAsia"/>
          <w:sz w:val="24"/>
        </w:rPr>
        <w:t>Slim-Neck模块的核心在于引入注意力机制，</w:t>
      </w:r>
      <w:r>
        <w:rPr>
          <w:rFonts w:hint="eastAsia" w:cs="宋体"/>
          <w:sz w:val="24"/>
          <w:szCs w:val="21"/>
        </w:rPr>
        <w:t xml:space="preserve"> Slim-Ne</w:t>
      </w:r>
      <w:r>
        <w:rPr>
          <w:rFonts w:hint="eastAsia" w:cs="宋体"/>
          <w:sz w:val="24"/>
          <w:szCs w:val="21"/>
          <w:lang w:val="en-US" w:eastAsia="zh-CN"/>
        </w:rPr>
        <w:t>ck</w:t>
      </w:r>
      <w:r>
        <w:rPr>
          <w:rFonts w:hint="eastAsia" w:cs="宋体"/>
          <w:sz w:val="24"/>
          <w:szCs w:val="21"/>
        </w:rPr>
        <w:t xml:space="preserve"> 模块注意力权重调整</w:t>
      </w:r>
      <w:r>
        <w:rPr>
          <w:rFonts w:hint="eastAsia" w:cs="宋体"/>
          <w:sz w:val="24"/>
          <w:szCs w:val="21"/>
          <w:lang w:eastAsia="zh-CN"/>
        </w:rPr>
        <w:t>，</w:t>
      </w:r>
      <w:r>
        <w:rPr>
          <w:rFonts w:hint="eastAsia" w:cs="宋体"/>
          <w:sz w:val="24"/>
          <w:szCs w:val="21"/>
        </w:rPr>
        <w:t>混合损失函数权重因子选择</w:t>
      </w:r>
      <w:r>
        <w:rPr>
          <w:rFonts w:hint="eastAsia" w:cs="宋体"/>
          <w:sz w:val="24"/>
          <w:szCs w:val="21"/>
          <w:lang w:eastAsia="zh-CN"/>
        </w:rPr>
        <w:t>，</w:t>
      </w:r>
      <w:r>
        <w:rPr>
          <w:rFonts w:hint="eastAsia" w:cs="宋体"/>
          <w:sz w:val="24"/>
          <w:szCs w:val="21"/>
        </w:rPr>
        <w:t>训练迭代次数与优化器参数配置</w:t>
      </w:r>
    </w:p>
    <w:p>
      <w:pPr>
        <w:spacing w:line="440" w:lineRule="exact"/>
        <w:ind w:firstLine="480" w:firstLineChars="200"/>
        <w:rPr>
          <w:rFonts w:hint="eastAsia" w:eastAsia="宋体" w:cstheme="minorEastAsia"/>
          <w:sz w:val="24"/>
          <w:lang w:eastAsia="zh-CN"/>
        </w:rPr>
      </w:pPr>
      <w:r>
        <w:rPr>
          <w:rFonts w:hint="eastAsia"/>
          <w:sz w:val="24"/>
        </w:rPr>
        <w:t>从而有效抑制噪声、突出关键特征，并提升小麦穗的检测和识别能力。此外，该模块还采用了跨尺度特征交互技术，设计了特殊的连接和卷积运算，在不同尺度的特征图之间建立多条跨尺度连接路径。这实现了浅层特征和深层特征之间的双向流动和互补，充分发挥了不同尺度特征的优势，从而提升了模型对不同大小和形状小麦穗的检测性能</w:t>
      </w:r>
      <w:r>
        <w:rPr>
          <w:rFonts w:hint="eastAsia"/>
          <w:sz w:val="24"/>
          <w:lang w:eastAsia="zh-CN"/>
        </w:rPr>
        <w:t>，</w:t>
      </w:r>
      <w:r>
        <w:rPr>
          <w:sz w:val="24"/>
        </w:rPr>
        <w:t>结合适配田间数据分布的混合损失函数</w:t>
      </w:r>
      <w:r>
        <w:rPr>
          <w:rFonts w:hint="eastAsia"/>
          <w:sz w:val="24"/>
          <w:lang w:eastAsia="zh-CN"/>
        </w:rPr>
        <w:t>，</w:t>
      </w:r>
      <w:r>
        <w:rPr>
          <w:sz w:val="24"/>
        </w:rPr>
        <w:t>二值交叉熵</w:t>
      </w:r>
      <w:r>
        <w:rPr>
          <w:rFonts w:hint="eastAsia"/>
          <w:sz w:val="24"/>
        </w:rPr>
        <w:t>BCE</w:t>
      </w:r>
      <w:r>
        <w:rPr>
          <w:sz w:val="24"/>
        </w:rPr>
        <w:t>损失函数</w:t>
      </w:r>
      <w:r>
        <w:rPr>
          <w:rFonts w:hint="eastAsia"/>
          <w:sz w:val="24"/>
        </w:rPr>
        <w:t>与</w:t>
      </w:r>
      <w:r>
        <w:rPr>
          <w:sz w:val="24"/>
        </w:rPr>
        <w:t>Dice相似系数损失函数</w:t>
      </w:r>
      <w:r>
        <w:rPr>
          <w:rFonts w:hint="eastAsia"/>
          <w:sz w:val="24"/>
          <w:lang w:eastAsia="zh-CN"/>
        </w:rPr>
        <w:t xml:space="preserve">，与 </w:t>
      </w:r>
      <w:r>
        <w:rPr>
          <w:rFonts w:hint="eastAsia"/>
          <w:sz w:val="24"/>
          <w:lang w:val="en-US" w:eastAsia="zh-CN"/>
        </w:rPr>
        <w:t>F</w:t>
      </w:r>
      <w:r>
        <w:rPr>
          <w:rFonts w:hint="eastAsia"/>
          <w:sz w:val="24"/>
          <w:lang w:eastAsia="zh-CN"/>
        </w:rPr>
        <w:t>ocal Loss焦点损失函数</w:t>
      </w:r>
      <w:r>
        <w:rPr>
          <w:rFonts w:hint="eastAsia"/>
          <w:sz w:val="24"/>
        </w:rPr>
        <w:t>结合</w:t>
      </w:r>
      <w:r>
        <w:rPr>
          <w:rFonts w:hint="eastAsia"/>
          <w:sz w:val="24"/>
          <w:lang w:eastAsia="zh-CN"/>
        </w:rPr>
        <w:t>，</w:t>
      </w:r>
      <w:r>
        <w:rPr>
          <w:sz w:val="24"/>
        </w:rPr>
        <w:t>该混合损失函数保证了网络能够聚焦穗部区域重叠度计算，提升密集重叠场景下的穗部分割边界精度，减少漏检</w:t>
      </w:r>
      <w:r>
        <w:rPr>
          <w:rFonts w:hint="eastAsia"/>
          <w:sz w:val="24"/>
          <w:lang w:eastAsia="zh-CN"/>
        </w:rPr>
        <w:t>。</w:t>
      </w:r>
    </w:p>
    <w:p>
      <w:pPr>
        <w:numPr>
          <w:numId w:val="0"/>
        </w:numPr>
        <w:ind w:leftChars="0"/>
        <w:rPr>
          <w:rFonts w:hint="eastAsia"/>
          <w:sz w:val="24"/>
        </w:rPr>
      </w:pPr>
    </w:p>
    <w:p>
      <w:pPr>
        <w:numPr>
          <w:ilvl w:val="0"/>
          <w:numId w:val="1"/>
        </w:numPr>
        <w:ind w:left="0" w:leftChars="0" w:firstLine="480" w:firstLineChars="200"/>
        <w:rPr>
          <w:sz w:val="24"/>
        </w:rPr>
      </w:pPr>
      <w:r>
        <w:rPr>
          <w:rFonts w:hint="eastAsia"/>
          <w:sz w:val="24"/>
        </w:rPr>
        <w:t>性能优化与评估：分析改进后 YOLOv11 模型在特征提取、特征融合及目标匹配环节的性能瓶颈，针对 Slim-Neck 模块注意力权重等核心参数进行针对性调优；同时引入混合损失函数，其核心逻辑为结合二值交叉熵（BCE）、Dice 相似系数（DSC）与 Focal 损失的优势，强化对重叠穗、小尺度穗等难样本的学习，缓解穗部与背景的类不平衡问题，优化训练策略以提升模型收敛效率。通过实验采集足量田间小麦穗图像数据，结合数据分析量化评估模型的精确率、召回率、mAP@0.5 及 mAP@0.5:0.95 等指标，系统验证模型在小麦穗检测任务中的检测精度、鲁棒性与推理可靠性。</w:t>
      </w:r>
    </w:p>
    <w:p>
      <w:pPr>
        <w:numPr>
          <w:numId w:val="0"/>
        </w:numPr>
        <w:ind w:leftChars="0"/>
        <w:rPr>
          <w:rFonts w:hint="eastAsia"/>
          <w:sz w:val="24"/>
          <w:highlight w:val="red"/>
          <w:lang w:val="en-US" w:eastAsia="zh-CN"/>
        </w:rPr>
      </w:pPr>
      <w:r>
        <w:rPr>
          <w:rFonts w:hint="eastAsia"/>
          <w:sz w:val="24"/>
          <w:lang w:val="en-US" w:eastAsia="zh-CN"/>
        </w:rPr>
        <w:t>具体参照如下</w:t>
      </w:r>
      <w:r>
        <w:rPr>
          <w:rFonts w:hint="eastAsia"/>
          <w:sz w:val="24"/>
          <w:highlight w:val="red"/>
          <w:lang w:val="en-US" w:eastAsia="zh-CN"/>
        </w:rPr>
        <w:t xml:space="preserve"> 但是必须做出对比  曲线命名方式要清晰 yolov11 和yolov11轻量化后</w:t>
      </w:r>
    </w:p>
    <w:p>
      <w:pPr>
        <w:pStyle w:val="5"/>
        <w:numPr>
          <w:ilvl w:val="2"/>
          <w:numId w:val="0"/>
        </w:numPr>
        <w:spacing w:line="440" w:lineRule="exact"/>
        <w:ind w:firstLine="480" w:firstLineChars="200"/>
        <w:jc w:val="left"/>
        <w:rPr>
          <w:rFonts w:hint="eastAsia" w:cs="宋体"/>
          <w:sz w:val="24"/>
          <w:szCs w:val="21"/>
          <w:highlight w:val="red"/>
        </w:rPr>
      </w:pPr>
      <w:r>
        <w:rPr>
          <w:rFonts w:hint="eastAsia"/>
          <w:sz w:val="24"/>
          <w:highlight w:val="red"/>
          <w:lang w:val="en-US" w:eastAsia="zh-CN"/>
        </w:rPr>
        <w:t>代码图也需要拍照 特别做出更改的部分，</w:t>
      </w:r>
      <w:r>
        <w:rPr>
          <w:rFonts w:hint="eastAsia" w:cs="宋体"/>
          <w:sz w:val="24"/>
          <w:szCs w:val="21"/>
          <w:highlight w:val="red"/>
        </w:rPr>
        <w:t>3.4 实验结果及分析</w:t>
      </w:r>
    </w:p>
    <w:p>
      <w:pPr>
        <w:pStyle w:val="5"/>
        <w:numPr>
          <w:ilvl w:val="2"/>
          <w:numId w:val="0"/>
        </w:numPr>
        <w:spacing w:line="440" w:lineRule="exact"/>
        <w:ind w:firstLine="480" w:firstLineChars="200"/>
        <w:jc w:val="left"/>
        <w:rPr>
          <w:rFonts w:hint="eastAsia" w:cs="宋体"/>
          <w:sz w:val="24"/>
          <w:szCs w:val="21"/>
          <w:highlight w:val="red"/>
        </w:rPr>
      </w:pPr>
      <w:r>
        <w:rPr>
          <w:rFonts w:hint="eastAsia" w:cs="宋体"/>
          <w:sz w:val="24"/>
          <w:szCs w:val="21"/>
          <w:highlight w:val="red"/>
        </w:rPr>
        <w:t>3.4.1 原始 YOLOv11 与轻量化版本性能对比</w:t>
      </w:r>
    </w:p>
    <w:p>
      <w:pPr>
        <w:pStyle w:val="5"/>
        <w:numPr>
          <w:ilvl w:val="2"/>
          <w:numId w:val="0"/>
        </w:numPr>
        <w:spacing w:line="440" w:lineRule="exact"/>
        <w:ind w:firstLine="480" w:firstLineChars="200"/>
        <w:jc w:val="left"/>
        <w:rPr>
          <w:rFonts w:hint="eastAsia" w:cs="宋体"/>
          <w:sz w:val="24"/>
          <w:szCs w:val="21"/>
          <w:highlight w:val="red"/>
        </w:rPr>
      </w:pPr>
      <w:r>
        <w:rPr>
          <w:rFonts w:hint="eastAsia" w:cs="宋体"/>
          <w:sz w:val="24"/>
          <w:szCs w:val="21"/>
          <w:highlight w:val="red"/>
        </w:rPr>
        <w:t>3.4.2 不同参数配置对轻量化模型性能的影响</w:t>
      </w:r>
      <w:bookmarkStart w:id="0" w:name="_GoBack"/>
      <w:bookmarkEnd w:id="0"/>
    </w:p>
    <w:p>
      <w:pPr>
        <w:pStyle w:val="5"/>
        <w:numPr>
          <w:ilvl w:val="2"/>
          <w:numId w:val="0"/>
        </w:numPr>
        <w:spacing w:line="440" w:lineRule="exact"/>
        <w:ind w:firstLine="480" w:firstLineChars="200"/>
        <w:jc w:val="left"/>
        <w:rPr>
          <w:rFonts w:hint="eastAsia" w:cs="宋体"/>
          <w:sz w:val="24"/>
          <w:szCs w:val="21"/>
        </w:rPr>
      </w:pPr>
    </w:p>
    <w:p>
      <w:pPr>
        <w:pStyle w:val="5"/>
        <w:numPr>
          <w:ilvl w:val="2"/>
          <w:numId w:val="0"/>
        </w:numPr>
        <w:spacing w:line="440" w:lineRule="exact"/>
        <w:ind w:firstLine="480" w:firstLineChars="200"/>
        <w:jc w:val="left"/>
        <w:rPr>
          <w:rFonts w:hint="eastAsia" w:cs="宋体"/>
          <w:sz w:val="24"/>
          <w:szCs w:val="21"/>
        </w:rPr>
      </w:pPr>
    </w:p>
    <w:p>
      <w:pPr>
        <w:numPr>
          <w:numId w:val="0"/>
        </w:numPr>
        <w:ind w:leftChars="0"/>
        <w:rPr>
          <w:rFonts w:hint="default"/>
          <w:sz w:val="24"/>
          <w:highlight w:val="red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3305175"/>
            <wp:effectExtent l="0" t="0" r="7620" b="1905"/>
            <wp:docPr id="11" name="图片 11" descr="屏幕截图 2026-04-06 19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4-06 19001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3515" cy="3231515"/>
            <wp:effectExtent l="0" t="0" r="9525" b="14605"/>
            <wp:docPr id="10" name="图片 10" descr="屏幕截图 2026-04-06 190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4-06 19010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3717290"/>
            <wp:effectExtent l="0" t="0" r="3175" b="1270"/>
            <wp:docPr id="9" name="图片 9" descr="屏幕截图 2026-04-06 190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4-06 19013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3515" cy="3431540"/>
            <wp:effectExtent l="0" t="0" r="9525" b="12700"/>
            <wp:docPr id="8" name="图片 8" descr="屏幕截图 2026-04-06 190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04-06 1902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230" cy="3493770"/>
            <wp:effectExtent l="0" t="0" r="3810" b="11430"/>
            <wp:docPr id="7" name="图片 7" descr="屏幕截图 2026-04-06 190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4-06 190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4785" cy="3543300"/>
            <wp:effectExtent l="0" t="0" r="8255" b="7620"/>
            <wp:docPr id="6" name="图片 6" descr="屏幕截图 2026-04-06 190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04-06 1903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675" cy="3587115"/>
            <wp:effectExtent l="0" t="0" r="14605" b="9525"/>
            <wp:docPr id="5" name="图片 5" descr="屏幕截图 2026-04-06 190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4-06 19032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2664460"/>
            <wp:effectExtent l="0" t="0" r="7620" b="2540"/>
            <wp:docPr id="4" name="图片 4" descr="屏幕截图 2026-04-06 190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04-06 19035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5420" cy="4358005"/>
            <wp:effectExtent l="0" t="0" r="7620" b="635"/>
            <wp:docPr id="3" name="图片 3" descr="屏幕截图 2026-04-06 19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4-06 19044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7960" cy="3952240"/>
            <wp:effectExtent l="0" t="0" r="5080" b="10160"/>
            <wp:docPr id="2" name="图片 2" descr="屏幕截图 2026-04-06 190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4-06 19050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3999230"/>
            <wp:effectExtent l="0" t="0" r="4445" b="8890"/>
            <wp:docPr id="1" name="图片 1" descr="屏幕截图 2026-04-06 1905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4-06 1905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E2A0A8"/>
    <w:multiLevelType w:val="singleLevel"/>
    <w:tmpl w:val="63E2A0A8"/>
    <w:lvl w:ilvl="0" w:tentative="0">
      <w:start w:val="1"/>
      <w:numFmt w:val="decimal"/>
      <w:suff w:val="nothing"/>
      <w:lvlText w:val="（%1）"/>
      <w:lvlJc w:val="left"/>
      <w:pPr>
        <w:ind w:left="-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RmOTZiYjA5Mzc2YzAwZjk2YjhlMzdkNjU4YmFjZWEifQ=="/>
  </w:docVars>
  <w:rsids>
    <w:rsidRoot w:val="078B2582"/>
    <w:rsid w:val="049251C3"/>
    <w:rsid w:val="078B2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919</Words>
  <Characters>1082</Characters>
  <Lines>0</Lines>
  <Paragraphs>0</Paragraphs>
  <TotalTime>2</TotalTime>
  <ScaleCrop>false</ScaleCrop>
  <LinksUpToDate>false</LinksUpToDate>
  <CharactersWithSpaces>1130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2026-04-06T11:41:00Z</dcterms:created>
  <dc:creator>WPS_1669693744</dc:creator>
  <cp:lastModifiedBy>WPS_1669693744</cp:lastModifiedBy>
  <dcterms:modified xsi:type="dcterms:W3CDTF">2026-04-06T11:53:01Z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D94215EBD43F4ADAA032F70DD9A24CF8_13</vt:lpwstr>
  </property>
</Properties>
</file>