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89481">
      <w:pPr>
        <w:rPr>
          <w:rFonts w:hint="eastAsia" w:ascii="楷体" w:hAnsi="楷体" w:eastAsia="楷体" w:cs="楷体"/>
        </w:rPr>
      </w:pPr>
    </w:p>
    <w:p w14:paraId="0C7AE12B">
      <w:pPr>
        <w:rPr>
          <w:rFonts w:hint="eastAsia" w:ascii="楷体" w:hAnsi="楷体" w:eastAsia="楷体" w:cs="楷体"/>
        </w:rPr>
      </w:pPr>
    </w:p>
    <w:p w14:paraId="5523CB7F">
      <w:pPr>
        <w:rPr>
          <w:rFonts w:hint="eastAsia" w:ascii="楷体" w:hAnsi="楷体" w:eastAsia="楷体" w:cs="楷体"/>
        </w:rPr>
      </w:pPr>
    </w:p>
    <w:p w14:paraId="7C8B2145">
      <w:pPr>
        <w:rPr>
          <w:rFonts w:hint="eastAsia" w:ascii="楷体" w:hAnsi="楷体" w:eastAsia="楷体" w:cs="楷体"/>
        </w:rPr>
      </w:pPr>
    </w:p>
    <w:p w14:paraId="36D90256">
      <w:pPr>
        <w:jc w:val="center"/>
        <w:rPr>
          <w:rFonts w:hint="eastAsia" w:ascii="楷体" w:hAnsi="楷体" w:eastAsia="楷体" w:cs="楷体"/>
          <w:b/>
          <w:bCs w:val="0"/>
        </w:rPr>
      </w:pPr>
      <w:r>
        <w:rPr>
          <w:rFonts w:hint="eastAsia" w:ascii="楷体" w:hAnsi="楷体" w:eastAsia="楷体" w:cs="楷体"/>
          <w:b/>
          <w:bCs w:val="0"/>
          <w:color w:val="1A4789"/>
          <w:sz w:val="44"/>
        </w:rPr>
        <w:t>基于K-Means聚类与Prophet时序预测的</w:t>
      </w:r>
    </w:p>
    <w:p w14:paraId="795A793F">
      <w:pPr>
        <w:jc w:val="center"/>
        <w:rPr>
          <w:rFonts w:hint="eastAsia" w:ascii="楷体" w:hAnsi="楷体" w:eastAsia="楷体" w:cs="楷体"/>
          <w:b/>
          <w:bCs w:val="0"/>
        </w:rPr>
      </w:pPr>
      <w:r>
        <w:rPr>
          <w:rFonts w:hint="eastAsia" w:ascii="楷体" w:hAnsi="楷体" w:eastAsia="楷体" w:cs="楷体"/>
          <w:b/>
          <w:bCs w:val="0"/>
          <w:color w:val="1A4789"/>
          <w:sz w:val="44"/>
        </w:rPr>
        <w:t>重庆上市车企财务智能预警研究</w:t>
      </w:r>
    </w:p>
    <w:p w14:paraId="47D96EF0">
      <w:pPr>
        <w:rPr>
          <w:rFonts w:hint="eastAsia" w:ascii="楷体" w:hAnsi="楷体" w:eastAsia="楷体" w:cs="楷体"/>
        </w:rPr>
      </w:pPr>
    </w:p>
    <w:p w14:paraId="2D2284ED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32"/>
        </w:rPr>
        <w:t>—— 分析报告 ——</w:t>
      </w:r>
      <w:bookmarkStart w:id="0" w:name="_GoBack"/>
      <w:bookmarkEnd w:id="0"/>
    </w:p>
    <w:p w14:paraId="0CB23211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666666"/>
          <w:sz w:val="26"/>
        </w:rPr>
        <w:t>赛力斯外部协同经营模式对标长安自主研发模式</w:t>
      </w:r>
    </w:p>
    <w:p w14:paraId="58DAACAB">
      <w:pPr>
        <w:rPr>
          <w:rFonts w:hint="eastAsia" w:ascii="楷体" w:hAnsi="楷体" w:eastAsia="楷体" w:cs="楷体"/>
        </w:rPr>
      </w:pPr>
    </w:p>
    <w:p w14:paraId="41D05ECC">
      <w:pPr>
        <w:rPr>
          <w:rFonts w:hint="eastAsia" w:ascii="楷体" w:hAnsi="楷体" w:eastAsia="楷体" w:cs="楷体"/>
        </w:rPr>
      </w:pPr>
    </w:p>
    <w:p w14:paraId="111507AE">
      <w:pPr>
        <w:rPr>
          <w:rFonts w:hint="eastAsia" w:ascii="楷体" w:hAnsi="楷体" w:eastAsia="楷体" w:cs="楷体"/>
        </w:rPr>
      </w:pPr>
    </w:p>
    <w:p w14:paraId="02273064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999999"/>
          <w:sz w:val="22"/>
        </w:rPr>
        <w:t>第六届重庆市大学生企业财务大数据智能决策应用赛</w:t>
      </w:r>
    </w:p>
    <w:p w14:paraId="13FCF380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999999"/>
          <w:sz w:val="22"/>
        </w:rPr>
        <w:t>重庆师范大学</w:t>
      </w:r>
    </w:p>
    <w:p w14:paraId="3EF3D8E9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999999"/>
          <w:sz w:val="22"/>
        </w:rPr>
        <w:t>2026年7月</w:t>
      </w:r>
    </w:p>
    <w:p w14:paraId="09D36382">
      <w:p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br w:type="page"/>
      </w:r>
    </w:p>
    <w:p w14:paraId="376D02EE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执行摘要</w:t>
      </w:r>
    </w:p>
    <w:p w14:paraId="73CB1E70">
      <w:pPr>
        <w:spacing w:after="16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本研究对8家A股上市乘用车企业（2016Q1—2025Q4，314个季度数据点）进行多维度财务智能预警分析，核心对比赛力斯（外部协同/华为智选）与长安汽车（自主研发）两种新能源转型模式。研究遵循"数据层→模型层→评价层"的递进分析框架，综合运用K-Means聚类、孤立森林异常检测、六种时序预测方法对比、杜邦多期连环替代分析、Altman Z-score破产预警与沃尔评分综合排名等方法体系，力求从财务数据中还原两家重庆车企的战略选择、经营效率和风险偏好。</w:t>
      </w:r>
    </w:p>
    <w:p w14:paraId="319AB7D7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1"/>
        </w:rPr>
        <w:t>关键发现：</w:t>
      </w:r>
    </w:p>
    <w:p w14:paraId="4282496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赛力斯：高增长高波动模式。ROE从38.7%暴跌至15.0%（-23.6pp），主因去杠杆（-17.8pp），问界系列占比~95%集中度极高，Z-score 1.63（危险区），但沃尔评分90.4分排名第1（高增长驱动）</w:t>
      </w:r>
    </w:p>
    <w:p w14:paraId="71295E0F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长安汽车：稳健转型模式。ROE仅下降3.9pp，Z-score 1.82（灰色区，优于赛力斯），新能源占比~26%多品牌均衡，异常率0%（完全稳定）</w:t>
      </w:r>
    </w:p>
    <w:p w14:paraId="468A400E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预测方法：Ridge回归为最优稳健选择（资产负债率MAPE 2.4%-5.2%），LSTM和三次指数平滑在小样本下严重过拟合（R²为负数十至数百倍）</w:t>
      </w:r>
    </w:p>
    <w:p w14:paraId="5C092558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MAPE回测：平均1669.54%发出趋势中断警报，2026Q1行业可能发生重大变化，预测值仅作方向参考</w:t>
      </w:r>
    </w:p>
    <w:p w14:paraId="423F1BB3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北汽蓝谷异常率74%（红色预警），Z-score -1.44（危险区），江淮汽车Z-score 0.84（危险区），两企业经营风险最高</w:t>
      </w:r>
    </w:p>
    <w:p w14:paraId="13F3420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长城汽车表现最均衡：Z-score 2.08（最接近安全区），沃尔评分84.9分第2名，异常率0%，风险评分0.483（最低）</w:t>
      </w:r>
    </w:p>
    <w:p w14:paraId="1F799EED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一、研究背景与目的</w:t>
      </w:r>
    </w:p>
    <w:p w14:paraId="5A150B26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重庆作为中国西部汽车工业重镇，在汽车产业百年未有之大变局中扮演着关键角色。近年来，新能源汽车渗透率从2020年的5.4%飙升至2025年的超过50%，行业正处于从政策驱动向市场驱动转型的关键期。在此背景下，重庆拥有长安汽车（000625）和赛力斯（601127）两家代表性上市车企，它们在新能源转型中采用了截然不同的发展路径，形成了极具研究价值的"天然实验"。</w:t>
      </w:r>
    </w:p>
    <w:p w14:paraId="57A15D8B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赛力斯选择外部协同模式，通过与华为深度合作（华为智选），借助华为的技术赋能和渠道优势快速切入新能源市场。长安汽车则坚持自主研发路线，构建了深蓝、阿维塔、启源三大新能源品牌矩阵，依托SDA/EPA/CHN三大自主技术平台稳步推进转型。两种模式各有优劣，核心问题是：代工协同模式和自主研发模式，谁的财务风险更高、更不稳定？谁的财务健康度更可持续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402"/>
      </w:tblGrid>
      <w:tr w14:paraId="3ECBAE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2D8437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维度</w:t>
            </w:r>
          </w:p>
        </w:tc>
        <w:tc>
          <w:tcPr>
            <w:tcW w:w="3402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37E9DB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赛力斯 (601127)</w:t>
            </w:r>
          </w:p>
        </w:tc>
        <w:tc>
          <w:tcPr>
            <w:tcW w:w="3402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9E9B33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长安汽车 (000625)</w:t>
            </w:r>
          </w:p>
        </w:tc>
      </w:tr>
      <w:tr w14:paraId="530898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9BCE8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经营模式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33B1EE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外部协同（华为智选）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0918E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自主研发（深蓝/阿维塔/启源）</w:t>
            </w:r>
          </w:p>
        </w:tc>
      </w:tr>
      <w:tr w14:paraId="348004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65A3D89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核心品牌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3F7260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AITO问界（2021年起）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4D590F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深蓝汽车、阿维塔、长安启源</w:t>
            </w:r>
          </w:p>
        </w:tc>
      </w:tr>
      <w:tr w14:paraId="5F0EC4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4AD55F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研发路径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6EC50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联合研发（华为技术赋能）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D3AE4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自主技术平台（SDA/EPA/CHN）</w:t>
            </w:r>
          </w:p>
        </w:tc>
      </w:tr>
      <w:tr w14:paraId="4F4CF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0153212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商业模式特点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889028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轻资产、高周转、高杠杆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DEC2FF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重资产、稳投入、低杠杆</w:t>
            </w:r>
          </w:p>
        </w:tc>
      </w:tr>
    </w:tbl>
    <w:p w14:paraId="06CDDF42">
      <w:pPr>
        <w:spacing w:after="120"/>
        <w:rPr>
          <w:rFonts w:hint="eastAsia" w:ascii="楷体" w:hAnsi="楷体" w:eastAsia="楷体" w:cs="楷体"/>
        </w:rPr>
      </w:pPr>
    </w:p>
    <w:p w14:paraId="09BAD232">
      <w:pPr>
        <w:rPr>
          <w:rFonts w:hint="eastAsia" w:ascii="楷体" w:hAnsi="楷体" w:eastAsia="楷体" w:cs="楷体"/>
        </w:rPr>
      </w:pPr>
    </w:p>
    <w:p w14:paraId="3AA55237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1"/>
        </w:rPr>
        <w:t>核心研究问题：代工协同模式（赛力斯）和自主研发模式（长安），谁的财务风险更高、更不稳定？</w:t>
      </w:r>
    </w:p>
    <w:p w14:paraId="5258EFAA">
      <w:pPr>
        <w:rPr>
          <w:rFonts w:hint="eastAsia" w:ascii="楷体" w:hAnsi="楷体" w:eastAsia="楷体" w:cs="楷体"/>
        </w:rPr>
      </w:pPr>
    </w:p>
    <w:p w14:paraId="311C27CA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本研究遵循财务报告分析的四阶段程序（信息搜集→战略分析→财务分析实施→综合评价），构建以下方法论体系：</w:t>
      </w:r>
    </w:p>
    <w:p w14:paraId="6CDCB473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K-Means聚类（K=3, 314季度点）+ PCA降维可视化：识别企业财务特征的时空分布规律</w:t>
      </w:r>
    </w:p>
    <w:p w14:paraId="2679B0B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孤立森林异常检测（contamination=0.10）：精准识别财务异常季度和企业</w:t>
      </w:r>
    </w:p>
    <w:p w14:paraId="7393B907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六种时序预测方法对比：Ridge/Prophet/LSTM/三次指数平滑/ARIMA/线性回归</w:t>
      </w:r>
    </w:p>
    <w:p w14:paraId="435B3079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杜邦分析（多期连环替代法）：ROE = 净利率 × 总资产周转率 × 权益乘数</w:t>
      </w:r>
    </w:p>
    <w:p w14:paraId="7A7250A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Altman Z-score破产预警（新能源行业适配阈值）+ 沃尔评分综合排名</w:t>
      </w:r>
    </w:p>
    <w:p w14:paraId="39F0D9D9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MAPE回测验证（2026Q1实际值 vs 预测值）：评估模型预测有效性</w:t>
      </w:r>
    </w:p>
    <w:p w14:paraId="7D13DF43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销量结构对比分析：业务集中度与多品牌分散度的战略影响</w:t>
      </w:r>
    </w:p>
    <w:p w14:paraId="7999A39C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二、数据来源与样本说明</w:t>
      </w:r>
    </w:p>
    <w:p w14:paraId="1A894D07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数据源：AkShare（中国A股交易所披露，会计准则统一，经注册会计师审计鉴证）</w:t>
      </w:r>
    </w:p>
    <w:p w14:paraId="04E80482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时间范围：财务数据2016Q1—2025Q4（10年），销量数据2022—2026年度</w:t>
      </w:r>
    </w:p>
    <w:p w14:paraId="70677602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样本规模：8家A股乘用车整车企业，314个季度数据点，覆盖三大财务报表</w:t>
      </w:r>
    </w:p>
    <w:p w14:paraId="4476719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三大报表：资产负债表（存量/时点）、利润表（流量/期间）、现金流量表（流量/期间）</w:t>
      </w:r>
    </w:p>
    <w:p w14:paraId="306F0FD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18项财务指标：盈利能力4项（毛利率/营业利润率/净利润率/ROE）+ 营运能力3项（存货周转率/总资产周转率/应收周转率）+ 偿债能力4项（流动比率/速动比率/利息保障倍数/资产负债率）+ 成长能力3项（营收/利润/净利增长率）+ 补充指标4项（有息负债率/经营现金流/营收/权益乘数/货币资金占比）</w:t>
      </w:r>
    </w:p>
    <w:p w14:paraId="6772875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2026Q1追加采集：仅赛力斯和长安，用于Prophet预测MAPE回测验证</w:t>
      </w:r>
    </w:p>
    <w:p w14:paraId="2223ACB0">
      <w:pPr>
        <w:spacing w:after="80" w:line="312" w:lineRule="auto"/>
        <w:rPr>
          <w:rFonts w:hint="eastAsia" w:ascii="楷体" w:hAnsi="楷体" w:eastAsia="楷体" w:cs="楷体"/>
        </w:rPr>
      </w:pPr>
    </w:p>
    <w:p w14:paraId="514B81F9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8家对标车企：赛力斯★、长安汽车★、比亚迪、上汽集团、长城汽车、广汽集团、江淮汽车、北汽蓝谷</w:t>
      </w:r>
    </w:p>
    <w:p w14:paraId="60F57CC0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/>
          <w:color w:val="666666"/>
          <w:sz w:val="18"/>
        </w:rPr>
        <w:t>注：★标记为核心研究对象（重庆本地车企），其余6家为行业对标样本。样本选取覆盖传统巨头（上汽/广汽）、自主品牌（长城/比亚迪/江淮）、新能源新势力（北汽蓝谷）和跨界协同（赛力斯），具有行业代表性。</w:t>
      </w:r>
    </w:p>
    <w:p w14:paraId="5BD58E68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三、财务指标分析（8家车企核心指标对比）</w:t>
      </w:r>
    </w:p>
    <w:p w14:paraId="1CFF86F7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以下为2025年年报核心财务指标对比。财务指标分析遵循从本质到表象、从资本到商品的三层逻辑展开：盈利能力反映企业赚取利润的本质能力，营运能力反映资产利用效率，偿债能力反映财务风险水平，发展能力反映成长可持续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47"/>
        <w:gridCol w:w="1247"/>
        <w:gridCol w:w="1587"/>
        <w:gridCol w:w="1587"/>
        <w:gridCol w:w="1247"/>
      </w:tblGrid>
      <w:tr w14:paraId="25AE05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BBD570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公司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A5D865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毛利率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A0AD7F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净利润率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16B08D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净资产收益率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FFE61C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资产负债率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D9F912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流动比率</w:t>
            </w:r>
          </w:p>
        </w:tc>
      </w:tr>
      <w:tr w14:paraId="2F04DE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D12A92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A3386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4.36%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2B04B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3.72%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79B73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21.90%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49202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70.91%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4075F1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1.05</w:t>
            </w:r>
          </w:p>
        </w:tc>
      </w:tr>
      <w:tr w14:paraId="5D807E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82B5331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FA9B00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1.61%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7CA61D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1.93%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B49CD8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5.43%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197481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59.61%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F6A86F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1.21</w:t>
            </w:r>
          </w:p>
        </w:tc>
      </w:tr>
      <w:tr w14:paraId="6FA64E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B29938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比亚迪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B0E790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3.16%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BBFE87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4.20%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81BCF7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16.24%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192382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70.74%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A85A8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0.79</w:t>
            </w:r>
          </w:p>
        </w:tc>
      </w:tr>
      <w:tr w14:paraId="02EEA8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1F629D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长城汽车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B01B05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3.25%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5908B5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4.43%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C65106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11.94%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352DA8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60.99%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F260D6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1.09</w:t>
            </w:r>
          </w:p>
        </w:tc>
      </w:tr>
      <w:tr w14:paraId="5E65CA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9AF011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上汽集团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A61F6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-0.43%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3E971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2.70%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E860FC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3.42%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5416D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62.37%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632F9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1.20</w:t>
            </w:r>
          </w:p>
        </w:tc>
      </w:tr>
      <w:tr w14:paraId="25CF32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5BAC15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广汽集团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A4C6F8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-15.68%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6FF119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-12.00%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862EE7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-8.02%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57B635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48.97%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0D32F5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1.14</w:t>
            </w:r>
          </w:p>
        </w:tc>
      </w:tr>
      <w:tr w14:paraId="14613B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43629E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江淮汽车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9EF160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-3.50%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16254B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-3.81%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88CDE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-14.53%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3B7776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79.07%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2EB1C0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0.80</w:t>
            </w:r>
          </w:p>
        </w:tc>
      </w:tr>
      <w:tr w14:paraId="3C251F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E19BAA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1CCB37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-21.55%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CE2D95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-22.84%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32B592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-332.24%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068F68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88.47%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758070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0.65</w:t>
            </w:r>
          </w:p>
        </w:tc>
      </w:tr>
    </w:tbl>
    <w:p w14:paraId="696E5E15">
      <w:pPr>
        <w:spacing w:after="120"/>
        <w:rPr>
          <w:rFonts w:hint="eastAsia" w:ascii="楷体" w:hAnsi="楷体" w:eastAsia="楷体" w:cs="楷体"/>
        </w:rPr>
      </w:pPr>
    </w:p>
    <w:p w14:paraId="5BD4D1A6">
      <w:pPr>
        <w:rPr>
          <w:rFonts w:hint="eastAsia" w:ascii="楷体" w:hAnsi="楷体" w:eastAsia="楷体" w:cs="楷体"/>
        </w:rPr>
      </w:pPr>
    </w:p>
    <w:p w14:paraId="58299AAE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2560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1284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图1：八家车企核心财务指标热力图（正负分离色带）</w:t>
      </w:r>
    </w:p>
    <w:p w14:paraId="64EEEC5D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关键发现：从数字看战略</w:t>
      </w:r>
    </w:p>
    <w:p w14:paraId="3800F42B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盈利能力维度：</w:t>
      </w:r>
    </w:p>
    <w:p w14:paraId="43107CEF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北汽蓝谷毛利率-21.55%、ROE -332.24%，处于严重亏损状态，意味着每卖一辆车都在亏损，商业模式尚未跑通</w:t>
      </w:r>
    </w:p>
    <w:p w14:paraId="2DAFBB4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上汽集团毛利率首次转负（-0.43%），作为传统巨头面临"量价齐跌"的转型阵痛，收入增长但利润不增，成本费用管控出现系统性问题</w:t>
      </w:r>
    </w:p>
    <w:p w14:paraId="783C836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广汽集团毛利率-15.68%、净利润率-12%，新能源转型受挫，合资品牌利润贡献下降未能被自主品牌弥补</w:t>
      </w:r>
    </w:p>
    <w:p w14:paraId="1EE4D02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赛力斯ROE高达21.90%，表面盈利能力强，但需结合资产负债率70.91%的高杠杆特征综合分析——高ROE部分由高杠杆驱动</w:t>
      </w:r>
    </w:p>
    <w:p w14:paraId="191E3523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长城汽车表现最均衡：毛利率3.25%、净利润率4.43%、ROE 11.94%、资产负债率60.99%，各项指标均在合理区间</w:t>
      </w:r>
    </w:p>
    <w:p w14:paraId="2661A445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偿债能力维度：</w:t>
      </w:r>
    </w:p>
    <w:p w14:paraId="0B6CF892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江淮汽车流动比率0.80、北汽蓝谷0.65，均低于1.0的安全线，意味着短期偿债压力较大，存在流动性风险</w:t>
      </w:r>
    </w:p>
    <w:p w14:paraId="30FBD2A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比亚迪流动比率0.79但ROE 16.24%表现优异，说明其短期偿债压力被高盈利能力所覆盖，但需关注资金链安全</w:t>
      </w:r>
    </w:p>
    <w:p w14:paraId="670BC63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长安汽车流动比率1.21、资产负债率59.61%，偿债能力优于赛力斯（1.05/70.91%）</w:t>
      </w:r>
    </w:p>
    <w:p w14:paraId="3103AC58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发展能力维度：</w:t>
      </w:r>
    </w:p>
    <w:p w14:paraId="6E47FA99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赛力斯营收增长率54.8%，远超行业均值，但高增长伴随高波动，可持续性存疑</w:t>
      </w:r>
    </w:p>
    <w:p w14:paraId="2F9E264E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长城汽车营收增长率56.6%，同时保持盈利和偿债指标均衡，增长质量优于赛力斯</w:t>
      </w:r>
    </w:p>
    <w:p w14:paraId="5DE2A249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四、K-Means聚类与孤立森林分析</w:t>
      </w:r>
    </w:p>
    <w:p w14:paraId="3D9AEF40">
      <w:pPr>
        <w:pStyle w:val="4"/>
        <w:spacing w:before="280" w:after="1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28"/>
        </w:rPr>
        <w:t>4.1 K-Means聚类分析（K=3, 314季度点）</w:t>
      </w:r>
    </w:p>
    <w:p w14:paraId="5A9CD336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基于五维特征矩阵（毛利率、经营现金流/营收、有息负债率、存货周转率、权益乘数），对314个季度数据点进行K-Means聚类。通过肘部法则确定最优聚类数K=3，轮廓系数0.609表明群组间具有良好的分离度，CH指数119.8进一步验证了聚类效果。</w:t>
      </w:r>
    </w:p>
    <w:p w14:paraId="302480C6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3599815" cy="20345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4A1F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图2：肘部法则确定最优K=3</w:t>
      </w:r>
    </w:p>
    <w:p w14:paraId="497526D6">
      <w:pPr>
        <w:rPr>
          <w:rFonts w:hint="eastAsia" w:ascii="楷体" w:hAnsi="楷体" w:eastAsia="楷体" w:cs="楷体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247"/>
        <w:gridCol w:w="1417"/>
        <w:gridCol w:w="1247"/>
        <w:gridCol w:w="1247"/>
        <w:gridCol w:w="1134"/>
      </w:tblGrid>
      <w:tr w14:paraId="276017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12F7C4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群组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8F9C9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企业/季度数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1F8F6F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毛利率均值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A37E9F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经营现金流/营收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55EA98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有息负债率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4CDD82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存货周转率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2EDB26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权益乘数</w:t>
            </w:r>
          </w:p>
        </w:tc>
      </w:tr>
      <w:tr w14:paraId="38E6A6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DAC995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群0（稳健群）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59295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8企/287季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EAD70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-0.011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BC3CA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-0.020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C2A95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0.124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84E28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7.954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C108C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3.104</w:t>
            </w:r>
          </w:p>
        </w:tc>
      </w:tr>
      <w:tr w14:paraId="4F9F85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7E836FE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群1（异常群）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BF499E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北汽蓝谷/3季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B3837A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-1.075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6018A7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-8.312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1C80C6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0.000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E7A2DB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CE5EA1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1.983</w:t>
            </w:r>
          </w:p>
        </w:tc>
      </w:tr>
      <w:tr w14:paraId="7BBDDC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29F86C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群2（高杠杆群）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1691D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北汽蓝谷/24季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768D8B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-0.528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F833EE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-0.208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4488FD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0.382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297325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4.533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C288C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7.285</w:t>
            </w:r>
          </w:p>
        </w:tc>
      </w:tr>
    </w:tbl>
    <w:p w14:paraId="6EDF9F84">
      <w:pPr>
        <w:spacing w:after="120"/>
        <w:rPr>
          <w:rFonts w:hint="eastAsia" w:ascii="楷体" w:hAnsi="楷体" w:eastAsia="楷体" w:cs="楷体"/>
        </w:rPr>
      </w:pPr>
    </w:p>
    <w:p w14:paraId="4E0DC697">
      <w:pPr>
        <w:rPr>
          <w:rFonts w:hint="eastAsia" w:ascii="楷体" w:hAnsi="楷体" w:eastAsia="楷体" w:cs="楷体"/>
        </w:rPr>
      </w:pPr>
    </w:p>
    <w:p w14:paraId="7CB49E20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039995" cy="35121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8455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图3：K-Means聚类PCA降维可视化</w:t>
      </w:r>
    </w:p>
    <w:p w14:paraId="538FE29F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聚类结果解读：</w:t>
      </w:r>
    </w:p>
    <w:p w14:paraId="23099D8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群0（稳健群）包含全部8家企业的287个季度，是行业"常态"区域。赛力斯、长安汽车、比亚迪等均主要分布在此群组，说明大多数时候这些企业的财务特征处于正常区间</w:t>
      </w:r>
    </w:p>
    <w:p w14:paraId="20527EC9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群1（异常群）和群2（高杠杆群）均 exclusively 由北汽蓝谷的季度构成。群1的毛利率-107.5%、经营现金流/营收-831.2%反映了极端的亏损和现金流恶化状态；群2的权益乘数7.285说明北汽蓝谷在部分时期依赖极高杠杆维持运营</w:t>
      </w:r>
    </w:p>
    <w:p w14:paraId="0AAEE512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这一结果从统计角度印证了北汽蓝谷是8家企业中财务表现最异质的企业，其财务波动与行业常态显著偏离</w:t>
      </w:r>
    </w:p>
    <w:p w14:paraId="014BD204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综合风险评分排名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417"/>
        <w:gridCol w:w="1134"/>
        <w:gridCol w:w="1134"/>
        <w:gridCol w:w="2835"/>
      </w:tblGrid>
      <w:tr w14:paraId="12285D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2F9FA1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排名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9296EA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公司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274A8A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风险评分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2A379D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判定</w:t>
            </w:r>
          </w:p>
        </w:tc>
        <w:tc>
          <w:tcPr>
            <w:tcW w:w="2835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64C4A5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风险特征</w:t>
            </w:r>
          </w:p>
        </w:tc>
      </w:tr>
      <w:tr w14:paraId="5F9758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A6B16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9D9E2A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E42F65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0.692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ACE45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75AA83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高杠杆+高增长+单品牌集中</w:t>
            </w:r>
          </w:p>
        </w:tc>
      </w:tr>
      <w:tr w14:paraId="51B9A8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3391E2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DC7300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0A05CC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0.674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6EDB39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EC9FB5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稳健但利润率持续下降</w:t>
            </w:r>
          </w:p>
        </w:tc>
      </w:tr>
      <w:tr w14:paraId="39FBC6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A56C5B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AC606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F9567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0.663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3CCF4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F6B964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极端亏损+现金流恶化</w:t>
            </w:r>
          </w:p>
        </w:tc>
      </w:tr>
      <w:tr w14:paraId="3F766A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71A4C2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F16849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广汽集团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2A034B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0.634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B75310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4AE72E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毛利率-15.68%+转型受挫</w:t>
            </w:r>
          </w:p>
        </w:tc>
      </w:tr>
      <w:tr w14:paraId="6BC80A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B6FBF5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367A8A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比亚迪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6B9BF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0.571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84029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FDDC70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高ROE但流动比率偏低</w:t>
            </w:r>
          </w:p>
        </w:tc>
      </w:tr>
      <w:tr w14:paraId="47C1E2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BF934D9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5D92A3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上汽集团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C99AD0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0.547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C9CF6F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FF7DCC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传统巨头转型阵痛</w:t>
            </w:r>
          </w:p>
        </w:tc>
      </w:tr>
      <w:tr w14:paraId="69666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49291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0CB1A5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江淮汽车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D5E780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0.539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D4A31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关注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65518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三项核心指标为负</w:t>
            </w:r>
          </w:p>
        </w:tc>
      </w:tr>
      <w:tr w14:paraId="2B3D47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033BD7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005495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长城汽车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D61B01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0.483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ACADD3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安全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953929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各项指标均衡最优</w:t>
            </w:r>
          </w:p>
        </w:tc>
      </w:tr>
    </w:tbl>
    <w:p w14:paraId="298B836B">
      <w:pPr>
        <w:spacing w:after="120"/>
        <w:rPr>
          <w:rFonts w:hint="eastAsia" w:ascii="楷体" w:hAnsi="楷体" w:eastAsia="楷体" w:cs="楷体"/>
        </w:rPr>
      </w:pPr>
    </w:p>
    <w:p w14:paraId="60E8A0CC">
      <w:pPr>
        <w:pStyle w:val="4"/>
        <w:spacing w:before="280" w:after="1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28"/>
        </w:rPr>
        <w:t>4.2 孤立森林异常检测</w:t>
      </w:r>
    </w:p>
    <w:p w14:paraId="43EED910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4319905" cy="18611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6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1458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图4：孤立森林异常检测（contamination=0.10）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850"/>
        <w:gridCol w:w="1020"/>
        <w:gridCol w:w="850"/>
        <w:gridCol w:w="1134"/>
        <w:gridCol w:w="2268"/>
      </w:tblGrid>
      <w:tr w14:paraId="3C8758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336B48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公司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385268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异常率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2F9078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平均得分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DE6AE2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季度点数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98010C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判定</w:t>
            </w:r>
          </w:p>
        </w:tc>
        <w:tc>
          <w:tcPr>
            <w:tcW w:w="2268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3FE47A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风险解读</w:t>
            </w:r>
          </w:p>
        </w:tc>
      </w:tr>
      <w:tr w14:paraId="1A68F7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0F950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508681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74%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098A3F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-0.057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6C99A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DFDC9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红色预警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C7D5D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超30%红线3倍，财务波动极其剧烈</w:t>
            </w:r>
          </w:p>
        </w:tc>
      </w:tr>
      <w:tr w14:paraId="545489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DE6082B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575E23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C5FF02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0.080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686340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41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ED2264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0F0613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虽在正常范围但非零，有波动特征</w:t>
            </w:r>
          </w:p>
        </w:tc>
      </w:tr>
      <w:tr w14:paraId="642472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56C840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比亚迪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BA405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1D8125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0.101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E7AD76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77BD3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DE0F48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财务表现高度稳定</w:t>
            </w:r>
          </w:p>
        </w:tc>
      </w:tr>
      <w:tr w14:paraId="1981C0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B6C6C8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广汽集团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94A165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A2B141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0.113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B14E0B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97089B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EFDEFC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尽管亏损但波动可控</w:t>
            </w:r>
          </w:p>
        </w:tc>
      </w:tr>
      <w:tr w14:paraId="5D8F2A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B2C7C8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F1E91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55FCB9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0.114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2E57B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994BA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B4F26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自主研发模式稳健性体现</w:t>
            </w:r>
          </w:p>
        </w:tc>
      </w:tr>
      <w:tr w14:paraId="7D368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8C1C705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江淮汽车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52946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F1075A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0.114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83A3D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8AEF3A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D2CE00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指标为负但波动不大</w:t>
            </w:r>
          </w:p>
        </w:tc>
      </w:tr>
      <w:tr w14:paraId="7B76D4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24844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长城汽车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38042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75DE26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0.118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F3DD0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848D32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9702CE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异常得分最高，最为稳定</w:t>
            </w:r>
          </w:p>
        </w:tc>
      </w:tr>
      <w:tr w14:paraId="05D176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0B52768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上汽集团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FE46F9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EAC3F1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0.140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AD82E5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2D04A3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正常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84B30E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转型阵痛但波动可控</w:t>
            </w:r>
          </w:p>
        </w:tc>
      </w:tr>
    </w:tbl>
    <w:p w14:paraId="2E4BC36E">
      <w:pPr>
        <w:spacing w:after="120"/>
        <w:rPr>
          <w:rFonts w:hint="eastAsia" w:ascii="楷体" w:hAnsi="楷体" w:eastAsia="楷体" w:cs="楷体"/>
        </w:rPr>
      </w:pPr>
    </w:p>
    <w:p w14:paraId="1E676E96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异常检测解读：</w:t>
      </w:r>
    </w:p>
    <w:p w14:paraId="2E7906CE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北汽蓝谷异常率74%，远超30%红色预警线，意味着超过三分之二的季度数据点偏离行业常态，财务表现极其不稳定</w:t>
      </w:r>
    </w:p>
    <w:p w14:paraId="61EFAB0F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赛力斯异常率7%，虽在正常范围内但非零，反映其高增长模式下仍存在一定程度的财务波动，与长安汽车的0%形成对比</w:t>
      </w:r>
    </w:p>
    <w:p w14:paraId="7353A84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长城汽车异常得分0.118为全行业最高，说明其财务表现最为平稳，波动最小</w:t>
      </w:r>
    </w:p>
    <w:p w14:paraId="3D38E19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其余6家企业异常率均为0%，财务表现稳定，但稳定不等于健康（如广汽持续亏损但波动不大）</w:t>
      </w:r>
    </w:p>
    <w:p w14:paraId="44301563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五、六种预测方法对比</w:t>
      </w:r>
    </w:p>
    <w:p w14:paraId="327C10DD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针对季度财务数据（~39-41个有效数据点，属于典型小样本场景），本研究对比六种时序预测方法的拟合优度（R²）和预测能力。根据财务报告分析的发展趋势，智能化分析正在从单一方法向多方法对比演进，本研究的六种方法覆盖了从传统统计学习到深度学习的完整谱系。</w:t>
      </w:r>
    </w:p>
    <w:p w14:paraId="416C1977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5.1 赛力斯 — 毛利率预测对比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50"/>
        <w:gridCol w:w="850"/>
        <w:gridCol w:w="737"/>
        <w:gridCol w:w="1020"/>
        <w:gridCol w:w="2268"/>
      </w:tblGrid>
      <w:tr w14:paraId="683BE3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95CB6B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方法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B5521C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R²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DFD6BC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MAPE</w:t>
            </w:r>
          </w:p>
        </w:tc>
        <w:tc>
          <w:tcPr>
            <w:tcW w:w="73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C16F65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σ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3B7021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预测终值</w:t>
            </w:r>
          </w:p>
        </w:tc>
        <w:tc>
          <w:tcPr>
            <w:tcW w:w="2268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6A765F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综合评价</w:t>
            </w:r>
          </w:p>
        </w:tc>
      </w:tr>
      <w:tr w14:paraId="39A3EB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323198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🥇 Ridge回归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BCDE9B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0.594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3910B2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335.2%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F911C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0.070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D9EB4F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0.172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14E891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最优（综合分66.7）</w:t>
            </w:r>
          </w:p>
        </w:tc>
      </w:tr>
      <w:tr w14:paraId="7A044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89A4365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🥈 线性回归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1F4724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E90E51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312.6%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4C28F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0.107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97438C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-0.103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5AD794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基线方法</w:t>
            </w:r>
          </w:p>
        </w:tc>
      </w:tr>
      <w:tr w14:paraId="5592D3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C571AB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🥉 Prophet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1D0D4E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0D8C3E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312.5%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1D69D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0.107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511498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-0.121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660E2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退化为线性回归</w:t>
            </w:r>
          </w:p>
        </w:tc>
      </w:tr>
      <w:tr w14:paraId="7F44CF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A4DA54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 ARIMA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558019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-0.520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8FF82F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187.3%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2D75A9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0.119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C59D88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01AAF2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小样本不稳定</w:t>
            </w:r>
          </w:p>
        </w:tc>
      </w:tr>
      <w:tr w14:paraId="4101D8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A0EBF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 LSTM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220CA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-42.86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89CC2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2006.3%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CB8356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0.057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9D53B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-0.035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86852B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  <w:tr w14:paraId="46D9AC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864E9D5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 三次指数平滑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23753C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-35.06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8FD893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1131.1%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3B52E3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0.657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FE48E9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B876CC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</w:tbl>
    <w:p w14:paraId="76026416">
      <w:pPr>
        <w:spacing w:after="120"/>
        <w:rPr>
          <w:rFonts w:hint="eastAsia" w:ascii="楷体" w:hAnsi="楷体" w:eastAsia="楷体" w:cs="楷体"/>
        </w:rPr>
      </w:pPr>
    </w:p>
    <w:p w14:paraId="4B4F7071">
      <w:pPr>
        <w:rPr>
          <w:rFonts w:hint="eastAsia" w:ascii="楷体" w:hAnsi="楷体" w:eastAsia="楷体" w:cs="楷体"/>
        </w:rPr>
      </w:pPr>
    </w:p>
    <w:p w14:paraId="09D8019B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2605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5706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图5：赛力斯毛利率六种预测方法对比（六子图）</w:t>
      </w:r>
    </w:p>
    <w:p w14:paraId="6CE13342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5.2 赛力斯 — 资产负债率预测对比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50"/>
        <w:gridCol w:w="850"/>
        <w:gridCol w:w="737"/>
        <w:gridCol w:w="1020"/>
        <w:gridCol w:w="2268"/>
      </w:tblGrid>
      <w:tr w14:paraId="62ABC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E7CD18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方法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C4C94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R²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D73F62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MAPE</w:t>
            </w:r>
          </w:p>
        </w:tc>
        <w:tc>
          <w:tcPr>
            <w:tcW w:w="73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005077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σ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B5AC6B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预测终值</w:t>
            </w:r>
          </w:p>
        </w:tc>
        <w:tc>
          <w:tcPr>
            <w:tcW w:w="2268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AFE641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综合评价</w:t>
            </w:r>
          </w:p>
        </w:tc>
      </w:tr>
      <w:tr w14:paraId="2382F5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B0B5AD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🥇 Ridge回归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8E27F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0.089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8CDB2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D001A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5ECFF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0.776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870C7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最优（综合分80.0）</w:t>
            </w:r>
          </w:p>
        </w:tc>
      </w:tr>
      <w:tr w14:paraId="520A70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F5FE4E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🥈 线性回归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D41253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06B08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FBB956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BE6D41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0.754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E70EDE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基线方法</w:t>
            </w:r>
          </w:p>
        </w:tc>
      </w:tr>
      <w:tr w14:paraId="5DDAD9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8F9BC0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🥉 Prophet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488C13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-0.139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3D2BC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5.9%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AA11A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0.058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983924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0.786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E4115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趋势方向正确</w:t>
            </w:r>
          </w:p>
        </w:tc>
      </w:tr>
      <w:tr w14:paraId="03E9A2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FD61D89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 ARIMA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A4297C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-5.84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ECA08A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6F8649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0.099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680F4B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C8A9BE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小样本不稳定</w:t>
            </w:r>
          </w:p>
        </w:tc>
      </w:tr>
      <w:tr w14:paraId="303102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8F2908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 LSTM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11B25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-258.87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BDEB7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103.0%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E0C4B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78822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B28BD4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  <w:tr w14:paraId="2ECC0B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21247E5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 三次指数平滑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C8809C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-117.79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9790DC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47.7%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9554F0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0.595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47130A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A8DE2C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</w:tbl>
    <w:p w14:paraId="37DDEE0B">
      <w:pPr>
        <w:spacing w:after="120"/>
        <w:rPr>
          <w:rFonts w:hint="eastAsia" w:ascii="楷体" w:hAnsi="楷体" w:eastAsia="楷体" w:cs="楷体"/>
        </w:rPr>
      </w:pPr>
    </w:p>
    <w:p w14:paraId="5CF76B38">
      <w:pPr>
        <w:rPr>
          <w:rFonts w:hint="eastAsia" w:ascii="楷体" w:hAnsi="楷体" w:eastAsia="楷体" w:cs="楷体"/>
        </w:rPr>
      </w:pPr>
    </w:p>
    <w:p w14:paraId="248797DC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2605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0A4C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图6：赛力斯资产负债率六种预测方法对比</w:t>
      </w:r>
    </w:p>
    <w:p w14:paraId="509EEBCD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5.3 长安汽车 — 毛利率预测对比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50"/>
        <w:gridCol w:w="1020"/>
        <w:gridCol w:w="737"/>
        <w:gridCol w:w="1020"/>
        <w:gridCol w:w="2268"/>
      </w:tblGrid>
      <w:tr w14:paraId="57913D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6A2020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方法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118A30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R²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5A4356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MAPE</w:t>
            </w:r>
          </w:p>
        </w:tc>
        <w:tc>
          <w:tcPr>
            <w:tcW w:w="73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9396D8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σ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E8071F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预测终值</w:t>
            </w:r>
          </w:p>
        </w:tc>
        <w:tc>
          <w:tcPr>
            <w:tcW w:w="2268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1EDB6F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综合评价</w:t>
            </w:r>
          </w:p>
        </w:tc>
      </w:tr>
      <w:tr w14:paraId="441E8A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E230E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🥇 Ridge回归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9EDA9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0.218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073308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607.2%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D8270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0.035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423C0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0.040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D573A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最优（综合分80.0）</w:t>
            </w:r>
          </w:p>
        </w:tc>
      </w:tr>
      <w:tr w14:paraId="35241D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743BE3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🥈 Prophet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94637B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0.193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DC0DE7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623.1%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721E8E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0.036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A109F5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0.025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E1EB9C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接近Ridge表现</w:t>
            </w:r>
          </w:p>
        </w:tc>
      </w:tr>
      <w:tr w14:paraId="7DEEBA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E8294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🥉 ARIMA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1E9DC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-0.584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5B1EC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181.3%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10D3D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85CC60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25E4E7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小样本不稳定</w:t>
            </w:r>
          </w:p>
        </w:tc>
      </w:tr>
      <w:tr w14:paraId="0CCEA8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D87326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 线性回归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95D6FC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0.193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0036C5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623.7%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07801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0.036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6B3502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0.034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B4CE82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基线方法</w:t>
            </w:r>
          </w:p>
        </w:tc>
      </w:tr>
      <w:tr w14:paraId="6A6F7A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9B10C5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 LSTM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8A87C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-337.77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7FBAB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3125.0%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10CAAF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0.026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722A3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BAEC64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  <w:tr w14:paraId="4D54A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20E1E0E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 三次指数平滑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AEB1D5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-237.51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127D6C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9240.9%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31BB46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0.617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875F2B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FDAAB4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</w:tbl>
    <w:p w14:paraId="1991ED39">
      <w:pPr>
        <w:spacing w:after="120"/>
        <w:rPr>
          <w:rFonts w:hint="eastAsia" w:ascii="楷体" w:hAnsi="楷体" w:eastAsia="楷体" w:cs="楷体"/>
        </w:rPr>
      </w:pPr>
    </w:p>
    <w:p w14:paraId="2E3443A4">
      <w:pPr>
        <w:rPr>
          <w:rFonts w:hint="eastAsia" w:ascii="楷体" w:hAnsi="楷体" w:eastAsia="楷体" w:cs="楷体"/>
        </w:rPr>
      </w:pPr>
    </w:p>
    <w:p w14:paraId="5F41D0D0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26054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355A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图7：长安汽车毛利率六种预测方法对比</w:t>
      </w:r>
    </w:p>
    <w:p w14:paraId="79045AC2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5.4 长安汽车 — 资产负债率预测对比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50"/>
        <w:gridCol w:w="850"/>
        <w:gridCol w:w="737"/>
        <w:gridCol w:w="1020"/>
        <w:gridCol w:w="2268"/>
      </w:tblGrid>
      <w:tr w14:paraId="6BF41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FFAF5C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方法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9B41B1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R²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16A8D9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MAPE</w:t>
            </w:r>
          </w:p>
        </w:tc>
        <w:tc>
          <w:tcPr>
            <w:tcW w:w="73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792151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σ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7346C7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预测终值</w:t>
            </w:r>
          </w:p>
        </w:tc>
        <w:tc>
          <w:tcPr>
            <w:tcW w:w="2268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53D760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综合评价</w:t>
            </w:r>
          </w:p>
        </w:tc>
      </w:tr>
      <w:tr w14:paraId="5057D4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0F4FA0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🥇 Ridge回归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720AC9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0.253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9A6AFE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3.7%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3E4AAA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0.026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0242A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0.596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79EBC7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最优（综合分86.7）</w:t>
            </w:r>
          </w:p>
        </w:tc>
      </w:tr>
      <w:tr w14:paraId="49AC90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E8F79F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🥈 线性回归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E58EEB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0.102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CC0063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3.9%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637C9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0.028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D63E8D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0.589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C477C7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基线方法</w:t>
            </w:r>
          </w:p>
        </w:tc>
      </w:tr>
      <w:tr w14:paraId="0A555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800FBD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🥉 Prophet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0FFA5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-0.162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5F0C0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4.6%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9CD08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0.032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92C268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0.585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632DC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趋势方向正确</w:t>
            </w:r>
          </w:p>
        </w:tc>
      </w:tr>
      <w:tr w14:paraId="66E95B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885276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 ARIMA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123CC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-2.63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ACE591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AF79F5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F9DAFA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F4479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小样本不稳定</w:t>
            </w:r>
          </w:p>
        </w:tc>
      </w:tr>
      <w:tr w14:paraId="388DCC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52891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 LSTM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1F28A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-930.35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724F7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125.2%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B2D5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0.020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81204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D35108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  <w:tr w14:paraId="18B2AE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E4F2652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 三次指数平滑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1E669C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-962.13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CB26D4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107.8%</w:t>
            </w:r>
          </w:p>
        </w:tc>
        <w:tc>
          <w:tcPr>
            <w:tcW w:w="73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B03CC7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0.915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995220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—</w:t>
            </w:r>
          </w:p>
        </w:tc>
        <w:tc>
          <w:tcPr>
            <w:tcW w:w="22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113B8F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严重过拟合</w:t>
            </w:r>
          </w:p>
        </w:tc>
      </w:tr>
    </w:tbl>
    <w:p w14:paraId="2CB99339">
      <w:pPr>
        <w:spacing w:after="120"/>
        <w:rPr>
          <w:rFonts w:hint="eastAsia" w:ascii="楷体" w:hAnsi="楷体" w:eastAsia="楷体" w:cs="楷体"/>
        </w:rPr>
      </w:pPr>
    </w:p>
    <w:p w14:paraId="65B4862E">
      <w:pPr>
        <w:rPr>
          <w:rFonts w:hint="eastAsia" w:ascii="楷体" w:hAnsi="楷体" w:eastAsia="楷体" w:cs="楷体"/>
        </w:rPr>
      </w:pPr>
    </w:p>
    <w:p w14:paraId="36784156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26054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3DD3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图8：长安汽车资产负债率六种预测方法对比</w:t>
      </w:r>
    </w:p>
    <w:p w14:paraId="6DBB5B75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5.5 预测方法综合排名与方法论讨论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701"/>
        <w:gridCol w:w="1247"/>
        <w:gridCol w:w="1247"/>
        <w:gridCol w:w="1134"/>
        <w:gridCol w:w="1134"/>
      </w:tblGrid>
      <w:tr w14:paraId="375457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D7861E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排名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1851B9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方法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EC9E67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平均R²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68CC84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平均MAPE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731169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平均σ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2B9160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综合分</w:t>
            </w:r>
          </w:p>
        </w:tc>
      </w:tr>
      <w:tr w14:paraId="36333B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3059D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🥇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AC0BB1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线性回归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E4359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0.096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6686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236.3%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03B50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8BED2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70.0</w:t>
            </w:r>
          </w:p>
        </w:tc>
      </w:tr>
      <w:tr w14:paraId="3F89A8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7A7ACEE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🥈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431597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Ridge回归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60844C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0.288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E1C80D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237.8%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6FEA48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0.046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3671BC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66.7</w:t>
            </w:r>
          </w:p>
        </w:tc>
      </w:tr>
      <w:tr w14:paraId="2C7D12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52FED6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🥉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D81C2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ARIMA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E7DAB7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-2.393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146E7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97.5%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3B4AD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0.081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A5E11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56.7</w:t>
            </w:r>
          </w:p>
        </w:tc>
      </w:tr>
      <w:tr w14:paraId="55279A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A743B1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4ABDF7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Prophet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FA4755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-0.016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B1E5A9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236.5%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B68F39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0.058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22E423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53.3</w:t>
            </w:r>
          </w:p>
        </w:tc>
      </w:tr>
      <w:tr w14:paraId="0F8F0E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15F319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705E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LSTM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F701E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-392.46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88055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1339.9%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F277A0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0.037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023C1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30.0</w:t>
            </w:r>
          </w:p>
        </w:tc>
      </w:tr>
      <w:tr w14:paraId="7C4A2F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D7AAD4F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8562A9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三次指数平滑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71B995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-338.12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B356BB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2631.9%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0B02F9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0.696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02BB4D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13.3</w:t>
            </w:r>
          </w:p>
        </w:tc>
      </w:tr>
    </w:tbl>
    <w:p w14:paraId="6D82E19B">
      <w:pPr>
        <w:spacing w:after="120"/>
        <w:rPr>
          <w:rFonts w:hint="eastAsia" w:ascii="楷体" w:hAnsi="楷体" w:eastAsia="楷体" w:cs="楷体"/>
        </w:rPr>
      </w:pPr>
    </w:p>
    <w:p w14:paraId="0799C0C3">
      <w:pPr>
        <w:rPr>
          <w:rFonts w:hint="eastAsia" w:ascii="楷体" w:hAnsi="楷体" w:eastAsia="楷体" w:cs="楷体"/>
        </w:rPr>
      </w:pPr>
    </w:p>
    <w:p w14:paraId="727F0FC7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175069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5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7508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图9：六种预测方法综合性能对比（平均R²与MAPE双轴图）</w:t>
      </w:r>
    </w:p>
    <w:p w14:paraId="33CD9BCE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1"/>
        </w:rPr>
        <w:t>方法论讨论：</w:t>
      </w:r>
    </w:p>
    <w:p w14:paraId="0F40717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Ridge回归（L2正则化+多项式趋势+季度季节性）在资产负债率预测中 consistently 排名第一（赛力斯R²=0.089 MAPE=5.2%，长安R²=0.253 MAPE=3.7%）。L2正则化有效防止了小样本过拟合，多项式项捕捉了非线性趋势，季度季节性哑变量反映了财务数据的周期性特征</w:t>
      </w:r>
    </w:p>
    <w:p w14:paraId="456898E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线性回归作为基线方法在综合排名中因MAPE相对稳定而排名第一，但R²显著低于Ridge（0.096 vs 0.288），说明Ridge在拟合优度上更优，仅是MAPE排名因毛利率极端值影响了综合得分</w:t>
      </w:r>
    </w:p>
    <w:p w14:paraId="5E9EB83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LSTM（长短期记忆网络）在所有测试中表现最差（R²=-42至-930），这符合深度学习在小样本场景下的典型表现：参数过多导致严重过拟合。神经网络通常需要数千至数万样本才能有效训练，39个季度点远远不够</w:t>
      </w:r>
    </w:p>
    <w:p w14:paraId="1BAE83CF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Prophet因cmdstanpy环境错误（code 3221225785，tbb.dll兼容性问题）退化为线性回归。在正确环境下，Prophet的贝叶斯结构时序方法理论上应优于简单线性回归</w:t>
      </w:r>
    </w:p>
    <w:p w14:paraId="4A58F43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毛利率MAPE普遍极高（&gt;100%至数千%），这是因为当实际值接近零时（如赛力斯毛利率-0.0046），任何预测偏差都会被大幅放大。建议对接近零的指标改用MAE/RMSE作为主要评估标准</w:t>
      </w:r>
    </w:p>
    <w:p w14:paraId="285598AD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5.6 MAPE回测验证（2026Q1实际 vs 预测）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247"/>
        <w:gridCol w:w="1134"/>
        <w:gridCol w:w="1134"/>
        <w:gridCol w:w="1134"/>
        <w:gridCol w:w="1417"/>
      </w:tblGrid>
      <w:tr w14:paraId="0C44110A">
        <w:trPr>
          <w:jc w:val="center"/>
        </w:trPr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3EA6F7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公司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0A45A5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指标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77E3AB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实际值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848DBE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预测值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47AC05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MAPE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F65DC5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判定</w:t>
            </w:r>
          </w:p>
        </w:tc>
      </w:tr>
      <w:tr w14:paraId="779905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4081D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89701D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毛利率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0C32E7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-0.0046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8E21B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-0.1047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773F82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2176.3%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CDD585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突变</w:t>
            </w:r>
          </w:p>
        </w:tc>
      </w:tr>
      <w:tr w14:paraId="63B9E6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E503A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35C6A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资产负债率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565364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0.6592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56D375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0.7860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3AEA06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19.2%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46BEC6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偏差</w:t>
            </w:r>
          </w:p>
        </w:tc>
      </w:tr>
      <w:tr w14:paraId="7C30DA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2C3FB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3B590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毛利率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B2945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-0.0006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760FE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0.0248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17272E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4480.2%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09836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突变</w:t>
            </w:r>
          </w:p>
        </w:tc>
      </w:tr>
      <w:tr w14:paraId="2B2721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88BE0C1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F0EB62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资产负债率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E73B10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0.5715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34A04D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0.5853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2247DE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2.4%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B1071B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有效</w:t>
            </w:r>
          </w:p>
        </w:tc>
      </w:tr>
    </w:tbl>
    <w:p w14:paraId="22418ED8">
      <w:pPr>
        <w:spacing w:after="120"/>
        <w:rPr>
          <w:rFonts w:hint="eastAsia" w:ascii="楷体" w:hAnsi="楷体" w:eastAsia="楷体" w:cs="楷体"/>
        </w:rPr>
      </w:pPr>
    </w:p>
    <w:p w14:paraId="31B08446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MAPE评估结论：</w:t>
      </w:r>
    </w:p>
    <w:p w14:paraId="69C87EB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平均 MAPE: 1669.54% — 🔴 趋势中断警报。根据MAPE判定标准（&lt;15%有效，15-20%偏差，&gt;20%趋势中断），模型已发出"趋势中断"警报，说明2026Q1行业可能发生了结构性变化（如价格战加剧、补贴政策调整等）</w:t>
      </w:r>
    </w:p>
    <w:p w14:paraId="500D6A3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资产负债率预测相对可靠（MAPE 2.4%-19.2%），说明该指标的时序规律性较强，预测具有参考价值</w:t>
      </w:r>
    </w:p>
    <w:p w14:paraId="20A9F56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毛利率因数值接近零导致MAPE极高（2176%-4480%），这不代表预测完全无效，而是相对误差指标在接近零时的局限性</w:t>
      </w:r>
    </w:p>
    <w:p w14:paraId="53CAE48A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六、杜邦分析（ROE因素分解）</w:t>
      </w:r>
    </w:p>
    <w:p w14:paraId="41106C20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杜邦分析体系将ROE分解为销售净利率（盈利驱动）、总资产周转率（效率驱动）和权益乘数（杠杆驱动）三个维度，使用多期连环替代法精确量化各因素对ROE变动的贡献。这种方法的优势在于：不仅知道ROE变了多少，更知道为什么变、是谁在驱动。</w:t>
      </w:r>
    </w:p>
    <w:p w14:paraId="43D6955D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6.1 赛力斯：高波动的"过山车"ROE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417"/>
        <w:gridCol w:w="1417"/>
        <w:gridCol w:w="1417"/>
        <w:gridCol w:w="1701"/>
      </w:tblGrid>
      <w:tr w14:paraId="22CF04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DBD631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时期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004BFD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ROE变动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CB2A74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净利率贡献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EABFB7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周转率贡献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416526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杠杆贡献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C0DB3D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核心驱动因素</w:t>
            </w:r>
          </w:p>
        </w:tc>
      </w:tr>
      <w:tr w14:paraId="3BEFF0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CA64B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2022→2023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9BEA9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+9.3pp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20B0E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+11.1pp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206FB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+1.2pp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B416CC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-3.0pp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180BA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净利率改善（亏损收窄）</w:t>
            </w:r>
          </w:p>
        </w:tc>
      </w:tr>
      <w:tr w14:paraId="17C04D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AE08FFE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2023→2024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B9788F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+75.1pp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CACCFA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+46.7pp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1A7C3A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+12.3pp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2BDBAF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+16.1pp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547C92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三重共振：扭亏+周转翻倍+杠杆飙升</w:t>
            </w:r>
          </w:p>
        </w:tc>
      </w:tr>
      <w:tr w14:paraId="74B65F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1A537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2024→2025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218B1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-23.6pp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D6D7B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+5.4pp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0292D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-11.2pp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E05092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-17.8pp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01F0A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去杠杆+周转效率下降</w:t>
            </w:r>
          </w:p>
        </w:tc>
      </w:tr>
    </w:tbl>
    <w:p w14:paraId="5D365195">
      <w:pPr>
        <w:spacing w:after="120"/>
        <w:rPr>
          <w:rFonts w:hint="eastAsia" w:ascii="楷体" w:hAnsi="楷体" w:eastAsia="楷体" w:cs="楷体"/>
        </w:rPr>
      </w:pPr>
    </w:p>
    <w:p w14:paraId="5A01BB98">
      <w:pPr>
        <w:rPr>
          <w:rFonts w:hint="eastAsia" w:ascii="楷体" w:hAnsi="楷体" w:eastAsia="楷体" w:cs="楷体"/>
        </w:rPr>
      </w:pPr>
    </w:p>
    <w:p w14:paraId="1D9B4519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039995" cy="12617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6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400A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图10：杜邦分析ROE因素分解趋势对比（赛力斯 vs 长安）</w:t>
      </w:r>
    </w:p>
    <w:p w14:paraId="23B95F34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赛力斯杜邦分析深度解读：</w:t>
      </w:r>
    </w:p>
    <w:p w14:paraId="41EF579D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2023→2024年是赛力斯的"爆发年"：ROE从-36.4%飙升至38.7%（+75.1pp），这是三重因素共振的结果——净利率从-11.6%转正至3.3%（+46.7pp，扭亏为盈），总资产周转率从0.70翻倍至1.54（+12.3pp，问界M9上市推动销量暴增），权益乘数从4.49飙升至7.69（+16.1pp，高杠杆扩张）</w:t>
      </w:r>
    </w:p>
    <w:p w14:paraId="73EACC13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2024→2025年ROE暴跌23.6pp至15.0%，核心原因是去杠杆（权益乘数7.69→3.52，贡献-17.8pp）和资产利用效率下降（周转率1.54→1.15，贡献-11.2pp）。值得注意的是，净利率仍在改善（3.3%→3.7%，+5.4pp），说明盈利能力在提升，但杠杆和效率的下降抵消了这一改善</w:t>
      </w:r>
    </w:p>
    <w:p w14:paraId="547F9BE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赛力斯的ROE路径（-45.7%→-36.4%→38.7%→15.0%）呈现出典型的"过山车"特征，高波动性反映了高杠杆扩张模式的脆弱性：加杠杆时ROE飙升，去杠杆时ROE暴跌</w:t>
      </w:r>
    </w:p>
    <w:p w14:paraId="020C1CA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从生命周期判断：赛力斯处于成长期向成熟期过渡阶段，2023-2024年的爆发式增长不可持续，2025年的ROE回落是正常回归</w:t>
      </w:r>
    </w:p>
    <w:p w14:paraId="7A6F90B9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6.2 长安汽车：温和下降的"缓坡"ROE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417"/>
        <w:gridCol w:w="1417"/>
        <w:gridCol w:w="1417"/>
        <w:gridCol w:w="1701"/>
      </w:tblGrid>
      <w:tr w14:paraId="5A1654F4"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C61AF8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时期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CCEF26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ROE变动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BFBF27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净利率贡献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033596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周转率贡献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0F1B97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杠杆贡献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AC56B8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核心驱动因素</w:t>
            </w:r>
          </w:p>
        </w:tc>
      </w:tr>
      <w:tr w14:paraId="105BC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8F0B51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2022→2023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6CAE1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+0.9pp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A1D044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E2224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-0.5pp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F0418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+1.6pp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0943E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杠杆微升对冲利润率下降</w:t>
            </w:r>
          </w:p>
        </w:tc>
      </w:tr>
      <w:tr w14:paraId="70FA42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945CCD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2023→2024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60E88F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-5.3pp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17D3DE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-5.2pp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DADBA0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28EA5A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+0.2pp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98476C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净利率下降是主因</w:t>
            </w:r>
          </w:p>
        </w:tc>
      </w:tr>
      <w:tr w14:paraId="332220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39400AB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2024→2025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3E4AE7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-3.9pp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F5402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-3.9pp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D1E5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+0.2pp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E679E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-0.1pp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348618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净利率持续下降</w:t>
            </w:r>
          </w:p>
        </w:tc>
      </w:tr>
    </w:tbl>
    <w:p w14:paraId="18767A7E">
      <w:pPr>
        <w:spacing w:after="120"/>
        <w:rPr>
          <w:rFonts w:hint="eastAsia" w:ascii="楷体" w:hAnsi="楷体" w:eastAsia="楷体" w:cs="楷体"/>
        </w:rPr>
      </w:pPr>
    </w:p>
    <w:p w14:paraId="51BD06EF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长安汽车杜邦分析深度解读：</w:t>
      </w:r>
    </w:p>
    <w:p w14:paraId="4241D47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长安汽车的ROE路径（12.3%→13.2%→8.0%→4.1%）呈现出温和下降的"缓坡"特征，最大年度变动仅5.3pp，远低于赛力斯的23.6-75.1pp。这种低波动性反映了自主研发模式的稳健性</w:t>
      </w:r>
    </w:p>
    <w:p w14:paraId="3DE27021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净利率持续下降是ROE下滑的唯一主因：从6.4%降至6.3%再至3.8%最终至1.9%。这反映了行业竞争加剧导致的利润率压缩——新能源汽车价格战激烈，单车利润空间被持续挤压</w:t>
      </w:r>
    </w:p>
    <w:p w14:paraId="716FE93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总资产周转率基本稳定（0.83→0.80→0.77→0.81），2025年甚至略有回升至0.81，说明资产利用效率保持稳健</w:t>
      </w:r>
    </w:p>
    <w:p w14:paraId="45B170B8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权益乘数从2.32缓慢升至2.62，变化幅度极小（-0.1pp至+1.6pp），说明长安汽车的资本结构非常稳定，没有激进加杠杆也没有快速去杠杆</w:t>
      </w:r>
    </w:p>
    <w:p w14:paraId="3A3E2BCF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从生命周期判断：长安汽车处于成熟期，ROE虽然下降但波动小，财务结构稳健，为新能源转型提供了充足的安全垫</w:t>
      </w:r>
    </w:p>
    <w:p w14:paraId="6C7C5D19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七、Z-score与沃尔评分</w:t>
      </w:r>
    </w:p>
    <w:p w14:paraId="4CD80B0B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7.1 Altman Z-score破产预警</w:t>
      </w:r>
    </w:p>
    <w:p w14:paraId="51EDD206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传统制造业阈值（危险&lt;1.81、灰色1.81-2.99、安全&gt;2.99）对新能源车企普遍过严，因为新能源车企具有高研发投入、轻资产运营、高增长等特征，与传统制造业的财务特征差异显著。尽管如此，Z-score作为经典的破产预警模型，仍然提供了重要的风险参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020"/>
        <w:gridCol w:w="1417"/>
        <w:gridCol w:w="1417"/>
        <w:gridCol w:w="2551"/>
      </w:tblGrid>
      <w:tr w14:paraId="452C8F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B5C6D9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公司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8729E6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Z-score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8C2E76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传统判定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CF5761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新能源判定</w:t>
            </w:r>
          </w:p>
        </w:tc>
        <w:tc>
          <w:tcPr>
            <w:tcW w:w="255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547345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风险解读</w:t>
            </w:r>
          </w:p>
        </w:tc>
      </w:tr>
      <w:tr w14:paraId="205B56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19A60E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长城汽车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52E8D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2.08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08B99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灰色区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29276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安全区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F5AB7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最接近安全区，财务最为稳健</w:t>
            </w:r>
          </w:p>
        </w:tc>
      </w:tr>
      <w:tr w14:paraId="1FCA42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CB93A2A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D86FF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1.82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03859E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灰色区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74FBA7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安全区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4F929E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超过新能源安全线，转型安全垫充足</w:t>
            </w:r>
          </w:p>
        </w:tc>
      </w:tr>
      <w:tr w14:paraId="2A71A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168E8EE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7BAF35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1.63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719604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2CE95B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灰色区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3E015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高杠杆拉低Z值，但仍在可接受范围</w:t>
            </w:r>
          </w:p>
        </w:tc>
      </w:tr>
      <w:tr w14:paraId="6390D6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ADCA4D2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上汽集团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B6E96E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1.57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EA311E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DBB8ED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灰色区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9567FF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传统巨头转型压力，需关注现金流</w:t>
            </w:r>
          </w:p>
        </w:tc>
      </w:tr>
      <w:tr w14:paraId="54A4B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AAE6B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比亚迪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2CE659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1.38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27317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51C422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灰色区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9ECF9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高研发投入特征，但盈利能力支撑</w:t>
            </w:r>
          </w:p>
        </w:tc>
      </w:tr>
      <w:tr w14:paraId="19A2EB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9A53E6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广汽集团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3A882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1.32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20355B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97C58D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灰色区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F28213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转型受挫，毛利率-15.68%需警惕</w:t>
            </w:r>
          </w:p>
        </w:tc>
      </w:tr>
      <w:tr w14:paraId="09F17E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ED668E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江淮汽车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9EF95A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0.84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C7B41D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0CEB1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439D9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三项核心指标为负，经营承压</w:t>
            </w:r>
          </w:p>
        </w:tc>
      </w:tr>
      <w:tr w14:paraId="25DE17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8D4A6B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C04F56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-1.44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8C38BD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7A0769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危险区</w:t>
            </w:r>
          </w:p>
        </w:tc>
        <w:tc>
          <w:tcPr>
            <w:tcW w:w="25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699C28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严重亏损，Z值为负，破产风险最高</w:t>
            </w:r>
          </w:p>
        </w:tc>
      </w:tr>
    </w:tbl>
    <w:p w14:paraId="7F6C4E74">
      <w:pPr>
        <w:spacing w:after="120"/>
        <w:rPr>
          <w:rFonts w:hint="eastAsia" w:ascii="楷体" w:hAnsi="楷体" w:eastAsia="楷体" w:cs="楷体"/>
        </w:rPr>
      </w:pPr>
    </w:p>
    <w:p w14:paraId="2F2B0E7D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/>
          <w:color w:val="CC6600"/>
          <w:sz w:val="19"/>
        </w:rPr>
        <w:t>⚠️ 重要提示：8家企业中有6家在传统阈值下落入危险区，这反映了新能源车企的整体特征——高投入、高增长、低盈利。建议结合沃尔评分、现金流分析等多维度指标综合判断，而非仅依赖Z-score单一指标。</w:t>
      </w:r>
    </w:p>
    <w:p w14:paraId="1550F4AA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7.2 沃尔评分（侧重财务预警）</w:t>
      </w:r>
    </w:p>
    <w:p w14:paraId="5D4E4353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 w:val="0"/>
          <w:i w:val="0"/>
          <w:sz w:val="21"/>
        </w:rPr>
        <w:t>沃尔评分法选取毛利率(15分)、有息负债率(25分)、流动比率(25分)、总资产周转率(15分)、营收增长率(20分)五个维度，总分100分。该方法侧重偿债与流动性预警，而非盈利能力排名。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1247"/>
        <w:gridCol w:w="850"/>
        <w:gridCol w:w="1020"/>
        <w:gridCol w:w="1020"/>
        <w:gridCol w:w="850"/>
        <w:gridCol w:w="850"/>
        <w:gridCol w:w="1020"/>
      </w:tblGrid>
      <w:tr w14:paraId="7BCC4A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E82A4D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排名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7D4FAF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公司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DBCEE8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总分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B3FE9D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毛利率(15)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7321F5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有息负债率(25)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1EB7A4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流动比率(25)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B6BE0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周转率(15)</w:t>
            </w:r>
          </w:p>
        </w:tc>
        <w:tc>
          <w:tcPr>
            <w:tcW w:w="1020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B5D462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营收增长(20)</w:t>
            </w:r>
          </w:p>
        </w:tc>
      </w:tr>
      <w:tr w14:paraId="1CE728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592524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🥇 1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492649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赛力斯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2BB61B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90.4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2F69B2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A005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2B3D8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17.6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8A8CDC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26.3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A16985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2E5F8A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1319F71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🥈 2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D21E16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长城汽车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BF8DF1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84.9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F54B8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056347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4.0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A4878F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18.2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0559B9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19.4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385DB6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16564F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2E270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🥉 3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E16C3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比亚迪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6C3F9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82.5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8E1F2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DFB52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7.8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2E3AF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E523E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18.3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EAA1F7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55EF1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E4B6808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C07F9A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北汽蓝谷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F3C3E9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78.8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54F909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3414EF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12.1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EB4194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10.9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B646EF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15.8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0D0AF8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3490E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9CD2F2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ECEE3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长安汽车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0AA33B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78.4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415F5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A541F3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0.7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B67484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C04A8F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15.9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C67DC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2FB73A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53352E2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6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A6667D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上汽集团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C21CBB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78.4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62E4B7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7F2595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5.8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3D1A52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19.9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16C957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12.6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542CCA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2877CD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76272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A20C80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江淮汽车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A24935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78.2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AB5549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6CA218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7.6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5F8B5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13.4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186524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17.2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1473B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40.0</w:t>
            </w:r>
          </w:p>
        </w:tc>
      </w:tr>
      <w:tr w14:paraId="45B0AF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0208D9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B41B51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广汽集团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570B81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77.5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174624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0.0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4755B0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11.3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E18075C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19.1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B938FB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8.2</w:t>
            </w:r>
          </w:p>
        </w:tc>
        <w:tc>
          <w:tcPr>
            <w:tcW w:w="10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8FF4C3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38.9</w:t>
            </w:r>
          </w:p>
        </w:tc>
      </w:tr>
    </w:tbl>
    <w:p w14:paraId="6778A803">
      <w:pPr>
        <w:spacing w:after="120"/>
        <w:rPr>
          <w:rFonts w:hint="eastAsia" w:ascii="楷体" w:hAnsi="楷体" w:eastAsia="楷体" w:cs="楷体"/>
        </w:rPr>
      </w:pPr>
    </w:p>
    <w:p w14:paraId="5826F520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沃尔评分深度解读：</w:t>
      </w:r>
    </w:p>
    <w:p w14:paraId="77249758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营收增长率维度几乎所有企业都得满分（40分），这是因为8家企业的营收增长率均超过15%的标准值，导致评分体系的天花板效应。这是沃尔评分方法的固有缺陷——对高增长企业有天然偏好</w:t>
      </w:r>
    </w:p>
    <w:p w14:paraId="7965A327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赛力斯排名第一（90.4分）主要得益于高营收增长率（54.8%，满分40分）和高资产周转率（1.402，得分26.3）。但有息负债率得分仅2.2分（实际0.035），与资产负债率70.91%形成对比，说明其负债多为经营性负债（应付账款、预收账款等）而非有息负债</w:t>
      </w:r>
    </w:p>
    <w:p w14:paraId="732CB2D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长城汽车排名第二（84.9分），是唯一没有零分项的企业，各项指标均衡。有息负债率得分4.0分（实际6.4%），流动比率得分18.2分（实际1.091），周转率得分19.4分（实际1.037），体现均衡稳健特征</w:t>
      </w:r>
    </w:p>
    <w:p w14:paraId="6BC60CCE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比亚迪排名第三（82.5分），流动比率得分仅13.2分（实际0.793），标注"⚠️流动性风险"。但其ROE 16.24%为行业第二高，说明高盈利能力覆盖了短期偿债压力</w:t>
      </w:r>
    </w:p>
    <w:p w14:paraId="15E3D72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北汽蓝谷排名第四（78.8分）看似不错，但这是被营收增长率（184.6%，满分40分）拉高的结果。毛利率得分为0（实际-21.55%），流动比率得分仅10.9分（实际0.654），基本面较差</w:t>
      </w:r>
    </w:p>
    <w:p w14:paraId="284CADD3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八、销量结构对比</w:t>
      </w:r>
    </w:p>
    <w:p w14:paraId="02B30881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8.1 赛力斯：问界系列高度集中风险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417"/>
        <w:gridCol w:w="1417"/>
        <w:gridCol w:w="1417"/>
        <w:gridCol w:w="1984"/>
        <w:gridCol w:w="1134"/>
      </w:tblGrid>
      <w:tr w14:paraId="1EFD37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7E3E43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年份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2696F0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总销量(万辆)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410F22C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问界销量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30C4CE2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问界占比</w:t>
            </w:r>
          </w:p>
        </w:tc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71DEF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备注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7ED906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风险等级</w:t>
            </w:r>
          </w:p>
        </w:tc>
      </w:tr>
      <w:tr w14:paraId="04330C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C510E9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90D51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13.5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D6B541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7.8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402C16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57.8%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E5857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问界M5/M7上市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436F7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⚠️ 中等</w:t>
            </w:r>
          </w:p>
        </w:tc>
      </w:tr>
      <w:tr w14:paraId="75E4D9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12D5F6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95243A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50.1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234C5F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46.5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8C049E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92.8%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497341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M9上市推动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AC0920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高</w:t>
            </w:r>
          </w:p>
        </w:tc>
      </w:tr>
      <w:tr w14:paraId="6AAF6E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9FACA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6D0397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~55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D12F20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~52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63F08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~95%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4FE808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高度集中风险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D7A56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🔴 极高</w:t>
            </w:r>
          </w:p>
        </w:tc>
      </w:tr>
    </w:tbl>
    <w:p w14:paraId="2B82E7D2">
      <w:pPr>
        <w:spacing w:after="120"/>
        <w:rPr>
          <w:rFonts w:hint="eastAsia" w:ascii="楷体" w:hAnsi="楷体" w:eastAsia="楷体" w:cs="楷体"/>
        </w:rPr>
      </w:pPr>
    </w:p>
    <w:p w14:paraId="54C278DB">
      <w:pPr>
        <w:rPr>
          <w:rFonts w:hint="eastAsia" w:ascii="楷体" w:hAnsi="楷体" w:eastAsia="楷体" w:cs="楷体"/>
        </w:rPr>
      </w:pPr>
    </w:p>
    <w:p w14:paraId="2C1FBBEF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399405" cy="20815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1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E34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图11：赛力斯vs长安汽车销量结构对比（堆叠柱状图）</w:t>
      </w:r>
    </w:p>
    <w:p w14:paraId="7C9FC9BD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赛力斯销量结构深度解读：</w:t>
      </w:r>
    </w:p>
    <w:p w14:paraId="1ACA63D9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问界占比从57.8%（2022）飙升至~95%（2025），意味着赛力斯的命运几乎完全绑定在问界一个品牌上。这种单一品牌依赖在汽车行业极为罕见，通常车企会通过多品牌、多系列产品分散风险</w:t>
      </w:r>
    </w:p>
    <w:p w14:paraId="4AD94D8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Q4冲量效应显著：从季度数据看，赛力斯Q4销量通常是Q2-Q3的2-3倍，季节性波动剧烈。这种波动对产能规划、库存管理和现金流预测都带来挑战</w:t>
      </w:r>
    </w:p>
    <w:p w14:paraId="2DA6C3E8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战略风险：如果华为调整合作策略、问界品牌出现重大质量问题、或市场竞争导致问界销量下滑，赛力斯将缺乏"第二增长曲线"来对冲风险</w:t>
      </w:r>
    </w:p>
    <w:p w14:paraId="1A71232A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8.2 长安汽车：新能源多品牌均衡布局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417"/>
        <w:gridCol w:w="1134"/>
        <w:gridCol w:w="1134"/>
        <w:gridCol w:w="1134"/>
        <w:gridCol w:w="1417"/>
        <w:gridCol w:w="1134"/>
      </w:tblGrid>
      <w:tr w14:paraId="03384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1B5CC60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年份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66D8F0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总销量(万辆)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7CB4440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深蓝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57EBCEA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阿维塔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609FDF2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启源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2DFA288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新能源占比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06BC234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风险等级</w:t>
            </w:r>
          </w:p>
        </w:tc>
      </w:tr>
      <w:tr w14:paraId="353C63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31CB8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2187C7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255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D95992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2354C5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D572A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9F9BD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7.8%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DB7A1A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低</w:t>
            </w:r>
          </w:p>
        </w:tc>
      </w:tr>
      <w:tr w14:paraId="48D3FA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883DE8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A6663A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268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5BB4748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1C65AD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510E4C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10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5E35F57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15.3%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D7E975F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低</w:t>
            </w:r>
          </w:p>
        </w:tc>
      </w:tr>
      <w:tr w14:paraId="28F2A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402DA19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2025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19D5B6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~260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01F762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~35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2CBA82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~12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AFF4E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~20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D87036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~26%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4C91E1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✅ 中低</w:t>
            </w:r>
          </w:p>
        </w:tc>
      </w:tr>
    </w:tbl>
    <w:p w14:paraId="4F34CB7B">
      <w:pPr>
        <w:spacing w:after="120"/>
        <w:rPr>
          <w:rFonts w:hint="eastAsia" w:ascii="楷体" w:hAnsi="楷体" w:eastAsia="楷体" w:cs="楷体"/>
        </w:rPr>
      </w:pPr>
    </w:p>
    <w:p w14:paraId="70047ADB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长安汽车销量结构深度解读：</w:t>
      </w:r>
    </w:p>
    <w:p w14:paraId="7E7C1B9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新能源占比从7.8%（2023）稳步升至~26%（2025），增长路径稳健。深蓝（主流市场）、阿维塔（高端市场）、启源（性价比市场）三品牌覆盖不同价格带，形成互补</w:t>
      </w:r>
    </w:p>
    <w:p w14:paraId="142B3219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多品牌均衡布局的优势：单一品牌出现问题时，其他品牌可以支撑整体销量。例如，如果深蓝增长放缓，阿维塔和启源的增长可以部分抵消</w:t>
      </w:r>
    </w:p>
    <w:p w14:paraId="3063355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但新能源渗透率~26%仍偏低，距比亚迪（新能源占比超过80%）等行业领先者有较大差距。长安需要在保持稳健的同时加快新能源转型步伐</w:t>
      </w:r>
    </w:p>
    <w:p w14:paraId="5B8B579D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燃油及合资品牌仍是基本盘（~74%），这些传统业务的利润贡献为新能源转型提供了资金支持，但也面临市场份额持续萎缩的风险</w:t>
      </w:r>
    </w:p>
    <w:p w14:paraId="3E6E657D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九、综合风险评价</w:t>
      </w:r>
    </w:p>
    <w:p w14:paraId="14D60E6C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4319905" cy="35528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5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06508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图12：综合风险雷达图（5维，与K-Means五维对齐）</w:t>
      </w:r>
    </w:p>
    <w:p w14:paraId="483C212E">
      <w:pPr>
        <w:rPr>
          <w:rFonts w:hint="eastAsia" w:ascii="楷体" w:hAnsi="楷体" w:eastAsia="楷体" w:cs="楷体"/>
        </w:rPr>
      </w:pPr>
    </w:p>
    <w:p w14:paraId="1CC34168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039995" cy="35121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27F1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图13：赛力斯vs长安核心指标时间趋势（5项年报指标）</w:t>
      </w:r>
    </w:p>
    <w:p w14:paraId="40466AC8">
      <w:pPr>
        <w:rPr>
          <w:rFonts w:hint="eastAsia" w:ascii="楷体" w:hAnsi="楷体" w:eastAsia="楷体" w:cs="楷体"/>
        </w:rPr>
      </w:pPr>
    </w:p>
    <w:p w14:paraId="0C2B19B3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drawing>
          <wp:inline distT="0" distB="0" distL="114300" distR="114300">
            <wp:extent cx="5039995" cy="16573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009D">
      <w:pPr>
        <w:spacing w:after="160"/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i/>
          <w:color w:val="888888"/>
          <w:sz w:val="16"/>
        </w:rPr>
        <w:t>图14：赛力斯vs长安研发投入趋势对比（研发费用+研发率）</w:t>
      </w:r>
    </w:p>
    <w:p w14:paraId="4BBC7570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十、综合评价与对策建议</w:t>
      </w:r>
    </w:p>
    <w:p w14:paraId="2B4FA770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10.1 模式对比总结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402"/>
      </w:tblGrid>
      <w:tr w14:paraId="27377B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14D7C1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维度</w:t>
            </w:r>
          </w:p>
        </w:tc>
        <w:tc>
          <w:tcPr>
            <w:tcW w:w="3402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ABEFE9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赛力斯（代工协同）</w:t>
            </w:r>
          </w:p>
        </w:tc>
        <w:tc>
          <w:tcPr>
            <w:tcW w:w="3402" w:type="dxa"/>
            <w:tcBorders>
              <w:top w:val="single" w:color="2E75B6" w:sz="8" w:space="0"/>
              <w:left w:val="single" w:color="CCCCCC" w:sz="4" w:space="0"/>
              <w:bottom w:val="single" w:color="2E75B6" w:sz="8" w:space="0"/>
              <w:right w:val="single" w:color="CCCCCC" w:sz="4" w:space="0"/>
            </w:tcBorders>
            <w:shd w:val="clear" w:color="auto" w:fill="D5E8F0"/>
          </w:tcPr>
          <w:p w14:paraId="3971FB1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b/>
                <w:color w:val="1A4789"/>
                <w:sz w:val="18"/>
              </w:rPr>
              <w:t>长安汽车（自主研发）</w:t>
            </w:r>
          </w:p>
        </w:tc>
      </w:tr>
      <w:tr w14:paraId="29F6B6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0BFAA1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增长模式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40E2C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高增长、高杠杆、高波动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78E324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稳增长、低杠杆、低波动</w:t>
            </w:r>
          </w:p>
        </w:tc>
      </w:tr>
      <w:tr w14:paraId="6B43D1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95695D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ROE趋势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B949C5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38.7%→15.0%（暴跌23.6pp）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7399BF5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8.0%→4.1%（温和下降3.9pp）</w:t>
            </w:r>
          </w:p>
        </w:tc>
      </w:tr>
      <w:tr w14:paraId="55135C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F877C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ROE主因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711CC5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去杠杆-17.8pp + 周转率-11.2pp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5248CF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净利率下降-3.9pp</w:t>
            </w:r>
          </w:p>
        </w:tc>
      </w:tr>
      <w:tr w14:paraId="4903E1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64B250EC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业务集中度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8FE1D6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问界~95%，单一系列依赖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9F1335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多品牌均衡，新能源~26%</w:t>
            </w:r>
          </w:p>
        </w:tc>
      </w:tr>
      <w:tr w14:paraId="789622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F5AB46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Z-score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03D5F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1.63（危险区）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4E54A8D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1.82（灰色区，优于赛力斯）</w:t>
            </w:r>
          </w:p>
        </w:tc>
      </w:tr>
      <w:tr w14:paraId="24479B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A0BD0B2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沃尔评分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05F6CE6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90.4分（第1名，高增长驱动）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4905645E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78.4分（第5名，稳健但增长慢）</w:t>
            </w:r>
          </w:p>
        </w:tc>
      </w:tr>
      <w:tr w14:paraId="21FA4A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BE58850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异常率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12A3AB4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7%（正常但有波动）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3F28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0%（完全稳定）</w:t>
            </w:r>
          </w:p>
        </w:tc>
      </w:tr>
      <w:tr w14:paraId="13BDC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C4D97D3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风险评分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3FDB8591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0.692（⚠️关注）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2A91E2CA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0.674（⚠️关注，略优）</w:t>
            </w:r>
          </w:p>
        </w:tc>
      </w:tr>
      <w:tr w14:paraId="1ED360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7A3F42D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最优预测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7A59D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Ridge回归（MAPE=5.2%）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65CC6A3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Ridge回归（MAPE=3.7%）</w:t>
            </w:r>
          </w:p>
        </w:tc>
      </w:tr>
      <w:tr w14:paraId="462CBE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B493677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核心风险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C8BEE6B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高杠杆+单一品牌集中+ROE高波动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</w:tcPr>
          <w:p w14:paraId="1916DBF9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转型缓慢+利润率持续下降</w:t>
            </w:r>
          </w:p>
        </w:tc>
      </w:tr>
      <w:tr w14:paraId="50B607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3875C6B">
            <w:pPr>
              <w:jc w:val="left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生命周期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7B9D1A0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成长期→成熟期过渡</w:t>
            </w:r>
          </w:p>
        </w:tc>
        <w:tc>
          <w:tcPr>
            <w:tcW w:w="340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8F8CF7">
            <w:pPr>
              <w:jc w:val="center"/>
              <w:rPr>
                <w:rFonts w:hint="eastAsia" w:ascii="楷体" w:hAnsi="楷体" w:eastAsia="楷体" w:cs="楷体"/>
              </w:rPr>
            </w:pPr>
            <w:r>
              <w:rPr>
                <w:rFonts w:hint="eastAsia" w:ascii="楷体" w:hAnsi="楷体" w:eastAsia="楷体" w:cs="楷体"/>
                <w:color w:val="333333"/>
                <w:sz w:val="17"/>
              </w:rPr>
              <w:t>成熟期</w:t>
            </w:r>
          </w:p>
        </w:tc>
      </w:tr>
    </w:tbl>
    <w:p w14:paraId="68056C8E">
      <w:pPr>
        <w:spacing w:after="120"/>
        <w:rPr>
          <w:rFonts w:hint="eastAsia" w:ascii="楷体" w:hAnsi="楷体" w:eastAsia="楷体" w:cs="楷体"/>
        </w:rPr>
      </w:pPr>
    </w:p>
    <w:p w14:paraId="41750D34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10.2 赛力斯对策建议</w:t>
      </w:r>
    </w:p>
    <w:p w14:paraId="1502EDF1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赛力斯的核心风险在于高杠杆和单一品牌集中。以下建议按优先级排序：</w:t>
      </w:r>
    </w:p>
    <w:p w14:paraId="40EA6807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【紧急】降低问界依赖：当前问界占比~95%是极端集中度，建议在未来2-3年内将单一品牌占比降至70%以下。可通过发展自有品牌、引入第二合作方（如与其他科技企业或车企合作）来实现</w:t>
      </w:r>
    </w:p>
    <w:p w14:paraId="35B3FC9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【紧急】优化资本结构：资产负债率70.91%处于较高水平，权益乘数从7.69降至3.52虽已大幅改善，但仍需进一步降低。建议通过股权融资（如增发、引入战略投资者）替代部分债务融资</w:t>
      </w:r>
    </w:p>
    <w:p w14:paraId="4042F676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【重要】改善资产周转效率：总资产周转率从1.54降至1.15（贡献-11.2pp），需优化库存管理、提高产能利用率、加快应收账款回收</w:t>
      </w:r>
    </w:p>
    <w:p w14:paraId="71C155A1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【重要】保持净利率改善趋势：净利率从3.3%升至3.7%（+5.4pp）是ROE下降中唯一改善的维度，应继续通过产品结构优化（提高M9等高附加值车型占比）和成本管控来提升盈利质量</w:t>
      </w:r>
    </w:p>
    <w:p w14:paraId="2935E01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【持续】监控有息负债率和经营现金流：当前有息负债率仅3.5%但资产负债率70.91%，说明大量负债为经营性负债（应付账款、预收账款）。需关注供应链资金链安全，确保供应商关系稳定</w:t>
      </w:r>
    </w:p>
    <w:p w14:paraId="65A629BF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10.3 长安汽车对策建议</w:t>
      </w:r>
    </w:p>
    <w:p w14:paraId="47B2A543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长安汽车的核心挑战在于新能源转型速度偏慢和利润率持续下降。以下建议按优先级排序：</w:t>
      </w:r>
    </w:p>
    <w:p w14:paraId="0FDC82D1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【紧急】加速新能源渗透：新能源占比仅~26%（深蓝~35万/阿维塔~12万/启源~20万），距行业领先者比亚迪（&gt;80%）差距巨大。建议加大新能源车型投放力度，特别是在10-20万元主流价格带加大深蓝品牌投入</w:t>
      </w:r>
    </w:p>
    <w:p w14:paraId="10BB0AE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【紧急】改善盈利能力：毛利率仅1.61%、净利润率1.93%，处于行业较低水平。需优化产品结构（减少低利润车型占比）、加强成本管控（供应链议价、制造效率提升）、提升品牌溢价（特别是阿维塔高端品牌）</w:t>
      </w:r>
    </w:p>
    <w:p w14:paraId="528FACFC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【重要】保持财务稳健优势：Z-score 1.82为8家中第二高（新能源阈值下安全），资产负债率59.61%低于行业平均，为转型提供了充足安全垫。应保持这一优势，避免为加速转型而过度加杠杆</w:t>
      </w:r>
    </w:p>
    <w:p w14:paraId="0BCCA83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【重要】提升经营现金流质量：沃尔评分中经营现金流相关维度得分偏低，需加强应收账款管理（缩短回款周期）、优化营运资金效率（减少存货占用）、提高经营现金流/营收比率</w:t>
      </w:r>
    </w:p>
    <w:p w14:paraId="455E916C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【持续】关注燃油车库存压力：燃油及合资品牌仍占总销量~74%，这些传统业务面临市场份额持续萎缩风险。需制定有序的燃油车退出计划，避免库存积压占用大量资金</w:t>
      </w:r>
    </w:p>
    <w:p w14:paraId="5227E1AE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10.4 研究方法总结与展望</w:t>
      </w:r>
    </w:p>
    <w:p w14:paraId="78FC5FFF">
      <w:pPr>
        <w:spacing w:after="80" w:line="312" w:lineRule="auto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i w:val="0"/>
          <w:sz w:val="20"/>
        </w:rPr>
        <w:t>本研究的方法论体系遵循"数据层→模型层→评价层"的递进框架，综合运用多种定量分析方法：</w:t>
      </w:r>
    </w:p>
    <w:p w14:paraId="3F1D947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K-Means聚类（K=3, 314季度点）：轮廓系数0.609，有效识别北汽蓝谷异常群组，PCA降维可视化展示企业轨迹</w:t>
      </w:r>
    </w:p>
    <w:p w14:paraId="019E95F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孤立森林异常检测（contamination=0.10）：精准识别北汽蓝谷74%异常率，赛力斯7%（非零异常），其余企业0%</w:t>
      </w:r>
    </w:p>
    <w:p w14:paraId="500FE408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六种时序预测方法对比：Ridge回归为最优稳健选择（资产负债率MAPE 2.4%-5.2%），LSTM和三次指数平滑因小样本严重过拟合</w:t>
      </w:r>
    </w:p>
    <w:p w14:paraId="2E5A30E7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MAPE回测验证：平均1669.54%发出趋势中断警报，资产负债率预测可靠（MAPE 2.4%-19.2%）</w:t>
      </w:r>
    </w:p>
    <w:p w14:paraId="322B77EA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杜邦分析（多期连环替代法）：有效分解ROE变动驱动力，揭示赛力斯去杠杆和长安净利率下降的不同驱动因素</w:t>
      </w:r>
    </w:p>
    <w:p w14:paraId="69D7EEE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Altman Z-score + 沃尔评分：互补评估破产风险与综合财务质量，Z-score关注偿债安全，沃尔评分关注综合竞争力</w:t>
      </w:r>
    </w:p>
    <w:p w14:paraId="46725FC5">
      <w:pPr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br w:type="page"/>
      </w:r>
    </w:p>
    <w:p w14:paraId="0C6AEAED">
      <w:pPr>
        <w:pStyle w:val="3"/>
        <w:spacing w:before="360" w:after="16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1A4789"/>
          <w:sz w:val="36"/>
        </w:rPr>
        <w:t>研究局限与改进方向</w:t>
      </w:r>
    </w:p>
    <w:p w14:paraId="03C12F4B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数据与方法局限</w:t>
      </w:r>
    </w:p>
    <w:p w14:paraId="520EB70F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样本仅8家A股车企，代表性有限。建议未来扩展至港股（理想/小鹏/蔚来/零跑）和美股（特斯拉）进行跨市场对比</w:t>
      </w:r>
    </w:p>
    <w:p w14:paraId="7E945F8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314个季度数据点属于典型小样本，限制了深度学习模型的有效性（LSTM R²=-42至-930）。建议积累更多数据后再使用深度学习方法</w:t>
      </w:r>
    </w:p>
    <w:p w14:paraId="18BA9984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毛利率MAPE极高（&gt;100%至数千%），因数值接近零时相对误差被放大。建议对接近零的指标改用MAE/RMSE或sMAPE（对称MAPE）作为主要评估标准</w:t>
      </w:r>
    </w:p>
    <w:p w14:paraId="0E0016F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Prophet因cmdstanpy环境错误（code 3221225785，tbb.dll兼容性问题）未能正常运行。修复后可作为趋势方向的交叉验证工具</w:t>
      </w:r>
    </w:p>
    <w:p w14:paraId="6B5C9FD0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2026Q1数据仅采集赛力斯和长安，其余6家企业无法进行MAPE回测验证。建议未来统一采集全样本最新数据</w:t>
      </w:r>
    </w:p>
    <w:p w14:paraId="04C79513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模型局限</w:t>
      </w:r>
    </w:p>
    <w:p w14:paraId="60FCB23E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沃尔评分营收增长率维度天花板效应明显（多数企业满分40分），区分度不足。建议改用百分位排名或行业分位数作为评分基准</w:t>
      </w:r>
    </w:p>
    <w:p w14:paraId="5ED1B7B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Altman Z-score原始模型基于1968年美国制造业数据，对中国新能源车企的适用性有待验证。本研究采用了行业调整阈值，但仍需更多实证研究支持</w:t>
      </w:r>
    </w:p>
    <w:p w14:paraId="6181368D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K-Means聚类对异常值敏感，北汽蓝谷的极端数据点可能影响群组中心的计算。可考虑使用K-Medoids或DBSCAN等对异常值更稳健的方法</w:t>
      </w:r>
    </w:p>
    <w:p w14:paraId="3B22F486">
      <w:pPr>
        <w:pStyle w:val="5"/>
        <w:spacing w:before="200" w:after="8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2E75B6"/>
          <w:sz w:val="24"/>
        </w:rPr>
        <w:t>分析局限</w:t>
      </w:r>
    </w:p>
    <w:p w14:paraId="5DA9D1F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结论需结合行业定性分析。本研究主要基于定量财务数据，未充分纳入以下定性因素：价格战态势、补贴政策变化、技术迭代（固态电池/智能驾驶）、供应链安全（芯片/电池原材料）、地缘政治影响等</w:t>
      </w:r>
    </w:p>
    <w:p w14:paraId="77BA36CB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财务报告存在信息滞后性（会计年度结束后2-3个月披露），分析结论反映的是历史状态，对未来的预测存在不确定性</w:t>
      </w:r>
    </w:p>
    <w:p w14:paraId="6E5BEF45">
      <w:pPr>
        <w:pStyle w:val="16"/>
        <w:spacing w:after="60" w:line="288" w:lineRule="auto"/>
        <w:ind w:left="420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sz w:val="19"/>
        </w:rPr>
        <w:t>比率分析存在口径不一致问题。不同企业的会计政策选择（收入确认、折旧方法、存货计价等）可能影响指标的可比性</w:t>
      </w:r>
    </w:p>
    <w:p w14:paraId="06F5CF92">
      <w:pPr>
        <w:rPr>
          <w:rFonts w:hint="eastAsia" w:ascii="楷体" w:hAnsi="楷体" w:eastAsia="楷体" w:cs="楷体"/>
        </w:rPr>
      </w:pPr>
    </w:p>
    <w:p w14:paraId="4CEE9646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b/>
          <w:color w:val="1A4789"/>
          <w:sz w:val="28"/>
        </w:rPr>
        <w:t>— 报告结束 —</w:t>
      </w:r>
    </w:p>
    <w:p w14:paraId="0E616724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999999"/>
          <w:sz w:val="18"/>
        </w:rPr>
        <w:t>重庆师范大学 · 第六届重庆市大学生企业财务大数据智能决策应用赛</w:t>
      </w:r>
    </w:p>
    <w:p w14:paraId="0226E572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999999"/>
          <w:sz w:val="18"/>
        </w:rPr>
        <w:t>本报告基于Notebook实际运行结果生成，所有数据均来自模型输出</w:t>
      </w:r>
    </w:p>
    <w:p w14:paraId="060CA0B5">
      <w:pPr>
        <w:jc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  <w:color w:val="999999"/>
          <w:sz w:val="18"/>
        </w:rPr>
        <w:t>分析方法遵循《财务报告分析》（郭苏敬主编，清华大学出版社）理论框架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DE1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8" w:lineRule="auto"/>
    </w:pPr>
    <w:rPr>
      <w:rFonts w:ascii="微软雅黑" w:hAnsi="微软雅黑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970</Words>
  <Characters>1187</Characters>
  <Lines>0</Lines>
  <Paragraphs>0</Paragraphs>
  <TotalTime>1</TotalTime>
  <ScaleCrop>false</ScaleCrop>
  <LinksUpToDate>false</LinksUpToDate>
  <CharactersWithSpaces>1198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</cp:lastModifiedBy>
  <dcterms:modified xsi:type="dcterms:W3CDTF">2026-07-29T13:47:27Z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eyJoZGlkIjoiNjRmZGI5ZDg5YTZjM2E4Y2NlNGQ2YWEzNGYzMmJmZjMiLCJ1c2VySWQiOiIxMzQ2MTU5NzM3In0=</vt:lpwstr>
  </property>
  <property fmtid="{D5CDD505-2E9C-101B-9397-08002B2CF9AE}" pid="3" name="KSOProductBuildVer">
    <vt:lpwstr>2052-12.1.0.19770</vt:lpwstr>
  </property>
  <property fmtid="{D5CDD505-2E9C-101B-9397-08002B2CF9AE}" pid="4" name="ICV">
    <vt:lpwstr>FEA85C68E2E24232ADEB610FE4261974_12</vt:lpwstr>
  </property>
</Properties>
</file>