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46D4F">
      <w:pPr>
        <w:rPr>
          <w:rFonts w:hint="eastAsia" w:ascii="楷体_GB2312" w:hAnsi="楷体_GB2312" w:eastAsia="楷体_GB2312" w:cs="楷体_GB2312"/>
        </w:rPr>
      </w:pPr>
      <w:bookmarkStart w:id="0" w:name="_GoBack"/>
      <w:bookmarkEnd w:id="0"/>
    </w:p>
    <w:p w14:paraId="7FAAFD88">
      <w:pPr>
        <w:rPr>
          <w:rFonts w:hint="eastAsia" w:ascii="楷体_GB2312" w:hAnsi="楷体_GB2312" w:eastAsia="楷体_GB2312" w:cs="楷体_GB2312"/>
        </w:rPr>
      </w:pPr>
    </w:p>
    <w:p w14:paraId="467DE3BB">
      <w:pPr>
        <w:rPr>
          <w:rFonts w:hint="eastAsia" w:ascii="楷体_GB2312" w:hAnsi="楷体_GB2312" w:eastAsia="楷体_GB2312" w:cs="楷体_GB2312"/>
        </w:rPr>
      </w:pPr>
    </w:p>
    <w:p w14:paraId="23D09FFB">
      <w:pPr>
        <w:rPr>
          <w:rFonts w:hint="eastAsia" w:ascii="楷体_GB2312" w:hAnsi="楷体_GB2312" w:eastAsia="楷体_GB2312" w:cs="楷体_GB2312"/>
        </w:rPr>
      </w:pPr>
    </w:p>
    <w:p w14:paraId="5B8A4C14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color w:val="1A4789"/>
          <w:sz w:val="44"/>
        </w:rPr>
        <w:t>基于K-Means聚类与Prophet时序预测的</w:t>
      </w:r>
    </w:p>
    <w:p w14:paraId="593F566C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color w:val="1A4789"/>
          <w:sz w:val="44"/>
        </w:rPr>
        <w:t>重庆上市车企财务智能预警研究</w:t>
      </w:r>
    </w:p>
    <w:p w14:paraId="0BBFDFCA">
      <w:pPr>
        <w:rPr>
          <w:rFonts w:hint="eastAsia" w:ascii="楷体_GB2312" w:hAnsi="楷体_GB2312" w:eastAsia="楷体_GB2312" w:cs="楷体_GB2312"/>
        </w:rPr>
      </w:pPr>
    </w:p>
    <w:p w14:paraId="5D5955F8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32"/>
        </w:rPr>
        <w:t>—— 分析报告 ——</w:t>
      </w:r>
    </w:p>
    <w:p w14:paraId="5B649845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666666"/>
          <w:sz w:val="26"/>
        </w:rPr>
        <w:t>赛力斯外部协同经营模式对标长安自主研发模式</w:t>
      </w:r>
    </w:p>
    <w:p w14:paraId="388D1995">
      <w:pPr>
        <w:rPr>
          <w:rFonts w:hint="eastAsia" w:ascii="楷体_GB2312" w:hAnsi="楷体_GB2312" w:eastAsia="楷体_GB2312" w:cs="楷体_GB2312"/>
        </w:rPr>
      </w:pPr>
    </w:p>
    <w:p w14:paraId="5E593BA1">
      <w:pPr>
        <w:rPr>
          <w:rFonts w:hint="eastAsia" w:ascii="楷体_GB2312" w:hAnsi="楷体_GB2312" w:eastAsia="楷体_GB2312" w:cs="楷体_GB2312"/>
        </w:rPr>
      </w:pPr>
    </w:p>
    <w:p w14:paraId="229FF2E9">
      <w:pPr>
        <w:rPr>
          <w:rFonts w:hint="eastAsia" w:ascii="楷体_GB2312" w:hAnsi="楷体_GB2312" w:eastAsia="楷体_GB2312" w:cs="楷体_GB2312"/>
        </w:rPr>
      </w:pPr>
    </w:p>
    <w:p w14:paraId="2E6A9C52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999999"/>
          <w:sz w:val="22"/>
        </w:rPr>
        <w:t>第六届重庆市大学生企业财务大数据智能决策应用赛</w:t>
      </w:r>
    </w:p>
    <w:p w14:paraId="018C18E7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999999"/>
          <w:sz w:val="22"/>
        </w:rPr>
        <w:t>重庆师范大学</w:t>
      </w:r>
    </w:p>
    <w:p w14:paraId="75CC0DAB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999999"/>
          <w:sz w:val="22"/>
        </w:rPr>
        <w:t>2026年7月</w:t>
      </w:r>
    </w:p>
    <w:p w14:paraId="169C4749">
      <w:pPr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br w:type="page"/>
      </w:r>
    </w:p>
    <w:p w14:paraId="41EC3AC6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摘要</w:t>
      </w:r>
    </w:p>
    <w:p w14:paraId="7568394F">
      <w:pPr>
        <w:spacing w:after="16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本文选取8家A股上市乘用车企业2016Q1至2025Q4共314个季度财务数据，对比赛力斯（华为智选/外部协同）与长安汽车（自主研发）两种新能源转型模式的财务风险差异。分析使用了K-Means聚类、孤立森林异常检测、六种时序预测方法对比、杜邦连环替代法、Altman Z-score以及经营活动现金净流量三组合分析。</w:t>
      </w:r>
    </w:p>
    <w:p w14:paraId="6F199DD4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i w:val="0"/>
          <w:sz w:val="20"/>
        </w:rPr>
        <w:t>主要发现：</w:t>
      </w:r>
    </w:p>
    <w:p w14:paraId="04E9138C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赛力斯净资产收益率波动剧烈（-45.7%→38.7%→15.0%），2024-2025年下降23.6个百分点，去杠杆贡献-17.8个百分点。问界系列占总销量约95%，单一品牌依赖度高。Z-score为1.63</w:t>
      </w:r>
    </w:p>
    <w:p w14:paraId="31E35158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长安汽车净资产收益率波动较小（12.3%→4.1%），最大年度变动仅5.3个百分点。Z-score为1.82，高于赛力斯。但毛利率1.61%、新能源渗透率约26%，两项指标偏低</w:t>
      </w:r>
    </w:p>
    <w:p w14:paraId="7E279855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六种预测方法中，Ridge回归对资产负债率的预测误差最小（平均绝对百分比误差2.4%-5.2%）</w:t>
      </w:r>
    </w:p>
    <w:p w14:paraId="46AB5265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2026年第一季度回测显示，资产负债率预测相对可靠（误差2.4%-19.2%），毛利率预测偏差较大（因实际值接近零时相对误差被放大）</w:t>
      </w:r>
    </w:p>
    <w:p w14:paraId="4ED3AEB5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经营活动现金净流量分析表明，赛力斯处于成长期（经营活动净流入289.1亿元，筹资活动流入182.8亿元补充投资），长城汽车处于成熟期（经营活动净流入404亿元同时覆盖投资和偿债），广汽集团经营活动净流出150.3亿元为全样本唯一负值</w:t>
      </w:r>
    </w:p>
    <w:p w14:paraId="309C5669">
      <w:pPr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br w:type="page"/>
      </w:r>
    </w:p>
    <w:p w14:paraId="58F272B1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一、研究背景与问题</w:t>
      </w:r>
    </w:p>
    <w:p w14:paraId="1AEE442C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重庆是中国西部汽车工业重镇，拥有长安汽车（000625）和赛力斯（601127）两家上市车企。2020年至2025年，中国新能源汽车渗透率从5.4%升至超过50%，传统车企和新进入者面临不同的转型路径选择。</w:t>
      </w:r>
    </w:p>
    <w:p w14:paraId="00AC9860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两家企业代表了两种典型模式。赛力斯2021年起与华为深度合作，采用智选模式，借助华为的技术平台和渠道资源推出AITO问界系列（M5/M7/M9），2023-2024年销量快速增长。长安汽车坚持自主研发，先后推出深蓝、阿维塔、启源三个新能源品牌，覆盖不同价格区间。</w:t>
      </w:r>
    </w:p>
    <w:p w14:paraId="3D7FAB20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研究要回答的问题是：两种模式下，谁的财务风险更高、财务稳定性更差？</w:t>
      </w:r>
    </w:p>
    <w:p w14:paraId="436A9AD3">
      <w:pPr>
        <w:rPr>
          <w:rFonts w:hint="eastAsia" w:ascii="楷体_GB2312" w:hAnsi="楷体_GB2312" w:eastAsia="楷体_GB2312" w:cs="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132E0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79762AB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维度</w:t>
            </w:r>
          </w:p>
        </w:tc>
        <w:tc>
          <w:tcPr>
            <w:tcW w:w="3402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26F9743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赛力斯(601127)</w:t>
            </w:r>
          </w:p>
        </w:tc>
        <w:tc>
          <w:tcPr>
            <w:tcW w:w="3402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12ACB2C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长安汽车(000625)</w:t>
            </w:r>
          </w:p>
        </w:tc>
      </w:tr>
      <w:tr w14:paraId="60688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3F60E06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经营模式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8D81A8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华为智选（外部协同）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CBBD1E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自主品牌矩阵（自主研发）</w:t>
            </w:r>
          </w:p>
        </w:tc>
      </w:tr>
      <w:tr w14:paraId="60B71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AA3266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核心产品</w:t>
            </w:r>
          </w:p>
        </w:tc>
        <w:tc>
          <w:tcPr>
            <w:tcW w:w="3402" w:type="dxa"/>
          </w:tcPr>
          <w:p w14:paraId="51E5281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AITO问界M5/M7/M9</w:t>
            </w:r>
          </w:p>
        </w:tc>
        <w:tc>
          <w:tcPr>
            <w:tcW w:w="3402" w:type="dxa"/>
          </w:tcPr>
          <w:p w14:paraId="399A7A8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深蓝SL03/L07、阿维塔11/12、启源A05/A07</w:t>
            </w:r>
          </w:p>
        </w:tc>
      </w:tr>
      <w:tr w14:paraId="2A54E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3C688D8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技术来源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958002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华为提供智驾/座舱/电驱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C19D2D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SDA/EPA/CHN自研平台</w:t>
            </w:r>
          </w:p>
        </w:tc>
      </w:tr>
      <w:tr w14:paraId="11628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DBC22EB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资本特征</w:t>
            </w:r>
          </w:p>
        </w:tc>
        <w:tc>
          <w:tcPr>
            <w:tcW w:w="3402" w:type="dxa"/>
          </w:tcPr>
          <w:p w14:paraId="75FA7B8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轻资产、高周转、高杠杆</w:t>
            </w:r>
          </w:p>
        </w:tc>
        <w:tc>
          <w:tcPr>
            <w:tcW w:w="3402" w:type="dxa"/>
          </w:tcPr>
          <w:p w14:paraId="7FA561E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重资产、稳投入、低杠杆</w:t>
            </w:r>
          </w:p>
        </w:tc>
      </w:tr>
    </w:tbl>
    <w:p w14:paraId="40F22F71">
      <w:pPr>
        <w:spacing w:after="120"/>
        <w:rPr>
          <w:rFonts w:hint="eastAsia" w:ascii="楷体_GB2312" w:hAnsi="楷体_GB2312" w:eastAsia="楷体_GB2312" w:cs="楷体_GB2312"/>
        </w:rPr>
      </w:pPr>
    </w:p>
    <w:p w14:paraId="6BDDC55E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二、数据与方法</w:t>
      </w:r>
    </w:p>
    <w:p w14:paraId="5D2A13EE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2.1 样本与数据</w:t>
      </w:r>
    </w:p>
    <w:p w14:paraId="3F71597C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财务数据来自AkShare接口，覆盖2016年第一季至2025年第四季</w:t>
      </w:r>
    </w:p>
    <w:p w14:paraId="53FA94EC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8家A股乘用车整车企业：赛力斯、长安汽车、比亚迪、上汽集团、长城汽车、广汽集团、江淮汽车、北汽蓝谷</w:t>
      </w:r>
    </w:p>
    <w:p w14:paraId="6FDAAB89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合计314个有效季度观测，每家企业平均39.25个季度</w:t>
      </w:r>
    </w:p>
    <w:p w14:paraId="41E14809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数据包含资产负债表、利润表、现金流量表三张主表</w:t>
      </w:r>
    </w:p>
    <w:p w14:paraId="287F4D2C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另追加采集赛力斯和长安汽车2026年第一季度数据用于回测验证</w:t>
      </w:r>
    </w:p>
    <w:p w14:paraId="596C4BC9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2.2 财务指标</w:t>
      </w:r>
    </w:p>
    <w:p w14:paraId="2AB7F156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从三大报表计算18项财务比率，分为四组（计算公式见附录A）：</w:t>
      </w:r>
    </w:p>
    <w:p w14:paraId="28382F5E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盈利能力（4项）：毛利率、营业利润率、净利润率、净资产收益率</w:t>
      </w:r>
    </w:p>
    <w:p w14:paraId="3DCFAB72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营运能力（3项）：存货周转率、总资产周转率、应收账款周转率</w:t>
      </w:r>
    </w:p>
    <w:p w14:paraId="76BB0BC3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偿债能力（4项）：流动比率、速动比率、利息保障倍数、资产负债率</w:t>
      </w:r>
    </w:p>
    <w:p w14:paraId="35C8B545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成长能力（3项）：营业收入增长率、营业利润增长率、净利润增长率</w:t>
      </w:r>
    </w:p>
    <w:p w14:paraId="60094972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补充指标（4项）：有息负债率、经营活动现金净流量/营收、权益乘数、货币资金占比</w:t>
      </w:r>
    </w:p>
    <w:p w14:paraId="1A35A69D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2.3 分析模型</w:t>
      </w:r>
    </w:p>
    <w:p w14:paraId="78B996DD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K-Means聚类：5维特征（毛利率/经营活动现金净流量/有息负债率/存货周转率/权益乘数），K=3，314个季度观测</w:t>
      </w:r>
    </w:p>
    <w:p w14:paraId="6A1B2C27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孤立森林异常检测：异常比例参数0.10，检测偏离行业常态的季度</w:t>
      </w:r>
    </w:p>
    <w:p w14:paraId="67179769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六种时序预测方法：Ridge回归（L2正则化+多项式趋势+季度季节性）、Prophet（贝叶斯结构时序）、LSTM（长短期记忆网络）、三次指数平滑（Holt-Winters）、ARIMA（自回归积分滑动平均）、线性回归（基线方法）。参数设置见附录B</w:t>
      </w:r>
    </w:p>
    <w:p w14:paraId="3634238A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杜邦连环替代：净资产收益率=销售净利率×总资产周转率×权益乘数，逐期分解各因素贡献</w:t>
      </w:r>
    </w:p>
    <w:p w14:paraId="09EBA7CD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Altman Z-score（制造业公式）+ 沃尔评分（5指标/100分）</w:t>
      </w:r>
    </w:p>
    <w:p w14:paraId="51643F9F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经营活动现金净流量三组合分析：根据经营/投资/筹资三类活动净额的正负组合，判断企业所处生命周期阶段</w:t>
      </w:r>
    </w:p>
    <w:p w14:paraId="3C0A2B63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三、财务指标分析</w:t>
      </w:r>
    </w:p>
    <w:p w14:paraId="2E4E5A41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表1列出8家企业在2025年年报的五项核心指标。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47"/>
        <w:gridCol w:w="1247"/>
        <w:gridCol w:w="1587"/>
        <w:gridCol w:w="1587"/>
        <w:gridCol w:w="1247"/>
      </w:tblGrid>
      <w:tr w14:paraId="300A8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568781F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公司</w:t>
            </w:r>
          </w:p>
        </w:tc>
        <w:tc>
          <w:tcPr>
            <w:tcW w:w="124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1848142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毛利率</w:t>
            </w:r>
          </w:p>
        </w:tc>
        <w:tc>
          <w:tcPr>
            <w:tcW w:w="124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3FB70C4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净利润率</w:t>
            </w:r>
          </w:p>
        </w:tc>
        <w:tc>
          <w:tcPr>
            <w:tcW w:w="158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3D53876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净资产收益率</w:t>
            </w:r>
          </w:p>
        </w:tc>
        <w:tc>
          <w:tcPr>
            <w:tcW w:w="158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62898E5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资产负债率</w:t>
            </w:r>
          </w:p>
        </w:tc>
        <w:tc>
          <w:tcPr>
            <w:tcW w:w="124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041DAD2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流动比率</w:t>
            </w:r>
          </w:p>
        </w:tc>
      </w:tr>
      <w:tr w14:paraId="11214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7C9C7B2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赛力斯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5342E9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4.36%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0799A9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3.72%</w:t>
            </w:r>
          </w:p>
        </w:tc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CFACFF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21.90%</w:t>
            </w:r>
          </w:p>
        </w:tc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AA9AFB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70.91%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194CE3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1.05</w:t>
            </w:r>
          </w:p>
        </w:tc>
      </w:tr>
      <w:tr w14:paraId="515F8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A9C791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长安汽车</w:t>
            </w:r>
          </w:p>
        </w:tc>
        <w:tc>
          <w:tcPr>
            <w:tcW w:w="1247" w:type="dxa"/>
          </w:tcPr>
          <w:p w14:paraId="601B470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1.61%</w:t>
            </w:r>
          </w:p>
        </w:tc>
        <w:tc>
          <w:tcPr>
            <w:tcW w:w="1247" w:type="dxa"/>
          </w:tcPr>
          <w:p w14:paraId="16B0B5B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1.93%</w:t>
            </w:r>
          </w:p>
        </w:tc>
        <w:tc>
          <w:tcPr>
            <w:tcW w:w="1587" w:type="dxa"/>
          </w:tcPr>
          <w:p w14:paraId="5D9266C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5.43%</w:t>
            </w:r>
          </w:p>
        </w:tc>
        <w:tc>
          <w:tcPr>
            <w:tcW w:w="1587" w:type="dxa"/>
          </w:tcPr>
          <w:p w14:paraId="1940413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59.61%</w:t>
            </w:r>
          </w:p>
        </w:tc>
        <w:tc>
          <w:tcPr>
            <w:tcW w:w="1247" w:type="dxa"/>
          </w:tcPr>
          <w:p w14:paraId="473D58C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1.21</w:t>
            </w:r>
          </w:p>
        </w:tc>
      </w:tr>
      <w:tr w14:paraId="09585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9CBE118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比亚迪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2A5471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3.16%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320055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4.20%</w:t>
            </w:r>
          </w:p>
        </w:tc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E32C38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16.24%</w:t>
            </w:r>
          </w:p>
        </w:tc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A152AE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70.74%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E33877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0.79</w:t>
            </w:r>
          </w:p>
        </w:tc>
      </w:tr>
      <w:tr w14:paraId="4FC37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3C22204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长城汽车</w:t>
            </w:r>
          </w:p>
        </w:tc>
        <w:tc>
          <w:tcPr>
            <w:tcW w:w="1247" w:type="dxa"/>
          </w:tcPr>
          <w:p w14:paraId="6CABC35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3.25%</w:t>
            </w:r>
          </w:p>
        </w:tc>
        <w:tc>
          <w:tcPr>
            <w:tcW w:w="1247" w:type="dxa"/>
          </w:tcPr>
          <w:p w14:paraId="0240B29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4.43%</w:t>
            </w:r>
          </w:p>
        </w:tc>
        <w:tc>
          <w:tcPr>
            <w:tcW w:w="1587" w:type="dxa"/>
          </w:tcPr>
          <w:p w14:paraId="4023563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11.94%</w:t>
            </w:r>
          </w:p>
        </w:tc>
        <w:tc>
          <w:tcPr>
            <w:tcW w:w="1587" w:type="dxa"/>
          </w:tcPr>
          <w:p w14:paraId="1025AC8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60.99%</w:t>
            </w:r>
          </w:p>
        </w:tc>
        <w:tc>
          <w:tcPr>
            <w:tcW w:w="1247" w:type="dxa"/>
          </w:tcPr>
          <w:p w14:paraId="79013C3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1.09</w:t>
            </w:r>
          </w:p>
        </w:tc>
      </w:tr>
      <w:tr w14:paraId="6A48B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1FC9C60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上汽集团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ABF959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-0.43%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EE33D2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2.70%</w:t>
            </w:r>
          </w:p>
        </w:tc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4C5FF4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3.42%</w:t>
            </w:r>
          </w:p>
        </w:tc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2F7384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62.37%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FD3FF1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1.20</w:t>
            </w:r>
          </w:p>
        </w:tc>
      </w:tr>
      <w:tr w14:paraId="322F9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325BD4F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广汽集团</w:t>
            </w:r>
          </w:p>
        </w:tc>
        <w:tc>
          <w:tcPr>
            <w:tcW w:w="1247" w:type="dxa"/>
          </w:tcPr>
          <w:p w14:paraId="041828B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-15.68%</w:t>
            </w:r>
          </w:p>
        </w:tc>
        <w:tc>
          <w:tcPr>
            <w:tcW w:w="1247" w:type="dxa"/>
          </w:tcPr>
          <w:p w14:paraId="2C31C95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-12.00%</w:t>
            </w:r>
          </w:p>
        </w:tc>
        <w:tc>
          <w:tcPr>
            <w:tcW w:w="1587" w:type="dxa"/>
          </w:tcPr>
          <w:p w14:paraId="0BB8B99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-8.02%</w:t>
            </w:r>
          </w:p>
        </w:tc>
        <w:tc>
          <w:tcPr>
            <w:tcW w:w="1587" w:type="dxa"/>
          </w:tcPr>
          <w:p w14:paraId="47DFA5E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48.97%</w:t>
            </w:r>
          </w:p>
        </w:tc>
        <w:tc>
          <w:tcPr>
            <w:tcW w:w="1247" w:type="dxa"/>
          </w:tcPr>
          <w:p w14:paraId="2C378CD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1.14</w:t>
            </w:r>
          </w:p>
        </w:tc>
      </w:tr>
      <w:tr w14:paraId="00F64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6BFED2E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江淮汽车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6B82CE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-3.50%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E6B8F9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-3.81%</w:t>
            </w:r>
          </w:p>
        </w:tc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60A198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-14.53%</w:t>
            </w:r>
          </w:p>
        </w:tc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6F4447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79.07%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ED933C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0.80</w:t>
            </w:r>
          </w:p>
        </w:tc>
      </w:tr>
      <w:tr w14:paraId="47CB4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B4FE053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北汽蓝谷</w:t>
            </w:r>
          </w:p>
        </w:tc>
        <w:tc>
          <w:tcPr>
            <w:tcW w:w="1247" w:type="dxa"/>
          </w:tcPr>
          <w:p w14:paraId="2F14292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-21.55%</w:t>
            </w:r>
          </w:p>
        </w:tc>
        <w:tc>
          <w:tcPr>
            <w:tcW w:w="1247" w:type="dxa"/>
          </w:tcPr>
          <w:p w14:paraId="5EA637D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-22.84%</w:t>
            </w:r>
          </w:p>
        </w:tc>
        <w:tc>
          <w:tcPr>
            <w:tcW w:w="1587" w:type="dxa"/>
          </w:tcPr>
          <w:p w14:paraId="5CF81FF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-332.24%</w:t>
            </w:r>
          </w:p>
        </w:tc>
        <w:tc>
          <w:tcPr>
            <w:tcW w:w="1587" w:type="dxa"/>
          </w:tcPr>
          <w:p w14:paraId="29AC843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88.47%</w:t>
            </w:r>
          </w:p>
        </w:tc>
        <w:tc>
          <w:tcPr>
            <w:tcW w:w="1247" w:type="dxa"/>
          </w:tcPr>
          <w:p w14:paraId="3382EE7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0.65</w:t>
            </w:r>
          </w:p>
        </w:tc>
      </w:tr>
    </w:tbl>
    <w:p w14:paraId="687A3FD2">
      <w:pPr>
        <w:spacing w:after="120"/>
        <w:rPr>
          <w:rFonts w:hint="eastAsia" w:ascii="楷体_GB2312" w:hAnsi="楷体_GB2312" w:eastAsia="楷体_GB2312" w:cs="楷体_GB2312"/>
        </w:rPr>
      </w:pPr>
    </w:p>
    <w:p w14:paraId="5DC53991">
      <w:pPr>
        <w:rPr>
          <w:rFonts w:hint="eastAsia" w:ascii="楷体_GB2312" w:hAnsi="楷体_GB2312" w:eastAsia="楷体_GB2312" w:cs="楷体_GB2312"/>
        </w:rPr>
      </w:pPr>
    </w:p>
    <w:p w14:paraId="1F51A565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5399405" cy="256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56E7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图1  8家车企核心财务指标热力图</w:t>
      </w:r>
    </w:p>
    <w:p w14:paraId="6063EF58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表1显示几个特征：8家企业中4家毛利率为负，行业整体盈利空间承压；赛力斯净资产收益率最高（21.90%）但资产负债率也最高之一（70.91%）；北汽蓝谷四项指标均异常（毛利率-21.55%、净资产收益率-332.24%、资产负债率88.47%、流动比率0.65）；长城汽车各项指标最为均衡。</w:t>
      </w:r>
    </w:p>
    <w:p w14:paraId="1A1DB73F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赛力斯的高净资产收益率需要结合权益乘数解读。净资产收益率=净利润/净资产，分母越小（即权益乘数越高），净资产收益率越高。赛力斯权益乘数从7.69下降至3.52的过程，本身就解释了净资产收益率回落的大部分原因（详见第六节）。</w:t>
      </w:r>
    </w:p>
    <w:p w14:paraId="78A3C2DC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/>
          <w:color w:val="666666"/>
          <w:sz w:val="19"/>
        </w:rPr>
        <w:t>这意味着：仅看净资产收益率排名会高估赛力斯的实际经营效率，需要结合杜邦分解和Z-score综合判断。</w:t>
      </w:r>
    </w:p>
    <w:p w14:paraId="2277C8AF">
      <w:pPr>
        <w:pStyle w:val="4"/>
        <w:spacing w:before="280" w:after="1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28"/>
        </w:rPr>
        <w:t>研发投入对比</w:t>
      </w:r>
    </w:p>
    <w:p w14:paraId="037765DF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5039995" cy="1657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EC3B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图2  赛力斯vs长安研发投入趋势</w:t>
      </w:r>
    </w:p>
    <w:p w14:paraId="3C275F35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赛力斯2025年研发费用79.5亿元，研发费用率4.82%，首次在研发率上超过长安汽车（71.6亿元/4.36%），但绝对金额仍低于长安</w:t>
      </w:r>
    </w:p>
    <w:p w14:paraId="6508E8DE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2021年华为合作启动后，赛力斯研发率从3.59%升至4.82%。长安汽车研发率维持在3.3%-4.5%区间</w:t>
      </w:r>
    </w:p>
    <w:p w14:paraId="345FA2D7">
      <w:pPr>
        <w:spacing w:after="4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/>
          <w:color w:val="666666"/>
          <w:sz w:val="19"/>
        </w:rPr>
        <w:t>这意味着：华为的技术赋能并未减少赛力斯的研发投入——相反，合作推动了研发支出的快速增长。这可能与企业需要吸收、适配华为技术有关</w:t>
      </w:r>
    </w:p>
    <w:p w14:paraId="0A36966A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四、K-Means聚类与孤立森林分析</w:t>
      </w:r>
    </w:p>
    <w:p w14:paraId="4BD84B90">
      <w:pPr>
        <w:pStyle w:val="4"/>
        <w:spacing w:before="280" w:after="1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28"/>
        </w:rPr>
        <w:t>4.1 K-Means聚类</w:t>
      </w:r>
    </w:p>
    <w:p w14:paraId="4E101798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聚类使用5个特征：毛利率、经营活动现金净流量/营收、有息负债率、存货周转率、权益乘数。标准化后，肘部法则确定K=3，轮廓系数0.609，群间分离度良好。</w:t>
      </w:r>
    </w:p>
    <w:p w14:paraId="32BC2DB7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3599815" cy="2034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3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4C8B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图3  肘部法则确定K=3</w:t>
      </w:r>
    </w:p>
    <w:p w14:paraId="1FEF65B5">
      <w:pPr>
        <w:rPr>
          <w:rFonts w:hint="eastAsia" w:ascii="楷体_GB2312" w:hAnsi="楷体_GB2312" w:eastAsia="楷体_GB2312" w:cs="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417"/>
        <w:gridCol w:w="1020"/>
        <w:gridCol w:w="1134"/>
        <w:gridCol w:w="1417"/>
        <w:gridCol w:w="1134"/>
        <w:gridCol w:w="1134"/>
        <w:gridCol w:w="1134"/>
      </w:tblGrid>
      <w:tr w14:paraId="3576B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0788D20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群组</w:t>
            </w:r>
          </w:p>
        </w:tc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2919656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所含企业</w:t>
            </w:r>
          </w:p>
        </w:tc>
        <w:tc>
          <w:tcPr>
            <w:tcW w:w="1020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44A2B09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季度数</w:t>
            </w:r>
          </w:p>
        </w:tc>
        <w:tc>
          <w:tcPr>
            <w:tcW w:w="113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3BF11D2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毛利率均值</w:t>
            </w:r>
          </w:p>
        </w:tc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0D229DA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经营活动现金净流量/营收</w:t>
            </w:r>
          </w:p>
        </w:tc>
        <w:tc>
          <w:tcPr>
            <w:tcW w:w="113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1249006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有息负债率</w:t>
            </w:r>
          </w:p>
        </w:tc>
        <w:tc>
          <w:tcPr>
            <w:tcW w:w="113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0372A5A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存货周转率</w:t>
            </w:r>
          </w:p>
        </w:tc>
        <w:tc>
          <w:tcPr>
            <w:tcW w:w="113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4821350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权益乘数</w:t>
            </w:r>
          </w:p>
        </w:tc>
      </w:tr>
      <w:tr w14:paraId="6FA1A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403F1E6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群0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5E7C3D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全部8家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A1C4B1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287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1E9E0D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-0.011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4BDAE6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-0.020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C77A0A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0.124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E86B4E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7.954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6DA29A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3.104</w:t>
            </w:r>
          </w:p>
        </w:tc>
      </w:tr>
      <w:tr w14:paraId="7E788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9189F82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群1</w:t>
            </w:r>
          </w:p>
        </w:tc>
        <w:tc>
          <w:tcPr>
            <w:tcW w:w="1417" w:type="dxa"/>
          </w:tcPr>
          <w:p w14:paraId="306F72A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北汽蓝谷</w:t>
            </w:r>
          </w:p>
        </w:tc>
        <w:tc>
          <w:tcPr>
            <w:tcW w:w="1020" w:type="dxa"/>
          </w:tcPr>
          <w:p w14:paraId="246523B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</w:t>
            </w:r>
          </w:p>
        </w:tc>
        <w:tc>
          <w:tcPr>
            <w:tcW w:w="1134" w:type="dxa"/>
          </w:tcPr>
          <w:p w14:paraId="00F8B90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-1.075</w:t>
            </w:r>
          </w:p>
        </w:tc>
        <w:tc>
          <w:tcPr>
            <w:tcW w:w="1417" w:type="dxa"/>
          </w:tcPr>
          <w:p w14:paraId="637213B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-8.312</w:t>
            </w:r>
          </w:p>
        </w:tc>
        <w:tc>
          <w:tcPr>
            <w:tcW w:w="1134" w:type="dxa"/>
          </w:tcPr>
          <w:p w14:paraId="00D5094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0.000</w:t>
            </w:r>
          </w:p>
        </w:tc>
        <w:tc>
          <w:tcPr>
            <w:tcW w:w="1134" w:type="dxa"/>
          </w:tcPr>
          <w:p w14:paraId="78BD498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0.047</w:t>
            </w:r>
          </w:p>
        </w:tc>
        <w:tc>
          <w:tcPr>
            <w:tcW w:w="1134" w:type="dxa"/>
          </w:tcPr>
          <w:p w14:paraId="56CDC09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1.983</w:t>
            </w:r>
          </w:p>
        </w:tc>
      </w:tr>
      <w:tr w14:paraId="31A6E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7B8B5C4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群2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E13E70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北汽蓝谷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0C827E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24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B6F7DA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-0.528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4041EC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-0.208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930F84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0.382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BFC4CA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4.533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6E7A4B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7.285</w:t>
            </w:r>
          </w:p>
        </w:tc>
      </w:tr>
    </w:tbl>
    <w:p w14:paraId="7DF9F526">
      <w:pPr>
        <w:spacing w:after="120"/>
        <w:rPr>
          <w:rFonts w:hint="eastAsia" w:ascii="楷体_GB2312" w:hAnsi="楷体_GB2312" w:eastAsia="楷体_GB2312" w:cs="楷体_GB2312"/>
        </w:rPr>
      </w:pPr>
    </w:p>
    <w:p w14:paraId="46D88541">
      <w:pPr>
        <w:rPr>
          <w:rFonts w:hint="eastAsia" w:ascii="楷体_GB2312" w:hAnsi="楷体_GB2312" w:eastAsia="楷体_GB2312" w:cs="楷体_GB2312"/>
        </w:rPr>
      </w:pPr>
    </w:p>
    <w:p w14:paraId="621BE72A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5039995" cy="3512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6EF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图4  K-Means聚类PCA可视化</w:t>
      </w:r>
    </w:p>
    <w:p w14:paraId="0BD366EF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群1（3个季度）和群2（24个季度）均由北汽蓝谷的极端季度构成，表明北汽蓝谷的财务特征与其余7家企业有明显差异。群0包含全部8家287个季度，是行业常态区域。赛力斯和长安汽车均主要位于群0。</w:t>
      </w:r>
    </w:p>
    <w:p w14:paraId="06BF037F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/>
          <w:color w:val="666666"/>
          <w:sz w:val="19"/>
        </w:rPr>
        <w:t>这意味着：仅从五维财务特征看，赛力斯和长安汽车同属行业"正常"区间，两者的差异不在统计聚类层面，而在具体指标的波动模式和驱动力上。</w:t>
      </w:r>
    </w:p>
    <w:p w14:paraId="1D9F05A9">
      <w:pPr>
        <w:pStyle w:val="4"/>
        <w:spacing w:before="280" w:after="1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28"/>
        </w:rPr>
        <w:t>4.2 孤立森林异常检测</w:t>
      </w:r>
    </w:p>
    <w:p w14:paraId="26739ED8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4319905" cy="1861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6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B208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图5  孤立森林异常检测结果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1417"/>
        <w:gridCol w:w="1134"/>
      </w:tblGrid>
      <w:tr w14:paraId="30646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6B74CDA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公司</w:t>
            </w:r>
          </w:p>
        </w:tc>
        <w:tc>
          <w:tcPr>
            <w:tcW w:w="113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42789E9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异常率</w:t>
            </w:r>
          </w:p>
        </w:tc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5DC0F43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异常得分均值</w:t>
            </w:r>
          </w:p>
        </w:tc>
        <w:tc>
          <w:tcPr>
            <w:tcW w:w="113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5CD3AEE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季度数</w:t>
            </w:r>
          </w:p>
        </w:tc>
      </w:tr>
      <w:tr w14:paraId="033C2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333FF88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北汽蓝谷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98F90F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74%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5D82D0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-0.057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564818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39</w:t>
            </w:r>
          </w:p>
        </w:tc>
      </w:tr>
      <w:tr w14:paraId="65A4E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94EA46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赛力斯</w:t>
            </w:r>
          </w:p>
        </w:tc>
        <w:tc>
          <w:tcPr>
            <w:tcW w:w="1134" w:type="dxa"/>
          </w:tcPr>
          <w:p w14:paraId="602FD53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7%</w:t>
            </w:r>
          </w:p>
        </w:tc>
        <w:tc>
          <w:tcPr>
            <w:tcW w:w="1417" w:type="dxa"/>
          </w:tcPr>
          <w:p w14:paraId="0D848EB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0.080</w:t>
            </w:r>
          </w:p>
        </w:tc>
        <w:tc>
          <w:tcPr>
            <w:tcW w:w="1134" w:type="dxa"/>
          </w:tcPr>
          <w:p w14:paraId="0DB88CB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41</w:t>
            </w:r>
          </w:p>
        </w:tc>
      </w:tr>
      <w:tr w14:paraId="28DA8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85EA3BC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比亚迪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61103F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0%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A75896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0.101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18EAF0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39</w:t>
            </w:r>
          </w:p>
        </w:tc>
      </w:tr>
      <w:tr w14:paraId="17BF7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4982234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广汽集团</w:t>
            </w:r>
          </w:p>
        </w:tc>
        <w:tc>
          <w:tcPr>
            <w:tcW w:w="1134" w:type="dxa"/>
          </w:tcPr>
          <w:p w14:paraId="20277B5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0%</w:t>
            </w:r>
          </w:p>
        </w:tc>
        <w:tc>
          <w:tcPr>
            <w:tcW w:w="1417" w:type="dxa"/>
          </w:tcPr>
          <w:p w14:paraId="35CE722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0.113</w:t>
            </w:r>
          </w:p>
        </w:tc>
        <w:tc>
          <w:tcPr>
            <w:tcW w:w="1134" w:type="dxa"/>
          </w:tcPr>
          <w:p w14:paraId="632624D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39</w:t>
            </w:r>
          </w:p>
        </w:tc>
      </w:tr>
      <w:tr w14:paraId="19313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E66642E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长安汽车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55CDA5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0%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ABF457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0.114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1DBCDC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40</w:t>
            </w:r>
          </w:p>
        </w:tc>
      </w:tr>
      <w:tr w14:paraId="5CD2F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E9282F8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江淮汽车</w:t>
            </w:r>
          </w:p>
        </w:tc>
        <w:tc>
          <w:tcPr>
            <w:tcW w:w="1134" w:type="dxa"/>
          </w:tcPr>
          <w:p w14:paraId="7D25986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0%</w:t>
            </w:r>
          </w:p>
        </w:tc>
        <w:tc>
          <w:tcPr>
            <w:tcW w:w="1417" w:type="dxa"/>
          </w:tcPr>
          <w:p w14:paraId="023D88D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0.114</w:t>
            </w:r>
          </w:p>
        </w:tc>
        <w:tc>
          <w:tcPr>
            <w:tcW w:w="1134" w:type="dxa"/>
          </w:tcPr>
          <w:p w14:paraId="7519A95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39</w:t>
            </w:r>
          </w:p>
        </w:tc>
      </w:tr>
      <w:tr w14:paraId="61BE5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27FE31B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长城汽车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F3D4BD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0%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DFCB24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0.118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77BBE2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39</w:t>
            </w:r>
          </w:p>
        </w:tc>
      </w:tr>
      <w:tr w14:paraId="2EF41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9F8C06E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上汽集团</w:t>
            </w:r>
          </w:p>
        </w:tc>
        <w:tc>
          <w:tcPr>
            <w:tcW w:w="1134" w:type="dxa"/>
          </w:tcPr>
          <w:p w14:paraId="327DE0B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0%</w:t>
            </w:r>
          </w:p>
        </w:tc>
        <w:tc>
          <w:tcPr>
            <w:tcW w:w="1417" w:type="dxa"/>
          </w:tcPr>
          <w:p w14:paraId="787AB30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0.140</w:t>
            </w:r>
          </w:p>
        </w:tc>
        <w:tc>
          <w:tcPr>
            <w:tcW w:w="1134" w:type="dxa"/>
          </w:tcPr>
          <w:p w14:paraId="3FF6846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38</w:t>
            </w:r>
          </w:p>
        </w:tc>
      </w:tr>
    </w:tbl>
    <w:p w14:paraId="6D7CF70A">
      <w:pPr>
        <w:spacing w:after="120"/>
        <w:rPr>
          <w:rFonts w:hint="eastAsia" w:ascii="楷体_GB2312" w:hAnsi="楷体_GB2312" w:eastAsia="楷体_GB2312" w:cs="楷体_GB2312"/>
        </w:rPr>
      </w:pPr>
    </w:p>
    <w:p w14:paraId="139C4313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/>
          <w:color w:val="666666"/>
          <w:sz w:val="19"/>
        </w:rPr>
        <w:t>以异常率30%为预警线，北汽蓝谷异常率74%远超线外。赛力斯异常率7%，虽在正常范围但非零，长安汽车异常率0%。这意味着赛力斯运营中存在少量异常波动——与高增长高波动的模式特征一致。</w:t>
      </w:r>
    </w:p>
    <w:p w14:paraId="32E63CD8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五、六种预测方法对比</w:t>
      </w:r>
    </w:p>
    <w:p w14:paraId="70C9B7EB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每家企业仅39-41个有效季度观测，属于小样本场景。在此约束下比较六种方法的拟合与预测表现。</w:t>
      </w:r>
    </w:p>
    <w:p w14:paraId="7A62BAFC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5.1 赛力斯</w:t>
      </w:r>
    </w:p>
    <w:p w14:paraId="5BC37B9D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5399405" cy="2605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B9D4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图6  赛力斯毛利率六方法对比</w:t>
      </w:r>
    </w:p>
    <w:p w14:paraId="5663BFCF">
      <w:pPr>
        <w:rPr>
          <w:rFonts w:hint="eastAsia" w:ascii="楷体_GB2312" w:hAnsi="楷体_GB2312" w:eastAsia="楷体_GB2312" w:cs="楷体_GB2312"/>
        </w:rPr>
      </w:pPr>
    </w:p>
    <w:p w14:paraId="632713B1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5399405" cy="2605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F632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图7  赛力斯资产负债率六方法对比</w:t>
      </w:r>
    </w:p>
    <w:p w14:paraId="51BF3392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5.2 长安汽车</w:t>
      </w:r>
    </w:p>
    <w:p w14:paraId="0158F6E2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5399405" cy="2605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10B2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图8  长安汽车毛利率六方法对比</w:t>
      </w:r>
    </w:p>
    <w:p w14:paraId="0415B66D">
      <w:pPr>
        <w:rPr>
          <w:rFonts w:hint="eastAsia" w:ascii="楷体_GB2312" w:hAnsi="楷体_GB2312" w:eastAsia="楷体_GB2312" w:cs="楷体_GB2312"/>
        </w:rPr>
      </w:pPr>
    </w:p>
    <w:p w14:paraId="3E3BB472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5399405" cy="2605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5D70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图9  长安汽车资产负债率六方法对比</w:t>
      </w:r>
    </w:p>
    <w:p w14:paraId="09755285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5.3 综合排名</w:t>
      </w:r>
    </w:p>
    <w:p w14:paraId="03BE4A83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5399405" cy="17506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5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19DC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图10  六种方法综合性能对比</w:t>
      </w:r>
    </w:p>
    <w:p w14:paraId="6902D621">
      <w:pPr>
        <w:rPr>
          <w:rFonts w:hint="eastAsia" w:ascii="楷体_GB2312" w:hAnsi="楷体_GB2312" w:eastAsia="楷体_GB2312" w:cs="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984"/>
        <w:gridCol w:w="1417"/>
        <w:gridCol w:w="1417"/>
        <w:gridCol w:w="1417"/>
      </w:tblGrid>
      <w:tr w14:paraId="12B2B9FD">
        <w:trPr>
          <w:jc w:val="center"/>
        </w:trPr>
        <w:tc>
          <w:tcPr>
            <w:tcW w:w="850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79C2601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排名</w:t>
            </w:r>
          </w:p>
        </w:tc>
        <w:tc>
          <w:tcPr>
            <w:tcW w:w="198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071C440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方法</w:t>
            </w:r>
          </w:p>
        </w:tc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56F7A1E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平均R²</w:t>
            </w:r>
          </w:p>
        </w:tc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64C80B0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平均MAPE</w:t>
            </w:r>
          </w:p>
        </w:tc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6743705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平均σ</w:t>
            </w:r>
          </w:p>
        </w:tc>
      </w:tr>
      <w:tr w14:paraId="65164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D5E28D1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24E287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线性回归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8278A1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0.096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94D139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236.3%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60D17E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0.056</w:t>
            </w:r>
          </w:p>
        </w:tc>
      </w:tr>
      <w:tr w14:paraId="3FB53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C5EE67B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</w:t>
            </w:r>
          </w:p>
        </w:tc>
        <w:tc>
          <w:tcPr>
            <w:tcW w:w="1984" w:type="dxa"/>
          </w:tcPr>
          <w:p w14:paraId="00FC277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Ridge回归</w:t>
            </w:r>
          </w:p>
        </w:tc>
        <w:tc>
          <w:tcPr>
            <w:tcW w:w="1417" w:type="dxa"/>
          </w:tcPr>
          <w:p w14:paraId="585270B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0.288</w:t>
            </w:r>
          </w:p>
        </w:tc>
        <w:tc>
          <w:tcPr>
            <w:tcW w:w="1417" w:type="dxa"/>
          </w:tcPr>
          <w:p w14:paraId="37C180C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237.8%</w:t>
            </w:r>
          </w:p>
        </w:tc>
        <w:tc>
          <w:tcPr>
            <w:tcW w:w="1417" w:type="dxa"/>
          </w:tcPr>
          <w:p w14:paraId="433436E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0.046</w:t>
            </w:r>
          </w:p>
        </w:tc>
      </w:tr>
      <w:tr w14:paraId="13346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633F89D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E16F5C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ARIMA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A937C6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-2.393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466021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97.5%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F8F5F0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0.081</w:t>
            </w:r>
          </w:p>
        </w:tc>
      </w:tr>
      <w:tr w14:paraId="2E377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70DA947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</w:t>
            </w:r>
          </w:p>
        </w:tc>
        <w:tc>
          <w:tcPr>
            <w:tcW w:w="1984" w:type="dxa"/>
          </w:tcPr>
          <w:p w14:paraId="3B708E0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Prophet</w:t>
            </w:r>
          </w:p>
        </w:tc>
        <w:tc>
          <w:tcPr>
            <w:tcW w:w="1417" w:type="dxa"/>
          </w:tcPr>
          <w:p w14:paraId="74F6253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-0.016</w:t>
            </w:r>
          </w:p>
        </w:tc>
        <w:tc>
          <w:tcPr>
            <w:tcW w:w="1417" w:type="dxa"/>
          </w:tcPr>
          <w:p w14:paraId="5D86CE8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236.5%</w:t>
            </w:r>
          </w:p>
        </w:tc>
        <w:tc>
          <w:tcPr>
            <w:tcW w:w="1417" w:type="dxa"/>
          </w:tcPr>
          <w:p w14:paraId="4326EA9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0.058</w:t>
            </w:r>
          </w:p>
        </w:tc>
      </w:tr>
      <w:tr w14:paraId="208E1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83703BD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5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91EBEA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LSTM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B580DE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-392.46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2DFB8C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1339.9%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D806A5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0.037</w:t>
            </w:r>
          </w:p>
        </w:tc>
      </w:tr>
      <w:tr w14:paraId="3E899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BF02FA7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6</w:t>
            </w:r>
          </w:p>
        </w:tc>
        <w:tc>
          <w:tcPr>
            <w:tcW w:w="1984" w:type="dxa"/>
          </w:tcPr>
          <w:p w14:paraId="1BFADBE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三次指数平滑</w:t>
            </w:r>
          </w:p>
        </w:tc>
        <w:tc>
          <w:tcPr>
            <w:tcW w:w="1417" w:type="dxa"/>
          </w:tcPr>
          <w:p w14:paraId="4B1E797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-338.12</w:t>
            </w:r>
          </w:p>
        </w:tc>
        <w:tc>
          <w:tcPr>
            <w:tcW w:w="1417" w:type="dxa"/>
          </w:tcPr>
          <w:p w14:paraId="5B184DD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2631.9%</w:t>
            </w:r>
          </w:p>
        </w:tc>
        <w:tc>
          <w:tcPr>
            <w:tcW w:w="1417" w:type="dxa"/>
          </w:tcPr>
          <w:p w14:paraId="38D4936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0.696</w:t>
            </w:r>
          </w:p>
        </w:tc>
      </w:tr>
    </w:tbl>
    <w:p w14:paraId="6DD0D1A4">
      <w:pPr>
        <w:spacing w:after="120"/>
        <w:rPr>
          <w:rFonts w:hint="eastAsia" w:ascii="楷体_GB2312" w:hAnsi="楷体_GB2312" w:eastAsia="楷体_GB2312" w:cs="楷体_GB2312"/>
        </w:rPr>
      </w:pPr>
    </w:p>
    <w:p w14:paraId="06D703B9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综合分=R²排名百分位×0.4+(1-MAPE排名百分位)×0.4+(1-σ排名百分位)×0.2。</w:t>
      </w:r>
    </w:p>
    <w:p w14:paraId="1A1FA672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线性回归因MAPE相对稳定而排名第一；Ridge回归的拟合R²（0.288）明显高于线性回归（0.096），是更优的拟合选择。LSTM和三次指数平滑的R²为负值，说明39个观测不足以训练神经网络或估计复杂的季节性参数。</w:t>
      </w:r>
    </w:p>
    <w:p w14:paraId="7846E8D0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/>
          <w:color w:val="666666"/>
          <w:sz w:val="19"/>
        </w:rPr>
        <w:t>这意味着：在小样本财务预测中，正则化的线性方法（Ridge回归）比深度学习（LSTM）和复杂时序模型（三次指数平滑）更可靠。选择预测方法时应优先考虑样本量约束。</w:t>
      </w:r>
    </w:p>
    <w:p w14:paraId="6B4BBB33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5.4 回测验证</w:t>
      </w:r>
    </w:p>
    <w:p w14:paraId="5DC9CB0F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以2026年第一季度实际数据对预测值进行MAPE评估：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1134"/>
        <w:gridCol w:w="1134"/>
        <w:gridCol w:w="1134"/>
        <w:gridCol w:w="1417"/>
      </w:tblGrid>
      <w:tr w14:paraId="312E2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51A339E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企业</w:t>
            </w:r>
          </w:p>
        </w:tc>
        <w:tc>
          <w:tcPr>
            <w:tcW w:w="124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68F8F7B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指标</w:t>
            </w:r>
          </w:p>
        </w:tc>
        <w:tc>
          <w:tcPr>
            <w:tcW w:w="113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4E60B88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实际值</w:t>
            </w:r>
          </w:p>
        </w:tc>
        <w:tc>
          <w:tcPr>
            <w:tcW w:w="113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223A724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预测值</w:t>
            </w:r>
          </w:p>
        </w:tc>
        <w:tc>
          <w:tcPr>
            <w:tcW w:w="113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3D3547A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MAPE</w:t>
            </w:r>
          </w:p>
        </w:tc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52D4DFD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评估</w:t>
            </w:r>
          </w:p>
        </w:tc>
      </w:tr>
      <w:tr w14:paraId="3E90C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278FABE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赛力斯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7DC300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毛利率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21F8C6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-0.0046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C21F41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-0.1047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494CBE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2176.3%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2A64B3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偏差大</w:t>
            </w:r>
          </w:p>
        </w:tc>
      </w:tr>
      <w:tr w14:paraId="2B3AE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0928EDD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赛力斯</w:t>
            </w:r>
          </w:p>
        </w:tc>
        <w:tc>
          <w:tcPr>
            <w:tcW w:w="1247" w:type="dxa"/>
          </w:tcPr>
          <w:p w14:paraId="43E6292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资产负债率</w:t>
            </w:r>
          </w:p>
        </w:tc>
        <w:tc>
          <w:tcPr>
            <w:tcW w:w="1134" w:type="dxa"/>
          </w:tcPr>
          <w:p w14:paraId="27E59D7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0.6592</w:t>
            </w:r>
          </w:p>
        </w:tc>
        <w:tc>
          <w:tcPr>
            <w:tcW w:w="1134" w:type="dxa"/>
          </w:tcPr>
          <w:p w14:paraId="0A8EA4D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0.7860</w:t>
            </w:r>
          </w:p>
        </w:tc>
        <w:tc>
          <w:tcPr>
            <w:tcW w:w="1134" w:type="dxa"/>
          </w:tcPr>
          <w:p w14:paraId="1B2A414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19.2%</w:t>
            </w:r>
          </w:p>
        </w:tc>
        <w:tc>
          <w:tcPr>
            <w:tcW w:w="1417" w:type="dxa"/>
          </w:tcPr>
          <w:p w14:paraId="79DE79A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可接受</w:t>
            </w:r>
          </w:p>
        </w:tc>
      </w:tr>
      <w:tr w14:paraId="7FFE3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A07F896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长安汽车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FC3A28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毛利率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CAA691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-0.0006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456FAB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0.0248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350324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4480.2%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C80450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偏差大</w:t>
            </w:r>
          </w:p>
        </w:tc>
      </w:tr>
      <w:tr w14:paraId="5F0BC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5BFE686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长安汽车</w:t>
            </w:r>
          </w:p>
        </w:tc>
        <w:tc>
          <w:tcPr>
            <w:tcW w:w="1247" w:type="dxa"/>
          </w:tcPr>
          <w:p w14:paraId="4774AF5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资产负债率</w:t>
            </w:r>
          </w:p>
        </w:tc>
        <w:tc>
          <w:tcPr>
            <w:tcW w:w="1134" w:type="dxa"/>
          </w:tcPr>
          <w:p w14:paraId="5086E22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0.5715</w:t>
            </w:r>
          </w:p>
        </w:tc>
        <w:tc>
          <w:tcPr>
            <w:tcW w:w="1134" w:type="dxa"/>
          </w:tcPr>
          <w:p w14:paraId="65FAD7C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0.5853</w:t>
            </w:r>
          </w:p>
        </w:tc>
        <w:tc>
          <w:tcPr>
            <w:tcW w:w="1134" w:type="dxa"/>
          </w:tcPr>
          <w:p w14:paraId="7C48B7F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2.4%</w:t>
            </w:r>
          </w:p>
        </w:tc>
        <w:tc>
          <w:tcPr>
            <w:tcW w:w="1417" w:type="dxa"/>
          </w:tcPr>
          <w:p w14:paraId="6AB1D01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好</w:t>
            </w:r>
          </w:p>
        </w:tc>
      </w:tr>
    </w:tbl>
    <w:p w14:paraId="2BE2DE4B">
      <w:pPr>
        <w:spacing w:after="120"/>
        <w:rPr>
          <w:rFonts w:hint="eastAsia" w:ascii="楷体_GB2312" w:hAnsi="楷体_GB2312" w:eastAsia="楷体_GB2312" w:cs="楷体_GB2312"/>
        </w:rPr>
      </w:pPr>
    </w:p>
    <w:p w14:paraId="287351DB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四组测试的平均MAPE为1669.54%。毛利率偏差大的原因是实际值接近零时相对误差被不合理放大——当实际毛利率为-0.46%时，任何非零预测都会产生极端MAPE。剔除毛利率后，资产负债率的MAPE在2.4%-19.2%之间。</w:t>
      </w:r>
    </w:p>
    <w:p w14:paraId="57F8C18F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六、杜邦分析</w:t>
      </w:r>
    </w:p>
    <w:p w14:paraId="7A1AD5B3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杜邦分解将净资产收益率拆为三个驱动因素：销售净利率（盈利效率）、总资产周转率（资产使用效率）、权益乘数（杠杆水平）。连环替代法量化每个因素的贡献。</w:t>
      </w:r>
    </w:p>
    <w:p w14:paraId="58BFCAF0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6.1 赛力斯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701"/>
        <w:gridCol w:w="1701"/>
        <w:gridCol w:w="1701"/>
      </w:tblGrid>
      <w:tr w14:paraId="57E2C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4DE5574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期间</w:t>
            </w:r>
          </w:p>
        </w:tc>
        <w:tc>
          <w:tcPr>
            <w:tcW w:w="1701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0AB8603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净资产收益率变动</w:t>
            </w:r>
          </w:p>
        </w:tc>
        <w:tc>
          <w:tcPr>
            <w:tcW w:w="1701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2601BC0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净利率贡献</w:t>
            </w:r>
          </w:p>
        </w:tc>
        <w:tc>
          <w:tcPr>
            <w:tcW w:w="1701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001AE57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周转率贡献</w:t>
            </w:r>
          </w:p>
        </w:tc>
        <w:tc>
          <w:tcPr>
            <w:tcW w:w="1701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0244BC9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杠杆贡献</w:t>
            </w:r>
          </w:p>
        </w:tc>
      </w:tr>
      <w:tr w14:paraId="4A882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7EBB21C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2022→2023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EA7E9B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+9.3pp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5BFAF6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+11.1pp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BC5235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+1.2pp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7AF7ED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-3.0pp</w:t>
            </w:r>
          </w:p>
        </w:tc>
      </w:tr>
      <w:tr w14:paraId="66FAD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8E168DF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2023→2024</w:t>
            </w:r>
          </w:p>
        </w:tc>
        <w:tc>
          <w:tcPr>
            <w:tcW w:w="1701" w:type="dxa"/>
          </w:tcPr>
          <w:p w14:paraId="7F08AE6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+75.1pp</w:t>
            </w:r>
          </w:p>
        </w:tc>
        <w:tc>
          <w:tcPr>
            <w:tcW w:w="1701" w:type="dxa"/>
          </w:tcPr>
          <w:p w14:paraId="67CAF93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+46.7pp</w:t>
            </w:r>
          </w:p>
        </w:tc>
        <w:tc>
          <w:tcPr>
            <w:tcW w:w="1701" w:type="dxa"/>
          </w:tcPr>
          <w:p w14:paraId="0DDBF1F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+12.3pp</w:t>
            </w:r>
          </w:p>
        </w:tc>
        <w:tc>
          <w:tcPr>
            <w:tcW w:w="1701" w:type="dxa"/>
          </w:tcPr>
          <w:p w14:paraId="2695960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+16.1pp</w:t>
            </w:r>
          </w:p>
        </w:tc>
      </w:tr>
      <w:tr w14:paraId="62863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AF5BA1D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2024→2025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21FD6D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-23.6pp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05EE40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+5.4pp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E54C0B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-11.2pp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0468B2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-17.8pp</w:t>
            </w:r>
          </w:p>
        </w:tc>
      </w:tr>
    </w:tbl>
    <w:p w14:paraId="01B2D639">
      <w:pPr>
        <w:spacing w:after="120"/>
        <w:rPr>
          <w:rFonts w:hint="eastAsia" w:ascii="楷体_GB2312" w:hAnsi="楷体_GB2312" w:eastAsia="楷体_GB2312" w:cs="楷体_GB2312"/>
        </w:rPr>
      </w:pPr>
    </w:p>
    <w:p w14:paraId="78CDFD96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2022→2023年：亏损收窄期。净利率从-15.3%回升至-11.6%，净资产收益率改善9.3个百分点</w:t>
      </w:r>
    </w:p>
    <w:p w14:paraId="65445E51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2023→2024年：爆发增长期。净利率转正至3.3%（+46.7pp），周转率翻倍0.70→1.54（+12.3pp），权益乘数从4.49急升至7.69（+16.1pp），三个因素叠加推动净资产收益率从-36.4%升至38.7%</w:t>
      </w:r>
    </w:p>
    <w:p w14:paraId="4F790670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2024→2025年：回调期。净资产收益率回落23.6个百分点。去杠杆贡献-17.8pp（权益乘数7.69→3.52），周转率下降贡献-11.2pp（1.54→1.15），净利率改善贡献+5.4pp（3.3%→3.7%）</w:t>
      </w:r>
    </w:p>
    <w:p w14:paraId="2E503E7B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6.2 长安汽车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701"/>
        <w:gridCol w:w="1701"/>
        <w:gridCol w:w="1701"/>
      </w:tblGrid>
      <w:tr w14:paraId="6CEED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2226167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期间</w:t>
            </w:r>
          </w:p>
        </w:tc>
        <w:tc>
          <w:tcPr>
            <w:tcW w:w="1701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0ED5938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净资产收益率变动</w:t>
            </w:r>
          </w:p>
        </w:tc>
        <w:tc>
          <w:tcPr>
            <w:tcW w:w="1701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24635B6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净利率贡献</w:t>
            </w:r>
          </w:p>
        </w:tc>
        <w:tc>
          <w:tcPr>
            <w:tcW w:w="1701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7B57281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周转率贡献</w:t>
            </w:r>
          </w:p>
        </w:tc>
        <w:tc>
          <w:tcPr>
            <w:tcW w:w="1701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5EC5D28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杠杆贡献</w:t>
            </w:r>
          </w:p>
        </w:tc>
      </w:tr>
      <w:tr w14:paraId="0ABC7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AC4D2D3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2022→2023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784BF3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+0.9pp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EEEE23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-0.2pp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C5F4F3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-0.5pp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B05448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+1.6pp</w:t>
            </w:r>
          </w:p>
        </w:tc>
      </w:tr>
      <w:tr w14:paraId="11C24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B83FF07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2023→2024</w:t>
            </w:r>
          </w:p>
        </w:tc>
        <w:tc>
          <w:tcPr>
            <w:tcW w:w="1701" w:type="dxa"/>
          </w:tcPr>
          <w:p w14:paraId="224AA99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-5.3pp</w:t>
            </w:r>
          </w:p>
        </w:tc>
        <w:tc>
          <w:tcPr>
            <w:tcW w:w="1701" w:type="dxa"/>
          </w:tcPr>
          <w:p w14:paraId="4A33386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-5.2pp</w:t>
            </w:r>
          </w:p>
        </w:tc>
        <w:tc>
          <w:tcPr>
            <w:tcW w:w="1701" w:type="dxa"/>
          </w:tcPr>
          <w:p w14:paraId="37F873B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-0.3pp</w:t>
            </w:r>
          </w:p>
        </w:tc>
        <w:tc>
          <w:tcPr>
            <w:tcW w:w="1701" w:type="dxa"/>
          </w:tcPr>
          <w:p w14:paraId="2EE5382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+0.2pp</w:t>
            </w:r>
          </w:p>
        </w:tc>
      </w:tr>
      <w:tr w14:paraId="1EDB0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0252767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2024→2025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519552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-3.9pp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37B7E9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-3.9pp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D3FAA9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+0.2pp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3F752E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-0.1pp</w:t>
            </w:r>
          </w:p>
        </w:tc>
      </w:tr>
    </w:tbl>
    <w:p w14:paraId="754314B0">
      <w:pPr>
        <w:spacing w:after="120"/>
        <w:rPr>
          <w:rFonts w:hint="eastAsia" w:ascii="楷体_GB2312" w:hAnsi="楷体_GB2312" w:eastAsia="楷体_GB2312" w:cs="楷体_GB2312"/>
        </w:rPr>
      </w:pPr>
    </w:p>
    <w:p w14:paraId="23A8213B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长安汽车净资产收益率路径为12.3%→13.2%→8.0%→4.1%，三年间最大年度变动仅5.3个百分点</w:t>
      </w:r>
    </w:p>
    <w:p w14:paraId="77D09F64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净利率持续下滑（6.4%→6.3%→3.8%→1.9%）是净资产收益率下降的唯一主因。周转率和权益乘数基本稳定，表明长安汽车维持了稳健的资本结构和资产运营策略</w:t>
      </w:r>
    </w:p>
    <w:p w14:paraId="6A8E6254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5039995" cy="12617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6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7CC1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图11  杜邦分析净资产收益率因素分解对比</w:t>
      </w:r>
    </w:p>
    <w:p w14:paraId="6778E204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/>
          <w:color w:val="666666"/>
          <w:sz w:val="19"/>
        </w:rPr>
        <w:t>这意味着：长安汽车净资产收益率的下降是一个缓慢、单一因素驱动的过程（行业价格战挤压利润率），可控性较强；赛力斯的净资产收益率变动则是杠杆扩张和收缩的"过山车"，财务波动风险更大。</w:t>
      </w:r>
    </w:p>
    <w:p w14:paraId="0389B9FD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七、现金流量分析</w:t>
      </w:r>
    </w:p>
    <w:p w14:paraId="3AE06BDD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利润表以权责发生制为基础，收入确认不等于现金到账。现金流量表以收付实现制反映真实资金流动，是判断利润质量和经营安全性的重要依据。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587"/>
        <w:gridCol w:w="1701"/>
      </w:tblGrid>
      <w:tr w14:paraId="68ABC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42B4A1A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公司</w:t>
            </w:r>
          </w:p>
        </w:tc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0D3ACFA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经营活动现金净流量(亿)</w:t>
            </w:r>
          </w:p>
        </w:tc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327187F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投资活动现金净流量(亿)</w:t>
            </w:r>
          </w:p>
        </w:tc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4CC8830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筹资活动现金净流量(亿)</w:t>
            </w:r>
          </w:p>
        </w:tc>
        <w:tc>
          <w:tcPr>
            <w:tcW w:w="158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4DD72C9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组合模式</w:t>
            </w:r>
          </w:p>
        </w:tc>
        <w:tc>
          <w:tcPr>
            <w:tcW w:w="1701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7463AF0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阶段判断</w:t>
            </w:r>
          </w:p>
        </w:tc>
      </w:tr>
      <w:tr w14:paraId="5E254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A6B8A70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赛力斯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B3B671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289.1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D25F79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-50.3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0E7841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182.8</w:t>
            </w:r>
          </w:p>
        </w:tc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70759C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经营+/投资-/筹资+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A708BB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成长期</w:t>
            </w:r>
          </w:p>
        </w:tc>
      </w:tr>
      <w:tr w14:paraId="6F72E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C8AB5C7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比亚迪</w:t>
            </w:r>
          </w:p>
        </w:tc>
        <w:tc>
          <w:tcPr>
            <w:tcW w:w="1417" w:type="dxa"/>
          </w:tcPr>
          <w:p w14:paraId="157FCE2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591.4</w:t>
            </w:r>
          </w:p>
        </w:tc>
        <w:tc>
          <w:tcPr>
            <w:tcW w:w="1417" w:type="dxa"/>
          </w:tcPr>
          <w:p w14:paraId="1D30600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-1974.6</w:t>
            </w:r>
          </w:p>
        </w:tc>
        <w:tc>
          <w:tcPr>
            <w:tcW w:w="1417" w:type="dxa"/>
          </w:tcPr>
          <w:p w14:paraId="33CE500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1046.1</w:t>
            </w:r>
          </w:p>
        </w:tc>
        <w:tc>
          <w:tcPr>
            <w:tcW w:w="1587" w:type="dxa"/>
          </w:tcPr>
          <w:p w14:paraId="2A4B73B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经营+/投资-/筹资+</w:t>
            </w:r>
          </w:p>
        </w:tc>
        <w:tc>
          <w:tcPr>
            <w:tcW w:w="1701" w:type="dxa"/>
          </w:tcPr>
          <w:p w14:paraId="51359FD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成长期（激进扩张）</w:t>
            </w:r>
          </w:p>
        </w:tc>
      </w:tr>
      <w:tr w14:paraId="0DFAF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D2E9DDD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长城汽车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853A32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403.6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A13D15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-291.5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1C3645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-134.4</w:t>
            </w:r>
          </w:p>
        </w:tc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6FB652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经营+/投资-/筹资-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7FE723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成熟期</w:t>
            </w:r>
          </w:p>
        </w:tc>
      </w:tr>
      <w:tr w14:paraId="31609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BF3282B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上汽集团</w:t>
            </w:r>
          </w:p>
        </w:tc>
        <w:tc>
          <w:tcPr>
            <w:tcW w:w="1417" w:type="dxa"/>
          </w:tcPr>
          <w:p w14:paraId="2423993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343.1</w:t>
            </w:r>
          </w:p>
        </w:tc>
        <w:tc>
          <w:tcPr>
            <w:tcW w:w="1417" w:type="dxa"/>
          </w:tcPr>
          <w:p w14:paraId="2C0D6D7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-275.6</w:t>
            </w:r>
          </w:p>
        </w:tc>
        <w:tc>
          <w:tcPr>
            <w:tcW w:w="1417" w:type="dxa"/>
          </w:tcPr>
          <w:p w14:paraId="0FA1E28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-532.2</w:t>
            </w:r>
          </w:p>
        </w:tc>
        <w:tc>
          <w:tcPr>
            <w:tcW w:w="1587" w:type="dxa"/>
          </w:tcPr>
          <w:p w14:paraId="2D51DD5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经营+/投资-/筹资-</w:t>
            </w:r>
          </w:p>
        </w:tc>
        <w:tc>
          <w:tcPr>
            <w:tcW w:w="1701" w:type="dxa"/>
          </w:tcPr>
          <w:p w14:paraId="13B6479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成熟期（收缩杠杆）</w:t>
            </w:r>
          </w:p>
        </w:tc>
      </w:tr>
      <w:tr w14:paraId="24CE2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E52991D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长安汽车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B31F4E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18.4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01DC7D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-122.2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69BFC8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-1.9</w:t>
            </w:r>
          </w:p>
        </w:tc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E16400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经营+/投资-/筹资-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4E0054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成熟期（造血偏弱）</w:t>
            </w:r>
          </w:p>
        </w:tc>
      </w:tr>
      <w:tr w14:paraId="1D6D0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D034BC0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江淮汽车</w:t>
            </w:r>
          </w:p>
        </w:tc>
        <w:tc>
          <w:tcPr>
            <w:tcW w:w="1417" w:type="dxa"/>
          </w:tcPr>
          <w:p w14:paraId="7395B83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34.0</w:t>
            </w:r>
          </w:p>
        </w:tc>
        <w:tc>
          <w:tcPr>
            <w:tcW w:w="1417" w:type="dxa"/>
          </w:tcPr>
          <w:p w14:paraId="7E765E0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10.6</w:t>
            </w:r>
          </w:p>
        </w:tc>
        <w:tc>
          <w:tcPr>
            <w:tcW w:w="1417" w:type="dxa"/>
          </w:tcPr>
          <w:p w14:paraId="697A3F0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-17.1</w:t>
            </w:r>
          </w:p>
        </w:tc>
        <w:tc>
          <w:tcPr>
            <w:tcW w:w="1587" w:type="dxa"/>
          </w:tcPr>
          <w:p w14:paraId="3EE53AA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经营+/投资+/筹资-</w:t>
            </w:r>
          </w:p>
        </w:tc>
        <w:tc>
          <w:tcPr>
            <w:tcW w:w="1701" w:type="dxa"/>
          </w:tcPr>
          <w:p w14:paraId="13592E9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成熟期</w:t>
            </w:r>
          </w:p>
        </w:tc>
      </w:tr>
      <w:tr w14:paraId="65D48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389CDF4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广汽集团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81643A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-150.3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923C04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-56.4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218CBA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55.1</w:t>
            </w:r>
          </w:p>
        </w:tc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69748F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经营-/投资-/筹资+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CF4B5E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需关注</w:t>
            </w:r>
          </w:p>
        </w:tc>
      </w:tr>
      <w:tr w14:paraId="10543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08B9C5C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北汽蓝谷</w:t>
            </w:r>
          </w:p>
        </w:tc>
        <w:tc>
          <w:tcPr>
            <w:tcW w:w="1417" w:type="dxa"/>
          </w:tcPr>
          <w:p w14:paraId="1632B73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19.3</w:t>
            </w:r>
          </w:p>
        </w:tc>
        <w:tc>
          <w:tcPr>
            <w:tcW w:w="1417" w:type="dxa"/>
          </w:tcPr>
          <w:p w14:paraId="5C61776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-29.7</w:t>
            </w:r>
          </w:p>
        </w:tc>
        <w:tc>
          <w:tcPr>
            <w:tcW w:w="1417" w:type="dxa"/>
          </w:tcPr>
          <w:p w14:paraId="533CE46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-26.1</w:t>
            </w:r>
          </w:p>
        </w:tc>
        <w:tc>
          <w:tcPr>
            <w:tcW w:w="1587" w:type="dxa"/>
          </w:tcPr>
          <w:p w14:paraId="41AFAA4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经营+/投资-/筹资-</w:t>
            </w:r>
          </w:p>
        </w:tc>
        <w:tc>
          <w:tcPr>
            <w:tcW w:w="1701" w:type="dxa"/>
          </w:tcPr>
          <w:p w14:paraId="365CF89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需关注</w:t>
            </w:r>
          </w:p>
        </w:tc>
      </w:tr>
    </w:tbl>
    <w:p w14:paraId="65B20F7D">
      <w:pPr>
        <w:spacing w:after="120"/>
        <w:rPr>
          <w:rFonts w:hint="eastAsia" w:ascii="楷体_GB2312" w:hAnsi="楷体_GB2312" w:eastAsia="楷体_GB2312" w:cs="楷体_GB2312"/>
        </w:rPr>
      </w:pPr>
    </w:p>
    <w:p w14:paraId="06C561B1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根据经营活动现金净流量三组合理论：</w:t>
      </w:r>
    </w:p>
    <w:p w14:paraId="4F714CDC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"经营+/投资-/筹资+"：成长期。经营活动净流入为正但不足以覆盖投资扩张，需外部融资。赛力斯（经营289亿，筹资183亿）和比亚迪（经营591亿，筹资1046亿）属于此模式</w:t>
      </w:r>
    </w:p>
    <w:p w14:paraId="57D249ED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"经营+/投资-/筹资-"：成熟期。经营活动产生的现金可覆盖投资支出和债务偿还。长城汽车是典型——404亿元经营净流入同时覆盖292亿元投资和134亿元偿债，无需外部融资</w:t>
      </w:r>
    </w:p>
    <w:p w14:paraId="3BA50FB3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长安汽车经营活动现金净流量仅18.4亿元，虽为正但规模偏小，投资支出122.2亿元需要消耗现金储备或收缩投资节奏</w:t>
      </w:r>
    </w:p>
    <w:p w14:paraId="37F7382F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广汽集团经营活动现金净流量-150.3亿元，是唯一经营活动净流出为负的企业。经营业务本身在消耗现金，投资-56.4亿元持续支出，依赖筹资55.1亿元维持运营</w:t>
      </w:r>
    </w:p>
    <w:p w14:paraId="56C431E8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/>
          <w:color w:val="666666"/>
          <w:sz w:val="19"/>
        </w:rPr>
        <w:t>这意味着：现金流组合比利润指标更能揭示企业经营模式的本质差异。赛力斯的高净资产收益率伴随后续融资需求，长城汽车的高净资产收益率伴随自给自足的现金流——两者的增长质量有根本区别。</w:t>
      </w:r>
    </w:p>
    <w:p w14:paraId="52E427FD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八、Z-score与沃尔评分</w:t>
      </w:r>
    </w:p>
    <w:p w14:paraId="3A3AF395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8.1 Altman Z-score</w:t>
      </w:r>
    </w:p>
    <w:p w14:paraId="2C6D09F4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采用Altman(1968)制造业Z-score公式。传统判定阈值：Z&lt;1.81为危险区，1.81≤Z≤2.99为灰色区，Z&gt;2.99为安全区。注意该模型基于美国制造业数据构建，对新能源汽车企业的适用性有限。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1417"/>
        <w:gridCol w:w="1134"/>
      </w:tblGrid>
      <w:tr w14:paraId="03AFC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5BF9BFA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公司</w:t>
            </w:r>
          </w:p>
        </w:tc>
        <w:tc>
          <w:tcPr>
            <w:tcW w:w="113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710EAE0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Z-score</w:t>
            </w:r>
          </w:p>
        </w:tc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2A6A7A1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传统判定</w:t>
            </w:r>
          </w:p>
        </w:tc>
        <w:tc>
          <w:tcPr>
            <w:tcW w:w="113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2A1DBBF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排名</w:t>
            </w:r>
          </w:p>
        </w:tc>
      </w:tr>
      <w:tr w14:paraId="7231B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5880326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长城汽车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FC1FA4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2.08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E9A71F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灰色区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4DEB86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</w:t>
            </w:r>
          </w:p>
        </w:tc>
      </w:tr>
      <w:tr w14:paraId="4A415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B6E23D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长安汽车</w:t>
            </w:r>
          </w:p>
        </w:tc>
        <w:tc>
          <w:tcPr>
            <w:tcW w:w="1134" w:type="dxa"/>
          </w:tcPr>
          <w:p w14:paraId="090E708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1.82</w:t>
            </w:r>
          </w:p>
        </w:tc>
        <w:tc>
          <w:tcPr>
            <w:tcW w:w="1417" w:type="dxa"/>
          </w:tcPr>
          <w:p w14:paraId="1A51906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灰色区</w:t>
            </w:r>
          </w:p>
        </w:tc>
        <w:tc>
          <w:tcPr>
            <w:tcW w:w="1134" w:type="dxa"/>
          </w:tcPr>
          <w:p w14:paraId="7872AD7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</w:t>
            </w:r>
          </w:p>
        </w:tc>
      </w:tr>
      <w:tr w14:paraId="08481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45738E3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赛力斯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458EAA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1.63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FE86E9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危险区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53C613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</w:t>
            </w:r>
          </w:p>
        </w:tc>
      </w:tr>
      <w:tr w14:paraId="2AB5D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D54AA2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上汽集团</w:t>
            </w:r>
          </w:p>
        </w:tc>
        <w:tc>
          <w:tcPr>
            <w:tcW w:w="1134" w:type="dxa"/>
          </w:tcPr>
          <w:p w14:paraId="0DD9C0F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1.57</w:t>
            </w:r>
          </w:p>
        </w:tc>
        <w:tc>
          <w:tcPr>
            <w:tcW w:w="1417" w:type="dxa"/>
          </w:tcPr>
          <w:p w14:paraId="0DD1AE5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危险区</w:t>
            </w:r>
          </w:p>
        </w:tc>
        <w:tc>
          <w:tcPr>
            <w:tcW w:w="1134" w:type="dxa"/>
          </w:tcPr>
          <w:p w14:paraId="24F1E6F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</w:t>
            </w:r>
          </w:p>
        </w:tc>
      </w:tr>
      <w:tr w14:paraId="6089C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548CECD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比亚迪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6B3D0C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1.38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2BD359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危险区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2178F6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5</w:t>
            </w:r>
          </w:p>
        </w:tc>
      </w:tr>
      <w:tr w14:paraId="2CD7A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E765070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广汽集团</w:t>
            </w:r>
          </w:p>
        </w:tc>
        <w:tc>
          <w:tcPr>
            <w:tcW w:w="1134" w:type="dxa"/>
          </w:tcPr>
          <w:p w14:paraId="76D3EDE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1.32</w:t>
            </w:r>
          </w:p>
        </w:tc>
        <w:tc>
          <w:tcPr>
            <w:tcW w:w="1417" w:type="dxa"/>
          </w:tcPr>
          <w:p w14:paraId="3587FD0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危险区</w:t>
            </w:r>
          </w:p>
        </w:tc>
        <w:tc>
          <w:tcPr>
            <w:tcW w:w="1134" w:type="dxa"/>
          </w:tcPr>
          <w:p w14:paraId="3672609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6</w:t>
            </w:r>
          </w:p>
        </w:tc>
      </w:tr>
      <w:tr w14:paraId="62CD2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EE3C699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江淮汽车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4958E7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0.84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F3DABD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危险区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CFCAA4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</w:t>
            </w:r>
          </w:p>
        </w:tc>
      </w:tr>
      <w:tr w14:paraId="4A82F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D73CEC1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北汽蓝谷</w:t>
            </w:r>
          </w:p>
        </w:tc>
        <w:tc>
          <w:tcPr>
            <w:tcW w:w="1134" w:type="dxa"/>
          </w:tcPr>
          <w:p w14:paraId="3AD2BF4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-1.44</w:t>
            </w:r>
          </w:p>
        </w:tc>
        <w:tc>
          <w:tcPr>
            <w:tcW w:w="1417" w:type="dxa"/>
          </w:tcPr>
          <w:p w14:paraId="4C91436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危险区</w:t>
            </w:r>
          </w:p>
        </w:tc>
        <w:tc>
          <w:tcPr>
            <w:tcW w:w="1134" w:type="dxa"/>
          </w:tcPr>
          <w:p w14:paraId="5772BEE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8</w:t>
            </w:r>
          </w:p>
        </w:tc>
      </w:tr>
    </w:tbl>
    <w:p w14:paraId="656911E0">
      <w:pPr>
        <w:spacing w:after="120"/>
        <w:rPr>
          <w:rFonts w:hint="eastAsia" w:ascii="楷体_GB2312" w:hAnsi="楷体_GB2312" w:eastAsia="楷体_GB2312" w:cs="楷体_GB2312"/>
        </w:rPr>
      </w:pPr>
    </w:p>
    <w:p w14:paraId="78517C86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/>
          <w:color w:val="666666"/>
          <w:sz w:val="19"/>
        </w:rPr>
        <w:t>这意味着：仅看Z-score数值，8家企业无一进入安全区。但结合前文的经营活动现金净流量和盈利能力分析可以发现，长城汽车和长安汽车的"危险区"判定更多是行业特征所致（高研发、轻资产），而非实际破产风险。</w:t>
      </w:r>
    </w:p>
    <w:p w14:paraId="0B4A08F4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8.2 沃尔评分</w:t>
      </w:r>
    </w:p>
    <w:p w14:paraId="2167A200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选取5个指标合计100分：毛利率15分、有息负债率25分、流动比率25分、总资产周转率15分、营业收入增长率20分。营业收入增长率采用分档评分减少天花板效应。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247"/>
        <w:gridCol w:w="850"/>
        <w:gridCol w:w="1020"/>
        <w:gridCol w:w="1134"/>
        <w:gridCol w:w="850"/>
        <w:gridCol w:w="850"/>
        <w:gridCol w:w="1020"/>
      </w:tblGrid>
      <w:tr w14:paraId="58FC1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40AC39B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排名</w:t>
            </w:r>
          </w:p>
        </w:tc>
        <w:tc>
          <w:tcPr>
            <w:tcW w:w="124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1DA3067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企业</w:t>
            </w:r>
          </w:p>
        </w:tc>
        <w:tc>
          <w:tcPr>
            <w:tcW w:w="850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38BB008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总分</w:t>
            </w:r>
          </w:p>
        </w:tc>
        <w:tc>
          <w:tcPr>
            <w:tcW w:w="1020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2DA302B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毛利率(15)</w:t>
            </w:r>
          </w:p>
        </w:tc>
        <w:tc>
          <w:tcPr>
            <w:tcW w:w="113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28C4909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有息负债率(25)</w:t>
            </w:r>
          </w:p>
        </w:tc>
        <w:tc>
          <w:tcPr>
            <w:tcW w:w="850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4F2EC43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流动比率(25)</w:t>
            </w:r>
          </w:p>
        </w:tc>
        <w:tc>
          <w:tcPr>
            <w:tcW w:w="850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5D9E2E0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周转率(15)</w:t>
            </w:r>
          </w:p>
        </w:tc>
        <w:tc>
          <w:tcPr>
            <w:tcW w:w="1020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54EC8D0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营收增长(20)</w:t>
            </w:r>
          </w:p>
        </w:tc>
      </w:tr>
      <w:tr w14:paraId="6B4D6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1C23763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C8200E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赛力斯</w:t>
            </w:r>
          </w:p>
        </w:tc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0C39E0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90.4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53ADBC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4.4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FAE719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2.2</w:t>
            </w:r>
          </w:p>
        </w:tc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917588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17.6</w:t>
            </w:r>
          </w:p>
        </w:tc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AB0B94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26.3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4A1ECE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40.0</w:t>
            </w:r>
          </w:p>
        </w:tc>
      </w:tr>
      <w:tr w14:paraId="4CB74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2BD5039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</w:t>
            </w:r>
          </w:p>
        </w:tc>
        <w:tc>
          <w:tcPr>
            <w:tcW w:w="1247" w:type="dxa"/>
          </w:tcPr>
          <w:p w14:paraId="5191007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长城汽车</w:t>
            </w:r>
          </w:p>
        </w:tc>
        <w:tc>
          <w:tcPr>
            <w:tcW w:w="850" w:type="dxa"/>
          </w:tcPr>
          <w:p w14:paraId="6A06FE1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84.9</w:t>
            </w:r>
          </w:p>
        </w:tc>
        <w:tc>
          <w:tcPr>
            <w:tcW w:w="1020" w:type="dxa"/>
          </w:tcPr>
          <w:p w14:paraId="010A697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3.2</w:t>
            </w:r>
          </w:p>
        </w:tc>
        <w:tc>
          <w:tcPr>
            <w:tcW w:w="1134" w:type="dxa"/>
          </w:tcPr>
          <w:p w14:paraId="3FC5142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4.0</w:t>
            </w:r>
          </w:p>
        </w:tc>
        <w:tc>
          <w:tcPr>
            <w:tcW w:w="850" w:type="dxa"/>
          </w:tcPr>
          <w:p w14:paraId="5D3AC7F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18.2</w:t>
            </w:r>
          </w:p>
        </w:tc>
        <w:tc>
          <w:tcPr>
            <w:tcW w:w="850" w:type="dxa"/>
          </w:tcPr>
          <w:p w14:paraId="4EE36B7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19.4</w:t>
            </w:r>
          </w:p>
        </w:tc>
        <w:tc>
          <w:tcPr>
            <w:tcW w:w="1020" w:type="dxa"/>
          </w:tcPr>
          <w:p w14:paraId="68DBAE0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40.0</w:t>
            </w:r>
          </w:p>
        </w:tc>
      </w:tr>
      <w:tr w14:paraId="5CC63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961233D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17CF3B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比亚迪</w:t>
            </w:r>
          </w:p>
        </w:tc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7002CB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82.5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33F040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3.2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387C8C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7.8</w:t>
            </w:r>
          </w:p>
        </w:tc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D3ECD1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13.2</w:t>
            </w:r>
          </w:p>
        </w:tc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91F316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18.3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466D8D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40.0</w:t>
            </w:r>
          </w:p>
        </w:tc>
      </w:tr>
      <w:tr w14:paraId="019B4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C94D930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</w:t>
            </w:r>
          </w:p>
        </w:tc>
        <w:tc>
          <w:tcPr>
            <w:tcW w:w="1247" w:type="dxa"/>
          </w:tcPr>
          <w:p w14:paraId="65F846C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北汽蓝谷</w:t>
            </w:r>
          </w:p>
        </w:tc>
        <w:tc>
          <w:tcPr>
            <w:tcW w:w="850" w:type="dxa"/>
          </w:tcPr>
          <w:p w14:paraId="7F39E9F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78.8</w:t>
            </w:r>
          </w:p>
        </w:tc>
        <w:tc>
          <w:tcPr>
            <w:tcW w:w="1020" w:type="dxa"/>
          </w:tcPr>
          <w:p w14:paraId="7FF6991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</w:t>
            </w:r>
          </w:p>
        </w:tc>
        <w:tc>
          <w:tcPr>
            <w:tcW w:w="1134" w:type="dxa"/>
          </w:tcPr>
          <w:p w14:paraId="7F551F0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12.1</w:t>
            </w:r>
          </w:p>
        </w:tc>
        <w:tc>
          <w:tcPr>
            <w:tcW w:w="850" w:type="dxa"/>
          </w:tcPr>
          <w:p w14:paraId="6BA948C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10.9</w:t>
            </w:r>
          </w:p>
        </w:tc>
        <w:tc>
          <w:tcPr>
            <w:tcW w:w="850" w:type="dxa"/>
          </w:tcPr>
          <w:p w14:paraId="609445B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15.8</w:t>
            </w:r>
          </w:p>
        </w:tc>
        <w:tc>
          <w:tcPr>
            <w:tcW w:w="1020" w:type="dxa"/>
          </w:tcPr>
          <w:p w14:paraId="3026DEC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40.0</w:t>
            </w:r>
          </w:p>
        </w:tc>
      </w:tr>
      <w:tr w14:paraId="17145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720E2D3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5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6A9FFF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长安汽车</w:t>
            </w:r>
          </w:p>
        </w:tc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0058A2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78.4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7B8E6F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1.6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CF81AD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0.7</w:t>
            </w:r>
          </w:p>
        </w:tc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5E31C9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20.2</w:t>
            </w:r>
          </w:p>
        </w:tc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682211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15.9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9F9F6B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40.0</w:t>
            </w:r>
          </w:p>
        </w:tc>
      </w:tr>
      <w:tr w14:paraId="15287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9CC604A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6</w:t>
            </w:r>
          </w:p>
        </w:tc>
        <w:tc>
          <w:tcPr>
            <w:tcW w:w="1247" w:type="dxa"/>
          </w:tcPr>
          <w:p w14:paraId="3641729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上汽集团</w:t>
            </w:r>
          </w:p>
        </w:tc>
        <w:tc>
          <w:tcPr>
            <w:tcW w:w="850" w:type="dxa"/>
          </w:tcPr>
          <w:p w14:paraId="0BF2AF0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78.4</w:t>
            </w:r>
          </w:p>
        </w:tc>
        <w:tc>
          <w:tcPr>
            <w:tcW w:w="1020" w:type="dxa"/>
          </w:tcPr>
          <w:p w14:paraId="2296E2D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</w:t>
            </w:r>
          </w:p>
        </w:tc>
        <w:tc>
          <w:tcPr>
            <w:tcW w:w="1134" w:type="dxa"/>
          </w:tcPr>
          <w:p w14:paraId="250213D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5.8</w:t>
            </w:r>
          </w:p>
        </w:tc>
        <w:tc>
          <w:tcPr>
            <w:tcW w:w="850" w:type="dxa"/>
          </w:tcPr>
          <w:p w14:paraId="3E35694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19.9</w:t>
            </w:r>
          </w:p>
        </w:tc>
        <w:tc>
          <w:tcPr>
            <w:tcW w:w="850" w:type="dxa"/>
          </w:tcPr>
          <w:p w14:paraId="36BA229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12.6</w:t>
            </w:r>
          </w:p>
        </w:tc>
        <w:tc>
          <w:tcPr>
            <w:tcW w:w="1020" w:type="dxa"/>
          </w:tcPr>
          <w:p w14:paraId="7B96D52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40.0</w:t>
            </w:r>
          </w:p>
        </w:tc>
      </w:tr>
      <w:tr w14:paraId="00467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6DECE90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0838F4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江淮汽车</w:t>
            </w:r>
          </w:p>
        </w:tc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0E1040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78.2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DE9063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CA8A81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7.6</w:t>
            </w:r>
          </w:p>
        </w:tc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A3FBBB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13.4</w:t>
            </w:r>
          </w:p>
        </w:tc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9997DA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17.2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FFFB9A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40.0</w:t>
            </w:r>
          </w:p>
        </w:tc>
      </w:tr>
      <w:tr w14:paraId="5CC3C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71FADC4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8</w:t>
            </w:r>
          </w:p>
        </w:tc>
        <w:tc>
          <w:tcPr>
            <w:tcW w:w="1247" w:type="dxa"/>
          </w:tcPr>
          <w:p w14:paraId="470F8BC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广汽集团</w:t>
            </w:r>
          </w:p>
        </w:tc>
        <w:tc>
          <w:tcPr>
            <w:tcW w:w="850" w:type="dxa"/>
          </w:tcPr>
          <w:p w14:paraId="5FDBC68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77.5</w:t>
            </w:r>
          </w:p>
        </w:tc>
        <w:tc>
          <w:tcPr>
            <w:tcW w:w="1020" w:type="dxa"/>
          </w:tcPr>
          <w:p w14:paraId="49EB046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0.0</w:t>
            </w:r>
          </w:p>
        </w:tc>
        <w:tc>
          <w:tcPr>
            <w:tcW w:w="1134" w:type="dxa"/>
          </w:tcPr>
          <w:p w14:paraId="442DA25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11.3</w:t>
            </w:r>
          </w:p>
        </w:tc>
        <w:tc>
          <w:tcPr>
            <w:tcW w:w="850" w:type="dxa"/>
          </w:tcPr>
          <w:p w14:paraId="272F3C3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19.1</w:t>
            </w:r>
          </w:p>
        </w:tc>
        <w:tc>
          <w:tcPr>
            <w:tcW w:w="850" w:type="dxa"/>
          </w:tcPr>
          <w:p w14:paraId="2E0E15B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8.2</w:t>
            </w:r>
          </w:p>
        </w:tc>
        <w:tc>
          <w:tcPr>
            <w:tcW w:w="1020" w:type="dxa"/>
          </w:tcPr>
          <w:p w14:paraId="01E868F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38.9</w:t>
            </w:r>
          </w:p>
        </w:tc>
      </w:tr>
    </w:tbl>
    <w:p w14:paraId="3C61FFC4">
      <w:pPr>
        <w:spacing w:after="120"/>
        <w:rPr>
          <w:rFonts w:hint="eastAsia" w:ascii="楷体_GB2312" w:hAnsi="楷体_GB2312" w:eastAsia="楷体_GB2312" w:cs="楷体_GB2312"/>
        </w:rPr>
      </w:pPr>
    </w:p>
    <w:p w14:paraId="41FD1BF2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赛力斯排名第一主要得益于高营业收入增长率（54.8%，满分）和高总资产周转率（1.402，接近满分）。北汽蓝谷因营收增长率184.6%（满分）排名第四，但其毛利率得分为零。沃尔评分对高增长企业的偏好是其固有特点。</w:t>
      </w:r>
    </w:p>
    <w:p w14:paraId="0ECE3858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九、销量结构与综合风险</w:t>
      </w:r>
    </w:p>
    <w:p w14:paraId="084EB055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5399405" cy="20815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7DD6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图12  赛力斯vs长安销量结构对比</w:t>
      </w:r>
    </w:p>
    <w:p w14:paraId="0853D94B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赛力斯问界系列销量占比从2022年的57.8%上升至2025年的约95%。长安汽车新能源销量占比从2023年的7.8%升至2025年的约26%，深蓝、阿维塔、启源三个品牌分布在不同价格段。</w:t>
      </w:r>
    </w:p>
    <w:p w14:paraId="06B0C7AD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/>
          <w:color w:val="666666"/>
          <w:sz w:val="19"/>
        </w:rPr>
        <w:t>这意味着：赛力斯的品牌集中度风险是其最大的非财务风险。任何涉及华为合作关系的变化、问界品牌形象受损或单一车型质量问题，都可能对企业产生系统性影响。长安汽车的多品牌布局提供了天然的风险分散。</w:t>
      </w:r>
    </w:p>
    <w:p w14:paraId="223C5E34">
      <w:pPr>
        <w:rPr>
          <w:rFonts w:hint="eastAsia" w:ascii="楷体_GB2312" w:hAnsi="楷体_GB2312" w:eastAsia="楷体_GB2312" w:cs="楷体_GB2312"/>
        </w:rPr>
      </w:pPr>
    </w:p>
    <w:p w14:paraId="30EFDA7A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4319905" cy="3552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3148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图13  综合风险雷达图</w:t>
      </w:r>
    </w:p>
    <w:p w14:paraId="0F0E6753">
      <w:pPr>
        <w:rPr>
          <w:rFonts w:hint="eastAsia" w:ascii="楷体_GB2312" w:hAnsi="楷体_GB2312" w:eastAsia="楷体_GB2312" w:cs="楷体_GB2312"/>
        </w:rPr>
      </w:pPr>
    </w:p>
    <w:p w14:paraId="455531AA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drawing>
          <wp:inline distT="0" distB="0" distL="114300" distR="114300">
            <wp:extent cx="5039995" cy="63252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2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EA9B">
      <w:pPr>
        <w:spacing w:after="160"/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i/>
          <w:color w:val="888888"/>
          <w:sz w:val="16"/>
        </w:rPr>
        <w:t>图14  赛力斯vs长安五指标十年趋势</w:t>
      </w:r>
    </w:p>
    <w:p w14:paraId="044D8726">
      <w:pPr>
        <w:spacing w:after="8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20"/>
        </w:rPr>
        <w:t>十年趋势图显示，赛力斯在毛利率和净资产收益率上的波动幅度显著大于长安汽车，2023-2024年急剧拉升后2025年快速回落。长安汽车各项指标变化平缓。两种模式在波动性上的差异贯穿整个观察期。</w:t>
      </w:r>
    </w:p>
    <w:p w14:paraId="633216B5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十、结论与建议</w:t>
      </w:r>
    </w:p>
    <w:p w14:paraId="0DFFF148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10.1 两种模式的财务特征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118"/>
        <w:gridCol w:w="3118"/>
      </w:tblGrid>
      <w:tr w14:paraId="25F24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0C851B2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维度</w:t>
            </w:r>
          </w:p>
        </w:tc>
        <w:tc>
          <w:tcPr>
            <w:tcW w:w="3118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760193F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赛力斯</w:t>
            </w:r>
          </w:p>
        </w:tc>
        <w:tc>
          <w:tcPr>
            <w:tcW w:w="3118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763C42B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长安汽车</w:t>
            </w:r>
          </w:p>
        </w:tc>
      </w:tr>
      <w:tr w14:paraId="2807D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E325FF3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净资产收益率波动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4ABA61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剧烈（-45.7%至38.7%至15.0%）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7D8A7F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温和（12.3%至4.1%）</w:t>
            </w:r>
          </w:p>
        </w:tc>
      </w:tr>
      <w:tr w14:paraId="3464E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5D6589A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净资产收益率下降主因</w:t>
            </w:r>
          </w:p>
        </w:tc>
        <w:tc>
          <w:tcPr>
            <w:tcW w:w="3118" w:type="dxa"/>
          </w:tcPr>
          <w:p w14:paraId="269E6CC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去杠杆（-17.8pp）+周转率下降（-11.2pp）</w:t>
            </w:r>
          </w:p>
        </w:tc>
        <w:tc>
          <w:tcPr>
            <w:tcW w:w="3118" w:type="dxa"/>
          </w:tcPr>
          <w:p w14:paraId="0BA36E9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净利率下滑（-3.9pp）</w:t>
            </w:r>
          </w:p>
        </w:tc>
      </w:tr>
      <w:tr w14:paraId="30C95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6B86E10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经营活动现金净流量模式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CF86229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经营+/投资-/筹资+（成长期）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9EA48D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经营+/投资-/筹资-（成熟期）</w:t>
            </w:r>
          </w:p>
        </w:tc>
      </w:tr>
      <w:tr w14:paraId="2455D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ED8079C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业务集中度</w:t>
            </w:r>
          </w:p>
        </w:tc>
        <w:tc>
          <w:tcPr>
            <w:tcW w:w="3118" w:type="dxa"/>
          </w:tcPr>
          <w:p w14:paraId="567149B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问界~95%，单一品牌</w:t>
            </w:r>
          </w:p>
        </w:tc>
        <w:tc>
          <w:tcPr>
            <w:tcW w:w="3118" w:type="dxa"/>
          </w:tcPr>
          <w:p w14:paraId="73451A2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多品牌，新能源~26%</w:t>
            </w:r>
          </w:p>
        </w:tc>
      </w:tr>
      <w:tr w14:paraId="7EB80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5DEF2FC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Z-score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9B14C8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1.63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A0E2E3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1.82（优于赛力斯）</w:t>
            </w:r>
          </w:p>
        </w:tc>
      </w:tr>
      <w:tr w14:paraId="080CA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F341F2C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沃尔评分</w:t>
            </w:r>
          </w:p>
        </w:tc>
        <w:tc>
          <w:tcPr>
            <w:tcW w:w="3118" w:type="dxa"/>
          </w:tcPr>
          <w:p w14:paraId="003D7CD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90.4分（第1名）</w:t>
            </w:r>
          </w:p>
        </w:tc>
        <w:tc>
          <w:tcPr>
            <w:tcW w:w="3118" w:type="dxa"/>
          </w:tcPr>
          <w:p w14:paraId="62AA1D3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78.4分（第5名）</w:t>
            </w:r>
          </w:p>
        </w:tc>
      </w:tr>
      <w:tr w14:paraId="07D52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84C06A6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异常率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6849DA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7%（有少量异常季度）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67D58B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0%</w:t>
            </w:r>
          </w:p>
        </w:tc>
      </w:tr>
      <w:tr w14:paraId="7E7D4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474A96F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最佳预测方法</w:t>
            </w:r>
          </w:p>
        </w:tc>
        <w:tc>
          <w:tcPr>
            <w:tcW w:w="3118" w:type="dxa"/>
          </w:tcPr>
          <w:p w14:paraId="139B5A2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Ridge（资产负债率误差19.2%）</w:t>
            </w:r>
          </w:p>
        </w:tc>
        <w:tc>
          <w:tcPr>
            <w:tcW w:w="3118" w:type="dxa"/>
          </w:tcPr>
          <w:p w14:paraId="4057134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Ridge（资产负债率误差2.4%）</w:t>
            </w:r>
          </w:p>
        </w:tc>
      </w:tr>
    </w:tbl>
    <w:p w14:paraId="62D36119">
      <w:pPr>
        <w:spacing w:after="120"/>
        <w:rPr>
          <w:rFonts w:hint="eastAsia" w:ascii="楷体_GB2312" w:hAnsi="楷体_GB2312" w:eastAsia="楷体_GB2312" w:cs="楷体_GB2312"/>
        </w:rPr>
      </w:pPr>
    </w:p>
    <w:p w14:paraId="5EE99700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10.2 对赛力斯的建议</w:t>
      </w:r>
    </w:p>
    <w:p w14:paraId="558A15B5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降低品牌集中度：问界占比95%意味着任何涉及华为合作策略的变化都可能产生根本性影响。建议通过发展自有品牌或引入第二个合作伙伴，在未来2-3年将集中度降至70%以下</w:t>
      </w:r>
    </w:p>
    <w:p w14:paraId="42C82B30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继续推进去杠杆：权益乘数已从7.69降至3.52，但资产负债率70.91%在行业中仍偏高，股权融资替代债务融资是可选路径</w:t>
      </w:r>
    </w:p>
    <w:p w14:paraId="3777A159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关注资产周转效率：周转率贡献-11.2pp说明2025年资产使用效率下降，需分析是产能利用率下降还是库存积压</w:t>
      </w:r>
    </w:p>
    <w:p w14:paraId="6C76B8BA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保持净利率改善趋势：净利率3.3%→3.7%是唯一正向贡献因素，与产品结构向高价位M9偏移有关</w:t>
      </w:r>
    </w:p>
    <w:p w14:paraId="313CE9E0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10.3 对长安汽车的建议</w:t>
      </w:r>
    </w:p>
    <w:p w14:paraId="05F63B07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加快新能源投放：26%的新能源占比偏低。深蓝品牌在10-20万主流区间有增长潜力，阿维塔需提升品牌认知度</w:t>
      </w:r>
    </w:p>
    <w:p w14:paraId="081F8B91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改善毛利率：1.61%的毛利率意味着每辆车的直接利润空间极小。需要从产品结构和成本控制两端同时改善</w:t>
      </w:r>
    </w:p>
    <w:p w14:paraId="29DAE9CC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增强经营活动现金净流量：18.4亿元的经营活动净流入偏弱，可加强应收账款催收和存货周转管理</w:t>
      </w:r>
    </w:p>
    <w:p w14:paraId="2A6D842D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维持财务稳健优势：Z-score 1.82（第二高）、资产负债率59.61%（低于行业均值）是差异化优势，转型过程中应保持</w:t>
      </w:r>
    </w:p>
    <w:p w14:paraId="219FB598">
      <w:pPr>
        <w:pStyle w:val="5"/>
        <w:spacing w:before="200" w:after="8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2E75B6"/>
          <w:sz w:val="24"/>
        </w:rPr>
        <w:t>10.4 研究不足</w:t>
      </w:r>
    </w:p>
    <w:p w14:paraId="424B2CCB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样本仅8家A股企业，结论的适用范围限于样本内</w:t>
      </w:r>
    </w:p>
    <w:p w14:paraId="582595EB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39个季度观测限制深度学习模型的有效性（LSTM在所有测试中R²为负值）</w:t>
      </w:r>
    </w:p>
    <w:p w14:paraId="330E8B58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毛利率MAPE极高（&gt;100%至数千%），原因在于实际值接近零时相对误差被不合理放大，后续研究可用MAE替代</w:t>
      </w:r>
    </w:p>
    <w:p w14:paraId="0FA7AD72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Altman Z-score基于1968年美国制造业数据构建，对中国新能源车企的适用性有局限</w:t>
      </w:r>
    </w:p>
    <w:p w14:paraId="1EF3BBB3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Prophet因CmdStan运行环境错误未能正常输出，修复后可作为交叉验证方法</w:t>
      </w:r>
    </w:p>
    <w:p w14:paraId="7798C0CF">
      <w:pPr>
        <w:pStyle w:val="16"/>
        <w:spacing w:after="60" w:line="288" w:lineRule="auto"/>
        <w:ind w:left="42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sz w:val="19"/>
        </w:rPr>
        <w:t>财务报告披露通常滞后2-3个月，2025年报数据反映的是历史情况</w:t>
      </w:r>
    </w:p>
    <w:p w14:paraId="4BEE5697">
      <w:pPr>
        <w:rPr>
          <w:rFonts w:hint="eastAsia" w:ascii="楷体_GB2312" w:hAnsi="楷体_GB2312" w:eastAsia="楷体_GB2312" w:cs="楷体_GB2312"/>
        </w:rPr>
      </w:pPr>
    </w:p>
    <w:p w14:paraId="536AE55F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color w:val="1A4789"/>
          <w:sz w:val="28"/>
        </w:rPr>
        <w:t>— 正文结束 —</w:t>
      </w:r>
    </w:p>
    <w:p w14:paraId="614F7D38">
      <w:pPr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br w:type="page"/>
      </w:r>
    </w:p>
    <w:p w14:paraId="4978C21C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附录A  18项财务指标计算公式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984"/>
        <w:gridCol w:w="3969"/>
        <w:gridCol w:w="1417"/>
      </w:tblGrid>
      <w:tr w14:paraId="0364C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238AB73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序号</w:t>
            </w:r>
          </w:p>
        </w:tc>
        <w:tc>
          <w:tcPr>
            <w:tcW w:w="1984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5513CE8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指标名称</w:t>
            </w:r>
          </w:p>
        </w:tc>
        <w:tc>
          <w:tcPr>
            <w:tcW w:w="3969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5D9982E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计算公式</w:t>
            </w:r>
          </w:p>
        </w:tc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321B923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类别</w:t>
            </w:r>
          </w:p>
        </w:tc>
      </w:tr>
      <w:tr w14:paraId="5C3D1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227EE85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5DAACA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毛利率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06C6E2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1−营业成本/营业收入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86AFB8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盈利能力</w:t>
            </w:r>
          </w:p>
        </w:tc>
      </w:tr>
      <w:tr w14:paraId="5D1E2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58F6A16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</w:t>
            </w:r>
          </w:p>
        </w:tc>
        <w:tc>
          <w:tcPr>
            <w:tcW w:w="1984" w:type="dxa"/>
          </w:tcPr>
          <w:p w14:paraId="34750F7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营业利润率</w:t>
            </w:r>
          </w:p>
        </w:tc>
        <w:tc>
          <w:tcPr>
            <w:tcW w:w="3969" w:type="dxa"/>
          </w:tcPr>
          <w:p w14:paraId="12EAB69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营业利润/营业收入</w:t>
            </w:r>
          </w:p>
        </w:tc>
        <w:tc>
          <w:tcPr>
            <w:tcW w:w="1417" w:type="dxa"/>
          </w:tcPr>
          <w:p w14:paraId="5C13D7E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盈利能力</w:t>
            </w:r>
          </w:p>
        </w:tc>
      </w:tr>
      <w:tr w14:paraId="24889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FED0BB7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3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45814F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净利润率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D5504C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净利润/营业收入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E4C349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盈利能力</w:t>
            </w:r>
          </w:p>
        </w:tc>
      </w:tr>
      <w:tr w14:paraId="55F6E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7FAB23F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4</w:t>
            </w:r>
          </w:p>
        </w:tc>
        <w:tc>
          <w:tcPr>
            <w:tcW w:w="1984" w:type="dxa"/>
          </w:tcPr>
          <w:p w14:paraId="4B8FA72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净资产收益率</w:t>
            </w:r>
          </w:p>
        </w:tc>
        <w:tc>
          <w:tcPr>
            <w:tcW w:w="3969" w:type="dxa"/>
          </w:tcPr>
          <w:p w14:paraId="3081EF3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2×归属母公司净利润/(期初权益+期末权益)</w:t>
            </w:r>
          </w:p>
        </w:tc>
        <w:tc>
          <w:tcPr>
            <w:tcW w:w="1417" w:type="dxa"/>
          </w:tcPr>
          <w:p w14:paraId="7740DBB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盈利能力</w:t>
            </w:r>
          </w:p>
        </w:tc>
      </w:tr>
      <w:tr w14:paraId="43A6F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CD0E1E3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5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C86149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存货周转率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C28353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2×营业成本/(期初存货+期末存货)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E7DC40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营运能力</w:t>
            </w:r>
          </w:p>
        </w:tc>
      </w:tr>
      <w:tr w14:paraId="64DC4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AD6C117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6</w:t>
            </w:r>
          </w:p>
        </w:tc>
        <w:tc>
          <w:tcPr>
            <w:tcW w:w="1984" w:type="dxa"/>
          </w:tcPr>
          <w:p w14:paraId="42536B4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总资产周转率</w:t>
            </w:r>
          </w:p>
        </w:tc>
        <w:tc>
          <w:tcPr>
            <w:tcW w:w="3969" w:type="dxa"/>
          </w:tcPr>
          <w:p w14:paraId="46EDD57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2×营业收入/(期初总资产+期末总资产)</w:t>
            </w:r>
          </w:p>
        </w:tc>
        <w:tc>
          <w:tcPr>
            <w:tcW w:w="1417" w:type="dxa"/>
          </w:tcPr>
          <w:p w14:paraId="2FA5116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营运能力</w:t>
            </w:r>
          </w:p>
        </w:tc>
      </w:tr>
      <w:tr w14:paraId="2615F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5444BE3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7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81A737B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应收账款周转率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5E032B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2×营业收入/(期初应收+期末应收)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88271C3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营运能力</w:t>
            </w:r>
          </w:p>
        </w:tc>
      </w:tr>
      <w:tr w14:paraId="73BE4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FBC0B0C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8</w:t>
            </w:r>
          </w:p>
        </w:tc>
        <w:tc>
          <w:tcPr>
            <w:tcW w:w="1984" w:type="dxa"/>
          </w:tcPr>
          <w:p w14:paraId="5F2CCA0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流动比率</w:t>
            </w:r>
          </w:p>
        </w:tc>
        <w:tc>
          <w:tcPr>
            <w:tcW w:w="3969" w:type="dxa"/>
          </w:tcPr>
          <w:p w14:paraId="76B08B6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流动资产/流动负债</w:t>
            </w:r>
          </w:p>
        </w:tc>
        <w:tc>
          <w:tcPr>
            <w:tcW w:w="1417" w:type="dxa"/>
          </w:tcPr>
          <w:p w14:paraId="28BE4CB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偿债能力</w:t>
            </w:r>
          </w:p>
        </w:tc>
      </w:tr>
      <w:tr w14:paraId="2B233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3BF4D5B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9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785C7E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速动比率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53D0B1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(流动资产−存货−预付账款)/流动负债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2823BA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偿债能力</w:t>
            </w:r>
          </w:p>
        </w:tc>
      </w:tr>
      <w:tr w14:paraId="3A0AA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3793319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10</w:t>
            </w:r>
          </w:p>
        </w:tc>
        <w:tc>
          <w:tcPr>
            <w:tcW w:w="1984" w:type="dxa"/>
          </w:tcPr>
          <w:p w14:paraId="48D00D0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利息保障倍数</w:t>
            </w:r>
          </w:p>
        </w:tc>
        <w:tc>
          <w:tcPr>
            <w:tcW w:w="3969" w:type="dxa"/>
          </w:tcPr>
          <w:p w14:paraId="5533019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(营业利润+利息费用)/利息费用</w:t>
            </w:r>
          </w:p>
        </w:tc>
        <w:tc>
          <w:tcPr>
            <w:tcW w:w="1417" w:type="dxa"/>
          </w:tcPr>
          <w:p w14:paraId="4369E9B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偿债能力</w:t>
            </w:r>
          </w:p>
        </w:tc>
      </w:tr>
      <w:tr w14:paraId="23229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F8F65C3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11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E9B155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资产负债率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6CA004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负债合计/资产合计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36595C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偿债能力</w:t>
            </w:r>
          </w:p>
        </w:tc>
      </w:tr>
      <w:tr w14:paraId="72058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7AB13AC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12</w:t>
            </w:r>
          </w:p>
        </w:tc>
        <w:tc>
          <w:tcPr>
            <w:tcW w:w="1984" w:type="dxa"/>
          </w:tcPr>
          <w:p w14:paraId="3919B11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营业收入增长率</w:t>
            </w:r>
          </w:p>
        </w:tc>
        <w:tc>
          <w:tcPr>
            <w:tcW w:w="3969" w:type="dxa"/>
          </w:tcPr>
          <w:p w14:paraId="4054E89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营业收入/上期营业收入−1</w:t>
            </w:r>
          </w:p>
        </w:tc>
        <w:tc>
          <w:tcPr>
            <w:tcW w:w="1417" w:type="dxa"/>
          </w:tcPr>
          <w:p w14:paraId="2B77245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成长能力</w:t>
            </w:r>
          </w:p>
        </w:tc>
      </w:tr>
      <w:tr w14:paraId="58E73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F10A358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13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690FF0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营业利润增长率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A2CFED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营业利润/上期营业利润−1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F9641E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成长能力</w:t>
            </w:r>
          </w:p>
        </w:tc>
      </w:tr>
      <w:tr w14:paraId="03941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00114D8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14</w:t>
            </w:r>
          </w:p>
        </w:tc>
        <w:tc>
          <w:tcPr>
            <w:tcW w:w="1984" w:type="dxa"/>
          </w:tcPr>
          <w:p w14:paraId="5E05B17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净利润增长率</w:t>
            </w:r>
          </w:p>
        </w:tc>
        <w:tc>
          <w:tcPr>
            <w:tcW w:w="3969" w:type="dxa"/>
          </w:tcPr>
          <w:p w14:paraId="6B79ECC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净利润/上期净利润−1</w:t>
            </w:r>
          </w:p>
        </w:tc>
        <w:tc>
          <w:tcPr>
            <w:tcW w:w="1417" w:type="dxa"/>
          </w:tcPr>
          <w:p w14:paraId="4174E54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成长能力</w:t>
            </w:r>
          </w:p>
        </w:tc>
      </w:tr>
      <w:tr w14:paraId="7187E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67991E6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15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FCA0A1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有息负债率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7FF06A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(短期借款+长期借款+应付债券+一年内到期非流动负债)/资产合计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EC5F602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补充指标</w:t>
            </w:r>
          </w:p>
        </w:tc>
      </w:tr>
      <w:tr w14:paraId="1FB87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978AD6A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16</w:t>
            </w:r>
          </w:p>
        </w:tc>
        <w:tc>
          <w:tcPr>
            <w:tcW w:w="1984" w:type="dxa"/>
          </w:tcPr>
          <w:p w14:paraId="12D330A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经营活动现金净流量/营收</w:t>
            </w:r>
          </w:p>
        </w:tc>
        <w:tc>
          <w:tcPr>
            <w:tcW w:w="3969" w:type="dxa"/>
          </w:tcPr>
          <w:p w14:paraId="0BF22E1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经营活动现金净流量/营业收入</w:t>
            </w:r>
          </w:p>
        </w:tc>
        <w:tc>
          <w:tcPr>
            <w:tcW w:w="1417" w:type="dxa"/>
          </w:tcPr>
          <w:p w14:paraId="76FAE88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补充指标</w:t>
            </w:r>
          </w:p>
        </w:tc>
      </w:tr>
      <w:tr w14:paraId="42FB3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3631359A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17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6B8887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权益乘数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49DDED2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资产合计/归属母公司所有者权益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458982C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补充指标</w:t>
            </w:r>
          </w:p>
        </w:tc>
      </w:tr>
      <w:tr w14:paraId="34C18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A8A2620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18</w:t>
            </w:r>
          </w:p>
        </w:tc>
        <w:tc>
          <w:tcPr>
            <w:tcW w:w="1984" w:type="dxa"/>
          </w:tcPr>
          <w:p w14:paraId="11F1106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货币资金占比</w:t>
            </w:r>
          </w:p>
        </w:tc>
        <w:tc>
          <w:tcPr>
            <w:tcW w:w="3969" w:type="dxa"/>
          </w:tcPr>
          <w:p w14:paraId="26551AE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货币资金/资产合计</w:t>
            </w:r>
          </w:p>
        </w:tc>
        <w:tc>
          <w:tcPr>
            <w:tcW w:w="1417" w:type="dxa"/>
          </w:tcPr>
          <w:p w14:paraId="467221D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补充指标</w:t>
            </w:r>
          </w:p>
        </w:tc>
      </w:tr>
    </w:tbl>
    <w:p w14:paraId="35C55773">
      <w:pPr>
        <w:spacing w:after="120"/>
        <w:rPr>
          <w:rFonts w:hint="eastAsia" w:ascii="楷体_GB2312" w:hAnsi="楷体_GB2312" w:eastAsia="楷体_GB2312" w:cs="楷体_GB2312"/>
        </w:rPr>
      </w:pPr>
    </w:p>
    <w:p w14:paraId="1BB90B94">
      <w:pPr>
        <w:rPr>
          <w:rFonts w:hint="eastAsia" w:ascii="楷体_GB2312" w:hAnsi="楷体_GB2312" w:eastAsia="楷体_GB2312" w:cs="楷体_GB2312"/>
        </w:rPr>
      </w:pPr>
    </w:p>
    <w:p w14:paraId="6900B867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附录B  六种预测方法参数设置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16"/>
        <w:gridCol w:w="2596"/>
        <w:gridCol w:w="2835"/>
      </w:tblGrid>
      <w:tr w14:paraId="07865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427783D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方法</w:t>
            </w:r>
          </w:p>
        </w:tc>
        <w:tc>
          <w:tcPr>
            <w:tcW w:w="1417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69D4E82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实现库</w:t>
            </w:r>
          </w:p>
        </w:tc>
        <w:tc>
          <w:tcPr>
            <w:tcW w:w="1701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7C32FC4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超参数</w:t>
            </w:r>
          </w:p>
        </w:tc>
        <w:tc>
          <w:tcPr>
            <w:tcW w:w="2835" w:type="dxa"/>
            <w:tcBorders>
              <w:top w:val="single" w:color="2E75B6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5E8F0"/>
          </w:tcPr>
          <w:p w14:paraId="6FE29EF1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1A4789"/>
                <w:sz w:val="18"/>
              </w:rPr>
              <w:t>说明</w:t>
            </w:r>
          </w:p>
        </w:tc>
      </w:tr>
      <w:tr w14:paraId="40CA7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E289453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Ridge回归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A467B2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sklearn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67CDEFA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degree=2, alpha=1.0, include_seasonality=True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100A040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L2正则化+二次多项式+季度季节性哑变量</w:t>
            </w:r>
          </w:p>
        </w:tc>
      </w:tr>
      <w:tr w14:paraId="5F118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501DB8B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Prophet</w:t>
            </w:r>
          </w:p>
        </w:tc>
        <w:tc>
          <w:tcPr>
            <w:tcW w:w="1417" w:type="dxa"/>
          </w:tcPr>
          <w:p w14:paraId="67D0DAD6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prophet</w:t>
            </w:r>
          </w:p>
        </w:tc>
        <w:tc>
          <w:tcPr>
            <w:tcW w:w="1701" w:type="dxa"/>
          </w:tcPr>
          <w:p w14:paraId="1728FB1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yearly_seasonality=False, changepoint_prior_scale=0.01</w:t>
            </w:r>
          </w:p>
        </w:tc>
        <w:tc>
          <w:tcPr>
            <w:tcW w:w="2835" w:type="dxa"/>
          </w:tcPr>
          <w:p w14:paraId="3A99417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关闭年度季节性（样本不足），降低变点灵敏度。cap/floor约束毛利率[0,1]</w:t>
            </w:r>
          </w:p>
        </w:tc>
      </w:tr>
      <w:tr w14:paraId="02758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C54D050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LSTM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3ECD2A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PyTorch/numpy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69404E9E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window=3, hidden_size=16, epochs=min(200, n×5)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4373F34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小样本下调低epochs防过拟合。无PyTorch时回退到Ridge模拟门控</w:t>
            </w:r>
          </w:p>
        </w:tc>
      </w:tr>
      <w:tr w14:paraId="1BD1B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3C7063F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三次指数平滑</w:t>
            </w:r>
          </w:p>
        </w:tc>
        <w:tc>
          <w:tcPr>
            <w:tcW w:w="1417" w:type="dxa"/>
          </w:tcPr>
          <w:p w14:paraId="5689EA2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statsmodels/numpy</w:t>
            </w:r>
          </w:p>
        </w:tc>
        <w:tc>
          <w:tcPr>
            <w:tcW w:w="1701" w:type="dxa"/>
          </w:tcPr>
          <w:p w14:paraId="051EFF45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trend=add, seasonal=add, seasonal_periods=4</w:t>
            </w:r>
          </w:p>
        </w:tc>
        <w:tc>
          <w:tcPr>
            <w:tcW w:w="2835" w:type="dxa"/>
          </w:tcPr>
          <w:p w14:paraId="03F80E8F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无statsmodels时使用纯NumPy简化实现(α=0.3,β=0.05,γ=0.3)</w:t>
            </w:r>
          </w:p>
        </w:tc>
      </w:tr>
      <w:tr w14:paraId="20073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028FFCDF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ARIMA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7170D9E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statsmodels/numpy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5C231EE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order=(2,1,2), fallback=(1,1,0)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9FA"/>
          </w:tcPr>
          <w:p w14:paraId="2783D770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先尝试ARIMA(2,1,2)，失败则降为ARIMA(1,1,0)。无statsmodels时使用简化AR(1)回退</w:t>
            </w:r>
          </w:p>
        </w:tc>
      </w:tr>
      <w:tr w14:paraId="18384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81617E">
            <w:pPr>
              <w:jc w:val="left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线性回归</w:t>
            </w:r>
          </w:p>
        </w:tc>
        <w:tc>
          <w:tcPr>
            <w:tcW w:w="1417" w:type="dxa"/>
          </w:tcPr>
          <w:p w14:paraId="1901D8E7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sklearn.linear_model</w:t>
            </w:r>
          </w:p>
        </w:tc>
        <w:tc>
          <w:tcPr>
            <w:tcW w:w="1701" w:type="dxa"/>
          </w:tcPr>
          <w:p w14:paraId="0AAFBCFD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默认参数</w:t>
            </w:r>
          </w:p>
        </w:tc>
        <w:tc>
          <w:tcPr>
            <w:tcW w:w="2835" w:type="dxa"/>
          </w:tcPr>
          <w:p w14:paraId="31F399C8">
            <w:pPr>
              <w:jc w:val="center"/>
              <w:rPr>
                <w:rFonts w:hint="eastAsia" w:ascii="楷体_GB2312" w:hAnsi="楷体_GB2312" w:eastAsia="楷体_GB2312" w:cs="楷体_GB2312"/>
              </w:rPr>
            </w:pPr>
            <w:r>
              <w:rPr>
                <w:rFonts w:hint="eastAsia" w:ascii="楷体_GB2312" w:hAnsi="楷体_GB2312" w:eastAsia="楷体_GB2312" w:cs="楷体_GB2312"/>
                <w:color w:val="333333"/>
                <w:sz w:val="17"/>
              </w:rPr>
              <w:t>无正则化、无季节性的简单线性回归，作为基线方法</w:t>
            </w:r>
          </w:p>
        </w:tc>
      </w:tr>
    </w:tbl>
    <w:p w14:paraId="7E77302C">
      <w:pPr>
        <w:spacing w:after="120"/>
        <w:rPr>
          <w:rFonts w:hint="eastAsia" w:ascii="楷体_GB2312" w:hAnsi="楷体_GB2312" w:eastAsia="楷体_GB2312" w:cs="楷体_GB2312"/>
        </w:rPr>
      </w:pPr>
    </w:p>
    <w:p w14:paraId="31194934">
      <w:pPr>
        <w:rPr>
          <w:rFonts w:hint="eastAsia" w:ascii="楷体_GB2312" w:hAnsi="楷体_GB2312" w:eastAsia="楷体_GB2312" w:cs="楷体_GB2312"/>
        </w:rPr>
      </w:pPr>
    </w:p>
    <w:p w14:paraId="70ECD9FA">
      <w:pPr>
        <w:pStyle w:val="3"/>
        <w:spacing w:before="360" w:after="160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color w:val="1A4789"/>
          <w:sz w:val="36"/>
        </w:rPr>
        <w:t>参考文献</w:t>
      </w:r>
    </w:p>
    <w:p w14:paraId="211BE0AF">
      <w:pPr>
        <w:spacing w:after="4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18"/>
        </w:rPr>
        <w:t>[1] 郭苏敬, 崔杰, 马会娟, 等. 财务报告分析（微课版）[M]. 北京: 清华大学出版社, 2022.</w:t>
      </w:r>
    </w:p>
    <w:p w14:paraId="420559E4">
      <w:pPr>
        <w:spacing w:after="4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18"/>
        </w:rPr>
        <w:t>[2] Altman E I. Financial ratios, discriminant analysis and the prediction of corporate bankruptcy[J]. The Journal of Finance, 1968, 23(4): 589-609.</w:t>
      </w:r>
    </w:p>
    <w:p w14:paraId="11214C94">
      <w:pPr>
        <w:spacing w:after="4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18"/>
        </w:rPr>
        <w:t>[3] Taylor S J, Letham B. Forecasting at scale[J]. The American Statistician, 2018, 72(1): 37-45.</w:t>
      </w:r>
    </w:p>
    <w:p w14:paraId="5294E4E9">
      <w:pPr>
        <w:spacing w:after="4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18"/>
        </w:rPr>
        <w:t>[4] Hoerl A E, Kennard R W. Ridge regression: Biased estimation for nonorthogonal problems[J]. Technometrics, 1970, 12(1): 55-67.</w:t>
      </w:r>
    </w:p>
    <w:p w14:paraId="4556ADD6">
      <w:pPr>
        <w:spacing w:after="4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18"/>
        </w:rPr>
        <w:t>[5] Liu F T, Ting K M, Zhou Z H. Isolation forest[C]. 2008 Eighth IEEE International Conference on Data Mining, 2008: 413-422.</w:t>
      </w:r>
    </w:p>
    <w:p w14:paraId="52B10287">
      <w:pPr>
        <w:spacing w:after="4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18"/>
        </w:rPr>
        <w:t>[6] 中国证监会. 上市公司信息披露管理办法[S]. 2021.</w:t>
      </w:r>
    </w:p>
    <w:p w14:paraId="65DE0CCD">
      <w:pPr>
        <w:spacing w:after="4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18"/>
        </w:rPr>
        <w:t>[7] 财政部. 企业会计准则——基本准则[S]. 2014.</w:t>
      </w:r>
    </w:p>
    <w:p w14:paraId="2471326B">
      <w:pPr>
        <w:spacing w:after="40" w:line="312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 w:val="0"/>
          <w:i w:val="0"/>
          <w:sz w:val="18"/>
        </w:rPr>
        <w:t>[8] AkShare. Python financial data interface[EB/OL]. https://github.com/akfamily/akshare.</w:t>
      </w:r>
    </w:p>
    <w:p w14:paraId="5A050171">
      <w:pPr>
        <w:rPr>
          <w:rFonts w:hint="eastAsia" w:ascii="楷体_GB2312" w:hAnsi="楷体_GB2312" w:eastAsia="楷体_GB2312" w:cs="楷体_GB2312"/>
        </w:rPr>
      </w:pPr>
    </w:p>
    <w:p w14:paraId="34D39322">
      <w:pPr>
        <w:jc w:val="center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color w:val="1A4789"/>
          <w:sz w:val="24"/>
        </w:rPr>
        <w:t>— 报告结束 —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545CAE"/>
    <w:rsid w:val="205C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8" w:lineRule="auto"/>
    </w:pPr>
    <w:rPr>
      <w:rFonts w:ascii="微软雅黑" w:hAnsi="微软雅黑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2757</Words>
  <Characters>3531</Characters>
  <Lines>0</Lines>
  <Paragraphs>0</Paragraphs>
  <TotalTime>0</TotalTime>
  <ScaleCrop>false</ScaleCrop>
  <LinksUpToDate>false</LinksUpToDate>
  <CharactersWithSpaces>3564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</cp:lastModifiedBy>
  <dcterms:modified xsi:type="dcterms:W3CDTF">2026-07-30T17:16:47Z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eyJoZGlkIjoiNjRmZGI5ZDg5YTZjM2E4Y2NlNGQ2YWEzNGYzMmJmZjMiLCJ1c2VySWQiOiIxMzQ2MTU5NzM3In0=</vt:lpwstr>
  </property>
  <property fmtid="{D5CDD505-2E9C-101B-9397-08002B2CF9AE}" pid="3" name="KSOProductBuildVer">
    <vt:lpwstr>2052-12.1.0.19770</vt:lpwstr>
  </property>
  <property fmtid="{D5CDD505-2E9C-101B-9397-08002B2CF9AE}" pid="4" name="ICV">
    <vt:lpwstr>236CFD828EC9432BBC9F8EDBECF12393_13</vt:lpwstr>
  </property>
</Properties>
</file>