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303F9">
      <w:pPr>
        <w:outlineLvl w:val="9"/>
        <w:rPr>
          <w:rFonts w:hint="eastAsia" w:ascii="宋体" w:hAnsi="宋体" w:eastAsia="宋体" w:cs="宋体"/>
        </w:rPr>
      </w:pPr>
    </w:p>
    <w:p w14:paraId="4FF2DF10">
      <w:pPr>
        <w:outlineLvl w:val="9"/>
        <w:rPr>
          <w:rFonts w:hint="eastAsia" w:ascii="宋体" w:hAnsi="宋体" w:eastAsia="宋体" w:cs="宋体"/>
        </w:rPr>
      </w:pPr>
    </w:p>
    <w:p w14:paraId="789A0DE7">
      <w:pPr>
        <w:outlineLvl w:val="9"/>
        <w:rPr>
          <w:rFonts w:hint="eastAsia" w:ascii="宋体" w:hAnsi="宋体" w:eastAsia="宋体" w:cs="宋体"/>
        </w:rPr>
      </w:pPr>
    </w:p>
    <w:p w14:paraId="108E48A9">
      <w:pPr>
        <w:outlineLvl w:val="9"/>
        <w:rPr>
          <w:rFonts w:hint="eastAsia" w:ascii="宋体" w:hAnsi="宋体" w:eastAsia="宋体" w:cs="宋体"/>
        </w:rPr>
      </w:pPr>
    </w:p>
    <w:p w14:paraId="12ECA6A2">
      <w:pPr>
        <w:outlineLvl w:val="9"/>
        <w:rPr>
          <w:rFonts w:hint="eastAsia" w:ascii="宋体" w:hAnsi="宋体" w:eastAsia="宋体" w:cs="宋体"/>
        </w:rPr>
      </w:pPr>
    </w:p>
    <w:p w14:paraId="497136D3">
      <w:pPr>
        <w:outlineLvl w:val="9"/>
        <w:rPr>
          <w:rFonts w:hint="eastAsia" w:ascii="宋体" w:hAnsi="宋体" w:eastAsia="宋体" w:cs="宋体"/>
        </w:rPr>
      </w:pPr>
    </w:p>
    <w:p w14:paraId="0F350151">
      <w:pPr>
        <w:jc w:val="center"/>
        <w:outlineLvl w:val="9"/>
        <w:rPr>
          <w:rFonts w:hint="eastAsia" w:ascii="宋体" w:hAnsi="宋体" w:eastAsia="宋体" w:cs="宋体"/>
        </w:rPr>
      </w:pPr>
      <w:bookmarkStart w:id="0" w:name="_Toc15315"/>
      <w:r>
        <w:rPr>
          <w:rFonts w:hint="eastAsia" w:ascii="宋体" w:hAnsi="宋体" w:eastAsia="宋体" w:cs="宋体"/>
          <w:b/>
          <w:sz w:val="44"/>
        </w:rPr>
        <w:t>基于K-Means聚类与Prophet时序预测的</w:t>
      </w:r>
      <w:bookmarkEnd w:id="0"/>
    </w:p>
    <w:p w14:paraId="51E0DA14">
      <w:pPr>
        <w:jc w:val="center"/>
        <w:outlineLvl w:val="9"/>
        <w:rPr>
          <w:rFonts w:hint="eastAsia" w:ascii="宋体" w:hAnsi="宋体" w:eastAsia="宋体" w:cs="宋体"/>
        </w:rPr>
      </w:pPr>
      <w:bookmarkStart w:id="1" w:name="_Toc30193"/>
      <w:r>
        <w:rPr>
          <w:rFonts w:hint="eastAsia" w:ascii="宋体" w:hAnsi="宋体" w:eastAsia="宋体" w:cs="宋体"/>
          <w:b/>
          <w:sz w:val="44"/>
        </w:rPr>
        <w:t>重庆上市车企财务智能预警研究</w:t>
      </w:r>
      <w:bookmarkEnd w:id="1"/>
    </w:p>
    <w:p w14:paraId="5A3B9596">
      <w:pPr>
        <w:jc w:val="center"/>
        <w:outlineLvl w:val="9"/>
        <w:rPr>
          <w:rFonts w:hint="eastAsia" w:ascii="宋体" w:hAnsi="宋体" w:eastAsia="宋体" w:cs="宋体"/>
        </w:rPr>
      </w:pPr>
      <w:bookmarkStart w:id="2" w:name="_Toc9382"/>
      <w:r>
        <w:rPr>
          <w:rFonts w:hint="eastAsia" w:ascii="宋体" w:hAnsi="宋体" w:eastAsia="宋体" w:cs="宋体"/>
          <w:sz w:val="28"/>
        </w:rPr>
        <w:t>——赛力斯外部协同经营模式对标长安自主研发模式</w:t>
      </w:r>
      <w:bookmarkEnd w:id="2"/>
    </w:p>
    <w:p w14:paraId="27DEE8BE">
      <w:pPr>
        <w:rPr>
          <w:rFonts w:hint="eastAsia" w:ascii="宋体" w:hAnsi="宋体" w:eastAsia="宋体" w:cs="宋体"/>
        </w:rPr>
      </w:pPr>
    </w:p>
    <w:p w14:paraId="562602AF">
      <w:pPr>
        <w:rPr>
          <w:rFonts w:hint="eastAsia" w:ascii="宋体" w:hAnsi="宋体" w:eastAsia="宋体" w:cs="宋体"/>
        </w:rPr>
      </w:pPr>
    </w:p>
    <w:tbl>
      <w:tblPr>
        <w:tblStyle w:val="34"/>
        <w:tblW w:w="0" w:type="auto"/>
        <w:jc w:val="center"/>
        <w:tblLayout w:type="autofit"/>
        <w:tblCellMar>
          <w:top w:w="0" w:type="dxa"/>
          <w:left w:w="108" w:type="dxa"/>
          <w:bottom w:w="0" w:type="dxa"/>
          <w:right w:w="108" w:type="dxa"/>
        </w:tblCellMar>
      </w:tblPr>
      <w:tblGrid>
        <w:gridCol w:w="4986"/>
        <w:gridCol w:w="4986"/>
      </w:tblGrid>
      <w:tr w14:paraId="53F9B015">
        <w:tblPrEx>
          <w:tblCellMar>
            <w:top w:w="0" w:type="dxa"/>
            <w:left w:w="108" w:type="dxa"/>
            <w:bottom w:w="0" w:type="dxa"/>
            <w:right w:w="108" w:type="dxa"/>
          </w:tblCellMar>
        </w:tblPrEx>
        <w:trPr>
          <w:jc w:val="center"/>
        </w:trPr>
        <w:tc>
          <w:tcPr>
            <w:tcW w:w="4986" w:type="dxa"/>
          </w:tcPr>
          <w:p w14:paraId="48E42B83">
            <w:pPr>
              <w:jc w:val="right"/>
              <w:rPr>
                <w:rFonts w:hint="eastAsia" w:ascii="宋体" w:hAnsi="宋体" w:eastAsia="宋体" w:cs="宋体"/>
              </w:rPr>
            </w:pPr>
            <w:r>
              <w:rPr>
                <w:rFonts w:hint="eastAsia" w:ascii="宋体" w:hAnsi="宋体" w:eastAsia="宋体" w:cs="宋体"/>
                <w:b/>
                <w:sz w:val="28"/>
              </w:rPr>
              <w:t>参赛组别</w:t>
            </w:r>
          </w:p>
        </w:tc>
        <w:tc>
          <w:tcPr>
            <w:tcW w:w="4986" w:type="dxa"/>
          </w:tcPr>
          <w:p w14:paraId="11CF0E31">
            <w:pPr>
              <w:jc w:val="center"/>
              <w:rPr>
                <w:rFonts w:hint="eastAsia" w:ascii="宋体" w:hAnsi="宋体" w:eastAsia="宋体" w:cs="宋体"/>
              </w:rPr>
            </w:pPr>
            <w:r>
              <w:rPr>
                <w:rFonts w:hint="eastAsia" w:ascii="宋体" w:hAnsi="宋体" w:eastAsia="宋体" w:cs="宋体"/>
                <w:sz w:val="28"/>
              </w:rPr>
              <w:t>财务大数据智能决策应用</w:t>
            </w:r>
          </w:p>
        </w:tc>
      </w:tr>
      <w:tr w14:paraId="087C95D0">
        <w:tblPrEx>
          <w:tblCellMar>
            <w:top w:w="0" w:type="dxa"/>
            <w:left w:w="108" w:type="dxa"/>
            <w:bottom w:w="0" w:type="dxa"/>
            <w:right w:w="108" w:type="dxa"/>
          </w:tblCellMar>
        </w:tblPrEx>
        <w:trPr>
          <w:jc w:val="center"/>
        </w:trPr>
        <w:tc>
          <w:tcPr>
            <w:tcW w:w="4986" w:type="dxa"/>
          </w:tcPr>
          <w:p w14:paraId="0E6B659A">
            <w:pPr>
              <w:jc w:val="right"/>
              <w:rPr>
                <w:rFonts w:hint="eastAsia" w:ascii="宋体" w:hAnsi="宋体" w:eastAsia="宋体" w:cs="宋体"/>
              </w:rPr>
            </w:pPr>
            <w:r>
              <w:rPr>
                <w:rFonts w:hint="eastAsia" w:ascii="宋体" w:hAnsi="宋体" w:eastAsia="宋体" w:cs="宋体"/>
                <w:b/>
                <w:sz w:val="28"/>
              </w:rPr>
              <w:t>团队成员</w:t>
            </w:r>
          </w:p>
        </w:tc>
        <w:tc>
          <w:tcPr>
            <w:tcW w:w="4986" w:type="dxa"/>
          </w:tcPr>
          <w:p w14:paraId="01C45A62">
            <w:pPr>
              <w:jc w:val="center"/>
              <w:rPr>
                <w:rFonts w:hint="eastAsia" w:ascii="宋体" w:hAnsi="宋体" w:eastAsia="宋体" w:cs="宋体"/>
              </w:rPr>
            </w:pPr>
            <w:r>
              <w:rPr>
                <w:rFonts w:hint="eastAsia" w:ascii="宋体" w:hAnsi="宋体" w:eastAsia="宋体" w:cs="宋体"/>
                <w:sz w:val="28"/>
              </w:rPr>
              <w:t>（待填写）</w:t>
            </w:r>
          </w:p>
        </w:tc>
      </w:tr>
      <w:tr w14:paraId="200123FB">
        <w:tblPrEx>
          <w:tblCellMar>
            <w:top w:w="0" w:type="dxa"/>
            <w:left w:w="108" w:type="dxa"/>
            <w:bottom w:w="0" w:type="dxa"/>
            <w:right w:w="108" w:type="dxa"/>
          </w:tblCellMar>
        </w:tblPrEx>
        <w:trPr>
          <w:jc w:val="center"/>
        </w:trPr>
        <w:tc>
          <w:tcPr>
            <w:tcW w:w="4986" w:type="dxa"/>
          </w:tcPr>
          <w:p w14:paraId="2DCB873A">
            <w:pPr>
              <w:jc w:val="right"/>
              <w:rPr>
                <w:rFonts w:hint="eastAsia" w:ascii="宋体" w:hAnsi="宋体" w:eastAsia="宋体" w:cs="宋体"/>
              </w:rPr>
            </w:pPr>
            <w:r>
              <w:rPr>
                <w:rFonts w:hint="eastAsia" w:ascii="宋体" w:hAnsi="宋体" w:eastAsia="宋体" w:cs="宋体"/>
                <w:b/>
                <w:sz w:val="28"/>
              </w:rPr>
              <w:t>指导教师</w:t>
            </w:r>
          </w:p>
        </w:tc>
        <w:tc>
          <w:tcPr>
            <w:tcW w:w="4986" w:type="dxa"/>
          </w:tcPr>
          <w:p w14:paraId="341EE44D">
            <w:pPr>
              <w:jc w:val="center"/>
              <w:rPr>
                <w:rFonts w:hint="eastAsia" w:ascii="宋体" w:hAnsi="宋体" w:eastAsia="宋体" w:cs="宋体"/>
              </w:rPr>
            </w:pPr>
            <w:r>
              <w:rPr>
                <w:rFonts w:hint="eastAsia" w:ascii="宋体" w:hAnsi="宋体" w:eastAsia="宋体" w:cs="宋体"/>
                <w:sz w:val="28"/>
              </w:rPr>
              <w:t>（待填写）</w:t>
            </w:r>
          </w:p>
        </w:tc>
      </w:tr>
      <w:tr w14:paraId="2AAF3F1F">
        <w:tblPrEx>
          <w:tblCellMar>
            <w:top w:w="0" w:type="dxa"/>
            <w:left w:w="108" w:type="dxa"/>
            <w:bottom w:w="0" w:type="dxa"/>
            <w:right w:w="108" w:type="dxa"/>
          </w:tblCellMar>
        </w:tblPrEx>
        <w:trPr>
          <w:jc w:val="center"/>
        </w:trPr>
        <w:tc>
          <w:tcPr>
            <w:tcW w:w="4986" w:type="dxa"/>
          </w:tcPr>
          <w:p w14:paraId="236A055D">
            <w:pPr>
              <w:jc w:val="right"/>
              <w:rPr>
                <w:rFonts w:hint="eastAsia" w:ascii="宋体" w:hAnsi="宋体" w:eastAsia="宋体" w:cs="宋体"/>
              </w:rPr>
            </w:pPr>
            <w:r>
              <w:rPr>
                <w:rFonts w:hint="eastAsia" w:ascii="宋体" w:hAnsi="宋体" w:eastAsia="宋体" w:cs="宋体"/>
                <w:b/>
                <w:sz w:val="28"/>
              </w:rPr>
              <w:t>所属学校</w:t>
            </w:r>
          </w:p>
        </w:tc>
        <w:tc>
          <w:tcPr>
            <w:tcW w:w="4986" w:type="dxa"/>
          </w:tcPr>
          <w:p w14:paraId="598A17C0">
            <w:pPr>
              <w:jc w:val="center"/>
              <w:rPr>
                <w:rFonts w:hint="eastAsia" w:ascii="宋体" w:hAnsi="宋体" w:eastAsia="宋体" w:cs="宋体"/>
              </w:rPr>
            </w:pPr>
            <w:r>
              <w:rPr>
                <w:rFonts w:hint="eastAsia" w:ascii="宋体" w:hAnsi="宋体" w:eastAsia="宋体" w:cs="宋体"/>
                <w:sz w:val="28"/>
              </w:rPr>
              <w:t>重庆师范大学</w:t>
            </w:r>
          </w:p>
        </w:tc>
      </w:tr>
      <w:tr w14:paraId="5294F9D6">
        <w:tblPrEx>
          <w:tblCellMar>
            <w:top w:w="0" w:type="dxa"/>
            <w:left w:w="108" w:type="dxa"/>
            <w:bottom w:w="0" w:type="dxa"/>
            <w:right w:w="108" w:type="dxa"/>
          </w:tblCellMar>
        </w:tblPrEx>
        <w:trPr>
          <w:jc w:val="center"/>
        </w:trPr>
        <w:tc>
          <w:tcPr>
            <w:tcW w:w="4986" w:type="dxa"/>
          </w:tcPr>
          <w:p w14:paraId="3AB6090C">
            <w:pPr>
              <w:jc w:val="right"/>
              <w:rPr>
                <w:rFonts w:hint="eastAsia" w:ascii="宋体" w:hAnsi="宋体" w:eastAsia="宋体" w:cs="宋体"/>
              </w:rPr>
            </w:pPr>
            <w:r>
              <w:rPr>
                <w:rFonts w:hint="eastAsia" w:ascii="宋体" w:hAnsi="宋体" w:eastAsia="宋体" w:cs="宋体"/>
                <w:b/>
                <w:sz w:val="28"/>
              </w:rPr>
              <w:t>完成日期</w:t>
            </w:r>
          </w:p>
        </w:tc>
        <w:tc>
          <w:tcPr>
            <w:tcW w:w="4986" w:type="dxa"/>
          </w:tcPr>
          <w:p w14:paraId="056E79B0">
            <w:pPr>
              <w:jc w:val="center"/>
              <w:rPr>
                <w:rFonts w:hint="eastAsia" w:ascii="宋体" w:hAnsi="宋体" w:eastAsia="宋体" w:cs="宋体"/>
              </w:rPr>
            </w:pPr>
            <w:r>
              <w:rPr>
                <w:rFonts w:hint="eastAsia" w:ascii="宋体" w:hAnsi="宋体" w:eastAsia="宋体" w:cs="宋体"/>
                <w:sz w:val="28"/>
              </w:rPr>
              <w:t>2026年7月</w:t>
            </w:r>
          </w:p>
        </w:tc>
      </w:tr>
      <w:tr w14:paraId="3E5BB356">
        <w:tblPrEx>
          <w:tblCellMar>
            <w:top w:w="0" w:type="dxa"/>
            <w:left w:w="108" w:type="dxa"/>
            <w:bottom w:w="0" w:type="dxa"/>
            <w:right w:w="108" w:type="dxa"/>
          </w:tblCellMar>
        </w:tblPrEx>
        <w:trPr>
          <w:jc w:val="center"/>
        </w:trPr>
        <w:tc>
          <w:tcPr>
            <w:tcW w:w="4986" w:type="dxa"/>
          </w:tcPr>
          <w:p w14:paraId="63E3F8A7">
            <w:pPr>
              <w:jc w:val="right"/>
              <w:rPr>
                <w:rFonts w:hint="eastAsia" w:ascii="宋体" w:hAnsi="宋体" w:eastAsia="宋体" w:cs="宋体"/>
              </w:rPr>
            </w:pPr>
            <w:r>
              <w:rPr>
                <w:rFonts w:hint="eastAsia" w:ascii="宋体" w:hAnsi="宋体" w:eastAsia="宋体" w:cs="宋体"/>
                <w:b/>
                <w:sz w:val="28"/>
              </w:rPr>
              <w:t>联系方式</w:t>
            </w:r>
          </w:p>
        </w:tc>
        <w:tc>
          <w:tcPr>
            <w:tcW w:w="4986" w:type="dxa"/>
          </w:tcPr>
          <w:p w14:paraId="2B9E7558">
            <w:pPr>
              <w:jc w:val="center"/>
              <w:rPr>
                <w:rFonts w:hint="eastAsia" w:ascii="宋体" w:hAnsi="宋体" w:eastAsia="宋体" w:cs="宋体"/>
              </w:rPr>
            </w:pPr>
            <w:r>
              <w:rPr>
                <w:rFonts w:hint="eastAsia" w:ascii="宋体" w:hAnsi="宋体" w:eastAsia="宋体" w:cs="宋体"/>
                <w:sz w:val="28"/>
              </w:rPr>
              <w:t>（待填写）</w:t>
            </w:r>
          </w:p>
        </w:tc>
      </w:tr>
    </w:tbl>
    <w:p w14:paraId="15B7D423">
      <w:pPr>
        <w:rPr>
          <w:rFonts w:hint="eastAsia" w:ascii="宋体" w:hAnsi="宋体" w:eastAsia="宋体" w:cs="宋体"/>
        </w:rPr>
      </w:pPr>
      <w:r>
        <w:rPr>
          <w:rFonts w:hint="eastAsia" w:ascii="宋体" w:hAnsi="宋体" w:eastAsia="宋体" w:cs="宋体"/>
        </w:rPr>
        <w:br w:type="page"/>
      </w:r>
    </w:p>
    <w:sdt>
      <w:sdtPr>
        <w:rPr>
          <w:rFonts w:ascii="宋体" w:hAnsi="宋体" w:eastAsia="宋体" w:cstheme="minorBidi"/>
          <w:sz w:val="21"/>
          <w:szCs w:val="22"/>
          <w:lang w:val="en-US" w:eastAsia="en-US" w:bidi="ar-SA"/>
        </w:rPr>
        <w:id w:val="147458759"/>
        <w15:color w:val="DBDBDB"/>
        <w:docPartObj>
          <w:docPartGallery w:val="Table of Contents"/>
          <w:docPartUnique/>
        </w:docPartObj>
      </w:sdtPr>
      <w:sdtEndPr>
        <w:rPr>
          <w:rFonts w:hint="eastAsia" w:ascii="宋体" w:hAnsi="宋体" w:eastAsia="宋体" w:cs="宋体"/>
          <w:b/>
          <w:sz w:val="22"/>
          <w:szCs w:val="22"/>
          <w:lang w:val="en-US" w:eastAsia="en-US" w:bidi="ar-SA"/>
        </w:rPr>
      </w:sdtEndPr>
      <w:sdtContent>
        <w:p w14:paraId="71DC77D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FD51A77">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 w:val="22"/>
              <w:szCs w:val="22"/>
              <w:lang w:val="en-US" w:eastAsia="en-US" w:bidi="ar-SA"/>
            </w:rPr>
            <w:fldChar w:fldCharType="begin"/>
          </w:r>
          <w:r>
            <w:rPr>
              <w:rFonts w:hint="eastAsia" w:ascii="宋体" w:hAnsi="宋体" w:eastAsia="宋体" w:cs="宋体"/>
              <w:sz w:val="22"/>
              <w:szCs w:val="22"/>
              <w:lang w:val="en-US" w:eastAsia="en-US" w:bidi="ar-SA"/>
            </w:rPr>
            <w:instrText xml:space="preserve">TOC \o "1-2" \h \u </w:instrText>
          </w:r>
          <w:r>
            <w:rPr>
              <w:rFonts w:hint="eastAsia" w:ascii="宋体" w:hAnsi="宋体" w:eastAsia="宋体" w:cs="宋体"/>
              <w:sz w:val="22"/>
              <w:szCs w:val="22"/>
              <w:lang w:val="en-US" w:eastAsia="en-US" w:bidi="ar-SA"/>
            </w:rPr>
            <w:fldChar w:fldCharType="separate"/>
          </w: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_Toc7909 </w:instrText>
          </w:r>
          <w:r>
            <w:rPr>
              <w:rFonts w:hint="eastAsia" w:ascii="宋体" w:hAnsi="宋体" w:eastAsia="宋体" w:cs="宋体"/>
              <w:szCs w:val="22"/>
              <w:lang w:val="en-US" w:eastAsia="en-US" w:bidi="ar-SA"/>
            </w:rPr>
            <w:fldChar w:fldCharType="separate"/>
          </w:r>
          <w:r>
            <w:rPr>
              <w:rFonts w:hint="eastAsia" w:ascii="宋体" w:hAnsi="宋体" w:eastAsia="宋体" w:cs="宋体"/>
            </w:rPr>
            <w:t>一、研究背景与问题</w:t>
          </w:r>
          <w:r>
            <w:tab/>
          </w:r>
          <w:r>
            <w:fldChar w:fldCharType="begin"/>
          </w:r>
          <w:r>
            <w:instrText xml:space="preserve"> PAGEREF _Toc7909 \h </w:instrText>
          </w:r>
          <w:r>
            <w:fldChar w:fldCharType="separate"/>
          </w:r>
          <w:r>
            <w:t>4</w:t>
          </w:r>
          <w:r>
            <w:fldChar w:fldCharType="end"/>
          </w:r>
          <w:r>
            <w:rPr>
              <w:rFonts w:hint="eastAsia" w:ascii="宋体" w:hAnsi="宋体" w:eastAsia="宋体" w:cs="宋体"/>
              <w:szCs w:val="22"/>
              <w:lang w:val="en-US" w:eastAsia="en-US" w:bidi="ar-SA"/>
            </w:rPr>
            <w:fldChar w:fldCharType="end"/>
          </w:r>
        </w:p>
        <w:p w14:paraId="6DA24A20">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_Toc2888 </w:instrText>
          </w:r>
          <w:r>
            <w:rPr>
              <w:rFonts w:hint="eastAsia" w:ascii="宋体" w:hAnsi="宋体" w:eastAsia="宋体" w:cs="宋体"/>
              <w:szCs w:val="22"/>
              <w:lang w:val="en-US" w:eastAsia="en-US" w:bidi="ar-SA"/>
            </w:rPr>
            <w:fldChar w:fldCharType="separate"/>
          </w:r>
          <w:r>
            <w:rPr>
              <w:rFonts w:hint="eastAsia" w:ascii="宋体" w:hAnsi="宋体" w:eastAsia="宋体" w:cs="宋体"/>
            </w:rPr>
            <w:t>（一）行业背景</w:t>
          </w:r>
          <w:r>
            <w:tab/>
          </w:r>
          <w:r>
            <w:fldChar w:fldCharType="begin"/>
          </w:r>
          <w:r>
            <w:instrText xml:space="preserve"> PAGEREF _Toc2888 \h </w:instrText>
          </w:r>
          <w:r>
            <w:fldChar w:fldCharType="separate"/>
          </w:r>
          <w:r>
            <w:t>4</w:t>
          </w:r>
          <w:r>
            <w:fldChar w:fldCharType="end"/>
          </w:r>
          <w:r>
            <w:rPr>
              <w:rFonts w:hint="eastAsia" w:ascii="宋体" w:hAnsi="宋体" w:eastAsia="宋体" w:cs="宋体"/>
              <w:szCs w:val="22"/>
              <w:lang w:val="en-US" w:eastAsia="en-US" w:bidi="ar-SA"/>
            </w:rPr>
            <w:fldChar w:fldCharType="end"/>
          </w:r>
        </w:p>
        <w:p w14:paraId="2497AFEA">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_Toc24823 </w:instrText>
          </w:r>
          <w:r>
            <w:rPr>
              <w:rFonts w:hint="eastAsia" w:ascii="宋体" w:hAnsi="宋体" w:eastAsia="宋体" w:cs="宋体"/>
              <w:szCs w:val="22"/>
              <w:lang w:val="en-US" w:eastAsia="en-US" w:bidi="ar-SA"/>
            </w:rPr>
            <w:fldChar w:fldCharType="separate"/>
          </w:r>
          <w:r>
            <w:rPr>
              <w:rFonts w:hint="eastAsia" w:ascii="宋体" w:hAnsi="宋体" w:eastAsia="宋体" w:cs="宋体"/>
            </w:rPr>
            <w:t>（二）研究问题</w:t>
          </w:r>
          <w:r>
            <w:tab/>
          </w:r>
          <w:r>
            <w:fldChar w:fldCharType="begin"/>
          </w:r>
          <w:r>
            <w:instrText xml:space="preserve"> PAGEREF _Toc24823 \h </w:instrText>
          </w:r>
          <w:r>
            <w:fldChar w:fldCharType="separate"/>
          </w:r>
          <w:r>
            <w:t>4</w:t>
          </w:r>
          <w:r>
            <w:fldChar w:fldCharType="end"/>
          </w:r>
          <w:r>
            <w:rPr>
              <w:rFonts w:hint="eastAsia" w:ascii="宋体" w:hAnsi="宋体" w:eastAsia="宋体" w:cs="宋体"/>
              <w:szCs w:val="22"/>
              <w:lang w:val="en-US" w:eastAsia="en-US" w:bidi="ar-SA"/>
            </w:rPr>
            <w:fldChar w:fldCharType="end"/>
          </w:r>
        </w:p>
        <w:p w14:paraId="6E9A4527">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_Toc19155 </w:instrText>
          </w:r>
          <w:r>
            <w:rPr>
              <w:rFonts w:hint="eastAsia" w:ascii="宋体" w:hAnsi="宋体" w:eastAsia="宋体" w:cs="宋体"/>
              <w:szCs w:val="22"/>
              <w:lang w:val="en-US" w:eastAsia="en-US" w:bidi="ar-SA"/>
            </w:rPr>
            <w:fldChar w:fldCharType="separate"/>
          </w:r>
          <w:r>
            <w:rPr>
              <w:rFonts w:hint="eastAsia" w:ascii="宋体" w:hAnsi="宋体" w:eastAsia="宋体" w:cs="宋体"/>
            </w:rPr>
            <w:t>二、数据来源与分析方法</w:t>
          </w:r>
          <w:r>
            <w:tab/>
          </w:r>
          <w:r>
            <w:fldChar w:fldCharType="begin"/>
          </w:r>
          <w:r>
            <w:instrText xml:space="preserve"> PAGEREF _Toc19155 \h </w:instrText>
          </w:r>
          <w:r>
            <w:fldChar w:fldCharType="separate"/>
          </w:r>
          <w:r>
            <w:t>4</w:t>
          </w:r>
          <w:r>
            <w:fldChar w:fldCharType="end"/>
          </w:r>
          <w:r>
            <w:rPr>
              <w:rFonts w:hint="eastAsia" w:ascii="宋体" w:hAnsi="宋体" w:eastAsia="宋体" w:cs="宋体"/>
              <w:szCs w:val="22"/>
              <w:lang w:val="en-US" w:eastAsia="en-US" w:bidi="ar-SA"/>
            </w:rPr>
            <w:fldChar w:fldCharType="end"/>
          </w:r>
        </w:p>
        <w:p w14:paraId="528ACEF1">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_Toc23095 </w:instrText>
          </w:r>
          <w:r>
            <w:rPr>
              <w:rFonts w:hint="eastAsia" w:ascii="宋体" w:hAnsi="宋体" w:eastAsia="宋体" w:cs="宋体"/>
              <w:szCs w:val="22"/>
              <w:lang w:val="en-US" w:eastAsia="en-US" w:bidi="ar-SA"/>
            </w:rPr>
            <w:fldChar w:fldCharType="separate"/>
          </w:r>
          <w:r>
            <w:rPr>
              <w:rFonts w:hint="eastAsia" w:ascii="宋体" w:hAnsi="宋体" w:eastAsia="宋体" w:cs="宋体"/>
            </w:rPr>
            <w:t>（一）样本与数据</w:t>
          </w:r>
          <w:r>
            <w:tab/>
          </w:r>
          <w:r>
            <w:fldChar w:fldCharType="begin"/>
          </w:r>
          <w:r>
            <w:instrText xml:space="preserve"> PAGEREF _Toc23095 \h </w:instrText>
          </w:r>
          <w:r>
            <w:fldChar w:fldCharType="separate"/>
          </w:r>
          <w:r>
            <w:t>4</w:t>
          </w:r>
          <w:r>
            <w:fldChar w:fldCharType="end"/>
          </w:r>
          <w:r>
            <w:rPr>
              <w:rFonts w:hint="eastAsia" w:ascii="宋体" w:hAnsi="宋体" w:eastAsia="宋体" w:cs="宋体"/>
              <w:szCs w:val="22"/>
              <w:lang w:val="en-US" w:eastAsia="en-US" w:bidi="ar-SA"/>
            </w:rPr>
            <w:fldChar w:fldCharType="end"/>
          </w:r>
        </w:p>
        <w:p w14:paraId="1711A697">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_Toc23570 </w:instrText>
          </w:r>
          <w:r>
            <w:rPr>
              <w:rFonts w:hint="eastAsia" w:ascii="宋体" w:hAnsi="宋体" w:eastAsia="宋体" w:cs="宋体"/>
              <w:szCs w:val="22"/>
              <w:lang w:val="en-US" w:eastAsia="en-US" w:bidi="ar-SA"/>
            </w:rPr>
            <w:fldChar w:fldCharType="separate"/>
          </w:r>
          <w:r>
            <w:rPr>
              <w:rFonts w:hint="eastAsia" w:ascii="宋体" w:hAnsi="宋体" w:eastAsia="宋体" w:cs="宋体"/>
            </w:rPr>
            <w:t>（二）财务指标体系</w:t>
          </w:r>
          <w:r>
            <w:tab/>
          </w:r>
          <w:r>
            <w:fldChar w:fldCharType="begin"/>
          </w:r>
          <w:r>
            <w:instrText xml:space="preserve"> PAGEREF _Toc23570 \h </w:instrText>
          </w:r>
          <w:r>
            <w:fldChar w:fldCharType="separate"/>
          </w:r>
          <w:r>
            <w:t>5</w:t>
          </w:r>
          <w:r>
            <w:fldChar w:fldCharType="end"/>
          </w:r>
          <w:r>
            <w:rPr>
              <w:rFonts w:hint="eastAsia" w:ascii="宋体" w:hAnsi="宋体" w:eastAsia="宋体" w:cs="宋体"/>
              <w:szCs w:val="22"/>
              <w:lang w:val="en-US" w:eastAsia="en-US" w:bidi="ar-SA"/>
            </w:rPr>
            <w:fldChar w:fldCharType="end"/>
          </w:r>
        </w:p>
        <w:p w14:paraId="4CA558B5">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_Toc16801 </w:instrText>
          </w:r>
          <w:r>
            <w:rPr>
              <w:rFonts w:hint="eastAsia" w:ascii="宋体" w:hAnsi="宋体" w:eastAsia="宋体" w:cs="宋体"/>
              <w:szCs w:val="22"/>
              <w:lang w:val="en-US" w:eastAsia="en-US" w:bidi="ar-SA"/>
            </w:rPr>
            <w:fldChar w:fldCharType="separate"/>
          </w:r>
          <w:r>
            <w:rPr>
              <w:rFonts w:hint="eastAsia" w:ascii="宋体" w:hAnsi="宋体" w:eastAsia="宋体" w:cs="宋体"/>
            </w:rPr>
            <w:t>（三）分析模型与方法</w:t>
          </w:r>
          <w:r>
            <w:tab/>
          </w:r>
          <w:r>
            <w:fldChar w:fldCharType="begin"/>
          </w:r>
          <w:r>
            <w:instrText xml:space="preserve"> PAGEREF _Toc16801 \h </w:instrText>
          </w:r>
          <w:r>
            <w:fldChar w:fldCharType="separate"/>
          </w:r>
          <w:r>
            <w:t>5</w:t>
          </w:r>
          <w:r>
            <w:fldChar w:fldCharType="end"/>
          </w:r>
          <w:r>
            <w:rPr>
              <w:rFonts w:hint="eastAsia" w:ascii="宋体" w:hAnsi="宋体" w:eastAsia="宋体" w:cs="宋体"/>
              <w:szCs w:val="22"/>
              <w:lang w:val="en-US" w:eastAsia="en-US" w:bidi="ar-SA"/>
            </w:rPr>
            <w:fldChar w:fldCharType="end"/>
          </w:r>
        </w:p>
        <w:p w14:paraId="069BF5E8">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_Toc7681 </w:instrText>
          </w:r>
          <w:r>
            <w:rPr>
              <w:rFonts w:hint="eastAsia" w:ascii="宋体" w:hAnsi="宋体" w:eastAsia="宋体" w:cs="宋体"/>
              <w:szCs w:val="22"/>
              <w:lang w:val="en-US" w:eastAsia="en-US" w:bidi="ar-SA"/>
            </w:rPr>
            <w:fldChar w:fldCharType="separate"/>
          </w:r>
          <w:r>
            <w:rPr>
              <w:rFonts w:hint="eastAsia" w:ascii="宋体" w:hAnsi="宋体" w:eastAsia="宋体" w:cs="宋体"/>
            </w:rPr>
            <w:t>三、财务指标分析</w:t>
          </w:r>
          <w:r>
            <w:tab/>
          </w:r>
          <w:r>
            <w:fldChar w:fldCharType="begin"/>
          </w:r>
          <w:r>
            <w:instrText xml:space="preserve"> PAGEREF _Toc7681 \h </w:instrText>
          </w:r>
          <w:r>
            <w:fldChar w:fldCharType="separate"/>
          </w:r>
          <w:r>
            <w:t>5</w:t>
          </w:r>
          <w:r>
            <w:fldChar w:fldCharType="end"/>
          </w:r>
          <w:r>
            <w:rPr>
              <w:rFonts w:hint="eastAsia" w:ascii="宋体" w:hAnsi="宋体" w:eastAsia="宋体" w:cs="宋体"/>
              <w:szCs w:val="22"/>
              <w:lang w:val="en-US" w:eastAsia="en-US" w:bidi="ar-SA"/>
            </w:rPr>
            <w:fldChar w:fldCharType="end"/>
          </w:r>
        </w:p>
        <w:p w14:paraId="33B9BAFF">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_Toc13929 </w:instrText>
          </w:r>
          <w:r>
            <w:rPr>
              <w:rFonts w:hint="eastAsia" w:ascii="宋体" w:hAnsi="宋体" w:eastAsia="宋体" w:cs="宋体"/>
              <w:szCs w:val="22"/>
              <w:lang w:val="en-US" w:eastAsia="en-US" w:bidi="ar-SA"/>
            </w:rPr>
            <w:fldChar w:fldCharType="separate"/>
          </w:r>
          <w:r>
            <w:rPr>
              <w:rFonts w:hint="eastAsia" w:ascii="宋体" w:hAnsi="宋体" w:eastAsia="宋体" w:cs="宋体"/>
            </w:rPr>
            <w:t>（一）核心指标对比</w:t>
          </w:r>
          <w:r>
            <w:tab/>
          </w:r>
          <w:r>
            <w:fldChar w:fldCharType="begin"/>
          </w:r>
          <w:r>
            <w:instrText xml:space="preserve"> PAGEREF _Toc13929 \h </w:instrText>
          </w:r>
          <w:r>
            <w:fldChar w:fldCharType="separate"/>
          </w:r>
          <w:r>
            <w:t>5</w:t>
          </w:r>
          <w:r>
            <w:fldChar w:fldCharType="end"/>
          </w:r>
          <w:r>
            <w:rPr>
              <w:rFonts w:hint="eastAsia" w:ascii="宋体" w:hAnsi="宋体" w:eastAsia="宋体" w:cs="宋体"/>
              <w:szCs w:val="22"/>
              <w:lang w:val="en-US" w:eastAsia="en-US" w:bidi="ar-SA"/>
            </w:rPr>
            <w:fldChar w:fldCharType="end"/>
          </w:r>
        </w:p>
        <w:p w14:paraId="1C2C7AA3">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_Toc9866 </w:instrText>
          </w:r>
          <w:r>
            <w:rPr>
              <w:rFonts w:hint="eastAsia" w:ascii="宋体" w:hAnsi="宋体" w:eastAsia="宋体" w:cs="宋体"/>
              <w:szCs w:val="22"/>
              <w:lang w:val="en-US" w:eastAsia="en-US" w:bidi="ar-SA"/>
            </w:rPr>
            <w:fldChar w:fldCharType="separate"/>
          </w:r>
          <w:r>
            <w:rPr>
              <w:rFonts w:hint="eastAsia" w:ascii="宋体" w:hAnsi="宋体" w:eastAsia="宋体" w:cs="宋体"/>
            </w:rPr>
            <w:t>（二）研发投入对比</w:t>
          </w:r>
          <w:r>
            <w:tab/>
          </w:r>
          <w:r>
            <w:fldChar w:fldCharType="begin"/>
          </w:r>
          <w:r>
            <w:instrText xml:space="preserve"> PAGEREF _Toc9866 \h </w:instrText>
          </w:r>
          <w:r>
            <w:fldChar w:fldCharType="separate"/>
          </w:r>
          <w:r>
            <w:t>6</w:t>
          </w:r>
          <w:r>
            <w:fldChar w:fldCharType="end"/>
          </w:r>
          <w:r>
            <w:rPr>
              <w:rFonts w:hint="eastAsia" w:ascii="宋体" w:hAnsi="宋体" w:eastAsia="宋体" w:cs="宋体"/>
              <w:szCs w:val="22"/>
              <w:lang w:val="en-US" w:eastAsia="en-US" w:bidi="ar-SA"/>
            </w:rPr>
            <w:fldChar w:fldCharType="end"/>
          </w:r>
        </w:p>
        <w:p w14:paraId="07866485">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_Toc9293 </w:instrText>
          </w:r>
          <w:r>
            <w:rPr>
              <w:rFonts w:hint="eastAsia" w:ascii="宋体" w:hAnsi="宋体" w:eastAsia="宋体" w:cs="宋体"/>
              <w:szCs w:val="22"/>
              <w:lang w:val="en-US" w:eastAsia="en-US" w:bidi="ar-SA"/>
            </w:rPr>
            <w:fldChar w:fldCharType="separate"/>
          </w:r>
          <w:r>
            <w:rPr>
              <w:rFonts w:hint="eastAsia" w:ascii="宋体" w:hAnsi="宋体" w:eastAsia="宋体" w:cs="宋体"/>
            </w:rPr>
            <w:t>四、K-Means聚类与孤立森林分析</w:t>
          </w:r>
          <w:r>
            <w:tab/>
          </w:r>
          <w:r>
            <w:fldChar w:fldCharType="begin"/>
          </w:r>
          <w:r>
            <w:instrText xml:space="preserve"> PAGEREF _Toc9293 \h </w:instrText>
          </w:r>
          <w:r>
            <w:fldChar w:fldCharType="separate"/>
          </w:r>
          <w:r>
            <w:t>7</w:t>
          </w:r>
          <w:r>
            <w:fldChar w:fldCharType="end"/>
          </w:r>
          <w:r>
            <w:rPr>
              <w:rFonts w:hint="eastAsia" w:ascii="宋体" w:hAnsi="宋体" w:eastAsia="宋体" w:cs="宋体"/>
              <w:szCs w:val="22"/>
              <w:lang w:val="en-US" w:eastAsia="en-US" w:bidi="ar-SA"/>
            </w:rPr>
            <w:fldChar w:fldCharType="end"/>
          </w:r>
        </w:p>
        <w:p w14:paraId="03C2C1DC">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_Toc4610 </w:instrText>
          </w:r>
          <w:r>
            <w:rPr>
              <w:rFonts w:hint="eastAsia" w:ascii="宋体" w:hAnsi="宋体" w:eastAsia="宋体" w:cs="宋体"/>
              <w:szCs w:val="22"/>
              <w:lang w:val="en-US" w:eastAsia="en-US" w:bidi="ar-SA"/>
            </w:rPr>
            <w:fldChar w:fldCharType="separate"/>
          </w:r>
          <w:r>
            <w:rPr>
              <w:rFonts w:hint="eastAsia" w:ascii="宋体" w:hAnsi="宋体" w:eastAsia="宋体" w:cs="宋体"/>
            </w:rPr>
            <w:t>（一）K-Means聚类结果</w:t>
          </w:r>
          <w:r>
            <w:tab/>
          </w:r>
          <w:r>
            <w:fldChar w:fldCharType="begin"/>
          </w:r>
          <w:r>
            <w:instrText xml:space="preserve"> PAGEREF _Toc4610 \h </w:instrText>
          </w:r>
          <w:r>
            <w:fldChar w:fldCharType="separate"/>
          </w:r>
          <w:r>
            <w:t>7</w:t>
          </w:r>
          <w:r>
            <w:fldChar w:fldCharType="end"/>
          </w:r>
          <w:r>
            <w:rPr>
              <w:rFonts w:hint="eastAsia" w:ascii="宋体" w:hAnsi="宋体" w:eastAsia="宋体" w:cs="宋体"/>
              <w:szCs w:val="22"/>
              <w:lang w:val="en-US" w:eastAsia="en-US" w:bidi="ar-SA"/>
            </w:rPr>
            <w:fldChar w:fldCharType="end"/>
          </w:r>
        </w:p>
        <w:p w14:paraId="33786DEF">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_Toc24470 </w:instrText>
          </w:r>
          <w:r>
            <w:rPr>
              <w:rFonts w:hint="eastAsia" w:ascii="宋体" w:hAnsi="宋体" w:eastAsia="宋体" w:cs="宋体"/>
              <w:szCs w:val="22"/>
              <w:lang w:val="en-US" w:eastAsia="en-US" w:bidi="ar-SA"/>
            </w:rPr>
            <w:fldChar w:fldCharType="separate"/>
          </w:r>
          <w:r>
            <w:rPr>
              <w:rFonts w:hint="eastAsia" w:ascii="宋体" w:hAnsi="宋体" w:eastAsia="宋体" w:cs="宋体"/>
            </w:rPr>
            <w:t>（二）孤立森林异常检测</w:t>
          </w:r>
          <w:r>
            <w:tab/>
          </w:r>
          <w:r>
            <w:fldChar w:fldCharType="begin"/>
          </w:r>
          <w:r>
            <w:instrText xml:space="preserve"> PAGEREF _Toc24470 \h </w:instrText>
          </w:r>
          <w:r>
            <w:fldChar w:fldCharType="separate"/>
          </w:r>
          <w:r>
            <w:t>8</w:t>
          </w:r>
          <w:r>
            <w:fldChar w:fldCharType="end"/>
          </w:r>
          <w:r>
            <w:rPr>
              <w:rFonts w:hint="eastAsia" w:ascii="宋体" w:hAnsi="宋体" w:eastAsia="宋体" w:cs="宋体"/>
              <w:szCs w:val="22"/>
              <w:lang w:val="en-US" w:eastAsia="en-US" w:bidi="ar-SA"/>
            </w:rPr>
            <w:fldChar w:fldCharType="end"/>
          </w:r>
        </w:p>
        <w:p w14:paraId="7A295AAC">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_Toc4018 </w:instrText>
          </w:r>
          <w:r>
            <w:rPr>
              <w:rFonts w:hint="eastAsia" w:ascii="宋体" w:hAnsi="宋体" w:eastAsia="宋体" w:cs="宋体"/>
              <w:szCs w:val="22"/>
              <w:lang w:val="en-US" w:eastAsia="en-US" w:bidi="ar-SA"/>
            </w:rPr>
            <w:fldChar w:fldCharType="separate"/>
          </w:r>
          <w:r>
            <w:rPr>
              <w:rFonts w:hint="eastAsia" w:ascii="宋体" w:hAnsi="宋体" w:eastAsia="宋体" w:cs="宋体"/>
            </w:rPr>
            <w:t>五、六种预测方法对比</w:t>
          </w:r>
          <w:r>
            <w:tab/>
          </w:r>
          <w:r>
            <w:fldChar w:fldCharType="begin"/>
          </w:r>
          <w:r>
            <w:instrText xml:space="preserve"> PAGEREF _Toc4018 \h </w:instrText>
          </w:r>
          <w:r>
            <w:fldChar w:fldCharType="separate"/>
          </w:r>
          <w:r>
            <w:t>9</w:t>
          </w:r>
          <w:r>
            <w:fldChar w:fldCharType="end"/>
          </w:r>
          <w:r>
            <w:rPr>
              <w:rFonts w:hint="eastAsia" w:ascii="宋体" w:hAnsi="宋体" w:eastAsia="宋体" w:cs="宋体"/>
              <w:szCs w:val="22"/>
              <w:lang w:val="en-US" w:eastAsia="en-US" w:bidi="ar-SA"/>
            </w:rPr>
            <w:fldChar w:fldCharType="end"/>
          </w:r>
        </w:p>
        <w:p w14:paraId="40964040">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_Toc24070 </w:instrText>
          </w:r>
          <w:r>
            <w:rPr>
              <w:rFonts w:hint="eastAsia" w:ascii="宋体" w:hAnsi="宋体" w:eastAsia="宋体" w:cs="宋体"/>
              <w:szCs w:val="22"/>
              <w:lang w:val="en-US" w:eastAsia="en-US" w:bidi="ar-SA"/>
            </w:rPr>
            <w:fldChar w:fldCharType="separate"/>
          </w:r>
          <w:r>
            <w:rPr>
              <w:rFonts w:hint="eastAsia" w:ascii="宋体" w:hAnsi="宋体" w:eastAsia="宋体" w:cs="宋体"/>
            </w:rPr>
            <w:t>（一）赛力斯预测结果</w:t>
          </w:r>
          <w:r>
            <w:tab/>
          </w:r>
          <w:r>
            <w:fldChar w:fldCharType="begin"/>
          </w:r>
          <w:r>
            <w:instrText xml:space="preserve"> PAGEREF _Toc24070 \h </w:instrText>
          </w:r>
          <w:r>
            <w:fldChar w:fldCharType="separate"/>
          </w:r>
          <w:r>
            <w:t>9</w:t>
          </w:r>
          <w:r>
            <w:fldChar w:fldCharType="end"/>
          </w:r>
          <w:r>
            <w:rPr>
              <w:rFonts w:hint="eastAsia" w:ascii="宋体" w:hAnsi="宋体" w:eastAsia="宋体" w:cs="宋体"/>
              <w:szCs w:val="22"/>
              <w:lang w:val="en-US" w:eastAsia="en-US" w:bidi="ar-SA"/>
            </w:rPr>
            <w:fldChar w:fldCharType="end"/>
          </w:r>
        </w:p>
        <w:p w14:paraId="2CD78906">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_Toc7046 </w:instrText>
          </w:r>
          <w:r>
            <w:rPr>
              <w:rFonts w:hint="eastAsia" w:ascii="宋体" w:hAnsi="宋体" w:eastAsia="宋体" w:cs="宋体"/>
              <w:szCs w:val="22"/>
              <w:lang w:val="en-US" w:eastAsia="en-US" w:bidi="ar-SA"/>
            </w:rPr>
            <w:fldChar w:fldCharType="separate"/>
          </w:r>
          <w:r>
            <w:rPr>
              <w:rFonts w:hint="eastAsia" w:ascii="宋体" w:hAnsi="宋体" w:eastAsia="宋体" w:cs="宋体"/>
            </w:rPr>
            <w:t>（二）长安汽车预测结果</w:t>
          </w:r>
          <w:r>
            <w:tab/>
          </w:r>
          <w:r>
            <w:fldChar w:fldCharType="begin"/>
          </w:r>
          <w:r>
            <w:instrText xml:space="preserve"> PAGEREF _Toc7046 \h </w:instrText>
          </w:r>
          <w:r>
            <w:fldChar w:fldCharType="separate"/>
          </w:r>
          <w:r>
            <w:t>10</w:t>
          </w:r>
          <w:r>
            <w:fldChar w:fldCharType="end"/>
          </w:r>
          <w:r>
            <w:rPr>
              <w:rFonts w:hint="eastAsia" w:ascii="宋体" w:hAnsi="宋体" w:eastAsia="宋体" w:cs="宋体"/>
              <w:szCs w:val="22"/>
              <w:lang w:val="en-US" w:eastAsia="en-US" w:bidi="ar-SA"/>
            </w:rPr>
            <w:fldChar w:fldCharType="end"/>
          </w:r>
        </w:p>
        <w:p w14:paraId="4654713E">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_Toc23615 </w:instrText>
          </w:r>
          <w:r>
            <w:rPr>
              <w:rFonts w:hint="eastAsia" w:ascii="宋体" w:hAnsi="宋体" w:eastAsia="宋体" w:cs="宋体"/>
              <w:szCs w:val="22"/>
              <w:lang w:val="en-US" w:eastAsia="en-US" w:bidi="ar-SA"/>
            </w:rPr>
            <w:fldChar w:fldCharType="separate"/>
          </w:r>
          <w:r>
            <w:rPr>
              <w:rFonts w:hint="eastAsia" w:ascii="宋体" w:hAnsi="宋体" w:eastAsia="宋体" w:cs="宋体"/>
            </w:rPr>
            <w:t>（三）综合排名与回测验证</w:t>
          </w:r>
          <w:r>
            <w:tab/>
          </w:r>
          <w:r>
            <w:fldChar w:fldCharType="begin"/>
          </w:r>
          <w:r>
            <w:instrText xml:space="preserve"> PAGEREF _Toc23615 \h </w:instrText>
          </w:r>
          <w:r>
            <w:fldChar w:fldCharType="separate"/>
          </w:r>
          <w:r>
            <w:t>11</w:t>
          </w:r>
          <w:r>
            <w:fldChar w:fldCharType="end"/>
          </w:r>
          <w:r>
            <w:rPr>
              <w:rFonts w:hint="eastAsia" w:ascii="宋体" w:hAnsi="宋体" w:eastAsia="宋体" w:cs="宋体"/>
              <w:szCs w:val="22"/>
              <w:lang w:val="en-US" w:eastAsia="en-US" w:bidi="ar-SA"/>
            </w:rPr>
            <w:fldChar w:fldCharType="end"/>
          </w:r>
        </w:p>
        <w:p w14:paraId="636B7D23">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_Toc5721 </w:instrText>
          </w:r>
          <w:r>
            <w:rPr>
              <w:rFonts w:hint="eastAsia" w:ascii="宋体" w:hAnsi="宋体" w:eastAsia="宋体" w:cs="宋体"/>
              <w:szCs w:val="22"/>
              <w:lang w:val="en-US" w:eastAsia="en-US" w:bidi="ar-SA"/>
            </w:rPr>
            <w:fldChar w:fldCharType="separate"/>
          </w:r>
          <w:r>
            <w:rPr>
              <w:rFonts w:hint="eastAsia" w:ascii="宋体" w:hAnsi="宋体" w:eastAsia="宋体" w:cs="宋体"/>
            </w:rPr>
            <w:t>六、杜邦分析</w:t>
          </w:r>
          <w:r>
            <w:tab/>
          </w:r>
          <w:r>
            <w:fldChar w:fldCharType="begin"/>
          </w:r>
          <w:r>
            <w:instrText xml:space="preserve"> PAGEREF _Toc5721 \h </w:instrText>
          </w:r>
          <w:r>
            <w:fldChar w:fldCharType="separate"/>
          </w:r>
          <w:r>
            <w:t>13</w:t>
          </w:r>
          <w:r>
            <w:fldChar w:fldCharType="end"/>
          </w:r>
          <w:r>
            <w:rPr>
              <w:rFonts w:hint="eastAsia" w:ascii="宋体" w:hAnsi="宋体" w:eastAsia="宋体" w:cs="宋体"/>
              <w:szCs w:val="22"/>
              <w:lang w:val="en-US" w:eastAsia="en-US" w:bidi="ar-SA"/>
            </w:rPr>
            <w:fldChar w:fldCharType="end"/>
          </w:r>
        </w:p>
        <w:p w14:paraId="665465C7">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_Toc31598 </w:instrText>
          </w:r>
          <w:r>
            <w:rPr>
              <w:rFonts w:hint="eastAsia" w:ascii="宋体" w:hAnsi="宋体" w:eastAsia="宋体" w:cs="宋体"/>
              <w:szCs w:val="22"/>
              <w:lang w:val="en-US" w:eastAsia="en-US" w:bidi="ar-SA"/>
            </w:rPr>
            <w:fldChar w:fldCharType="separate"/>
          </w:r>
          <w:r>
            <w:rPr>
              <w:rFonts w:hint="eastAsia" w:ascii="宋体" w:hAnsi="宋体" w:eastAsia="宋体" w:cs="宋体"/>
            </w:rPr>
            <w:t>（一）赛力斯</w:t>
          </w:r>
          <w:r>
            <w:tab/>
          </w:r>
          <w:r>
            <w:fldChar w:fldCharType="begin"/>
          </w:r>
          <w:r>
            <w:instrText xml:space="preserve"> PAGEREF _Toc31598 \h </w:instrText>
          </w:r>
          <w:r>
            <w:fldChar w:fldCharType="separate"/>
          </w:r>
          <w:r>
            <w:t>13</w:t>
          </w:r>
          <w:r>
            <w:fldChar w:fldCharType="end"/>
          </w:r>
          <w:r>
            <w:rPr>
              <w:rFonts w:hint="eastAsia" w:ascii="宋体" w:hAnsi="宋体" w:eastAsia="宋体" w:cs="宋体"/>
              <w:szCs w:val="22"/>
              <w:lang w:val="en-US" w:eastAsia="en-US" w:bidi="ar-SA"/>
            </w:rPr>
            <w:fldChar w:fldCharType="end"/>
          </w:r>
        </w:p>
        <w:p w14:paraId="65298FAE">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_Toc14709 </w:instrText>
          </w:r>
          <w:r>
            <w:rPr>
              <w:rFonts w:hint="eastAsia" w:ascii="宋体" w:hAnsi="宋体" w:eastAsia="宋体" w:cs="宋体"/>
              <w:szCs w:val="22"/>
              <w:lang w:val="en-US" w:eastAsia="en-US" w:bidi="ar-SA"/>
            </w:rPr>
            <w:fldChar w:fldCharType="separate"/>
          </w:r>
          <w:r>
            <w:rPr>
              <w:rFonts w:hint="eastAsia" w:ascii="宋体" w:hAnsi="宋体" w:eastAsia="宋体" w:cs="宋体"/>
            </w:rPr>
            <w:t>（二）长安汽车</w:t>
          </w:r>
          <w:r>
            <w:tab/>
          </w:r>
          <w:r>
            <w:fldChar w:fldCharType="begin"/>
          </w:r>
          <w:r>
            <w:instrText xml:space="preserve"> PAGEREF _Toc14709 \h </w:instrText>
          </w:r>
          <w:r>
            <w:fldChar w:fldCharType="separate"/>
          </w:r>
          <w:r>
            <w:t>13</w:t>
          </w:r>
          <w:r>
            <w:fldChar w:fldCharType="end"/>
          </w:r>
          <w:r>
            <w:rPr>
              <w:rFonts w:hint="eastAsia" w:ascii="宋体" w:hAnsi="宋体" w:eastAsia="宋体" w:cs="宋体"/>
              <w:szCs w:val="22"/>
              <w:lang w:val="en-US" w:eastAsia="en-US" w:bidi="ar-SA"/>
            </w:rPr>
            <w:fldChar w:fldCharType="end"/>
          </w:r>
        </w:p>
        <w:p w14:paraId="305A5CD2">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_Toc317 </w:instrText>
          </w:r>
          <w:r>
            <w:rPr>
              <w:rFonts w:hint="eastAsia" w:ascii="宋体" w:hAnsi="宋体" w:eastAsia="宋体" w:cs="宋体"/>
              <w:szCs w:val="22"/>
              <w:lang w:val="en-US" w:eastAsia="en-US" w:bidi="ar-SA"/>
            </w:rPr>
            <w:fldChar w:fldCharType="separate"/>
          </w:r>
          <w:r>
            <w:rPr>
              <w:rFonts w:hint="eastAsia" w:ascii="宋体" w:hAnsi="宋体" w:eastAsia="宋体" w:cs="宋体"/>
            </w:rPr>
            <w:t>七、现金流量分析</w:t>
          </w:r>
          <w:r>
            <w:tab/>
          </w:r>
          <w:r>
            <w:fldChar w:fldCharType="begin"/>
          </w:r>
          <w:r>
            <w:instrText xml:space="preserve"> PAGEREF _Toc317 \h </w:instrText>
          </w:r>
          <w:r>
            <w:fldChar w:fldCharType="separate"/>
          </w:r>
          <w:r>
            <w:t>14</w:t>
          </w:r>
          <w:r>
            <w:fldChar w:fldCharType="end"/>
          </w:r>
          <w:r>
            <w:rPr>
              <w:rFonts w:hint="eastAsia" w:ascii="宋体" w:hAnsi="宋体" w:eastAsia="宋体" w:cs="宋体"/>
              <w:szCs w:val="22"/>
              <w:lang w:val="en-US" w:eastAsia="en-US" w:bidi="ar-SA"/>
            </w:rPr>
            <w:fldChar w:fldCharType="end"/>
          </w:r>
        </w:p>
        <w:p w14:paraId="1A4F72DB">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_Toc1855 </w:instrText>
          </w:r>
          <w:r>
            <w:rPr>
              <w:rFonts w:hint="eastAsia" w:ascii="宋体" w:hAnsi="宋体" w:eastAsia="宋体" w:cs="宋体"/>
              <w:szCs w:val="22"/>
              <w:lang w:val="en-US" w:eastAsia="en-US" w:bidi="ar-SA"/>
            </w:rPr>
            <w:fldChar w:fldCharType="separate"/>
          </w:r>
          <w:r>
            <w:rPr>
              <w:rFonts w:hint="eastAsia" w:ascii="宋体" w:hAnsi="宋体" w:eastAsia="宋体" w:cs="宋体"/>
            </w:rPr>
            <w:t>八、Z-score与沃尔评分</w:t>
          </w:r>
          <w:r>
            <w:tab/>
          </w:r>
          <w:r>
            <w:fldChar w:fldCharType="begin"/>
          </w:r>
          <w:r>
            <w:instrText xml:space="preserve"> PAGEREF _Toc1855 \h </w:instrText>
          </w:r>
          <w:r>
            <w:fldChar w:fldCharType="separate"/>
          </w:r>
          <w:r>
            <w:t>15</w:t>
          </w:r>
          <w:r>
            <w:fldChar w:fldCharType="end"/>
          </w:r>
          <w:r>
            <w:rPr>
              <w:rFonts w:hint="eastAsia" w:ascii="宋体" w:hAnsi="宋体" w:eastAsia="宋体" w:cs="宋体"/>
              <w:szCs w:val="22"/>
              <w:lang w:val="en-US" w:eastAsia="en-US" w:bidi="ar-SA"/>
            </w:rPr>
            <w:fldChar w:fldCharType="end"/>
          </w:r>
        </w:p>
        <w:p w14:paraId="2FBE8DA7">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_Toc29781 </w:instrText>
          </w:r>
          <w:r>
            <w:rPr>
              <w:rFonts w:hint="eastAsia" w:ascii="宋体" w:hAnsi="宋体" w:eastAsia="宋体" w:cs="宋体"/>
              <w:szCs w:val="22"/>
              <w:lang w:val="en-US" w:eastAsia="en-US" w:bidi="ar-SA"/>
            </w:rPr>
            <w:fldChar w:fldCharType="separate"/>
          </w:r>
          <w:r>
            <w:rPr>
              <w:rFonts w:hint="eastAsia" w:ascii="宋体" w:hAnsi="宋体" w:eastAsia="宋体" w:cs="宋体"/>
            </w:rPr>
            <w:t>（一）Altman Z-score</w:t>
          </w:r>
          <w:r>
            <w:tab/>
          </w:r>
          <w:r>
            <w:fldChar w:fldCharType="begin"/>
          </w:r>
          <w:r>
            <w:instrText xml:space="preserve"> PAGEREF _Toc29781 \h </w:instrText>
          </w:r>
          <w:r>
            <w:fldChar w:fldCharType="separate"/>
          </w:r>
          <w:r>
            <w:t>15</w:t>
          </w:r>
          <w:r>
            <w:fldChar w:fldCharType="end"/>
          </w:r>
          <w:r>
            <w:rPr>
              <w:rFonts w:hint="eastAsia" w:ascii="宋体" w:hAnsi="宋体" w:eastAsia="宋体" w:cs="宋体"/>
              <w:szCs w:val="22"/>
              <w:lang w:val="en-US" w:eastAsia="en-US" w:bidi="ar-SA"/>
            </w:rPr>
            <w:fldChar w:fldCharType="end"/>
          </w:r>
        </w:p>
        <w:p w14:paraId="31510D29">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_Toc10800 </w:instrText>
          </w:r>
          <w:r>
            <w:rPr>
              <w:rFonts w:hint="eastAsia" w:ascii="宋体" w:hAnsi="宋体" w:eastAsia="宋体" w:cs="宋体"/>
              <w:szCs w:val="22"/>
              <w:lang w:val="en-US" w:eastAsia="en-US" w:bidi="ar-SA"/>
            </w:rPr>
            <w:fldChar w:fldCharType="separate"/>
          </w:r>
          <w:r>
            <w:rPr>
              <w:rFonts w:hint="eastAsia" w:ascii="宋体" w:hAnsi="宋体" w:eastAsia="宋体" w:cs="宋体"/>
            </w:rPr>
            <w:t>（二）沃尔评分</w:t>
          </w:r>
          <w:r>
            <w:tab/>
          </w:r>
          <w:r>
            <w:fldChar w:fldCharType="begin"/>
          </w:r>
          <w:r>
            <w:instrText xml:space="preserve"> PAGEREF _Toc10800 \h </w:instrText>
          </w:r>
          <w:r>
            <w:fldChar w:fldCharType="separate"/>
          </w:r>
          <w:r>
            <w:t>16</w:t>
          </w:r>
          <w:r>
            <w:fldChar w:fldCharType="end"/>
          </w:r>
          <w:r>
            <w:rPr>
              <w:rFonts w:hint="eastAsia" w:ascii="宋体" w:hAnsi="宋体" w:eastAsia="宋体" w:cs="宋体"/>
              <w:szCs w:val="22"/>
              <w:lang w:val="en-US" w:eastAsia="en-US" w:bidi="ar-SA"/>
            </w:rPr>
            <w:fldChar w:fldCharType="end"/>
          </w:r>
        </w:p>
        <w:p w14:paraId="56518C78">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_Toc25082 </w:instrText>
          </w:r>
          <w:r>
            <w:rPr>
              <w:rFonts w:hint="eastAsia" w:ascii="宋体" w:hAnsi="宋体" w:eastAsia="宋体" w:cs="宋体"/>
              <w:szCs w:val="22"/>
              <w:lang w:val="en-US" w:eastAsia="en-US" w:bidi="ar-SA"/>
            </w:rPr>
            <w:fldChar w:fldCharType="separate"/>
          </w:r>
          <w:r>
            <w:rPr>
              <w:rFonts w:hint="eastAsia" w:ascii="宋体" w:hAnsi="宋体" w:eastAsia="宋体" w:cs="宋体"/>
            </w:rPr>
            <w:t>九、销量结构与综合风险</w:t>
          </w:r>
          <w:r>
            <w:tab/>
          </w:r>
          <w:r>
            <w:fldChar w:fldCharType="begin"/>
          </w:r>
          <w:r>
            <w:instrText xml:space="preserve"> PAGEREF _Toc25082 \h </w:instrText>
          </w:r>
          <w:r>
            <w:fldChar w:fldCharType="separate"/>
          </w:r>
          <w:r>
            <w:t>16</w:t>
          </w:r>
          <w:r>
            <w:fldChar w:fldCharType="end"/>
          </w:r>
          <w:r>
            <w:rPr>
              <w:rFonts w:hint="eastAsia" w:ascii="宋体" w:hAnsi="宋体" w:eastAsia="宋体" w:cs="宋体"/>
              <w:szCs w:val="22"/>
              <w:lang w:val="en-US" w:eastAsia="en-US" w:bidi="ar-SA"/>
            </w:rPr>
            <w:fldChar w:fldCharType="end"/>
          </w:r>
        </w:p>
        <w:p w14:paraId="790AF8DF">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_Toc31867 </w:instrText>
          </w:r>
          <w:r>
            <w:rPr>
              <w:rFonts w:hint="eastAsia" w:ascii="宋体" w:hAnsi="宋体" w:eastAsia="宋体" w:cs="宋体"/>
              <w:szCs w:val="22"/>
              <w:lang w:val="en-US" w:eastAsia="en-US" w:bidi="ar-SA"/>
            </w:rPr>
            <w:fldChar w:fldCharType="separate"/>
          </w:r>
          <w:r>
            <w:rPr>
              <w:rFonts w:hint="eastAsia" w:ascii="宋体" w:hAnsi="宋体" w:eastAsia="宋体" w:cs="宋体"/>
            </w:rPr>
            <w:t>十、结论与建议</w:t>
          </w:r>
          <w:r>
            <w:tab/>
          </w:r>
          <w:r>
            <w:fldChar w:fldCharType="begin"/>
          </w:r>
          <w:r>
            <w:instrText xml:space="preserve"> PAGEREF _Toc31867 \h </w:instrText>
          </w:r>
          <w:r>
            <w:fldChar w:fldCharType="separate"/>
          </w:r>
          <w:r>
            <w:t>19</w:t>
          </w:r>
          <w:r>
            <w:fldChar w:fldCharType="end"/>
          </w:r>
          <w:r>
            <w:rPr>
              <w:rFonts w:hint="eastAsia" w:ascii="宋体" w:hAnsi="宋体" w:eastAsia="宋体" w:cs="宋体"/>
              <w:szCs w:val="22"/>
              <w:lang w:val="en-US" w:eastAsia="en-US" w:bidi="ar-SA"/>
            </w:rPr>
            <w:fldChar w:fldCharType="end"/>
          </w:r>
        </w:p>
        <w:p w14:paraId="7130DFFD">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_Toc15754 </w:instrText>
          </w:r>
          <w:r>
            <w:rPr>
              <w:rFonts w:hint="eastAsia" w:ascii="宋体" w:hAnsi="宋体" w:eastAsia="宋体" w:cs="宋体"/>
              <w:szCs w:val="22"/>
              <w:lang w:val="en-US" w:eastAsia="en-US" w:bidi="ar-SA"/>
            </w:rPr>
            <w:fldChar w:fldCharType="separate"/>
          </w:r>
          <w:r>
            <w:rPr>
              <w:rFonts w:hint="eastAsia" w:ascii="宋体" w:hAnsi="宋体" w:eastAsia="宋体" w:cs="宋体"/>
            </w:rPr>
            <w:t>（三）对长安汽车的建议</w:t>
          </w:r>
          <w:r>
            <w:tab/>
          </w:r>
          <w:r>
            <w:fldChar w:fldCharType="begin"/>
          </w:r>
          <w:r>
            <w:instrText xml:space="preserve"> PAGEREF _Toc15754 \h </w:instrText>
          </w:r>
          <w:r>
            <w:fldChar w:fldCharType="separate"/>
          </w:r>
          <w:r>
            <w:t>19</w:t>
          </w:r>
          <w:r>
            <w:fldChar w:fldCharType="end"/>
          </w:r>
          <w:r>
            <w:rPr>
              <w:rFonts w:hint="eastAsia" w:ascii="宋体" w:hAnsi="宋体" w:eastAsia="宋体" w:cs="宋体"/>
              <w:szCs w:val="22"/>
              <w:lang w:val="en-US" w:eastAsia="en-US" w:bidi="ar-SA"/>
            </w:rPr>
            <w:fldChar w:fldCharType="end"/>
          </w:r>
        </w:p>
        <w:p w14:paraId="282D84FE">
          <w:pPr>
            <w:pStyle w:val="29"/>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_Toc1562 </w:instrText>
          </w:r>
          <w:r>
            <w:rPr>
              <w:rFonts w:hint="eastAsia" w:ascii="宋体" w:hAnsi="宋体" w:eastAsia="宋体" w:cs="宋体"/>
              <w:szCs w:val="22"/>
              <w:lang w:val="en-US" w:eastAsia="en-US" w:bidi="ar-SA"/>
            </w:rPr>
            <w:fldChar w:fldCharType="separate"/>
          </w:r>
          <w:r>
            <w:rPr>
              <w:rFonts w:hint="eastAsia" w:ascii="宋体" w:hAnsi="宋体" w:eastAsia="宋体" w:cs="宋体"/>
            </w:rPr>
            <w:t>（四）研究不足</w:t>
          </w:r>
          <w:r>
            <w:tab/>
          </w:r>
          <w:r>
            <w:fldChar w:fldCharType="begin"/>
          </w:r>
          <w:r>
            <w:instrText xml:space="preserve"> PAGEREF _Toc1562 \h </w:instrText>
          </w:r>
          <w:r>
            <w:fldChar w:fldCharType="separate"/>
          </w:r>
          <w:r>
            <w:t>20</w:t>
          </w:r>
          <w:r>
            <w:fldChar w:fldCharType="end"/>
          </w:r>
          <w:r>
            <w:rPr>
              <w:rFonts w:hint="eastAsia" w:ascii="宋体" w:hAnsi="宋体" w:eastAsia="宋体" w:cs="宋体"/>
              <w:szCs w:val="22"/>
              <w:lang w:val="en-US" w:eastAsia="en-US" w:bidi="ar-SA"/>
            </w:rPr>
            <w:fldChar w:fldCharType="end"/>
          </w:r>
        </w:p>
        <w:p w14:paraId="498DBB89">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_Toc4321 </w:instrText>
          </w:r>
          <w:r>
            <w:rPr>
              <w:rFonts w:hint="eastAsia" w:ascii="宋体" w:hAnsi="宋体" w:eastAsia="宋体" w:cs="宋体"/>
              <w:szCs w:val="22"/>
              <w:lang w:val="en-US" w:eastAsia="en-US" w:bidi="ar-SA"/>
            </w:rPr>
            <w:fldChar w:fldCharType="separate"/>
          </w:r>
          <w:r>
            <w:rPr>
              <w:rFonts w:hint="eastAsia" w:ascii="宋体" w:hAnsi="宋体" w:eastAsia="宋体" w:cs="宋体"/>
            </w:rPr>
            <w:t>参考文献</w:t>
          </w:r>
          <w:r>
            <w:tab/>
          </w:r>
          <w:r>
            <w:fldChar w:fldCharType="begin"/>
          </w:r>
          <w:r>
            <w:instrText xml:space="preserve"> PAGEREF _Toc4321 \h </w:instrText>
          </w:r>
          <w:r>
            <w:fldChar w:fldCharType="separate"/>
          </w:r>
          <w:r>
            <w:t>21</w:t>
          </w:r>
          <w:r>
            <w:fldChar w:fldCharType="end"/>
          </w:r>
          <w:r>
            <w:rPr>
              <w:rFonts w:hint="eastAsia" w:ascii="宋体" w:hAnsi="宋体" w:eastAsia="宋体" w:cs="宋体"/>
              <w:szCs w:val="22"/>
              <w:lang w:val="en-US" w:eastAsia="en-US" w:bidi="ar-SA"/>
            </w:rPr>
            <w:fldChar w:fldCharType="end"/>
          </w:r>
        </w:p>
        <w:p w14:paraId="0591DAEE">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_Toc27674 </w:instrText>
          </w:r>
          <w:r>
            <w:rPr>
              <w:rFonts w:hint="eastAsia" w:ascii="宋体" w:hAnsi="宋体" w:eastAsia="宋体" w:cs="宋体"/>
              <w:szCs w:val="22"/>
              <w:lang w:val="en-US" w:eastAsia="en-US" w:bidi="ar-SA"/>
            </w:rPr>
            <w:fldChar w:fldCharType="separate"/>
          </w:r>
          <w:r>
            <w:rPr>
              <w:rFonts w:hint="eastAsia" w:ascii="宋体" w:hAnsi="宋体" w:eastAsia="宋体" w:cs="宋体"/>
            </w:rPr>
            <w:t>附录A  18项财务指标计算公式</w:t>
          </w:r>
          <w:r>
            <w:tab/>
          </w:r>
          <w:r>
            <w:fldChar w:fldCharType="begin"/>
          </w:r>
          <w:r>
            <w:instrText xml:space="preserve"> PAGEREF _Toc27674 \h </w:instrText>
          </w:r>
          <w:r>
            <w:fldChar w:fldCharType="separate"/>
          </w:r>
          <w:r>
            <w:t>22</w:t>
          </w:r>
          <w:r>
            <w:fldChar w:fldCharType="end"/>
          </w:r>
          <w:r>
            <w:rPr>
              <w:rFonts w:hint="eastAsia" w:ascii="宋体" w:hAnsi="宋体" w:eastAsia="宋体" w:cs="宋体"/>
              <w:szCs w:val="22"/>
              <w:lang w:val="en-US" w:eastAsia="en-US" w:bidi="ar-SA"/>
            </w:rPr>
            <w:fldChar w:fldCharType="end"/>
          </w:r>
        </w:p>
        <w:p w14:paraId="03DD0EAF">
          <w:pPr>
            <w:pStyle w:val="26"/>
            <w:keepNext w:val="0"/>
            <w:keepLines w:val="0"/>
            <w:pageBreakBefore w:val="0"/>
            <w:widowControl/>
            <w:tabs>
              <w:tab w:val="right" w:leader="dot" w:pos="9972"/>
            </w:tabs>
            <w:kinsoku/>
            <w:wordWrap/>
            <w:overflowPunct/>
            <w:topLinePunct w:val="0"/>
            <w:autoSpaceDE/>
            <w:autoSpaceDN/>
            <w:bidi w:val="0"/>
            <w:adjustRightInd/>
            <w:snapToGrid/>
            <w:spacing w:line="240" w:lineRule="atLeast"/>
            <w:textAlignment w:val="auto"/>
          </w:pPr>
          <w:r>
            <w:rPr>
              <w:rFonts w:hint="eastAsia" w:ascii="宋体" w:hAnsi="宋体" w:eastAsia="宋体" w:cs="宋体"/>
              <w:szCs w:val="22"/>
              <w:lang w:val="en-US" w:eastAsia="en-US" w:bidi="ar-SA"/>
            </w:rPr>
            <w:fldChar w:fldCharType="begin"/>
          </w:r>
          <w:r>
            <w:rPr>
              <w:rFonts w:hint="eastAsia" w:ascii="宋体" w:hAnsi="宋体" w:eastAsia="宋体" w:cs="宋体"/>
              <w:szCs w:val="22"/>
              <w:lang w:val="en-US" w:eastAsia="en-US" w:bidi="ar-SA"/>
            </w:rPr>
            <w:instrText xml:space="preserve"> HYPERLINK \l _Toc11505 </w:instrText>
          </w:r>
          <w:r>
            <w:rPr>
              <w:rFonts w:hint="eastAsia" w:ascii="宋体" w:hAnsi="宋体" w:eastAsia="宋体" w:cs="宋体"/>
              <w:szCs w:val="22"/>
              <w:lang w:val="en-US" w:eastAsia="en-US" w:bidi="ar-SA"/>
            </w:rPr>
            <w:fldChar w:fldCharType="separate"/>
          </w:r>
          <w:r>
            <w:rPr>
              <w:rFonts w:hint="eastAsia" w:ascii="宋体" w:hAnsi="宋体" w:eastAsia="宋体" w:cs="宋体"/>
            </w:rPr>
            <w:t>附录B  六种预测方法参数设置</w:t>
          </w:r>
          <w:r>
            <w:tab/>
          </w:r>
          <w:r>
            <w:fldChar w:fldCharType="begin"/>
          </w:r>
          <w:r>
            <w:instrText xml:space="preserve"> PAGEREF _Toc11505 \h </w:instrText>
          </w:r>
          <w:r>
            <w:fldChar w:fldCharType="separate"/>
          </w:r>
          <w:r>
            <w:t>23</w:t>
          </w:r>
          <w:r>
            <w:fldChar w:fldCharType="end"/>
          </w:r>
          <w:r>
            <w:rPr>
              <w:rFonts w:hint="eastAsia" w:ascii="宋体" w:hAnsi="宋体" w:eastAsia="宋体" w:cs="宋体"/>
              <w:szCs w:val="22"/>
              <w:lang w:val="en-US" w:eastAsia="en-US" w:bidi="ar-SA"/>
            </w:rPr>
            <w:fldChar w:fldCharType="end"/>
          </w:r>
        </w:p>
        <w:p w14:paraId="1704FA83">
          <w:pPr>
            <w:spacing w:line="360" w:lineRule="auto"/>
            <w:rPr>
              <w:rFonts w:hint="eastAsia" w:ascii="宋体" w:hAnsi="宋体" w:eastAsia="宋体" w:cs="宋体"/>
              <w:b/>
              <w:sz w:val="22"/>
              <w:szCs w:val="22"/>
              <w:lang w:val="en-US" w:eastAsia="en-US" w:bidi="ar-SA"/>
            </w:rPr>
          </w:pPr>
          <w:r>
            <w:rPr>
              <w:rFonts w:hint="eastAsia" w:ascii="宋体" w:hAnsi="宋体" w:eastAsia="宋体" w:cs="宋体"/>
              <w:szCs w:val="22"/>
              <w:lang w:val="en-US" w:eastAsia="en-US" w:bidi="ar-SA"/>
            </w:rPr>
            <w:fldChar w:fldCharType="end"/>
          </w:r>
        </w:p>
      </w:sdtContent>
    </w:sdt>
    <w:p w14:paraId="65872798">
      <w:pPr>
        <w:spacing w:line="360" w:lineRule="auto"/>
        <w:rPr>
          <w:rFonts w:hint="eastAsia" w:ascii="宋体" w:hAnsi="宋体" w:eastAsia="宋体" w:cs="宋体"/>
          <w:b/>
          <w:sz w:val="22"/>
          <w:szCs w:val="22"/>
          <w:lang w:val="en-US" w:eastAsia="en-US" w:bidi="ar-SA"/>
        </w:rPr>
      </w:pPr>
    </w:p>
    <w:p w14:paraId="5BE620F7">
      <w:pPr>
        <w:spacing w:line="360" w:lineRule="auto"/>
        <w:rPr>
          <w:rFonts w:hint="eastAsia" w:ascii="宋体" w:hAnsi="宋体" w:eastAsia="宋体" w:cs="宋体"/>
          <w:sz w:val="24"/>
        </w:rPr>
        <w:sectPr>
          <w:pgSz w:w="12240" w:h="15840"/>
          <w:pgMar w:top="1417" w:right="1134" w:bottom="1417" w:left="1134" w:header="720" w:footer="720" w:gutter="0"/>
          <w:cols w:space="720" w:num="1"/>
          <w:docGrid w:linePitch="360" w:charSpace="0"/>
        </w:sectPr>
      </w:pPr>
      <w:r>
        <w:rPr>
          <w:rFonts w:hint="eastAsia" w:ascii="宋体" w:hAnsi="宋体" w:eastAsia="宋体" w:cs="宋体"/>
          <w:sz w:val="24"/>
        </w:rPr>
        <w:t xml:space="preserve"> </w:t>
      </w:r>
      <w:bookmarkStart w:id="66" w:name="_GoBack"/>
      <w:bookmarkEnd w:id="66"/>
    </w:p>
    <w:p w14:paraId="58FBB46D">
      <w:pPr>
        <w:spacing w:before="360" w:after="240"/>
        <w:jc w:val="center"/>
        <w:outlineLvl w:val="0"/>
        <w:rPr>
          <w:rFonts w:hint="eastAsia" w:ascii="宋体" w:hAnsi="宋体" w:eastAsia="宋体" w:cs="宋体"/>
        </w:rPr>
      </w:pPr>
      <w:bookmarkStart w:id="3" w:name="_Toc7367"/>
      <w:bookmarkStart w:id="4" w:name="_Toc7909"/>
      <w:r>
        <w:rPr>
          <w:rFonts w:hint="eastAsia" w:ascii="宋体" w:hAnsi="宋体" w:eastAsia="宋体" w:cs="宋体"/>
          <w:b/>
          <w:color w:val="000000"/>
          <w:sz w:val="32"/>
        </w:rPr>
        <w:t>一、研究背景与问题</w:t>
      </w:r>
      <w:bookmarkEnd w:id="3"/>
      <w:bookmarkEnd w:id="4"/>
    </w:p>
    <w:p w14:paraId="2C50304F">
      <w:pPr>
        <w:spacing w:before="240" w:after="120"/>
        <w:ind w:left="0"/>
        <w:outlineLvl w:val="1"/>
        <w:rPr>
          <w:rFonts w:hint="eastAsia" w:ascii="宋体" w:hAnsi="宋体" w:eastAsia="宋体" w:cs="宋体"/>
        </w:rPr>
      </w:pPr>
      <w:bookmarkStart w:id="5" w:name="_Toc5461"/>
      <w:bookmarkStart w:id="6" w:name="_Toc2888"/>
      <w:r>
        <w:rPr>
          <w:rFonts w:hint="eastAsia" w:ascii="宋体" w:hAnsi="宋体" w:eastAsia="宋体" w:cs="宋体"/>
          <w:b/>
          <w:color w:val="000000"/>
          <w:sz w:val="28"/>
        </w:rPr>
        <w:t>（一）行业背景</w:t>
      </w:r>
      <w:bookmarkEnd w:id="5"/>
      <w:bookmarkEnd w:id="6"/>
    </w:p>
    <w:p w14:paraId="6398D71C">
      <w:pPr>
        <w:spacing w:after="40" w:line="360" w:lineRule="auto"/>
        <w:ind w:firstLine="420"/>
        <w:rPr>
          <w:rFonts w:hint="eastAsia" w:ascii="宋体" w:hAnsi="宋体" w:eastAsia="宋体" w:cs="宋体"/>
        </w:rPr>
      </w:pPr>
      <w:r>
        <w:rPr>
          <w:rFonts w:hint="eastAsia" w:ascii="宋体" w:hAnsi="宋体" w:eastAsia="宋体" w:cs="宋体"/>
          <w:b w:val="0"/>
          <w:sz w:val="24"/>
        </w:rPr>
        <w:t>重庆是中国西部汽车工业重镇，拥有长安汽车（000625）和赛力斯（601127）两家上市车企。2020年至2025年，中国新能源汽车渗透率从5.4%升至超过50%，传统车企和新进入者面临不同的转型路径选择。</w:t>
      </w:r>
    </w:p>
    <w:p w14:paraId="203A23F9">
      <w:pPr>
        <w:spacing w:after="40" w:line="360" w:lineRule="auto"/>
        <w:ind w:firstLine="420"/>
        <w:rPr>
          <w:rFonts w:hint="eastAsia" w:ascii="宋体" w:hAnsi="宋体" w:eastAsia="宋体" w:cs="宋体"/>
        </w:rPr>
      </w:pPr>
      <w:r>
        <w:rPr>
          <w:rFonts w:hint="eastAsia" w:ascii="宋体" w:hAnsi="宋体" w:eastAsia="宋体" w:cs="宋体"/>
          <w:b w:val="0"/>
          <w:sz w:val="24"/>
        </w:rPr>
        <w:t>两家企业代表了两种典型模式。赛力斯2021年起与华为深度合作，采用智选模式，借助华为的技术平台和渠道资源推出AITO问界系列（M5/M7/M9），2023-2024年销量快速增长。长安汽车坚持自主研发，先后推出深蓝、阿维塔、启源三个新能源品牌，覆盖不同价格区间。</w:t>
      </w:r>
    </w:p>
    <w:p w14:paraId="2D80F32E">
      <w:pPr>
        <w:spacing w:before="240" w:after="120"/>
        <w:ind w:left="0"/>
        <w:outlineLvl w:val="1"/>
        <w:rPr>
          <w:rFonts w:hint="eastAsia" w:ascii="宋体" w:hAnsi="宋体" w:eastAsia="宋体" w:cs="宋体"/>
        </w:rPr>
      </w:pPr>
      <w:bookmarkStart w:id="7" w:name="_Toc32713"/>
      <w:bookmarkStart w:id="8" w:name="_Toc24823"/>
      <w:r>
        <w:rPr>
          <w:rFonts w:hint="eastAsia" w:ascii="宋体" w:hAnsi="宋体" w:eastAsia="宋体" w:cs="宋体"/>
          <w:b/>
          <w:color w:val="000000"/>
          <w:sz w:val="28"/>
        </w:rPr>
        <w:t>（二）研究问题</w:t>
      </w:r>
      <w:bookmarkEnd w:id="7"/>
      <w:bookmarkEnd w:id="8"/>
    </w:p>
    <w:p w14:paraId="3A5A9D13">
      <w:pPr>
        <w:spacing w:after="40" w:line="360" w:lineRule="auto"/>
        <w:ind w:firstLine="420"/>
        <w:rPr>
          <w:rFonts w:hint="eastAsia" w:ascii="宋体" w:hAnsi="宋体" w:eastAsia="宋体" w:cs="宋体"/>
        </w:rPr>
      </w:pPr>
      <w:r>
        <w:rPr>
          <w:rFonts w:hint="eastAsia" w:ascii="宋体" w:hAnsi="宋体" w:eastAsia="宋体" w:cs="宋体"/>
          <w:b w:val="0"/>
          <w:sz w:val="24"/>
        </w:rPr>
        <w:t>研究要回答的问题是：两种模式下，谁的财务风险更高、财务稳定性更差？</w:t>
      </w:r>
    </w:p>
    <w:tbl>
      <w:tblPr>
        <w:tblStyle w:val="34"/>
        <w:tblW w:w="0" w:type="auto"/>
        <w:jc w:val="center"/>
        <w:tblLayout w:type="autofit"/>
        <w:tblCellMar>
          <w:top w:w="0" w:type="dxa"/>
          <w:left w:w="108" w:type="dxa"/>
          <w:bottom w:w="0" w:type="dxa"/>
          <w:right w:w="108" w:type="dxa"/>
        </w:tblCellMar>
      </w:tblPr>
      <w:tblGrid>
        <w:gridCol w:w="1701"/>
        <w:gridCol w:w="3402"/>
        <w:gridCol w:w="3402"/>
      </w:tblGrid>
      <w:tr w14:paraId="40C69266">
        <w:tblPrEx>
          <w:tblCellMar>
            <w:top w:w="0" w:type="dxa"/>
            <w:left w:w="108" w:type="dxa"/>
            <w:bottom w:w="0" w:type="dxa"/>
            <w:right w:w="108" w:type="dxa"/>
          </w:tblCellMar>
        </w:tblPrEx>
        <w:trPr>
          <w:jc w:val="center"/>
        </w:trPr>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4438D37C">
            <w:pPr>
              <w:jc w:val="center"/>
              <w:rPr>
                <w:rFonts w:hint="eastAsia" w:ascii="宋体" w:hAnsi="宋体" w:eastAsia="宋体" w:cs="宋体"/>
              </w:rPr>
            </w:pPr>
            <w:r>
              <w:rPr>
                <w:rFonts w:hint="eastAsia" w:ascii="宋体" w:hAnsi="宋体" w:eastAsia="宋体" w:cs="宋体"/>
                <w:b/>
                <w:color w:val="1A4789"/>
                <w:sz w:val="18"/>
              </w:rPr>
              <w:t>维度</w:t>
            </w:r>
          </w:p>
        </w:tc>
        <w:tc>
          <w:tcPr>
            <w:tcW w:w="3402" w:type="dxa"/>
            <w:tcBorders>
              <w:top w:val="single" w:color="2E75B6" w:sz="8" w:space="0"/>
              <w:left w:val="single" w:color="CCCCCC" w:sz="4" w:space="0"/>
              <w:bottom w:val="single" w:color="CCCCCC" w:sz="4" w:space="0"/>
              <w:right w:val="single" w:color="CCCCCC" w:sz="4" w:space="0"/>
            </w:tcBorders>
            <w:shd w:val="clear" w:color="auto" w:fill="D5E8F0"/>
          </w:tcPr>
          <w:p w14:paraId="35ED2CCB">
            <w:pPr>
              <w:jc w:val="center"/>
              <w:rPr>
                <w:rFonts w:hint="eastAsia" w:ascii="宋体" w:hAnsi="宋体" w:eastAsia="宋体" w:cs="宋体"/>
              </w:rPr>
            </w:pPr>
            <w:r>
              <w:rPr>
                <w:rFonts w:hint="eastAsia" w:ascii="宋体" w:hAnsi="宋体" w:eastAsia="宋体" w:cs="宋体"/>
                <w:b/>
                <w:color w:val="1A4789"/>
                <w:sz w:val="18"/>
              </w:rPr>
              <w:t>赛力斯(601127)</w:t>
            </w:r>
          </w:p>
        </w:tc>
        <w:tc>
          <w:tcPr>
            <w:tcW w:w="3402" w:type="dxa"/>
            <w:tcBorders>
              <w:top w:val="single" w:color="2E75B6" w:sz="8" w:space="0"/>
              <w:left w:val="single" w:color="CCCCCC" w:sz="4" w:space="0"/>
              <w:bottom w:val="single" w:color="CCCCCC" w:sz="4" w:space="0"/>
              <w:right w:val="single" w:color="CCCCCC" w:sz="4" w:space="0"/>
            </w:tcBorders>
            <w:shd w:val="clear" w:color="auto" w:fill="D5E8F0"/>
          </w:tcPr>
          <w:p w14:paraId="400475E4">
            <w:pPr>
              <w:jc w:val="center"/>
              <w:rPr>
                <w:rFonts w:hint="eastAsia" w:ascii="宋体" w:hAnsi="宋体" w:eastAsia="宋体" w:cs="宋体"/>
              </w:rPr>
            </w:pPr>
            <w:r>
              <w:rPr>
                <w:rFonts w:hint="eastAsia" w:ascii="宋体" w:hAnsi="宋体" w:eastAsia="宋体" w:cs="宋体"/>
                <w:b/>
                <w:color w:val="1A4789"/>
                <w:sz w:val="18"/>
              </w:rPr>
              <w:t>长安汽车(000625)</w:t>
            </w:r>
          </w:p>
        </w:tc>
      </w:tr>
      <w:tr w14:paraId="3AA5F766">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6046285F">
            <w:pPr>
              <w:jc w:val="left"/>
              <w:rPr>
                <w:rFonts w:hint="eastAsia" w:ascii="宋体" w:hAnsi="宋体" w:eastAsia="宋体" w:cs="宋体"/>
              </w:rPr>
            </w:pPr>
            <w:r>
              <w:rPr>
                <w:rFonts w:hint="eastAsia" w:ascii="宋体" w:hAnsi="宋体" w:eastAsia="宋体" w:cs="宋体"/>
                <w:color w:val="333333"/>
                <w:sz w:val="18"/>
              </w:rPr>
              <w:t>经营模式</w:t>
            </w:r>
          </w:p>
        </w:tc>
        <w:tc>
          <w:tcPr>
            <w:tcW w:w="3402" w:type="dxa"/>
            <w:tcBorders>
              <w:top w:val="single" w:color="CCCCCC" w:sz="4" w:space="0"/>
              <w:left w:val="single" w:color="CCCCCC" w:sz="4" w:space="0"/>
              <w:bottom w:val="single" w:color="CCCCCC" w:sz="4" w:space="0"/>
              <w:right w:val="single" w:color="CCCCCC" w:sz="4" w:space="0"/>
            </w:tcBorders>
            <w:shd w:val="clear" w:color="auto" w:fill="F8F9FA"/>
          </w:tcPr>
          <w:p w14:paraId="1A84817F">
            <w:pPr>
              <w:jc w:val="center"/>
              <w:rPr>
                <w:rFonts w:hint="eastAsia" w:ascii="宋体" w:hAnsi="宋体" w:eastAsia="宋体" w:cs="宋体"/>
              </w:rPr>
            </w:pPr>
            <w:r>
              <w:rPr>
                <w:rFonts w:hint="eastAsia" w:ascii="宋体" w:hAnsi="宋体" w:eastAsia="宋体" w:cs="宋体"/>
                <w:color w:val="333333"/>
                <w:sz w:val="18"/>
              </w:rPr>
              <w:t>华为智选（外部协同）</w:t>
            </w:r>
          </w:p>
        </w:tc>
        <w:tc>
          <w:tcPr>
            <w:tcW w:w="3402" w:type="dxa"/>
            <w:tcBorders>
              <w:top w:val="single" w:color="CCCCCC" w:sz="4" w:space="0"/>
              <w:left w:val="single" w:color="CCCCCC" w:sz="4" w:space="0"/>
              <w:bottom w:val="single" w:color="CCCCCC" w:sz="4" w:space="0"/>
              <w:right w:val="single" w:color="CCCCCC" w:sz="4" w:space="0"/>
            </w:tcBorders>
            <w:shd w:val="clear" w:color="auto" w:fill="F8F9FA"/>
          </w:tcPr>
          <w:p w14:paraId="12D66F76">
            <w:pPr>
              <w:jc w:val="center"/>
              <w:rPr>
                <w:rFonts w:hint="eastAsia" w:ascii="宋体" w:hAnsi="宋体" w:eastAsia="宋体" w:cs="宋体"/>
              </w:rPr>
            </w:pPr>
            <w:r>
              <w:rPr>
                <w:rFonts w:hint="eastAsia" w:ascii="宋体" w:hAnsi="宋体" w:eastAsia="宋体" w:cs="宋体"/>
                <w:color w:val="333333"/>
                <w:sz w:val="18"/>
              </w:rPr>
              <w:t>自主品牌矩阵（自主研发）</w:t>
            </w:r>
          </w:p>
        </w:tc>
      </w:tr>
      <w:tr w14:paraId="4BBEFF68">
        <w:tblPrEx>
          <w:tblCellMar>
            <w:top w:w="0" w:type="dxa"/>
            <w:left w:w="108" w:type="dxa"/>
            <w:bottom w:w="0" w:type="dxa"/>
            <w:right w:w="108" w:type="dxa"/>
          </w:tblCellMar>
        </w:tblPrEx>
        <w:trPr>
          <w:jc w:val="center"/>
        </w:trPr>
        <w:tc>
          <w:tcPr>
            <w:tcW w:w="1701" w:type="dxa"/>
          </w:tcPr>
          <w:p w14:paraId="735BB1FA">
            <w:pPr>
              <w:jc w:val="left"/>
              <w:rPr>
                <w:rFonts w:hint="eastAsia" w:ascii="宋体" w:hAnsi="宋体" w:eastAsia="宋体" w:cs="宋体"/>
              </w:rPr>
            </w:pPr>
            <w:r>
              <w:rPr>
                <w:rFonts w:hint="eastAsia" w:ascii="宋体" w:hAnsi="宋体" w:eastAsia="宋体" w:cs="宋体"/>
                <w:color w:val="333333"/>
                <w:sz w:val="18"/>
              </w:rPr>
              <w:t>核心产品</w:t>
            </w:r>
          </w:p>
        </w:tc>
        <w:tc>
          <w:tcPr>
            <w:tcW w:w="3402" w:type="dxa"/>
          </w:tcPr>
          <w:p w14:paraId="30B403FA">
            <w:pPr>
              <w:jc w:val="center"/>
              <w:rPr>
                <w:rFonts w:hint="eastAsia" w:ascii="宋体" w:hAnsi="宋体" w:eastAsia="宋体" w:cs="宋体"/>
              </w:rPr>
            </w:pPr>
            <w:r>
              <w:rPr>
                <w:rFonts w:hint="eastAsia" w:ascii="宋体" w:hAnsi="宋体" w:eastAsia="宋体" w:cs="宋体"/>
                <w:color w:val="333333"/>
                <w:sz w:val="18"/>
              </w:rPr>
              <w:t>AITO问界M5/M7/M9</w:t>
            </w:r>
          </w:p>
        </w:tc>
        <w:tc>
          <w:tcPr>
            <w:tcW w:w="3402" w:type="dxa"/>
          </w:tcPr>
          <w:p w14:paraId="251A3181">
            <w:pPr>
              <w:jc w:val="center"/>
              <w:rPr>
                <w:rFonts w:hint="eastAsia" w:ascii="宋体" w:hAnsi="宋体" w:eastAsia="宋体" w:cs="宋体"/>
              </w:rPr>
            </w:pPr>
            <w:r>
              <w:rPr>
                <w:rFonts w:hint="eastAsia" w:ascii="宋体" w:hAnsi="宋体" w:eastAsia="宋体" w:cs="宋体"/>
                <w:color w:val="333333"/>
                <w:sz w:val="18"/>
              </w:rPr>
              <w:t>深蓝SL03/L07 阿维塔11/12 启源A05/A07</w:t>
            </w:r>
          </w:p>
        </w:tc>
      </w:tr>
      <w:tr w14:paraId="768EABE8">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2795B20">
            <w:pPr>
              <w:jc w:val="left"/>
              <w:rPr>
                <w:rFonts w:hint="eastAsia" w:ascii="宋体" w:hAnsi="宋体" w:eastAsia="宋体" w:cs="宋体"/>
              </w:rPr>
            </w:pPr>
            <w:r>
              <w:rPr>
                <w:rFonts w:hint="eastAsia" w:ascii="宋体" w:hAnsi="宋体" w:eastAsia="宋体" w:cs="宋体"/>
                <w:color w:val="333333"/>
                <w:sz w:val="18"/>
              </w:rPr>
              <w:t>技术来源</w:t>
            </w:r>
          </w:p>
        </w:tc>
        <w:tc>
          <w:tcPr>
            <w:tcW w:w="3402" w:type="dxa"/>
            <w:tcBorders>
              <w:top w:val="single" w:color="CCCCCC" w:sz="4" w:space="0"/>
              <w:left w:val="single" w:color="CCCCCC" w:sz="4" w:space="0"/>
              <w:bottom w:val="single" w:color="CCCCCC" w:sz="4" w:space="0"/>
              <w:right w:val="single" w:color="CCCCCC" w:sz="4" w:space="0"/>
            </w:tcBorders>
            <w:shd w:val="clear" w:color="auto" w:fill="F8F9FA"/>
          </w:tcPr>
          <w:p w14:paraId="7F6C4338">
            <w:pPr>
              <w:jc w:val="center"/>
              <w:rPr>
                <w:rFonts w:hint="eastAsia" w:ascii="宋体" w:hAnsi="宋体" w:eastAsia="宋体" w:cs="宋体"/>
              </w:rPr>
            </w:pPr>
            <w:r>
              <w:rPr>
                <w:rFonts w:hint="eastAsia" w:ascii="宋体" w:hAnsi="宋体" w:eastAsia="宋体" w:cs="宋体"/>
                <w:color w:val="333333"/>
                <w:sz w:val="18"/>
              </w:rPr>
              <w:t>华为提供智驾/座舱/电驱</w:t>
            </w:r>
          </w:p>
        </w:tc>
        <w:tc>
          <w:tcPr>
            <w:tcW w:w="3402" w:type="dxa"/>
            <w:tcBorders>
              <w:top w:val="single" w:color="CCCCCC" w:sz="4" w:space="0"/>
              <w:left w:val="single" w:color="CCCCCC" w:sz="4" w:space="0"/>
              <w:bottom w:val="single" w:color="CCCCCC" w:sz="4" w:space="0"/>
              <w:right w:val="single" w:color="CCCCCC" w:sz="4" w:space="0"/>
            </w:tcBorders>
            <w:shd w:val="clear" w:color="auto" w:fill="F8F9FA"/>
          </w:tcPr>
          <w:p w14:paraId="2CEEFB4F">
            <w:pPr>
              <w:jc w:val="center"/>
              <w:rPr>
                <w:rFonts w:hint="eastAsia" w:ascii="宋体" w:hAnsi="宋体" w:eastAsia="宋体" w:cs="宋体"/>
              </w:rPr>
            </w:pPr>
            <w:r>
              <w:rPr>
                <w:rFonts w:hint="eastAsia" w:ascii="宋体" w:hAnsi="宋体" w:eastAsia="宋体" w:cs="宋体"/>
                <w:color w:val="333333"/>
                <w:sz w:val="18"/>
              </w:rPr>
              <w:t>SDA/EPA/CHN自研平台</w:t>
            </w:r>
          </w:p>
        </w:tc>
      </w:tr>
      <w:tr w14:paraId="655F2287">
        <w:tblPrEx>
          <w:tblCellMar>
            <w:top w:w="0" w:type="dxa"/>
            <w:left w:w="108" w:type="dxa"/>
            <w:bottom w:w="0" w:type="dxa"/>
            <w:right w:w="108" w:type="dxa"/>
          </w:tblCellMar>
        </w:tblPrEx>
        <w:trPr>
          <w:jc w:val="center"/>
        </w:trPr>
        <w:tc>
          <w:tcPr>
            <w:tcW w:w="1701" w:type="dxa"/>
          </w:tcPr>
          <w:p w14:paraId="5908F7E6">
            <w:pPr>
              <w:jc w:val="left"/>
              <w:rPr>
                <w:rFonts w:hint="eastAsia" w:ascii="宋体" w:hAnsi="宋体" w:eastAsia="宋体" w:cs="宋体"/>
              </w:rPr>
            </w:pPr>
            <w:r>
              <w:rPr>
                <w:rFonts w:hint="eastAsia" w:ascii="宋体" w:hAnsi="宋体" w:eastAsia="宋体" w:cs="宋体"/>
                <w:color w:val="333333"/>
                <w:sz w:val="18"/>
              </w:rPr>
              <w:t>资本特征</w:t>
            </w:r>
          </w:p>
        </w:tc>
        <w:tc>
          <w:tcPr>
            <w:tcW w:w="3402" w:type="dxa"/>
          </w:tcPr>
          <w:p w14:paraId="20ABCF88">
            <w:pPr>
              <w:jc w:val="center"/>
              <w:rPr>
                <w:rFonts w:hint="eastAsia" w:ascii="宋体" w:hAnsi="宋体" w:eastAsia="宋体" w:cs="宋体"/>
              </w:rPr>
            </w:pPr>
            <w:r>
              <w:rPr>
                <w:rFonts w:hint="eastAsia" w:ascii="宋体" w:hAnsi="宋体" w:eastAsia="宋体" w:cs="宋体"/>
                <w:color w:val="333333"/>
                <w:sz w:val="18"/>
              </w:rPr>
              <w:t>轻资产、高周转、高杠杆</w:t>
            </w:r>
          </w:p>
        </w:tc>
        <w:tc>
          <w:tcPr>
            <w:tcW w:w="3402" w:type="dxa"/>
          </w:tcPr>
          <w:p w14:paraId="345DE8C0">
            <w:pPr>
              <w:jc w:val="center"/>
              <w:rPr>
                <w:rFonts w:hint="eastAsia" w:ascii="宋体" w:hAnsi="宋体" w:eastAsia="宋体" w:cs="宋体"/>
              </w:rPr>
            </w:pPr>
            <w:r>
              <w:rPr>
                <w:rFonts w:hint="eastAsia" w:ascii="宋体" w:hAnsi="宋体" w:eastAsia="宋体" w:cs="宋体"/>
                <w:color w:val="333333"/>
                <w:sz w:val="18"/>
              </w:rPr>
              <w:t>重资产、稳投入、低杠杆</w:t>
            </w:r>
          </w:p>
        </w:tc>
      </w:tr>
    </w:tbl>
    <w:p w14:paraId="17914918">
      <w:pPr>
        <w:spacing w:after="80"/>
        <w:rPr>
          <w:rFonts w:hint="eastAsia" w:ascii="宋体" w:hAnsi="宋体" w:eastAsia="宋体" w:cs="宋体"/>
        </w:rPr>
      </w:pPr>
    </w:p>
    <w:p w14:paraId="363BD54D">
      <w:pPr>
        <w:rPr>
          <w:rFonts w:hint="eastAsia" w:ascii="宋体" w:hAnsi="宋体" w:eastAsia="宋体" w:cs="宋体"/>
        </w:rPr>
      </w:pPr>
    </w:p>
    <w:p w14:paraId="5B8F2D90">
      <w:pPr>
        <w:spacing w:before="360" w:after="240"/>
        <w:jc w:val="center"/>
        <w:outlineLvl w:val="0"/>
        <w:rPr>
          <w:rFonts w:hint="eastAsia" w:ascii="宋体" w:hAnsi="宋体" w:eastAsia="宋体" w:cs="宋体"/>
        </w:rPr>
      </w:pPr>
      <w:bookmarkStart w:id="9" w:name="_Toc8004"/>
      <w:bookmarkStart w:id="10" w:name="_Toc19155"/>
      <w:r>
        <w:rPr>
          <w:rFonts w:hint="eastAsia" w:ascii="宋体" w:hAnsi="宋体" w:eastAsia="宋体" w:cs="宋体"/>
          <w:b/>
          <w:color w:val="000000"/>
          <w:sz w:val="32"/>
        </w:rPr>
        <w:t>二、数据来源与分析方法</w:t>
      </w:r>
      <w:bookmarkEnd w:id="9"/>
      <w:bookmarkEnd w:id="10"/>
    </w:p>
    <w:p w14:paraId="326A7E1A">
      <w:pPr>
        <w:spacing w:before="240" w:after="120"/>
        <w:ind w:left="0"/>
        <w:outlineLvl w:val="1"/>
        <w:rPr>
          <w:rFonts w:hint="eastAsia" w:ascii="宋体" w:hAnsi="宋体" w:eastAsia="宋体" w:cs="宋体"/>
        </w:rPr>
      </w:pPr>
      <w:bookmarkStart w:id="11" w:name="_Toc21178"/>
      <w:bookmarkStart w:id="12" w:name="_Toc23095"/>
      <w:r>
        <w:rPr>
          <w:rFonts w:hint="eastAsia" w:ascii="宋体" w:hAnsi="宋体" w:eastAsia="宋体" w:cs="宋体"/>
          <w:b/>
          <w:color w:val="000000"/>
          <w:sz w:val="28"/>
        </w:rPr>
        <w:t>（一）样本与数据</w:t>
      </w:r>
      <w:bookmarkEnd w:id="11"/>
      <w:bookmarkEnd w:id="12"/>
    </w:p>
    <w:p w14:paraId="49209804">
      <w:pPr>
        <w:spacing w:after="40" w:line="360" w:lineRule="auto"/>
        <w:ind w:firstLine="420"/>
        <w:rPr>
          <w:rFonts w:hint="eastAsia" w:ascii="宋体" w:hAnsi="宋体" w:eastAsia="宋体" w:cs="宋体"/>
        </w:rPr>
      </w:pPr>
      <w:r>
        <w:rPr>
          <w:rFonts w:hint="eastAsia" w:ascii="宋体" w:hAnsi="宋体" w:eastAsia="宋体" w:cs="宋体"/>
          <w:b w:val="0"/>
          <w:sz w:val="24"/>
        </w:rPr>
        <w:t>财务数据来自AkShare接口，覆盖2016年第一季至2025年第四季（共10年）。选取8家A股乘用车整车企业：赛力斯、长安汽车、比亚迪、上汽集团、长城汽车、广汽集团、江淮汽车、北汽蓝谷。合计314个有效季度观测，每家企业平均39.25个季度。数据包含资产负债表、利润表、现金流量表三张主表。另追加采集赛力斯和长安汽车2026年第一季度数据用于预测回测验证。</w:t>
      </w:r>
    </w:p>
    <w:p w14:paraId="1F76BAF7">
      <w:pPr>
        <w:spacing w:before="240" w:after="120"/>
        <w:ind w:left="0"/>
        <w:outlineLvl w:val="1"/>
        <w:rPr>
          <w:rFonts w:hint="eastAsia" w:ascii="宋体" w:hAnsi="宋体" w:eastAsia="宋体" w:cs="宋体"/>
        </w:rPr>
      </w:pPr>
      <w:bookmarkStart w:id="13" w:name="_Toc14168"/>
      <w:bookmarkStart w:id="14" w:name="_Toc23570"/>
      <w:r>
        <w:rPr>
          <w:rFonts w:hint="eastAsia" w:ascii="宋体" w:hAnsi="宋体" w:eastAsia="宋体" w:cs="宋体"/>
          <w:b/>
          <w:color w:val="000000"/>
          <w:sz w:val="28"/>
        </w:rPr>
        <w:t>（二）财务指标体系</w:t>
      </w:r>
      <w:bookmarkEnd w:id="13"/>
      <w:bookmarkEnd w:id="14"/>
    </w:p>
    <w:p w14:paraId="0E0766DE">
      <w:pPr>
        <w:spacing w:after="40" w:line="360" w:lineRule="auto"/>
        <w:ind w:firstLine="420"/>
        <w:rPr>
          <w:rFonts w:hint="eastAsia" w:ascii="宋体" w:hAnsi="宋体" w:eastAsia="宋体" w:cs="宋体"/>
        </w:rPr>
      </w:pPr>
      <w:r>
        <w:rPr>
          <w:rFonts w:hint="eastAsia" w:ascii="宋体" w:hAnsi="宋体" w:eastAsia="宋体" w:cs="宋体"/>
          <w:b w:val="0"/>
          <w:sz w:val="24"/>
        </w:rPr>
        <w:t>从三大报表计算18项财务比率，分为四组（计算公式见附录A）：盈利能力4项（毛利率、营业利润率、净利润率、净资产收益率）、营运能力3项（存货周转率、总资产周转率、应收账款周转率）、偿债能力4项（流动比率、速动比率、利息保障倍数、资产负债率）、成长能力3项（营业收入增长率、营业利润增长率、净利润增长率）、补充指标4项（有息负债率、经营活动现金净流量/营收、权益乘数、货币资金占比）。</w:t>
      </w:r>
    </w:p>
    <w:p w14:paraId="4F132356">
      <w:pPr>
        <w:spacing w:before="240" w:after="120"/>
        <w:ind w:left="0"/>
        <w:outlineLvl w:val="1"/>
        <w:rPr>
          <w:rFonts w:hint="eastAsia" w:ascii="宋体" w:hAnsi="宋体" w:eastAsia="宋体" w:cs="宋体"/>
        </w:rPr>
      </w:pPr>
      <w:bookmarkStart w:id="15" w:name="_Toc11887"/>
      <w:bookmarkStart w:id="16" w:name="_Toc16801"/>
      <w:r>
        <w:rPr>
          <w:rFonts w:hint="eastAsia" w:ascii="宋体" w:hAnsi="宋体" w:eastAsia="宋体" w:cs="宋体"/>
          <w:b/>
          <w:color w:val="000000"/>
          <w:sz w:val="28"/>
        </w:rPr>
        <w:t>（三）分析模型与方法</w:t>
      </w:r>
      <w:bookmarkEnd w:id="15"/>
      <w:bookmarkEnd w:id="16"/>
    </w:p>
    <w:p w14:paraId="152F4CC5">
      <w:pPr>
        <w:spacing w:after="40" w:line="360" w:lineRule="auto"/>
        <w:ind w:firstLine="420"/>
        <w:rPr>
          <w:rFonts w:hint="eastAsia" w:ascii="宋体" w:hAnsi="宋体" w:eastAsia="宋体" w:cs="宋体"/>
        </w:rPr>
      </w:pPr>
      <w:r>
        <w:rPr>
          <w:rFonts w:hint="eastAsia" w:ascii="宋体" w:hAnsi="宋体" w:eastAsia="宋体" w:cs="宋体"/>
          <w:b w:val="0"/>
          <w:sz w:val="24"/>
        </w:rPr>
        <w:t>K-Means聚类：5维特征（毛利率、经营活动现金净流量/营收、有息负债率、存货周转率、权益乘数），K=3，314个季度观测。</w:t>
      </w:r>
    </w:p>
    <w:p w14:paraId="3CB80165">
      <w:pPr>
        <w:spacing w:after="40" w:line="360" w:lineRule="auto"/>
        <w:ind w:firstLine="420"/>
        <w:rPr>
          <w:rFonts w:hint="eastAsia" w:ascii="宋体" w:hAnsi="宋体" w:eastAsia="宋体" w:cs="宋体"/>
        </w:rPr>
      </w:pPr>
      <w:r>
        <w:rPr>
          <w:rFonts w:hint="eastAsia" w:ascii="宋体" w:hAnsi="宋体" w:eastAsia="宋体" w:cs="宋体"/>
          <w:b w:val="0"/>
          <w:sz w:val="24"/>
        </w:rPr>
        <w:t>孤立森林异常检测：异常比例参数0.10，检测偏离行业常态的季度。</w:t>
      </w:r>
    </w:p>
    <w:p w14:paraId="0C94E0C5">
      <w:pPr>
        <w:spacing w:after="40" w:line="360" w:lineRule="auto"/>
        <w:ind w:firstLine="420"/>
        <w:rPr>
          <w:rFonts w:hint="eastAsia" w:ascii="宋体" w:hAnsi="宋体" w:eastAsia="宋体" w:cs="宋体"/>
        </w:rPr>
      </w:pPr>
      <w:r>
        <w:rPr>
          <w:rFonts w:hint="eastAsia" w:ascii="宋体" w:hAnsi="宋体" w:eastAsia="宋体" w:cs="宋体"/>
          <w:b w:val="0"/>
          <w:sz w:val="24"/>
        </w:rPr>
        <w:t>六种时序预测方法：Ridge回归（L2正则化+多项式趋势+季度季节性）、Prophet（贝叶斯结构时序）、LSTM（长短期记忆网络）、三次指数平滑（Holt-Winters）、ARIMA（自回归积分滑动平均）、线性回归（基线方法）。参数设置见附录B。</w:t>
      </w:r>
    </w:p>
    <w:p w14:paraId="4AF1C43A">
      <w:pPr>
        <w:spacing w:after="40" w:line="360" w:lineRule="auto"/>
        <w:ind w:firstLine="420"/>
        <w:rPr>
          <w:rFonts w:hint="eastAsia" w:ascii="宋体" w:hAnsi="宋体" w:eastAsia="宋体" w:cs="宋体"/>
        </w:rPr>
      </w:pPr>
      <w:r>
        <w:rPr>
          <w:rFonts w:hint="eastAsia" w:ascii="宋体" w:hAnsi="宋体" w:eastAsia="宋体" w:cs="宋体"/>
          <w:b w:val="0"/>
          <w:sz w:val="24"/>
        </w:rPr>
        <w:t>杜邦连环替代：净资产收益率=销售净利率×总资产周转率×权益乘数，逐期分解各因素贡献。</w:t>
      </w:r>
    </w:p>
    <w:p w14:paraId="48D2B974">
      <w:pPr>
        <w:spacing w:after="40" w:line="360" w:lineRule="auto"/>
        <w:ind w:firstLine="420"/>
        <w:rPr>
          <w:rFonts w:hint="eastAsia" w:ascii="宋体" w:hAnsi="宋体" w:eastAsia="宋体" w:cs="宋体"/>
        </w:rPr>
      </w:pPr>
      <w:r>
        <w:rPr>
          <w:rFonts w:hint="eastAsia" w:ascii="宋体" w:hAnsi="宋体" w:eastAsia="宋体" w:cs="宋体"/>
          <w:b w:val="0"/>
          <w:sz w:val="24"/>
        </w:rPr>
        <w:t>Altman Z-score（制造业公式）和沃尔评分（5指标/100分）用于破产预警和综合排名。</w:t>
      </w:r>
    </w:p>
    <w:p w14:paraId="60136BA3">
      <w:pPr>
        <w:spacing w:after="40" w:line="360" w:lineRule="auto"/>
        <w:ind w:firstLine="420"/>
        <w:rPr>
          <w:rFonts w:hint="eastAsia" w:ascii="宋体" w:hAnsi="宋体" w:eastAsia="宋体" w:cs="宋体"/>
        </w:rPr>
      </w:pPr>
      <w:r>
        <w:rPr>
          <w:rFonts w:hint="eastAsia" w:ascii="宋体" w:hAnsi="宋体" w:eastAsia="宋体" w:cs="宋体"/>
          <w:b w:val="0"/>
          <w:sz w:val="24"/>
        </w:rPr>
        <w:t>经营活动现金净流量三组合分析：根据经营/投资/筹资三类活动净额的正负组合，判断企业所处生命周期阶段。</w:t>
      </w:r>
    </w:p>
    <w:p w14:paraId="56D07881">
      <w:pPr>
        <w:spacing w:before="360" w:after="240"/>
        <w:jc w:val="center"/>
        <w:outlineLvl w:val="0"/>
        <w:rPr>
          <w:rFonts w:hint="eastAsia" w:ascii="宋体" w:hAnsi="宋体" w:eastAsia="宋体" w:cs="宋体"/>
        </w:rPr>
      </w:pPr>
      <w:bookmarkStart w:id="17" w:name="_Toc13448"/>
      <w:bookmarkStart w:id="18" w:name="_Toc7681"/>
      <w:r>
        <w:rPr>
          <w:rFonts w:hint="eastAsia" w:ascii="宋体" w:hAnsi="宋体" w:eastAsia="宋体" w:cs="宋体"/>
          <w:b/>
          <w:color w:val="000000"/>
          <w:sz w:val="32"/>
        </w:rPr>
        <w:t>三、财务指标分析</w:t>
      </w:r>
      <w:bookmarkEnd w:id="17"/>
      <w:bookmarkEnd w:id="18"/>
    </w:p>
    <w:p w14:paraId="19C8FC58">
      <w:pPr>
        <w:spacing w:before="240" w:after="120"/>
        <w:ind w:left="0"/>
        <w:outlineLvl w:val="1"/>
        <w:rPr>
          <w:rFonts w:hint="eastAsia" w:ascii="宋体" w:hAnsi="宋体" w:eastAsia="宋体" w:cs="宋体"/>
        </w:rPr>
      </w:pPr>
      <w:bookmarkStart w:id="19" w:name="_Toc4498"/>
      <w:bookmarkStart w:id="20" w:name="_Toc13929"/>
      <w:r>
        <w:rPr>
          <w:rFonts w:hint="eastAsia" w:ascii="宋体" w:hAnsi="宋体" w:eastAsia="宋体" w:cs="宋体"/>
          <w:b/>
          <w:color w:val="000000"/>
          <w:sz w:val="28"/>
        </w:rPr>
        <w:t>（一）核心指标对比</w:t>
      </w:r>
      <w:bookmarkEnd w:id="19"/>
      <w:bookmarkEnd w:id="20"/>
    </w:p>
    <w:tbl>
      <w:tblPr>
        <w:tblStyle w:val="34"/>
        <w:tblW w:w="0" w:type="auto"/>
        <w:jc w:val="center"/>
        <w:tblLayout w:type="autofit"/>
        <w:tblCellMar>
          <w:top w:w="0" w:type="dxa"/>
          <w:left w:w="108" w:type="dxa"/>
          <w:bottom w:w="0" w:type="dxa"/>
          <w:right w:w="108" w:type="dxa"/>
        </w:tblCellMar>
      </w:tblPr>
      <w:tblGrid>
        <w:gridCol w:w="1701"/>
        <w:gridCol w:w="1247"/>
        <w:gridCol w:w="1247"/>
        <w:gridCol w:w="1587"/>
        <w:gridCol w:w="1587"/>
        <w:gridCol w:w="1247"/>
      </w:tblGrid>
      <w:tr w14:paraId="038A3340">
        <w:tblPrEx>
          <w:tblCellMar>
            <w:top w:w="0" w:type="dxa"/>
            <w:left w:w="108" w:type="dxa"/>
            <w:bottom w:w="0" w:type="dxa"/>
            <w:right w:w="108" w:type="dxa"/>
          </w:tblCellMar>
        </w:tblPrEx>
        <w:trPr>
          <w:jc w:val="center"/>
        </w:trPr>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0ED840E2">
            <w:pPr>
              <w:jc w:val="center"/>
              <w:rPr>
                <w:rFonts w:hint="eastAsia" w:ascii="宋体" w:hAnsi="宋体" w:eastAsia="宋体" w:cs="宋体"/>
              </w:rPr>
            </w:pPr>
            <w:r>
              <w:rPr>
                <w:rFonts w:hint="eastAsia" w:ascii="宋体" w:hAnsi="宋体" w:eastAsia="宋体" w:cs="宋体"/>
                <w:b/>
                <w:color w:val="1A4789"/>
                <w:sz w:val="18"/>
              </w:rPr>
              <w:t>公司</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49C9C567">
            <w:pPr>
              <w:jc w:val="center"/>
              <w:rPr>
                <w:rFonts w:hint="eastAsia" w:ascii="宋体" w:hAnsi="宋体" w:eastAsia="宋体" w:cs="宋体"/>
              </w:rPr>
            </w:pPr>
            <w:r>
              <w:rPr>
                <w:rFonts w:hint="eastAsia" w:ascii="宋体" w:hAnsi="宋体" w:eastAsia="宋体" w:cs="宋体"/>
                <w:b/>
                <w:color w:val="1A4789"/>
                <w:sz w:val="18"/>
              </w:rPr>
              <w:t>毛利率</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329526C7">
            <w:pPr>
              <w:jc w:val="center"/>
              <w:rPr>
                <w:rFonts w:hint="eastAsia" w:ascii="宋体" w:hAnsi="宋体" w:eastAsia="宋体" w:cs="宋体"/>
              </w:rPr>
            </w:pPr>
            <w:r>
              <w:rPr>
                <w:rFonts w:hint="eastAsia" w:ascii="宋体" w:hAnsi="宋体" w:eastAsia="宋体" w:cs="宋体"/>
                <w:b/>
                <w:color w:val="1A4789"/>
                <w:sz w:val="18"/>
              </w:rPr>
              <w:t>净利润率</w:t>
            </w:r>
          </w:p>
        </w:tc>
        <w:tc>
          <w:tcPr>
            <w:tcW w:w="1587" w:type="dxa"/>
            <w:tcBorders>
              <w:top w:val="single" w:color="2E75B6" w:sz="8" w:space="0"/>
              <w:left w:val="single" w:color="CCCCCC" w:sz="4" w:space="0"/>
              <w:bottom w:val="single" w:color="CCCCCC" w:sz="4" w:space="0"/>
              <w:right w:val="single" w:color="CCCCCC" w:sz="4" w:space="0"/>
            </w:tcBorders>
            <w:shd w:val="clear" w:color="auto" w:fill="D5E8F0"/>
          </w:tcPr>
          <w:p w14:paraId="784FB985">
            <w:pPr>
              <w:jc w:val="center"/>
              <w:rPr>
                <w:rFonts w:hint="eastAsia" w:ascii="宋体" w:hAnsi="宋体" w:eastAsia="宋体" w:cs="宋体"/>
              </w:rPr>
            </w:pPr>
            <w:r>
              <w:rPr>
                <w:rFonts w:hint="eastAsia" w:ascii="宋体" w:hAnsi="宋体" w:eastAsia="宋体" w:cs="宋体"/>
                <w:b/>
                <w:color w:val="1A4789"/>
                <w:sz w:val="18"/>
              </w:rPr>
              <w:t>净资产收益率</w:t>
            </w:r>
          </w:p>
        </w:tc>
        <w:tc>
          <w:tcPr>
            <w:tcW w:w="1587" w:type="dxa"/>
            <w:tcBorders>
              <w:top w:val="single" w:color="2E75B6" w:sz="8" w:space="0"/>
              <w:left w:val="single" w:color="CCCCCC" w:sz="4" w:space="0"/>
              <w:bottom w:val="single" w:color="CCCCCC" w:sz="4" w:space="0"/>
              <w:right w:val="single" w:color="CCCCCC" w:sz="4" w:space="0"/>
            </w:tcBorders>
            <w:shd w:val="clear" w:color="auto" w:fill="D5E8F0"/>
          </w:tcPr>
          <w:p w14:paraId="0842C38D">
            <w:pPr>
              <w:jc w:val="center"/>
              <w:rPr>
                <w:rFonts w:hint="eastAsia" w:ascii="宋体" w:hAnsi="宋体" w:eastAsia="宋体" w:cs="宋体"/>
              </w:rPr>
            </w:pPr>
            <w:r>
              <w:rPr>
                <w:rFonts w:hint="eastAsia" w:ascii="宋体" w:hAnsi="宋体" w:eastAsia="宋体" w:cs="宋体"/>
                <w:b/>
                <w:color w:val="1A4789"/>
                <w:sz w:val="18"/>
              </w:rPr>
              <w:t>资产负债率</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2F575EFE">
            <w:pPr>
              <w:jc w:val="center"/>
              <w:rPr>
                <w:rFonts w:hint="eastAsia" w:ascii="宋体" w:hAnsi="宋体" w:eastAsia="宋体" w:cs="宋体"/>
              </w:rPr>
            </w:pPr>
            <w:r>
              <w:rPr>
                <w:rFonts w:hint="eastAsia" w:ascii="宋体" w:hAnsi="宋体" w:eastAsia="宋体" w:cs="宋体"/>
                <w:b/>
                <w:color w:val="1A4789"/>
                <w:sz w:val="18"/>
              </w:rPr>
              <w:t>流动比率</w:t>
            </w:r>
          </w:p>
        </w:tc>
      </w:tr>
      <w:tr w14:paraId="47B57E77">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F3A4B65">
            <w:pPr>
              <w:jc w:val="left"/>
              <w:rPr>
                <w:rFonts w:hint="eastAsia" w:ascii="宋体" w:hAnsi="宋体" w:eastAsia="宋体" w:cs="宋体"/>
              </w:rPr>
            </w:pPr>
            <w:r>
              <w:rPr>
                <w:rFonts w:hint="eastAsia" w:ascii="宋体" w:hAnsi="宋体" w:eastAsia="宋体" w:cs="宋体"/>
                <w:color w:val="333333"/>
                <w:sz w:val="18"/>
              </w:rPr>
              <w:t>赛力斯</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0F83C19D">
            <w:pPr>
              <w:jc w:val="center"/>
              <w:rPr>
                <w:rFonts w:hint="eastAsia" w:ascii="宋体" w:hAnsi="宋体" w:eastAsia="宋体" w:cs="宋体"/>
              </w:rPr>
            </w:pPr>
            <w:r>
              <w:rPr>
                <w:rFonts w:hint="eastAsia" w:ascii="宋体" w:hAnsi="宋体" w:eastAsia="宋体" w:cs="宋体"/>
                <w:color w:val="333333"/>
                <w:sz w:val="18"/>
              </w:rPr>
              <w:t>4.36%</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338B0DC7">
            <w:pPr>
              <w:jc w:val="center"/>
              <w:rPr>
                <w:rFonts w:hint="eastAsia" w:ascii="宋体" w:hAnsi="宋体" w:eastAsia="宋体" w:cs="宋体"/>
              </w:rPr>
            </w:pPr>
            <w:r>
              <w:rPr>
                <w:rFonts w:hint="eastAsia" w:ascii="宋体" w:hAnsi="宋体" w:eastAsia="宋体" w:cs="宋体"/>
                <w:color w:val="333333"/>
                <w:sz w:val="18"/>
              </w:rPr>
              <w:t>3.72%</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50731433">
            <w:pPr>
              <w:jc w:val="center"/>
              <w:rPr>
                <w:rFonts w:hint="eastAsia" w:ascii="宋体" w:hAnsi="宋体" w:eastAsia="宋体" w:cs="宋体"/>
              </w:rPr>
            </w:pPr>
            <w:r>
              <w:rPr>
                <w:rFonts w:hint="eastAsia" w:ascii="宋体" w:hAnsi="宋体" w:eastAsia="宋体" w:cs="宋体"/>
                <w:color w:val="333333"/>
                <w:sz w:val="18"/>
              </w:rPr>
              <w:t>21.90%</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67B8604E">
            <w:pPr>
              <w:jc w:val="center"/>
              <w:rPr>
                <w:rFonts w:hint="eastAsia" w:ascii="宋体" w:hAnsi="宋体" w:eastAsia="宋体" w:cs="宋体"/>
              </w:rPr>
            </w:pPr>
            <w:r>
              <w:rPr>
                <w:rFonts w:hint="eastAsia" w:ascii="宋体" w:hAnsi="宋体" w:eastAsia="宋体" w:cs="宋体"/>
                <w:color w:val="333333"/>
                <w:sz w:val="18"/>
              </w:rPr>
              <w:t>70.91%</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1E9FB477">
            <w:pPr>
              <w:jc w:val="center"/>
              <w:rPr>
                <w:rFonts w:hint="eastAsia" w:ascii="宋体" w:hAnsi="宋体" w:eastAsia="宋体" w:cs="宋体"/>
              </w:rPr>
            </w:pPr>
            <w:r>
              <w:rPr>
                <w:rFonts w:hint="eastAsia" w:ascii="宋体" w:hAnsi="宋体" w:eastAsia="宋体" w:cs="宋体"/>
                <w:color w:val="333333"/>
                <w:sz w:val="18"/>
              </w:rPr>
              <w:t>1.05</w:t>
            </w:r>
          </w:p>
        </w:tc>
      </w:tr>
      <w:tr w14:paraId="06048396">
        <w:tblPrEx>
          <w:tblCellMar>
            <w:top w:w="0" w:type="dxa"/>
            <w:left w:w="108" w:type="dxa"/>
            <w:bottom w:w="0" w:type="dxa"/>
            <w:right w:w="108" w:type="dxa"/>
          </w:tblCellMar>
        </w:tblPrEx>
        <w:trPr>
          <w:jc w:val="center"/>
        </w:trPr>
        <w:tc>
          <w:tcPr>
            <w:tcW w:w="1701" w:type="dxa"/>
          </w:tcPr>
          <w:p w14:paraId="5241AC88">
            <w:pPr>
              <w:jc w:val="left"/>
              <w:rPr>
                <w:rFonts w:hint="eastAsia" w:ascii="宋体" w:hAnsi="宋体" w:eastAsia="宋体" w:cs="宋体"/>
              </w:rPr>
            </w:pPr>
            <w:r>
              <w:rPr>
                <w:rFonts w:hint="eastAsia" w:ascii="宋体" w:hAnsi="宋体" w:eastAsia="宋体" w:cs="宋体"/>
                <w:color w:val="333333"/>
                <w:sz w:val="18"/>
              </w:rPr>
              <w:t>长安汽车</w:t>
            </w:r>
          </w:p>
        </w:tc>
        <w:tc>
          <w:tcPr>
            <w:tcW w:w="1247" w:type="dxa"/>
          </w:tcPr>
          <w:p w14:paraId="41EE80F7">
            <w:pPr>
              <w:jc w:val="center"/>
              <w:rPr>
                <w:rFonts w:hint="eastAsia" w:ascii="宋体" w:hAnsi="宋体" w:eastAsia="宋体" w:cs="宋体"/>
              </w:rPr>
            </w:pPr>
            <w:r>
              <w:rPr>
                <w:rFonts w:hint="eastAsia" w:ascii="宋体" w:hAnsi="宋体" w:eastAsia="宋体" w:cs="宋体"/>
                <w:color w:val="333333"/>
                <w:sz w:val="18"/>
              </w:rPr>
              <w:t>1.61%</w:t>
            </w:r>
          </w:p>
        </w:tc>
        <w:tc>
          <w:tcPr>
            <w:tcW w:w="1247" w:type="dxa"/>
          </w:tcPr>
          <w:p w14:paraId="7E043227">
            <w:pPr>
              <w:jc w:val="center"/>
              <w:rPr>
                <w:rFonts w:hint="eastAsia" w:ascii="宋体" w:hAnsi="宋体" w:eastAsia="宋体" w:cs="宋体"/>
              </w:rPr>
            </w:pPr>
            <w:r>
              <w:rPr>
                <w:rFonts w:hint="eastAsia" w:ascii="宋体" w:hAnsi="宋体" w:eastAsia="宋体" w:cs="宋体"/>
                <w:color w:val="333333"/>
                <w:sz w:val="18"/>
              </w:rPr>
              <w:t>1.93%</w:t>
            </w:r>
          </w:p>
        </w:tc>
        <w:tc>
          <w:tcPr>
            <w:tcW w:w="1587" w:type="dxa"/>
          </w:tcPr>
          <w:p w14:paraId="68AF0E81">
            <w:pPr>
              <w:jc w:val="center"/>
              <w:rPr>
                <w:rFonts w:hint="eastAsia" w:ascii="宋体" w:hAnsi="宋体" w:eastAsia="宋体" w:cs="宋体"/>
              </w:rPr>
            </w:pPr>
            <w:r>
              <w:rPr>
                <w:rFonts w:hint="eastAsia" w:ascii="宋体" w:hAnsi="宋体" w:eastAsia="宋体" w:cs="宋体"/>
                <w:color w:val="333333"/>
                <w:sz w:val="18"/>
              </w:rPr>
              <w:t>5.43%</w:t>
            </w:r>
          </w:p>
        </w:tc>
        <w:tc>
          <w:tcPr>
            <w:tcW w:w="1587" w:type="dxa"/>
          </w:tcPr>
          <w:p w14:paraId="42B9F6C0">
            <w:pPr>
              <w:jc w:val="center"/>
              <w:rPr>
                <w:rFonts w:hint="eastAsia" w:ascii="宋体" w:hAnsi="宋体" w:eastAsia="宋体" w:cs="宋体"/>
              </w:rPr>
            </w:pPr>
            <w:r>
              <w:rPr>
                <w:rFonts w:hint="eastAsia" w:ascii="宋体" w:hAnsi="宋体" w:eastAsia="宋体" w:cs="宋体"/>
                <w:color w:val="333333"/>
                <w:sz w:val="18"/>
              </w:rPr>
              <w:t>59.61%</w:t>
            </w:r>
          </w:p>
        </w:tc>
        <w:tc>
          <w:tcPr>
            <w:tcW w:w="1247" w:type="dxa"/>
          </w:tcPr>
          <w:p w14:paraId="051B47AC">
            <w:pPr>
              <w:jc w:val="center"/>
              <w:rPr>
                <w:rFonts w:hint="eastAsia" w:ascii="宋体" w:hAnsi="宋体" w:eastAsia="宋体" w:cs="宋体"/>
              </w:rPr>
            </w:pPr>
            <w:r>
              <w:rPr>
                <w:rFonts w:hint="eastAsia" w:ascii="宋体" w:hAnsi="宋体" w:eastAsia="宋体" w:cs="宋体"/>
                <w:color w:val="333333"/>
                <w:sz w:val="18"/>
              </w:rPr>
              <w:t>1.21</w:t>
            </w:r>
          </w:p>
        </w:tc>
      </w:tr>
      <w:tr w14:paraId="1FC77363">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0F3DF24B">
            <w:pPr>
              <w:jc w:val="left"/>
              <w:rPr>
                <w:rFonts w:hint="eastAsia" w:ascii="宋体" w:hAnsi="宋体" w:eastAsia="宋体" w:cs="宋体"/>
              </w:rPr>
            </w:pPr>
            <w:r>
              <w:rPr>
                <w:rFonts w:hint="eastAsia" w:ascii="宋体" w:hAnsi="宋体" w:eastAsia="宋体" w:cs="宋体"/>
                <w:color w:val="333333"/>
                <w:sz w:val="18"/>
              </w:rPr>
              <w:t>比亚迪</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06D3D40C">
            <w:pPr>
              <w:jc w:val="center"/>
              <w:rPr>
                <w:rFonts w:hint="eastAsia" w:ascii="宋体" w:hAnsi="宋体" w:eastAsia="宋体" w:cs="宋体"/>
              </w:rPr>
            </w:pPr>
            <w:r>
              <w:rPr>
                <w:rFonts w:hint="eastAsia" w:ascii="宋体" w:hAnsi="宋体" w:eastAsia="宋体" w:cs="宋体"/>
                <w:color w:val="333333"/>
                <w:sz w:val="18"/>
              </w:rPr>
              <w:t>3.16%</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71A82C58">
            <w:pPr>
              <w:jc w:val="center"/>
              <w:rPr>
                <w:rFonts w:hint="eastAsia" w:ascii="宋体" w:hAnsi="宋体" w:eastAsia="宋体" w:cs="宋体"/>
              </w:rPr>
            </w:pPr>
            <w:r>
              <w:rPr>
                <w:rFonts w:hint="eastAsia" w:ascii="宋体" w:hAnsi="宋体" w:eastAsia="宋体" w:cs="宋体"/>
                <w:color w:val="333333"/>
                <w:sz w:val="18"/>
              </w:rPr>
              <w:t>4.20%</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447E1861">
            <w:pPr>
              <w:jc w:val="center"/>
              <w:rPr>
                <w:rFonts w:hint="eastAsia" w:ascii="宋体" w:hAnsi="宋体" w:eastAsia="宋体" w:cs="宋体"/>
              </w:rPr>
            </w:pPr>
            <w:r>
              <w:rPr>
                <w:rFonts w:hint="eastAsia" w:ascii="宋体" w:hAnsi="宋体" w:eastAsia="宋体" w:cs="宋体"/>
                <w:color w:val="333333"/>
                <w:sz w:val="18"/>
              </w:rPr>
              <w:t>16.24%</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495F9F8F">
            <w:pPr>
              <w:jc w:val="center"/>
              <w:rPr>
                <w:rFonts w:hint="eastAsia" w:ascii="宋体" w:hAnsi="宋体" w:eastAsia="宋体" w:cs="宋体"/>
              </w:rPr>
            </w:pPr>
            <w:r>
              <w:rPr>
                <w:rFonts w:hint="eastAsia" w:ascii="宋体" w:hAnsi="宋体" w:eastAsia="宋体" w:cs="宋体"/>
                <w:color w:val="333333"/>
                <w:sz w:val="18"/>
              </w:rPr>
              <w:t>70.74%</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52FA195C">
            <w:pPr>
              <w:jc w:val="center"/>
              <w:rPr>
                <w:rFonts w:hint="eastAsia" w:ascii="宋体" w:hAnsi="宋体" w:eastAsia="宋体" w:cs="宋体"/>
              </w:rPr>
            </w:pPr>
            <w:r>
              <w:rPr>
                <w:rFonts w:hint="eastAsia" w:ascii="宋体" w:hAnsi="宋体" w:eastAsia="宋体" w:cs="宋体"/>
                <w:color w:val="333333"/>
                <w:sz w:val="18"/>
              </w:rPr>
              <w:t>0.79</w:t>
            </w:r>
          </w:p>
        </w:tc>
      </w:tr>
      <w:tr w14:paraId="066926DE">
        <w:tblPrEx>
          <w:tblCellMar>
            <w:top w:w="0" w:type="dxa"/>
            <w:left w:w="108" w:type="dxa"/>
            <w:bottom w:w="0" w:type="dxa"/>
            <w:right w:w="108" w:type="dxa"/>
          </w:tblCellMar>
        </w:tblPrEx>
        <w:trPr>
          <w:jc w:val="center"/>
        </w:trPr>
        <w:tc>
          <w:tcPr>
            <w:tcW w:w="1701" w:type="dxa"/>
          </w:tcPr>
          <w:p w14:paraId="4DF750C6">
            <w:pPr>
              <w:jc w:val="left"/>
              <w:rPr>
                <w:rFonts w:hint="eastAsia" w:ascii="宋体" w:hAnsi="宋体" w:eastAsia="宋体" w:cs="宋体"/>
              </w:rPr>
            </w:pPr>
            <w:r>
              <w:rPr>
                <w:rFonts w:hint="eastAsia" w:ascii="宋体" w:hAnsi="宋体" w:eastAsia="宋体" w:cs="宋体"/>
                <w:color w:val="333333"/>
                <w:sz w:val="18"/>
              </w:rPr>
              <w:t>长城汽车</w:t>
            </w:r>
          </w:p>
        </w:tc>
        <w:tc>
          <w:tcPr>
            <w:tcW w:w="1247" w:type="dxa"/>
          </w:tcPr>
          <w:p w14:paraId="0CFF0704">
            <w:pPr>
              <w:jc w:val="center"/>
              <w:rPr>
                <w:rFonts w:hint="eastAsia" w:ascii="宋体" w:hAnsi="宋体" w:eastAsia="宋体" w:cs="宋体"/>
              </w:rPr>
            </w:pPr>
            <w:r>
              <w:rPr>
                <w:rFonts w:hint="eastAsia" w:ascii="宋体" w:hAnsi="宋体" w:eastAsia="宋体" w:cs="宋体"/>
                <w:color w:val="333333"/>
                <w:sz w:val="18"/>
              </w:rPr>
              <w:t>3.25%</w:t>
            </w:r>
          </w:p>
        </w:tc>
        <w:tc>
          <w:tcPr>
            <w:tcW w:w="1247" w:type="dxa"/>
          </w:tcPr>
          <w:p w14:paraId="032D5FB5">
            <w:pPr>
              <w:jc w:val="center"/>
              <w:rPr>
                <w:rFonts w:hint="eastAsia" w:ascii="宋体" w:hAnsi="宋体" w:eastAsia="宋体" w:cs="宋体"/>
              </w:rPr>
            </w:pPr>
            <w:r>
              <w:rPr>
                <w:rFonts w:hint="eastAsia" w:ascii="宋体" w:hAnsi="宋体" w:eastAsia="宋体" w:cs="宋体"/>
                <w:color w:val="333333"/>
                <w:sz w:val="18"/>
              </w:rPr>
              <w:t>4.43%</w:t>
            </w:r>
          </w:p>
        </w:tc>
        <w:tc>
          <w:tcPr>
            <w:tcW w:w="1587" w:type="dxa"/>
          </w:tcPr>
          <w:p w14:paraId="4D84C7C6">
            <w:pPr>
              <w:jc w:val="center"/>
              <w:rPr>
                <w:rFonts w:hint="eastAsia" w:ascii="宋体" w:hAnsi="宋体" w:eastAsia="宋体" w:cs="宋体"/>
              </w:rPr>
            </w:pPr>
            <w:r>
              <w:rPr>
                <w:rFonts w:hint="eastAsia" w:ascii="宋体" w:hAnsi="宋体" w:eastAsia="宋体" w:cs="宋体"/>
                <w:color w:val="333333"/>
                <w:sz w:val="18"/>
              </w:rPr>
              <w:t>11.94%</w:t>
            </w:r>
          </w:p>
        </w:tc>
        <w:tc>
          <w:tcPr>
            <w:tcW w:w="1587" w:type="dxa"/>
          </w:tcPr>
          <w:p w14:paraId="681B4983">
            <w:pPr>
              <w:jc w:val="center"/>
              <w:rPr>
                <w:rFonts w:hint="eastAsia" w:ascii="宋体" w:hAnsi="宋体" w:eastAsia="宋体" w:cs="宋体"/>
              </w:rPr>
            </w:pPr>
            <w:r>
              <w:rPr>
                <w:rFonts w:hint="eastAsia" w:ascii="宋体" w:hAnsi="宋体" w:eastAsia="宋体" w:cs="宋体"/>
                <w:color w:val="333333"/>
                <w:sz w:val="18"/>
              </w:rPr>
              <w:t>60.99%</w:t>
            </w:r>
          </w:p>
        </w:tc>
        <w:tc>
          <w:tcPr>
            <w:tcW w:w="1247" w:type="dxa"/>
          </w:tcPr>
          <w:p w14:paraId="37D0DD8E">
            <w:pPr>
              <w:jc w:val="center"/>
              <w:rPr>
                <w:rFonts w:hint="eastAsia" w:ascii="宋体" w:hAnsi="宋体" w:eastAsia="宋体" w:cs="宋体"/>
              </w:rPr>
            </w:pPr>
            <w:r>
              <w:rPr>
                <w:rFonts w:hint="eastAsia" w:ascii="宋体" w:hAnsi="宋体" w:eastAsia="宋体" w:cs="宋体"/>
                <w:color w:val="333333"/>
                <w:sz w:val="18"/>
              </w:rPr>
              <w:t>1.09</w:t>
            </w:r>
          </w:p>
        </w:tc>
      </w:tr>
      <w:tr w14:paraId="0610BCAB">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197E408">
            <w:pPr>
              <w:jc w:val="left"/>
              <w:rPr>
                <w:rFonts w:hint="eastAsia" w:ascii="宋体" w:hAnsi="宋体" w:eastAsia="宋体" w:cs="宋体"/>
              </w:rPr>
            </w:pPr>
            <w:r>
              <w:rPr>
                <w:rFonts w:hint="eastAsia" w:ascii="宋体" w:hAnsi="宋体" w:eastAsia="宋体" w:cs="宋体"/>
                <w:color w:val="333333"/>
                <w:sz w:val="18"/>
              </w:rPr>
              <w:t>上汽集团</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3150D18B">
            <w:pPr>
              <w:jc w:val="center"/>
              <w:rPr>
                <w:rFonts w:hint="eastAsia" w:ascii="宋体" w:hAnsi="宋体" w:eastAsia="宋体" w:cs="宋体"/>
              </w:rPr>
            </w:pPr>
            <w:r>
              <w:rPr>
                <w:rFonts w:hint="eastAsia" w:ascii="宋体" w:hAnsi="宋体" w:eastAsia="宋体" w:cs="宋体"/>
                <w:color w:val="333333"/>
                <w:sz w:val="18"/>
              </w:rPr>
              <w:t>-0.43%</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57BBD3A0">
            <w:pPr>
              <w:jc w:val="center"/>
              <w:rPr>
                <w:rFonts w:hint="eastAsia" w:ascii="宋体" w:hAnsi="宋体" w:eastAsia="宋体" w:cs="宋体"/>
              </w:rPr>
            </w:pPr>
            <w:r>
              <w:rPr>
                <w:rFonts w:hint="eastAsia" w:ascii="宋体" w:hAnsi="宋体" w:eastAsia="宋体" w:cs="宋体"/>
                <w:color w:val="333333"/>
                <w:sz w:val="18"/>
              </w:rPr>
              <w:t>2.70%</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4A31A96B">
            <w:pPr>
              <w:jc w:val="center"/>
              <w:rPr>
                <w:rFonts w:hint="eastAsia" w:ascii="宋体" w:hAnsi="宋体" w:eastAsia="宋体" w:cs="宋体"/>
              </w:rPr>
            </w:pPr>
            <w:r>
              <w:rPr>
                <w:rFonts w:hint="eastAsia" w:ascii="宋体" w:hAnsi="宋体" w:eastAsia="宋体" w:cs="宋体"/>
                <w:color w:val="333333"/>
                <w:sz w:val="18"/>
              </w:rPr>
              <w:t>3.42%</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74752F34">
            <w:pPr>
              <w:jc w:val="center"/>
              <w:rPr>
                <w:rFonts w:hint="eastAsia" w:ascii="宋体" w:hAnsi="宋体" w:eastAsia="宋体" w:cs="宋体"/>
              </w:rPr>
            </w:pPr>
            <w:r>
              <w:rPr>
                <w:rFonts w:hint="eastAsia" w:ascii="宋体" w:hAnsi="宋体" w:eastAsia="宋体" w:cs="宋体"/>
                <w:color w:val="333333"/>
                <w:sz w:val="18"/>
              </w:rPr>
              <w:t>62.37%</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458CB225">
            <w:pPr>
              <w:jc w:val="center"/>
              <w:rPr>
                <w:rFonts w:hint="eastAsia" w:ascii="宋体" w:hAnsi="宋体" w:eastAsia="宋体" w:cs="宋体"/>
              </w:rPr>
            </w:pPr>
            <w:r>
              <w:rPr>
                <w:rFonts w:hint="eastAsia" w:ascii="宋体" w:hAnsi="宋体" w:eastAsia="宋体" w:cs="宋体"/>
                <w:color w:val="333333"/>
                <w:sz w:val="18"/>
              </w:rPr>
              <w:t>1.20</w:t>
            </w:r>
          </w:p>
        </w:tc>
      </w:tr>
      <w:tr w14:paraId="0FB876FE">
        <w:tblPrEx>
          <w:tblCellMar>
            <w:top w:w="0" w:type="dxa"/>
            <w:left w:w="108" w:type="dxa"/>
            <w:bottom w:w="0" w:type="dxa"/>
            <w:right w:w="108" w:type="dxa"/>
          </w:tblCellMar>
        </w:tblPrEx>
        <w:trPr>
          <w:jc w:val="center"/>
        </w:trPr>
        <w:tc>
          <w:tcPr>
            <w:tcW w:w="1701" w:type="dxa"/>
          </w:tcPr>
          <w:p w14:paraId="1AA7E187">
            <w:pPr>
              <w:jc w:val="left"/>
              <w:rPr>
                <w:rFonts w:hint="eastAsia" w:ascii="宋体" w:hAnsi="宋体" w:eastAsia="宋体" w:cs="宋体"/>
              </w:rPr>
            </w:pPr>
            <w:r>
              <w:rPr>
                <w:rFonts w:hint="eastAsia" w:ascii="宋体" w:hAnsi="宋体" w:eastAsia="宋体" w:cs="宋体"/>
                <w:color w:val="333333"/>
                <w:sz w:val="18"/>
              </w:rPr>
              <w:t>广汽集团</w:t>
            </w:r>
          </w:p>
        </w:tc>
        <w:tc>
          <w:tcPr>
            <w:tcW w:w="1247" w:type="dxa"/>
          </w:tcPr>
          <w:p w14:paraId="5DCF2C2C">
            <w:pPr>
              <w:jc w:val="center"/>
              <w:rPr>
                <w:rFonts w:hint="eastAsia" w:ascii="宋体" w:hAnsi="宋体" w:eastAsia="宋体" w:cs="宋体"/>
              </w:rPr>
            </w:pPr>
            <w:r>
              <w:rPr>
                <w:rFonts w:hint="eastAsia" w:ascii="宋体" w:hAnsi="宋体" w:eastAsia="宋体" w:cs="宋体"/>
                <w:color w:val="333333"/>
                <w:sz w:val="18"/>
              </w:rPr>
              <w:t>-15.68%</w:t>
            </w:r>
          </w:p>
        </w:tc>
        <w:tc>
          <w:tcPr>
            <w:tcW w:w="1247" w:type="dxa"/>
          </w:tcPr>
          <w:p w14:paraId="5CC6F03E">
            <w:pPr>
              <w:jc w:val="center"/>
              <w:rPr>
                <w:rFonts w:hint="eastAsia" w:ascii="宋体" w:hAnsi="宋体" w:eastAsia="宋体" w:cs="宋体"/>
              </w:rPr>
            </w:pPr>
            <w:r>
              <w:rPr>
                <w:rFonts w:hint="eastAsia" w:ascii="宋体" w:hAnsi="宋体" w:eastAsia="宋体" w:cs="宋体"/>
                <w:color w:val="333333"/>
                <w:sz w:val="18"/>
              </w:rPr>
              <w:t>-12.00%</w:t>
            </w:r>
          </w:p>
        </w:tc>
        <w:tc>
          <w:tcPr>
            <w:tcW w:w="1587" w:type="dxa"/>
          </w:tcPr>
          <w:p w14:paraId="7C8F5E4C">
            <w:pPr>
              <w:jc w:val="center"/>
              <w:rPr>
                <w:rFonts w:hint="eastAsia" w:ascii="宋体" w:hAnsi="宋体" w:eastAsia="宋体" w:cs="宋体"/>
              </w:rPr>
            </w:pPr>
            <w:r>
              <w:rPr>
                <w:rFonts w:hint="eastAsia" w:ascii="宋体" w:hAnsi="宋体" w:eastAsia="宋体" w:cs="宋体"/>
                <w:color w:val="333333"/>
                <w:sz w:val="18"/>
              </w:rPr>
              <w:t>-8.02%</w:t>
            </w:r>
          </w:p>
        </w:tc>
        <w:tc>
          <w:tcPr>
            <w:tcW w:w="1587" w:type="dxa"/>
          </w:tcPr>
          <w:p w14:paraId="57FA43D6">
            <w:pPr>
              <w:jc w:val="center"/>
              <w:rPr>
                <w:rFonts w:hint="eastAsia" w:ascii="宋体" w:hAnsi="宋体" w:eastAsia="宋体" w:cs="宋体"/>
              </w:rPr>
            </w:pPr>
            <w:r>
              <w:rPr>
                <w:rFonts w:hint="eastAsia" w:ascii="宋体" w:hAnsi="宋体" w:eastAsia="宋体" w:cs="宋体"/>
                <w:color w:val="333333"/>
                <w:sz w:val="18"/>
              </w:rPr>
              <w:t>48.97%</w:t>
            </w:r>
          </w:p>
        </w:tc>
        <w:tc>
          <w:tcPr>
            <w:tcW w:w="1247" w:type="dxa"/>
          </w:tcPr>
          <w:p w14:paraId="2A2D65AA">
            <w:pPr>
              <w:jc w:val="center"/>
              <w:rPr>
                <w:rFonts w:hint="eastAsia" w:ascii="宋体" w:hAnsi="宋体" w:eastAsia="宋体" w:cs="宋体"/>
              </w:rPr>
            </w:pPr>
            <w:r>
              <w:rPr>
                <w:rFonts w:hint="eastAsia" w:ascii="宋体" w:hAnsi="宋体" w:eastAsia="宋体" w:cs="宋体"/>
                <w:color w:val="333333"/>
                <w:sz w:val="18"/>
              </w:rPr>
              <w:t>1.14</w:t>
            </w:r>
          </w:p>
        </w:tc>
      </w:tr>
      <w:tr w14:paraId="1D993404">
        <w:tblPrEx>
          <w:tblCellMar>
            <w:top w:w="0" w:type="dxa"/>
            <w:left w:w="108" w:type="dxa"/>
            <w:bottom w:w="0" w:type="dxa"/>
            <w:right w:w="108" w:type="dxa"/>
          </w:tblCellMar>
        </w:tblPrEx>
        <w:trPr>
          <w:jc w:val="center"/>
        </w:trPr>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4E759D1C">
            <w:pPr>
              <w:jc w:val="left"/>
              <w:rPr>
                <w:rFonts w:hint="eastAsia" w:ascii="宋体" w:hAnsi="宋体" w:eastAsia="宋体" w:cs="宋体"/>
              </w:rPr>
            </w:pPr>
            <w:r>
              <w:rPr>
                <w:rFonts w:hint="eastAsia" w:ascii="宋体" w:hAnsi="宋体" w:eastAsia="宋体" w:cs="宋体"/>
                <w:color w:val="333333"/>
                <w:sz w:val="18"/>
              </w:rPr>
              <w:t>江淮汽车</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19ED39A9">
            <w:pPr>
              <w:jc w:val="center"/>
              <w:rPr>
                <w:rFonts w:hint="eastAsia" w:ascii="宋体" w:hAnsi="宋体" w:eastAsia="宋体" w:cs="宋体"/>
              </w:rPr>
            </w:pPr>
            <w:r>
              <w:rPr>
                <w:rFonts w:hint="eastAsia" w:ascii="宋体" w:hAnsi="宋体" w:eastAsia="宋体" w:cs="宋体"/>
                <w:color w:val="333333"/>
                <w:sz w:val="18"/>
              </w:rPr>
              <w:t>-3.50%</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4B003744">
            <w:pPr>
              <w:jc w:val="center"/>
              <w:rPr>
                <w:rFonts w:hint="eastAsia" w:ascii="宋体" w:hAnsi="宋体" w:eastAsia="宋体" w:cs="宋体"/>
              </w:rPr>
            </w:pPr>
            <w:r>
              <w:rPr>
                <w:rFonts w:hint="eastAsia" w:ascii="宋体" w:hAnsi="宋体" w:eastAsia="宋体" w:cs="宋体"/>
                <w:color w:val="333333"/>
                <w:sz w:val="18"/>
              </w:rPr>
              <w:t>-3.81%</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3B51E6F5">
            <w:pPr>
              <w:jc w:val="center"/>
              <w:rPr>
                <w:rFonts w:hint="eastAsia" w:ascii="宋体" w:hAnsi="宋体" w:eastAsia="宋体" w:cs="宋体"/>
              </w:rPr>
            </w:pPr>
            <w:r>
              <w:rPr>
                <w:rFonts w:hint="eastAsia" w:ascii="宋体" w:hAnsi="宋体" w:eastAsia="宋体" w:cs="宋体"/>
                <w:color w:val="333333"/>
                <w:sz w:val="18"/>
              </w:rPr>
              <w:t>-14.53%</w:t>
            </w:r>
          </w:p>
        </w:tc>
        <w:tc>
          <w:tcPr>
            <w:tcW w:w="1587" w:type="dxa"/>
            <w:tcBorders>
              <w:top w:val="single" w:color="CCCCCC" w:sz="4" w:space="0"/>
              <w:left w:val="single" w:color="CCCCCC" w:sz="4" w:space="0"/>
              <w:bottom w:val="single" w:color="CCCCCC" w:sz="4" w:space="0"/>
              <w:right w:val="single" w:color="CCCCCC" w:sz="4" w:space="0"/>
            </w:tcBorders>
            <w:shd w:val="clear" w:color="auto" w:fill="F8F9FA"/>
          </w:tcPr>
          <w:p w14:paraId="396C0C7A">
            <w:pPr>
              <w:jc w:val="center"/>
              <w:rPr>
                <w:rFonts w:hint="eastAsia" w:ascii="宋体" w:hAnsi="宋体" w:eastAsia="宋体" w:cs="宋体"/>
              </w:rPr>
            </w:pPr>
            <w:r>
              <w:rPr>
                <w:rFonts w:hint="eastAsia" w:ascii="宋体" w:hAnsi="宋体" w:eastAsia="宋体" w:cs="宋体"/>
                <w:color w:val="333333"/>
                <w:sz w:val="18"/>
              </w:rPr>
              <w:t>79.07%</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6B56C20D">
            <w:pPr>
              <w:jc w:val="center"/>
              <w:rPr>
                <w:rFonts w:hint="eastAsia" w:ascii="宋体" w:hAnsi="宋体" w:eastAsia="宋体" w:cs="宋体"/>
              </w:rPr>
            </w:pPr>
            <w:r>
              <w:rPr>
                <w:rFonts w:hint="eastAsia" w:ascii="宋体" w:hAnsi="宋体" w:eastAsia="宋体" w:cs="宋体"/>
                <w:color w:val="333333"/>
                <w:sz w:val="18"/>
              </w:rPr>
              <w:t>0.80</w:t>
            </w:r>
          </w:p>
        </w:tc>
      </w:tr>
      <w:tr w14:paraId="0EB07EFB">
        <w:tblPrEx>
          <w:tblCellMar>
            <w:top w:w="0" w:type="dxa"/>
            <w:left w:w="108" w:type="dxa"/>
            <w:bottom w:w="0" w:type="dxa"/>
            <w:right w:w="108" w:type="dxa"/>
          </w:tblCellMar>
        </w:tblPrEx>
        <w:trPr>
          <w:jc w:val="center"/>
        </w:trPr>
        <w:tc>
          <w:tcPr>
            <w:tcW w:w="1701" w:type="dxa"/>
          </w:tcPr>
          <w:p w14:paraId="103E6978">
            <w:pPr>
              <w:jc w:val="left"/>
              <w:rPr>
                <w:rFonts w:hint="eastAsia" w:ascii="宋体" w:hAnsi="宋体" w:eastAsia="宋体" w:cs="宋体"/>
              </w:rPr>
            </w:pPr>
            <w:r>
              <w:rPr>
                <w:rFonts w:hint="eastAsia" w:ascii="宋体" w:hAnsi="宋体" w:eastAsia="宋体" w:cs="宋体"/>
                <w:color w:val="333333"/>
                <w:sz w:val="18"/>
              </w:rPr>
              <w:t>北汽蓝谷</w:t>
            </w:r>
          </w:p>
        </w:tc>
        <w:tc>
          <w:tcPr>
            <w:tcW w:w="1247" w:type="dxa"/>
          </w:tcPr>
          <w:p w14:paraId="6D8D7351">
            <w:pPr>
              <w:jc w:val="center"/>
              <w:rPr>
                <w:rFonts w:hint="eastAsia" w:ascii="宋体" w:hAnsi="宋体" w:eastAsia="宋体" w:cs="宋体"/>
              </w:rPr>
            </w:pPr>
            <w:r>
              <w:rPr>
                <w:rFonts w:hint="eastAsia" w:ascii="宋体" w:hAnsi="宋体" w:eastAsia="宋体" w:cs="宋体"/>
                <w:color w:val="333333"/>
                <w:sz w:val="18"/>
              </w:rPr>
              <w:t>-21.55%</w:t>
            </w:r>
          </w:p>
        </w:tc>
        <w:tc>
          <w:tcPr>
            <w:tcW w:w="1247" w:type="dxa"/>
          </w:tcPr>
          <w:p w14:paraId="6C86D2C8">
            <w:pPr>
              <w:jc w:val="center"/>
              <w:rPr>
                <w:rFonts w:hint="eastAsia" w:ascii="宋体" w:hAnsi="宋体" w:eastAsia="宋体" w:cs="宋体"/>
              </w:rPr>
            </w:pPr>
            <w:r>
              <w:rPr>
                <w:rFonts w:hint="eastAsia" w:ascii="宋体" w:hAnsi="宋体" w:eastAsia="宋体" w:cs="宋体"/>
                <w:color w:val="333333"/>
                <w:sz w:val="18"/>
              </w:rPr>
              <w:t>-22.84%</w:t>
            </w:r>
          </w:p>
        </w:tc>
        <w:tc>
          <w:tcPr>
            <w:tcW w:w="1587" w:type="dxa"/>
          </w:tcPr>
          <w:p w14:paraId="134F6A73">
            <w:pPr>
              <w:jc w:val="center"/>
              <w:rPr>
                <w:rFonts w:hint="eastAsia" w:ascii="宋体" w:hAnsi="宋体" w:eastAsia="宋体" w:cs="宋体"/>
              </w:rPr>
            </w:pPr>
            <w:r>
              <w:rPr>
                <w:rFonts w:hint="eastAsia" w:ascii="宋体" w:hAnsi="宋体" w:eastAsia="宋体" w:cs="宋体"/>
                <w:color w:val="333333"/>
                <w:sz w:val="18"/>
              </w:rPr>
              <w:t>-332.24%</w:t>
            </w:r>
          </w:p>
        </w:tc>
        <w:tc>
          <w:tcPr>
            <w:tcW w:w="1587" w:type="dxa"/>
          </w:tcPr>
          <w:p w14:paraId="240CF81C">
            <w:pPr>
              <w:jc w:val="center"/>
              <w:rPr>
                <w:rFonts w:hint="eastAsia" w:ascii="宋体" w:hAnsi="宋体" w:eastAsia="宋体" w:cs="宋体"/>
              </w:rPr>
            </w:pPr>
            <w:r>
              <w:rPr>
                <w:rFonts w:hint="eastAsia" w:ascii="宋体" w:hAnsi="宋体" w:eastAsia="宋体" w:cs="宋体"/>
                <w:color w:val="333333"/>
                <w:sz w:val="18"/>
              </w:rPr>
              <w:t>88.47%</w:t>
            </w:r>
          </w:p>
        </w:tc>
        <w:tc>
          <w:tcPr>
            <w:tcW w:w="1247" w:type="dxa"/>
          </w:tcPr>
          <w:p w14:paraId="0A9CD0B8">
            <w:pPr>
              <w:jc w:val="center"/>
              <w:rPr>
                <w:rFonts w:hint="eastAsia" w:ascii="宋体" w:hAnsi="宋体" w:eastAsia="宋体" w:cs="宋体"/>
              </w:rPr>
            </w:pPr>
            <w:r>
              <w:rPr>
                <w:rFonts w:hint="eastAsia" w:ascii="宋体" w:hAnsi="宋体" w:eastAsia="宋体" w:cs="宋体"/>
                <w:color w:val="333333"/>
                <w:sz w:val="18"/>
              </w:rPr>
              <w:t>0.65</w:t>
            </w:r>
          </w:p>
        </w:tc>
      </w:tr>
    </w:tbl>
    <w:p w14:paraId="377BF0C5">
      <w:pPr>
        <w:spacing w:after="80"/>
        <w:rPr>
          <w:rFonts w:hint="eastAsia" w:ascii="宋体" w:hAnsi="宋体" w:eastAsia="宋体" w:cs="宋体"/>
        </w:rPr>
      </w:pPr>
    </w:p>
    <w:p w14:paraId="68EF3BC4">
      <w:pPr>
        <w:rPr>
          <w:rFonts w:hint="eastAsia" w:ascii="宋体" w:hAnsi="宋体" w:eastAsia="宋体" w:cs="宋体"/>
        </w:rPr>
      </w:pPr>
    </w:p>
    <w:p w14:paraId="7395BD66">
      <w:pPr>
        <w:jc w:val="center"/>
        <w:rPr>
          <w:rFonts w:hint="eastAsia" w:ascii="宋体" w:hAnsi="宋体" w:eastAsia="宋体" w:cs="宋体"/>
        </w:rPr>
      </w:pPr>
      <w:r>
        <w:rPr>
          <w:rFonts w:hint="eastAsia" w:ascii="宋体" w:hAnsi="宋体" w:eastAsia="宋体" w:cs="宋体"/>
        </w:rPr>
        <w:drawing>
          <wp:inline distT="0" distB="0" distL="114300" distR="114300">
            <wp:extent cx="5399405" cy="256032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560787"/>
                    </a:xfrm>
                    <a:prstGeom prst="rect">
                      <a:avLst/>
                    </a:prstGeom>
                  </pic:spPr>
                </pic:pic>
              </a:graphicData>
            </a:graphic>
          </wp:inline>
        </w:drawing>
      </w:r>
    </w:p>
    <w:p w14:paraId="7DC9AC48">
      <w:pPr>
        <w:spacing w:after="120"/>
        <w:jc w:val="center"/>
        <w:rPr>
          <w:rFonts w:hint="eastAsia" w:ascii="宋体" w:hAnsi="宋体" w:eastAsia="宋体" w:cs="宋体"/>
        </w:rPr>
      </w:pPr>
      <w:r>
        <w:rPr>
          <w:rFonts w:hint="eastAsia" w:ascii="宋体" w:hAnsi="宋体" w:eastAsia="宋体" w:cs="宋体"/>
          <w:sz w:val="18"/>
        </w:rPr>
        <w:t>图3-1  8家车企核心财务指标热力图</w:t>
      </w:r>
    </w:p>
    <w:p w14:paraId="621CA5CD">
      <w:pPr>
        <w:rPr>
          <w:rFonts w:hint="eastAsia" w:ascii="宋体" w:hAnsi="宋体" w:eastAsia="宋体" w:cs="宋体"/>
        </w:rPr>
      </w:pPr>
    </w:p>
    <w:p w14:paraId="4655513F">
      <w:pPr>
        <w:spacing w:after="40" w:line="360" w:lineRule="auto"/>
        <w:ind w:firstLine="420"/>
        <w:rPr>
          <w:rFonts w:hint="eastAsia" w:ascii="宋体" w:hAnsi="宋体" w:eastAsia="宋体" w:cs="宋体"/>
        </w:rPr>
      </w:pPr>
      <w:r>
        <w:rPr>
          <w:rFonts w:hint="eastAsia" w:ascii="宋体" w:hAnsi="宋体" w:eastAsia="宋体" w:cs="宋体"/>
          <w:b w:val="0"/>
          <w:sz w:val="24"/>
        </w:rPr>
        <w:t>从该表可以看出，8家企业中有4家毛利率为负，行业整体盈利空间承压。赛力斯净资产收益率最高（21.90%）但资产负债率也位居前列（70.91%）。北汽蓝谷四项指标均表现异常（毛利率-21.55%、净资产收益率-332.24%、资产负债率88.47%、流动比率0.65）。长城汽车各项指标最为均衡。</w:t>
      </w:r>
    </w:p>
    <w:p w14:paraId="199CE864">
      <w:pPr>
        <w:spacing w:after="40" w:line="360" w:lineRule="auto"/>
        <w:ind w:firstLine="420"/>
        <w:rPr>
          <w:rFonts w:hint="eastAsia" w:ascii="宋体" w:hAnsi="宋体" w:eastAsia="宋体" w:cs="宋体"/>
        </w:rPr>
      </w:pPr>
      <w:r>
        <w:rPr>
          <w:rFonts w:hint="eastAsia" w:ascii="宋体" w:hAnsi="宋体" w:eastAsia="宋体" w:cs="宋体"/>
          <w:b w:val="0"/>
          <w:sz w:val="24"/>
        </w:rPr>
        <w:t>赛力斯的高净资产收益率需要结合权益乘数来理解。净资产收益率=净利润÷净资产，分母越小（即权益乘数越高），净资产收益率越高。赛力斯权益乘数从7.69降至3.52的过程本身便解释了净资产收益率大幅回落的大部分原因（详见第六节）。仅看净资产收益率排名会高估赛力斯的实际经营效率，需要结合杜邦分解和Z-score综合判断。</w:t>
      </w:r>
    </w:p>
    <w:p w14:paraId="643EF0EE">
      <w:pPr>
        <w:spacing w:before="240" w:after="120"/>
        <w:ind w:left="0"/>
        <w:outlineLvl w:val="1"/>
        <w:rPr>
          <w:rFonts w:hint="eastAsia" w:ascii="宋体" w:hAnsi="宋体" w:eastAsia="宋体" w:cs="宋体"/>
        </w:rPr>
      </w:pPr>
      <w:bookmarkStart w:id="21" w:name="_Toc22559"/>
      <w:bookmarkStart w:id="22" w:name="_Toc9866"/>
      <w:r>
        <w:rPr>
          <w:rFonts w:hint="eastAsia" w:ascii="宋体" w:hAnsi="宋体" w:eastAsia="宋体" w:cs="宋体"/>
          <w:b/>
          <w:color w:val="000000"/>
          <w:sz w:val="28"/>
        </w:rPr>
        <w:t>（二）研发投入对比</w:t>
      </w:r>
      <w:bookmarkEnd w:id="21"/>
      <w:bookmarkEnd w:id="22"/>
    </w:p>
    <w:p w14:paraId="628F21FA">
      <w:pPr>
        <w:jc w:val="center"/>
        <w:rPr>
          <w:rFonts w:hint="eastAsia" w:ascii="宋体" w:hAnsi="宋体" w:eastAsia="宋体" w:cs="宋体"/>
        </w:rPr>
      </w:pPr>
      <w:r>
        <w:rPr>
          <w:rFonts w:hint="eastAsia" w:ascii="宋体" w:hAnsi="宋体" w:eastAsia="宋体" w:cs="宋体"/>
        </w:rPr>
        <w:drawing>
          <wp:inline distT="0" distB="0" distL="114300" distR="114300">
            <wp:extent cx="5039995" cy="165735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1657450"/>
                    </a:xfrm>
                    <a:prstGeom prst="rect">
                      <a:avLst/>
                    </a:prstGeom>
                  </pic:spPr>
                </pic:pic>
              </a:graphicData>
            </a:graphic>
          </wp:inline>
        </w:drawing>
      </w:r>
    </w:p>
    <w:p w14:paraId="3F67960B">
      <w:pPr>
        <w:spacing w:after="120"/>
        <w:jc w:val="center"/>
        <w:rPr>
          <w:rFonts w:hint="eastAsia" w:ascii="宋体" w:hAnsi="宋体" w:eastAsia="宋体" w:cs="宋体"/>
        </w:rPr>
      </w:pPr>
      <w:r>
        <w:rPr>
          <w:rFonts w:hint="eastAsia" w:ascii="宋体" w:hAnsi="宋体" w:eastAsia="宋体" w:cs="宋体"/>
          <w:sz w:val="18"/>
        </w:rPr>
        <w:t>图3-2  赛力斯vs长安研发投入趋势</w:t>
      </w:r>
    </w:p>
    <w:p w14:paraId="6744C887">
      <w:pPr>
        <w:spacing w:after="40" w:line="360" w:lineRule="auto"/>
        <w:ind w:firstLine="420"/>
        <w:rPr>
          <w:rFonts w:hint="eastAsia" w:ascii="宋体" w:hAnsi="宋体" w:eastAsia="宋体" w:cs="宋体"/>
        </w:rPr>
      </w:pPr>
      <w:r>
        <w:rPr>
          <w:rFonts w:hint="eastAsia" w:ascii="宋体" w:hAnsi="宋体" w:eastAsia="宋体" w:cs="宋体"/>
          <w:b w:val="0"/>
          <w:sz w:val="24"/>
        </w:rPr>
        <w:t>赛力斯2025年研发费用79.5亿元，研发费用率4.82%，首次在研发率上超过长安汽车（71.6亿元/4.36%），但绝对金额仍低于长安。2021年华为合作启动后，赛力斯研发率从3.59%升至4.82%，长安汽车研发率维持在3.3%-4.5%区间。华为的技术赋能并未减少赛力斯的研发支出——合作反而推动了研发投入的快速增长，这可能与企业需要吸收、适配华为技术有关。</w:t>
      </w:r>
    </w:p>
    <w:p w14:paraId="2446F5C9">
      <w:pPr>
        <w:spacing w:before="360" w:after="240"/>
        <w:jc w:val="center"/>
        <w:outlineLvl w:val="0"/>
        <w:rPr>
          <w:rFonts w:hint="eastAsia" w:ascii="宋体" w:hAnsi="宋体" w:eastAsia="宋体" w:cs="宋体"/>
        </w:rPr>
      </w:pPr>
      <w:bookmarkStart w:id="23" w:name="_Toc10346"/>
      <w:bookmarkStart w:id="24" w:name="_Toc9293"/>
      <w:r>
        <w:rPr>
          <w:rFonts w:hint="eastAsia" w:ascii="宋体" w:hAnsi="宋体" w:eastAsia="宋体" w:cs="宋体"/>
          <w:b/>
          <w:color w:val="000000"/>
          <w:sz w:val="32"/>
        </w:rPr>
        <w:t>四、K-Means聚类与孤立森林分析</w:t>
      </w:r>
      <w:bookmarkEnd w:id="23"/>
      <w:bookmarkEnd w:id="24"/>
    </w:p>
    <w:p w14:paraId="4B49CFFD">
      <w:pPr>
        <w:spacing w:before="240" w:after="120"/>
        <w:ind w:left="0"/>
        <w:outlineLvl w:val="1"/>
        <w:rPr>
          <w:rFonts w:hint="eastAsia" w:ascii="宋体" w:hAnsi="宋体" w:eastAsia="宋体" w:cs="宋体"/>
        </w:rPr>
      </w:pPr>
      <w:bookmarkStart w:id="25" w:name="_Toc21734"/>
      <w:bookmarkStart w:id="26" w:name="_Toc4610"/>
      <w:r>
        <w:rPr>
          <w:rFonts w:hint="eastAsia" w:ascii="宋体" w:hAnsi="宋体" w:eastAsia="宋体" w:cs="宋体"/>
          <w:b/>
          <w:color w:val="000000"/>
          <w:sz w:val="28"/>
        </w:rPr>
        <w:t>（一）K-Means聚类结果</w:t>
      </w:r>
      <w:bookmarkEnd w:id="25"/>
      <w:bookmarkEnd w:id="26"/>
    </w:p>
    <w:p w14:paraId="5F69E0EC">
      <w:pPr>
        <w:spacing w:after="40" w:line="360" w:lineRule="auto"/>
        <w:ind w:firstLine="420"/>
        <w:rPr>
          <w:rFonts w:hint="eastAsia" w:ascii="宋体" w:hAnsi="宋体" w:eastAsia="宋体" w:cs="宋体"/>
        </w:rPr>
      </w:pPr>
      <w:r>
        <w:rPr>
          <w:rFonts w:hint="eastAsia" w:ascii="宋体" w:hAnsi="宋体" w:eastAsia="宋体" w:cs="宋体"/>
          <w:b w:val="0"/>
          <w:sz w:val="24"/>
        </w:rPr>
        <w:t>聚类使用5个特征：毛利率、经营活动现金净流量/营收、有息负债率、存货周转率、权益乘数。标准化后，肘部法则确定K=3，轮廓系数0.609，群间分离度良好。</w:t>
      </w:r>
    </w:p>
    <w:p w14:paraId="11592E3E">
      <w:pPr>
        <w:jc w:val="center"/>
        <w:rPr>
          <w:rFonts w:hint="eastAsia" w:ascii="宋体" w:hAnsi="宋体" w:eastAsia="宋体" w:cs="宋体"/>
        </w:rPr>
      </w:pPr>
      <w:r>
        <w:rPr>
          <w:rFonts w:hint="eastAsia" w:ascii="宋体" w:hAnsi="宋体" w:eastAsia="宋体" w:cs="宋体"/>
        </w:rPr>
        <w:drawing>
          <wp:inline distT="0" distB="0" distL="114300" distR="114300">
            <wp:extent cx="3599815" cy="2034540"/>
            <wp:effectExtent l="0" t="0" r="1206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600000" cy="2034783"/>
                    </a:xfrm>
                    <a:prstGeom prst="rect">
                      <a:avLst/>
                    </a:prstGeom>
                  </pic:spPr>
                </pic:pic>
              </a:graphicData>
            </a:graphic>
          </wp:inline>
        </w:drawing>
      </w:r>
    </w:p>
    <w:p w14:paraId="6E3BAB1E">
      <w:pPr>
        <w:spacing w:after="120"/>
        <w:jc w:val="center"/>
        <w:rPr>
          <w:rFonts w:hint="eastAsia" w:ascii="宋体" w:hAnsi="宋体" w:eastAsia="宋体" w:cs="宋体"/>
        </w:rPr>
      </w:pPr>
      <w:r>
        <w:rPr>
          <w:rFonts w:hint="eastAsia" w:ascii="宋体" w:hAnsi="宋体" w:eastAsia="宋体" w:cs="宋体"/>
          <w:sz w:val="18"/>
        </w:rPr>
        <w:t>图4-1  肘部法则确定K=3</w:t>
      </w:r>
    </w:p>
    <w:p w14:paraId="48CF4F6F">
      <w:pPr>
        <w:rPr>
          <w:rFonts w:hint="eastAsia" w:ascii="宋体" w:hAnsi="宋体" w:eastAsia="宋体" w:cs="宋体"/>
        </w:rPr>
      </w:pPr>
    </w:p>
    <w:tbl>
      <w:tblPr>
        <w:tblStyle w:val="34"/>
        <w:tblW w:w="0" w:type="auto"/>
        <w:jc w:val="center"/>
        <w:tblLayout w:type="autofit"/>
        <w:tblCellMar>
          <w:top w:w="0" w:type="dxa"/>
          <w:left w:w="108" w:type="dxa"/>
          <w:bottom w:w="0" w:type="dxa"/>
          <w:right w:w="108" w:type="dxa"/>
        </w:tblCellMar>
      </w:tblPr>
      <w:tblGrid>
        <w:gridCol w:w="850"/>
        <w:gridCol w:w="1417"/>
        <w:gridCol w:w="1020"/>
        <w:gridCol w:w="1247"/>
        <w:gridCol w:w="1247"/>
        <w:gridCol w:w="1134"/>
        <w:gridCol w:w="1134"/>
        <w:gridCol w:w="1134"/>
      </w:tblGrid>
      <w:tr w14:paraId="683BFCC8">
        <w:tblPrEx>
          <w:tblCellMar>
            <w:top w:w="0" w:type="dxa"/>
            <w:left w:w="108" w:type="dxa"/>
            <w:bottom w:w="0" w:type="dxa"/>
            <w:right w:w="108" w:type="dxa"/>
          </w:tblCellMar>
        </w:tblPrEx>
        <w:trPr>
          <w:jc w:val="center"/>
        </w:trPr>
        <w:tc>
          <w:tcPr>
            <w:tcW w:w="850" w:type="dxa"/>
            <w:tcBorders>
              <w:top w:val="single" w:color="2E75B6" w:sz="8" w:space="0"/>
              <w:left w:val="single" w:color="CCCCCC" w:sz="4" w:space="0"/>
              <w:bottom w:val="single" w:color="CCCCCC" w:sz="4" w:space="0"/>
              <w:right w:val="single" w:color="CCCCCC" w:sz="4" w:space="0"/>
            </w:tcBorders>
            <w:shd w:val="clear" w:color="auto" w:fill="D5E8F0"/>
          </w:tcPr>
          <w:p w14:paraId="70995F24">
            <w:pPr>
              <w:jc w:val="center"/>
              <w:rPr>
                <w:rFonts w:hint="eastAsia" w:ascii="宋体" w:hAnsi="宋体" w:eastAsia="宋体" w:cs="宋体"/>
              </w:rPr>
            </w:pPr>
            <w:r>
              <w:rPr>
                <w:rFonts w:hint="eastAsia" w:ascii="宋体" w:hAnsi="宋体" w:eastAsia="宋体" w:cs="宋体"/>
                <w:b/>
                <w:color w:val="1A4789"/>
                <w:sz w:val="18"/>
              </w:rPr>
              <w:t>群组</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368D3622">
            <w:pPr>
              <w:jc w:val="center"/>
              <w:rPr>
                <w:rFonts w:hint="eastAsia" w:ascii="宋体" w:hAnsi="宋体" w:eastAsia="宋体" w:cs="宋体"/>
              </w:rPr>
            </w:pPr>
            <w:r>
              <w:rPr>
                <w:rFonts w:hint="eastAsia" w:ascii="宋体" w:hAnsi="宋体" w:eastAsia="宋体" w:cs="宋体"/>
                <w:b/>
                <w:color w:val="1A4789"/>
                <w:sz w:val="18"/>
              </w:rPr>
              <w:t>所含企业</w:t>
            </w:r>
          </w:p>
        </w:tc>
        <w:tc>
          <w:tcPr>
            <w:tcW w:w="1020" w:type="dxa"/>
            <w:tcBorders>
              <w:top w:val="single" w:color="2E75B6" w:sz="8" w:space="0"/>
              <w:left w:val="single" w:color="CCCCCC" w:sz="4" w:space="0"/>
              <w:bottom w:val="single" w:color="CCCCCC" w:sz="4" w:space="0"/>
              <w:right w:val="single" w:color="CCCCCC" w:sz="4" w:space="0"/>
            </w:tcBorders>
            <w:shd w:val="clear" w:color="auto" w:fill="D5E8F0"/>
          </w:tcPr>
          <w:p w14:paraId="22B2A1D0">
            <w:pPr>
              <w:jc w:val="center"/>
              <w:rPr>
                <w:rFonts w:hint="eastAsia" w:ascii="宋体" w:hAnsi="宋体" w:eastAsia="宋体" w:cs="宋体"/>
              </w:rPr>
            </w:pPr>
            <w:r>
              <w:rPr>
                <w:rFonts w:hint="eastAsia" w:ascii="宋体" w:hAnsi="宋体" w:eastAsia="宋体" w:cs="宋体"/>
                <w:b/>
                <w:color w:val="1A4789"/>
                <w:sz w:val="18"/>
              </w:rPr>
              <w:t>季度数</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0A6C9E01">
            <w:pPr>
              <w:jc w:val="center"/>
              <w:rPr>
                <w:rFonts w:hint="eastAsia" w:ascii="宋体" w:hAnsi="宋体" w:eastAsia="宋体" w:cs="宋体"/>
              </w:rPr>
            </w:pPr>
            <w:r>
              <w:rPr>
                <w:rFonts w:hint="eastAsia" w:ascii="宋体" w:hAnsi="宋体" w:eastAsia="宋体" w:cs="宋体"/>
                <w:b/>
                <w:color w:val="1A4789"/>
                <w:sz w:val="18"/>
              </w:rPr>
              <w:t>毛利率均值</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7072D600">
            <w:pPr>
              <w:jc w:val="center"/>
              <w:rPr>
                <w:rFonts w:hint="eastAsia" w:ascii="宋体" w:hAnsi="宋体" w:eastAsia="宋体" w:cs="宋体"/>
              </w:rPr>
            </w:pPr>
            <w:r>
              <w:rPr>
                <w:rFonts w:hint="eastAsia" w:ascii="宋体" w:hAnsi="宋体" w:eastAsia="宋体" w:cs="宋体"/>
                <w:b/>
                <w:color w:val="1A4789"/>
                <w:sz w:val="18"/>
              </w:rPr>
              <w:t>经营现金/营收</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6B99D3B8">
            <w:pPr>
              <w:jc w:val="center"/>
              <w:rPr>
                <w:rFonts w:hint="eastAsia" w:ascii="宋体" w:hAnsi="宋体" w:eastAsia="宋体" w:cs="宋体"/>
              </w:rPr>
            </w:pPr>
            <w:r>
              <w:rPr>
                <w:rFonts w:hint="eastAsia" w:ascii="宋体" w:hAnsi="宋体" w:eastAsia="宋体" w:cs="宋体"/>
                <w:b/>
                <w:color w:val="1A4789"/>
                <w:sz w:val="18"/>
              </w:rPr>
              <w:t>有息负债率</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492A9FC3">
            <w:pPr>
              <w:jc w:val="center"/>
              <w:rPr>
                <w:rFonts w:hint="eastAsia" w:ascii="宋体" w:hAnsi="宋体" w:eastAsia="宋体" w:cs="宋体"/>
              </w:rPr>
            </w:pPr>
            <w:r>
              <w:rPr>
                <w:rFonts w:hint="eastAsia" w:ascii="宋体" w:hAnsi="宋体" w:eastAsia="宋体" w:cs="宋体"/>
                <w:b/>
                <w:color w:val="1A4789"/>
                <w:sz w:val="18"/>
              </w:rPr>
              <w:t>存货周转率</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6C9BF4C7">
            <w:pPr>
              <w:jc w:val="center"/>
              <w:rPr>
                <w:rFonts w:hint="eastAsia" w:ascii="宋体" w:hAnsi="宋体" w:eastAsia="宋体" w:cs="宋体"/>
              </w:rPr>
            </w:pPr>
            <w:r>
              <w:rPr>
                <w:rFonts w:hint="eastAsia" w:ascii="宋体" w:hAnsi="宋体" w:eastAsia="宋体" w:cs="宋体"/>
                <w:b/>
                <w:color w:val="1A4789"/>
                <w:sz w:val="18"/>
              </w:rPr>
              <w:t>权益乘数</w:t>
            </w:r>
          </w:p>
        </w:tc>
      </w:tr>
      <w:tr w14:paraId="3821E1C9">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3C2C89E0">
            <w:pPr>
              <w:jc w:val="left"/>
              <w:rPr>
                <w:rFonts w:hint="eastAsia" w:ascii="宋体" w:hAnsi="宋体" w:eastAsia="宋体" w:cs="宋体"/>
              </w:rPr>
            </w:pPr>
            <w:r>
              <w:rPr>
                <w:rFonts w:hint="eastAsia" w:ascii="宋体" w:hAnsi="宋体" w:eastAsia="宋体" w:cs="宋体"/>
                <w:color w:val="333333"/>
                <w:sz w:val="18"/>
              </w:rPr>
              <w:t>群0</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1692CEFA">
            <w:pPr>
              <w:jc w:val="center"/>
              <w:rPr>
                <w:rFonts w:hint="eastAsia" w:ascii="宋体" w:hAnsi="宋体" w:eastAsia="宋体" w:cs="宋体"/>
              </w:rPr>
            </w:pPr>
            <w:r>
              <w:rPr>
                <w:rFonts w:hint="eastAsia" w:ascii="宋体" w:hAnsi="宋体" w:eastAsia="宋体" w:cs="宋体"/>
                <w:color w:val="333333"/>
                <w:sz w:val="18"/>
              </w:rPr>
              <w:t>全部8家</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316A5891">
            <w:pPr>
              <w:jc w:val="center"/>
              <w:rPr>
                <w:rFonts w:hint="eastAsia" w:ascii="宋体" w:hAnsi="宋体" w:eastAsia="宋体" w:cs="宋体"/>
              </w:rPr>
            </w:pPr>
            <w:r>
              <w:rPr>
                <w:rFonts w:hint="eastAsia" w:ascii="宋体" w:hAnsi="宋体" w:eastAsia="宋体" w:cs="宋体"/>
                <w:color w:val="333333"/>
                <w:sz w:val="18"/>
              </w:rPr>
              <w:t>287</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638DD909">
            <w:pPr>
              <w:jc w:val="center"/>
              <w:rPr>
                <w:rFonts w:hint="eastAsia" w:ascii="宋体" w:hAnsi="宋体" w:eastAsia="宋体" w:cs="宋体"/>
              </w:rPr>
            </w:pPr>
            <w:r>
              <w:rPr>
                <w:rFonts w:hint="eastAsia" w:ascii="宋体" w:hAnsi="宋体" w:eastAsia="宋体" w:cs="宋体"/>
                <w:color w:val="333333"/>
                <w:sz w:val="18"/>
              </w:rPr>
              <w:t>-0.011</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415B4003">
            <w:pPr>
              <w:jc w:val="center"/>
              <w:rPr>
                <w:rFonts w:hint="eastAsia" w:ascii="宋体" w:hAnsi="宋体" w:eastAsia="宋体" w:cs="宋体"/>
              </w:rPr>
            </w:pPr>
            <w:r>
              <w:rPr>
                <w:rFonts w:hint="eastAsia" w:ascii="宋体" w:hAnsi="宋体" w:eastAsia="宋体" w:cs="宋体"/>
                <w:color w:val="333333"/>
                <w:sz w:val="18"/>
              </w:rPr>
              <w:t>-0.020</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6890F4B">
            <w:pPr>
              <w:jc w:val="center"/>
              <w:rPr>
                <w:rFonts w:hint="eastAsia" w:ascii="宋体" w:hAnsi="宋体" w:eastAsia="宋体" w:cs="宋体"/>
              </w:rPr>
            </w:pPr>
            <w:r>
              <w:rPr>
                <w:rFonts w:hint="eastAsia" w:ascii="宋体" w:hAnsi="宋体" w:eastAsia="宋体" w:cs="宋体"/>
                <w:color w:val="333333"/>
                <w:sz w:val="18"/>
              </w:rPr>
              <w:t>0.124</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969E770">
            <w:pPr>
              <w:jc w:val="center"/>
              <w:rPr>
                <w:rFonts w:hint="eastAsia" w:ascii="宋体" w:hAnsi="宋体" w:eastAsia="宋体" w:cs="宋体"/>
              </w:rPr>
            </w:pPr>
            <w:r>
              <w:rPr>
                <w:rFonts w:hint="eastAsia" w:ascii="宋体" w:hAnsi="宋体" w:eastAsia="宋体" w:cs="宋体"/>
                <w:color w:val="333333"/>
                <w:sz w:val="18"/>
              </w:rPr>
              <w:t>7.954</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58E7FE8E">
            <w:pPr>
              <w:jc w:val="center"/>
              <w:rPr>
                <w:rFonts w:hint="eastAsia" w:ascii="宋体" w:hAnsi="宋体" w:eastAsia="宋体" w:cs="宋体"/>
              </w:rPr>
            </w:pPr>
            <w:r>
              <w:rPr>
                <w:rFonts w:hint="eastAsia" w:ascii="宋体" w:hAnsi="宋体" w:eastAsia="宋体" w:cs="宋体"/>
                <w:color w:val="333333"/>
                <w:sz w:val="18"/>
              </w:rPr>
              <w:t>3.104</w:t>
            </w:r>
          </w:p>
        </w:tc>
      </w:tr>
      <w:tr w14:paraId="5FAE1FF8">
        <w:tblPrEx>
          <w:tblCellMar>
            <w:top w:w="0" w:type="dxa"/>
            <w:left w:w="108" w:type="dxa"/>
            <w:bottom w:w="0" w:type="dxa"/>
            <w:right w:w="108" w:type="dxa"/>
          </w:tblCellMar>
        </w:tblPrEx>
        <w:trPr>
          <w:jc w:val="center"/>
        </w:trPr>
        <w:tc>
          <w:tcPr>
            <w:tcW w:w="850" w:type="dxa"/>
          </w:tcPr>
          <w:p w14:paraId="1C07DFF4">
            <w:pPr>
              <w:jc w:val="left"/>
              <w:rPr>
                <w:rFonts w:hint="eastAsia" w:ascii="宋体" w:hAnsi="宋体" w:eastAsia="宋体" w:cs="宋体"/>
              </w:rPr>
            </w:pPr>
            <w:r>
              <w:rPr>
                <w:rFonts w:hint="eastAsia" w:ascii="宋体" w:hAnsi="宋体" w:eastAsia="宋体" w:cs="宋体"/>
                <w:color w:val="333333"/>
                <w:sz w:val="18"/>
              </w:rPr>
              <w:t>群1</w:t>
            </w:r>
          </w:p>
        </w:tc>
        <w:tc>
          <w:tcPr>
            <w:tcW w:w="1417" w:type="dxa"/>
          </w:tcPr>
          <w:p w14:paraId="2EA001E0">
            <w:pPr>
              <w:jc w:val="center"/>
              <w:rPr>
                <w:rFonts w:hint="eastAsia" w:ascii="宋体" w:hAnsi="宋体" w:eastAsia="宋体" w:cs="宋体"/>
              </w:rPr>
            </w:pPr>
            <w:r>
              <w:rPr>
                <w:rFonts w:hint="eastAsia" w:ascii="宋体" w:hAnsi="宋体" w:eastAsia="宋体" w:cs="宋体"/>
                <w:color w:val="333333"/>
                <w:sz w:val="18"/>
              </w:rPr>
              <w:t>北汽蓝谷</w:t>
            </w:r>
          </w:p>
        </w:tc>
        <w:tc>
          <w:tcPr>
            <w:tcW w:w="1020" w:type="dxa"/>
          </w:tcPr>
          <w:p w14:paraId="0F424516">
            <w:pPr>
              <w:jc w:val="center"/>
              <w:rPr>
                <w:rFonts w:hint="eastAsia" w:ascii="宋体" w:hAnsi="宋体" w:eastAsia="宋体" w:cs="宋体"/>
              </w:rPr>
            </w:pPr>
            <w:r>
              <w:rPr>
                <w:rFonts w:hint="eastAsia" w:ascii="宋体" w:hAnsi="宋体" w:eastAsia="宋体" w:cs="宋体"/>
                <w:color w:val="333333"/>
                <w:sz w:val="18"/>
              </w:rPr>
              <w:t>3</w:t>
            </w:r>
          </w:p>
        </w:tc>
        <w:tc>
          <w:tcPr>
            <w:tcW w:w="1247" w:type="dxa"/>
          </w:tcPr>
          <w:p w14:paraId="6FDC419C">
            <w:pPr>
              <w:jc w:val="center"/>
              <w:rPr>
                <w:rFonts w:hint="eastAsia" w:ascii="宋体" w:hAnsi="宋体" w:eastAsia="宋体" w:cs="宋体"/>
              </w:rPr>
            </w:pPr>
            <w:r>
              <w:rPr>
                <w:rFonts w:hint="eastAsia" w:ascii="宋体" w:hAnsi="宋体" w:eastAsia="宋体" w:cs="宋体"/>
                <w:color w:val="333333"/>
                <w:sz w:val="18"/>
              </w:rPr>
              <w:t>-1.075</w:t>
            </w:r>
          </w:p>
        </w:tc>
        <w:tc>
          <w:tcPr>
            <w:tcW w:w="1247" w:type="dxa"/>
          </w:tcPr>
          <w:p w14:paraId="7D0B9F15">
            <w:pPr>
              <w:jc w:val="center"/>
              <w:rPr>
                <w:rFonts w:hint="eastAsia" w:ascii="宋体" w:hAnsi="宋体" w:eastAsia="宋体" w:cs="宋体"/>
              </w:rPr>
            </w:pPr>
            <w:r>
              <w:rPr>
                <w:rFonts w:hint="eastAsia" w:ascii="宋体" w:hAnsi="宋体" w:eastAsia="宋体" w:cs="宋体"/>
                <w:color w:val="333333"/>
                <w:sz w:val="18"/>
              </w:rPr>
              <w:t>-8.312</w:t>
            </w:r>
          </w:p>
        </w:tc>
        <w:tc>
          <w:tcPr>
            <w:tcW w:w="1134" w:type="dxa"/>
          </w:tcPr>
          <w:p w14:paraId="7DECFB42">
            <w:pPr>
              <w:jc w:val="center"/>
              <w:rPr>
                <w:rFonts w:hint="eastAsia" w:ascii="宋体" w:hAnsi="宋体" w:eastAsia="宋体" w:cs="宋体"/>
              </w:rPr>
            </w:pPr>
            <w:r>
              <w:rPr>
                <w:rFonts w:hint="eastAsia" w:ascii="宋体" w:hAnsi="宋体" w:eastAsia="宋体" w:cs="宋体"/>
                <w:color w:val="333333"/>
                <w:sz w:val="18"/>
              </w:rPr>
              <w:t>0.000</w:t>
            </w:r>
          </w:p>
        </w:tc>
        <w:tc>
          <w:tcPr>
            <w:tcW w:w="1134" w:type="dxa"/>
          </w:tcPr>
          <w:p w14:paraId="10D6A088">
            <w:pPr>
              <w:jc w:val="center"/>
              <w:rPr>
                <w:rFonts w:hint="eastAsia" w:ascii="宋体" w:hAnsi="宋体" w:eastAsia="宋体" w:cs="宋体"/>
              </w:rPr>
            </w:pPr>
            <w:r>
              <w:rPr>
                <w:rFonts w:hint="eastAsia" w:ascii="宋体" w:hAnsi="宋体" w:eastAsia="宋体" w:cs="宋体"/>
                <w:color w:val="333333"/>
                <w:sz w:val="18"/>
              </w:rPr>
              <w:t>0.047</w:t>
            </w:r>
          </w:p>
        </w:tc>
        <w:tc>
          <w:tcPr>
            <w:tcW w:w="1134" w:type="dxa"/>
          </w:tcPr>
          <w:p w14:paraId="44E8B953">
            <w:pPr>
              <w:jc w:val="center"/>
              <w:rPr>
                <w:rFonts w:hint="eastAsia" w:ascii="宋体" w:hAnsi="宋体" w:eastAsia="宋体" w:cs="宋体"/>
              </w:rPr>
            </w:pPr>
            <w:r>
              <w:rPr>
                <w:rFonts w:hint="eastAsia" w:ascii="宋体" w:hAnsi="宋体" w:eastAsia="宋体" w:cs="宋体"/>
                <w:color w:val="333333"/>
                <w:sz w:val="18"/>
              </w:rPr>
              <w:t>1.983</w:t>
            </w:r>
          </w:p>
        </w:tc>
      </w:tr>
      <w:tr w14:paraId="2C14EB20">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6941D6C7">
            <w:pPr>
              <w:jc w:val="left"/>
              <w:rPr>
                <w:rFonts w:hint="eastAsia" w:ascii="宋体" w:hAnsi="宋体" w:eastAsia="宋体" w:cs="宋体"/>
              </w:rPr>
            </w:pPr>
            <w:r>
              <w:rPr>
                <w:rFonts w:hint="eastAsia" w:ascii="宋体" w:hAnsi="宋体" w:eastAsia="宋体" w:cs="宋体"/>
                <w:color w:val="333333"/>
                <w:sz w:val="18"/>
              </w:rPr>
              <w:t>群2</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81864D1">
            <w:pPr>
              <w:jc w:val="center"/>
              <w:rPr>
                <w:rFonts w:hint="eastAsia" w:ascii="宋体" w:hAnsi="宋体" w:eastAsia="宋体" w:cs="宋体"/>
              </w:rPr>
            </w:pPr>
            <w:r>
              <w:rPr>
                <w:rFonts w:hint="eastAsia" w:ascii="宋体" w:hAnsi="宋体" w:eastAsia="宋体" w:cs="宋体"/>
                <w:color w:val="333333"/>
                <w:sz w:val="18"/>
              </w:rPr>
              <w:t>北汽蓝谷</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33AEE03C">
            <w:pPr>
              <w:jc w:val="center"/>
              <w:rPr>
                <w:rFonts w:hint="eastAsia" w:ascii="宋体" w:hAnsi="宋体" w:eastAsia="宋体" w:cs="宋体"/>
              </w:rPr>
            </w:pPr>
            <w:r>
              <w:rPr>
                <w:rFonts w:hint="eastAsia" w:ascii="宋体" w:hAnsi="宋体" w:eastAsia="宋体" w:cs="宋体"/>
                <w:color w:val="333333"/>
                <w:sz w:val="18"/>
              </w:rPr>
              <w:t>24</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611B67F0">
            <w:pPr>
              <w:jc w:val="center"/>
              <w:rPr>
                <w:rFonts w:hint="eastAsia" w:ascii="宋体" w:hAnsi="宋体" w:eastAsia="宋体" w:cs="宋体"/>
              </w:rPr>
            </w:pPr>
            <w:r>
              <w:rPr>
                <w:rFonts w:hint="eastAsia" w:ascii="宋体" w:hAnsi="宋体" w:eastAsia="宋体" w:cs="宋体"/>
                <w:color w:val="333333"/>
                <w:sz w:val="18"/>
              </w:rPr>
              <w:t>-0.528</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49F2D876">
            <w:pPr>
              <w:jc w:val="center"/>
              <w:rPr>
                <w:rFonts w:hint="eastAsia" w:ascii="宋体" w:hAnsi="宋体" w:eastAsia="宋体" w:cs="宋体"/>
              </w:rPr>
            </w:pPr>
            <w:r>
              <w:rPr>
                <w:rFonts w:hint="eastAsia" w:ascii="宋体" w:hAnsi="宋体" w:eastAsia="宋体" w:cs="宋体"/>
                <w:color w:val="333333"/>
                <w:sz w:val="18"/>
              </w:rPr>
              <w:t>-0.208</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3520D977">
            <w:pPr>
              <w:jc w:val="center"/>
              <w:rPr>
                <w:rFonts w:hint="eastAsia" w:ascii="宋体" w:hAnsi="宋体" w:eastAsia="宋体" w:cs="宋体"/>
              </w:rPr>
            </w:pPr>
            <w:r>
              <w:rPr>
                <w:rFonts w:hint="eastAsia" w:ascii="宋体" w:hAnsi="宋体" w:eastAsia="宋体" w:cs="宋体"/>
                <w:color w:val="333333"/>
                <w:sz w:val="18"/>
              </w:rPr>
              <w:t>0.382</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4985636F">
            <w:pPr>
              <w:jc w:val="center"/>
              <w:rPr>
                <w:rFonts w:hint="eastAsia" w:ascii="宋体" w:hAnsi="宋体" w:eastAsia="宋体" w:cs="宋体"/>
              </w:rPr>
            </w:pPr>
            <w:r>
              <w:rPr>
                <w:rFonts w:hint="eastAsia" w:ascii="宋体" w:hAnsi="宋体" w:eastAsia="宋体" w:cs="宋体"/>
                <w:color w:val="333333"/>
                <w:sz w:val="18"/>
              </w:rPr>
              <w:t>4.533</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02271A00">
            <w:pPr>
              <w:jc w:val="center"/>
              <w:rPr>
                <w:rFonts w:hint="eastAsia" w:ascii="宋体" w:hAnsi="宋体" w:eastAsia="宋体" w:cs="宋体"/>
              </w:rPr>
            </w:pPr>
            <w:r>
              <w:rPr>
                <w:rFonts w:hint="eastAsia" w:ascii="宋体" w:hAnsi="宋体" w:eastAsia="宋体" w:cs="宋体"/>
                <w:color w:val="333333"/>
                <w:sz w:val="18"/>
              </w:rPr>
              <w:t>7.285</w:t>
            </w:r>
          </w:p>
        </w:tc>
      </w:tr>
    </w:tbl>
    <w:p w14:paraId="2B5AF948">
      <w:pPr>
        <w:spacing w:after="80"/>
        <w:rPr>
          <w:rFonts w:hint="eastAsia" w:ascii="宋体" w:hAnsi="宋体" w:eastAsia="宋体" w:cs="宋体"/>
        </w:rPr>
      </w:pPr>
    </w:p>
    <w:p w14:paraId="0B0AE3CB">
      <w:pPr>
        <w:rPr>
          <w:rFonts w:hint="eastAsia" w:ascii="宋体" w:hAnsi="宋体" w:eastAsia="宋体" w:cs="宋体"/>
        </w:rPr>
      </w:pPr>
    </w:p>
    <w:p w14:paraId="678ABBB1">
      <w:pPr>
        <w:jc w:val="center"/>
        <w:rPr>
          <w:rFonts w:hint="eastAsia" w:ascii="宋体" w:hAnsi="宋体" w:eastAsia="宋体" w:cs="宋体"/>
        </w:rPr>
      </w:pPr>
      <w:r>
        <w:rPr>
          <w:rFonts w:hint="eastAsia" w:ascii="宋体" w:hAnsi="宋体" w:eastAsia="宋体" w:cs="宋体"/>
        </w:rPr>
        <w:drawing>
          <wp:inline distT="0" distB="0" distL="114300" distR="114300">
            <wp:extent cx="5039995" cy="3512185"/>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3512727"/>
                    </a:xfrm>
                    <a:prstGeom prst="rect">
                      <a:avLst/>
                    </a:prstGeom>
                  </pic:spPr>
                </pic:pic>
              </a:graphicData>
            </a:graphic>
          </wp:inline>
        </w:drawing>
      </w:r>
    </w:p>
    <w:p w14:paraId="6D0F4803">
      <w:pPr>
        <w:spacing w:after="120"/>
        <w:jc w:val="center"/>
        <w:rPr>
          <w:rFonts w:hint="eastAsia" w:ascii="宋体" w:hAnsi="宋体" w:eastAsia="宋体" w:cs="宋体"/>
        </w:rPr>
      </w:pPr>
      <w:r>
        <w:rPr>
          <w:rFonts w:hint="eastAsia" w:ascii="宋体" w:hAnsi="宋体" w:eastAsia="宋体" w:cs="宋体"/>
          <w:sz w:val="18"/>
        </w:rPr>
        <w:t>图4-2  K-Means聚类PCA可视化</w:t>
      </w:r>
    </w:p>
    <w:p w14:paraId="663C2D10">
      <w:pPr>
        <w:spacing w:after="40" w:line="360" w:lineRule="auto"/>
        <w:ind w:firstLine="420"/>
        <w:rPr>
          <w:rFonts w:hint="eastAsia" w:ascii="宋体" w:hAnsi="宋体" w:eastAsia="宋体" w:cs="宋体"/>
        </w:rPr>
      </w:pPr>
      <w:r>
        <w:rPr>
          <w:rFonts w:hint="eastAsia" w:ascii="宋体" w:hAnsi="宋体" w:eastAsia="宋体" w:cs="宋体"/>
          <w:b w:val="0"/>
          <w:sz w:val="24"/>
        </w:rPr>
        <w:t>群1（3个季度）和群2（24个季度）均由北汽蓝谷的极端季度构成，表明北汽蓝谷的财务特征与其余7家企业有明显差异。群0包含全部8家企业287个季度，是行业常态区域。赛力斯和长安汽车均主要位于群0，仅从五维财务特征看二者同属"正常"区间，差异不在统计聚类层面，而在具体指标的波动模式和驱动力上。</w:t>
      </w:r>
    </w:p>
    <w:p w14:paraId="679AFED7">
      <w:pPr>
        <w:spacing w:before="240" w:after="120"/>
        <w:ind w:left="0"/>
        <w:outlineLvl w:val="1"/>
        <w:rPr>
          <w:rFonts w:hint="eastAsia" w:ascii="宋体" w:hAnsi="宋体" w:eastAsia="宋体" w:cs="宋体"/>
        </w:rPr>
      </w:pPr>
      <w:bookmarkStart w:id="27" w:name="_Toc7113"/>
      <w:bookmarkStart w:id="28" w:name="_Toc24470"/>
      <w:r>
        <w:rPr>
          <w:rFonts w:hint="eastAsia" w:ascii="宋体" w:hAnsi="宋体" w:eastAsia="宋体" w:cs="宋体"/>
          <w:b/>
          <w:color w:val="000000"/>
          <w:sz w:val="28"/>
        </w:rPr>
        <w:t>（二）孤立森林异常检测</w:t>
      </w:r>
      <w:bookmarkEnd w:id="27"/>
      <w:bookmarkEnd w:id="28"/>
    </w:p>
    <w:p w14:paraId="09F6907D">
      <w:pPr>
        <w:jc w:val="center"/>
        <w:rPr>
          <w:rFonts w:hint="eastAsia" w:ascii="宋体" w:hAnsi="宋体" w:eastAsia="宋体" w:cs="宋体"/>
        </w:rPr>
      </w:pPr>
      <w:r>
        <w:rPr>
          <w:rFonts w:hint="eastAsia" w:ascii="宋体" w:hAnsi="宋体" w:eastAsia="宋体" w:cs="宋体"/>
        </w:rPr>
        <w:drawing>
          <wp:inline distT="0" distB="0" distL="114300" distR="114300">
            <wp:extent cx="4319905" cy="1861185"/>
            <wp:effectExtent l="0" t="0" r="825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20000" cy="1861597"/>
                    </a:xfrm>
                    <a:prstGeom prst="rect">
                      <a:avLst/>
                    </a:prstGeom>
                  </pic:spPr>
                </pic:pic>
              </a:graphicData>
            </a:graphic>
          </wp:inline>
        </w:drawing>
      </w:r>
    </w:p>
    <w:p w14:paraId="558CF305">
      <w:pPr>
        <w:spacing w:after="120"/>
        <w:jc w:val="center"/>
        <w:rPr>
          <w:rFonts w:hint="eastAsia" w:ascii="宋体" w:hAnsi="宋体" w:eastAsia="宋体" w:cs="宋体"/>
        </w:rPr>
      </w:pPr>
      <w:r>
        <w:rPr>
          <w:rFonts w:hint="eastAsia" w:ascii="宋体" w:hAnsi="宋体" w:eastAsia="宋体" w:cs="宋体"/>
          <w:sz w:val="18"/>
        </w:rPr>
        <w:t>图4-3  孤立森林异常检测结果</w:t>
      </w:r>
    </w:p>
    <w:tbl>
      <w:tblPr>
        <w:tblStyle w:val="34"/>
        <w:tblW w:w="0" w:type="auto"/>
        <w:jc w:val="center"/>
        <w:tblLayout w:type="autofit"/>
        <w:tblCellMar>
          <w:top w:w="0" w:type="dxa"/>
          <w:left w:w="108" w:type="dxa"/>
          <w:bottom w:w="0" w:type="dxa"/>
          <w:right w:w="108" w:type="dxa"/>
        </w:tblCellMar>
      </w:tblPr>
      <w:tblGrid>
        <w:gridCol w:w="1417"/>
        <w:gridCol w:w="1134"/>
        <w:gridCol w:w="1417"/>
        <w:gridCol w:w="1134"/>
      </w:tblGrid>
      <w:tr w14:paraId="0550E8E7">
        <w:tblPrEx>
          <w:tblCellMar>
            <w:top w:w="0" w:type="dxa"/>
            <w:left w:w="108" w:type="dxa"/>
            <w:bottom w:w="0" w:type="dxa"/>
            <w:right w:w="108" w:type="dxa"/>
          </w:tblCellMar>
        </w:tblPrEx>
        <w:trPr>
          <w:jc w:val="center"/>
        </w:trPr>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388CD05F">
            <w:pPr>
              <w:jc w:val="center"/>
              <w:rPr>
                <w:rFonts w:hint="eastAsia" w:ascii="宋体" w:hAnsi="宋体" w:eastAsia="宋体" w:cs="宋体"/>
              </w:rPr>
            </w:pPr>
            <w:r>
              <w:rPr>
                <w:rFonts w:hint="eastAsia" w:ascii="宋体" w:hAnsi="宋体" w:eastAsia="宋体" w:cs="宋体"/>
                <w:b/>
                <w:color w:val="1A4789"/>
                <w:sz w:val="18"/>
              </w:rPr>
              <w:t>公司</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305120A7">
            <w:pPr>
              <w:jc w:val="center"/>
              <w:rPr>
                <w:rFonts w:hint="eastAsia" w:ascii="宋体" w:hAnsi="宋体" w:eastAsia="宋体" w:cs="宋体"/>
              </w:rPr>
            </w:pPr>
            <w:r>
              <w:rPr>
                <w:rFonts w:hint="eastAsia" w:ascii="宋体" w:hAnsi="宋体" w:eastAsia="宋体" w:cs="宋体"/>
                <w:b/>
                <w:color w:val="1A4789"/>
                <w:sz w:val="18"/>
              </w:rPr>
              <w:t>异常率</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794350C2">
            <w:pPr>
              <w:jc w:val="center"/>
              <w:rPr>
                <w:rFonts w:hint="eastAsia" w:ascii="宋体" w:hAnsi="宋体" w:eastAsia="宋体" w:cs="宋体"/>
              </w:rPr>
            </w:pPr>
            <w:r>
              <w:rPr>
                <w:rFonts w:hint="eastAsia" w:ascii="宋体" w:hAnsi="宋体" w:eastAsia="宋体" w:cs="宋体"/>
                <w:b/>
                <w:color w:val="1A4789"/>
                <w:sz w:val="18"/>
              </w:rPr>
              <w:t>异常得分均值</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45897B42">
            <w:pPr>
              <w:jc w:val="center"/>
              <w:rPr>
                <w:rFonts w:hint="eastAsia" w:ascii="宋体" w:hAnsi="宋体" w:eastAsia="宋体" w:cs="宋体"/>
              </w:rPr>
            </w:pPr>
            <w:r>
              <w:rPr>
                <w:rFonts w:hint="eastAsia" w:ascii="宋体" w:hAnsi="宋体" w:eastAsia="宋体" w:cs="宋体"/>
                <w:b/>
                <w:color w:val="1A4789"/>
                <w:sz w:val="18"/>
              </w:rPr>
              <w:t>季度数</w:t>
            </w:r>
          </w:p>
        </w:tc>
      </w:tr>
      <w:tr w14:paraId="0FE1A1AA">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C3BA1D6">
            <w:pPr>
              <w:jc w:val="left"/>
              <w:rPr>
                <w:rFonts w:hint="eastAsia" w:ascii="宋体" w:hAnsi="宋体" w:eastAsia="宋体" w:cs="宋体"/>
              </w:rPr>
            </w:pPr>
            <w:r>
              <w:rPr>
                <w:rFonts w:hint="eastAsia" w:ascii="宋体" w:hAnsi="宋体" w:eastAsia="宋体" w:cs="宋体"/>
                <w:color w:val="333333"/>
                <w:sz w:val="18"/>
              </w:rPr>
              <w:t>北汽蓝谷</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5E36E3C">
            <w:pPr>
              <w:jc w:val="center"/>
              <w:rPr>
                <w:rFonts w:hint="eastAsia" w:ascii="宋体" w:hAnsi="宋体" w:eastAsia="宋体" w:cs="宋体"/>
              </w:rPr>
            </w:pPr>
            <w:r>
              <w:rPr>
                <w:rFonts w:hint="eastAsia" w:ascii="宋体" w:hAnsi="宋体" w:eastAsia="宋体" w:cs="宋体"/>
                <w:color w:val="333333"/>
                <w:sz w:val="18"/>
              </w:rPr>
              <w:t>74%</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7A9D8E1">
            <w:pPr>
              <w:jc w:val="center"/>
              <w:rPr>
                <w:rFonts w:hint="eastAsia" w:ascii="宋体" w:hAnsi="宋体" w:eastAsia="宋体" w:cs="宋体"/>
              </w:rPr>
            </w:pPr>
            <w:r>
              <w:rPr>
                <w:rFonts w:hint="eastAsia" w:ascii="宋体" w:hAnsi="宋体" w:eastAsia="宋体" w:cs="宋体"/>
                <w:color w:val="333333"/>
                <w:sz w:val="18"/>
              </w:rPr>
              <w:t>-0.057</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3EA75C7D">
            <w:pPr>
              <w:jc w:val="center"/>
              <w:rPr>
                <w:rFonts w:hint="eastAsia" w:ascii="宋体" w:hAnsi="宋体" w:eastAsia="宋体" w:cs="宋体"/>
              </w:rPr>
            </w:pPr>
            <w:r>
              <w:rPr>
                <w:rFonts w:hint="eastAsia" w:ascii="宋体" w:hAnsi="宋体" w:eastAsia="宋体" w:cs="宋体"/>
                <w:color w:val="333333"/>
                <w:sz w:val="18"/>
              </w:rPr>
              <w:t>39</w:t>
            </w:r>
          </w:p>
        </w:tc>
      </w:tr>
      <w:tr w14:paraId="75A5037B">
        <w:tblPrEx>
          <w:tblCellMar>
            <w:top w:w="0" w:type="dxa"/>
            <w:left w:w="108" w:type="dxa"/>
            <w:bottom w:w="0" w:type="dxa"/>
            <w:right w:w="108" w:type="dxa"/>
          </w:tblCellMar>
        </w:tblPrEx>
        <w:trPr>
          <w:jc w:val="center"/>
        </w:trPr>
        <w:tc>
          <w:tcPr>
            <w:tcW w:w="1417" w:type="dxa"/>
          </w:tcPr>
          <w:p w14:paraId="4FE379AC">
            <w:pPr>
              <w:jc w:val="left"/>
              <w:rPr>
                <w:rFonts w:hint="eastAsia" w:ascii="宋体" w:hAnsi="宋体" w:eastAsia="宋体" w:cs="宋体"/>
              </w:rPr>
            </w:pPr>
            <w:r>
              <w:rPr>
                <w:rFonts w:hint="eastAsia" w:ascii="宋体" w:hAnsi="宋体" w:eastAsia="宋体" w:cs="宋体"/>
                <w:color w:val="333333"/>
                <w:sz w:val="18"/>
              </w:rPr>
              <w:t>赛力斯</w:t>
            </w:r>
          </w:p>
        </w:tc>
        <w:tc>
          <w:tcPr>
            <w:tcW w:w="1134" w:type="dxa"/>
          </w:tcPr>
          <w:p w14:paraId="52669A41">
            <w:pPr>
              <w:jc w:val="center"/>
              <w:rPr>
                <w:rFonts w:hint="eastAsia" w:ascii="宋体" w:hAnsi="宋体" w:eastAsia="宋体" w:cs="宋体"/>
              </w:rPr>
            </w:pPr>
            <w:r>
              <w:rPr>
                <w:rFonts w:hint="eastAsia" w:ascii="宋体" w:hAnsi="宋体" w:eastAsia="宋体" w:cs="宋体"/>
                <w:color w:val="333333"/>
                <w:sz w:val="18"/>
              </w:rPr>
              <w:t>7%</w:t>
            </w:r>
          </w:p>
        </w:tc>
        <w:tc>
          <w:tcPr>
            <w:tcW w:w="1417" w:type="dxa"/>
          </w:tcPr>
          <w:p w14:paraId="298EE45A">
            <w:pPr>
              <w:jc w:val="center"/>
              <w:rPr>
                <w:rFonts w:hint="eastAsia" w:ascii="宋体" w:hAnsi="宋体" w:eastAsia="宋体" w:cs="宋体"/>
              </w:rPr>
            </w:pPr>
            <w:r>
              <w:rPr>
                <w:rFonts w:hint="eastAsia" w:ascii="宋体" w:hAnsi="宋体" w:eastAsia="宋体" w:cs="宋体"/>
                <w:color w:val="333333"/>
                <w:sz w:val="18"/>
              </w:rPr>
              <w:t>0.080</w:t>
            </w:r>
          </w:p>
        </w:tc>
        <w:tc>
          <w:tcPr>
            <w:tcW w:w="1134" w:type="dxa"/>
          </w:tcPr>
          <w:p w14:paraId="3C6B9F8D">
            <w:pPr>
              <w:jc w:val="center"/>
              <w:rPr>
                <w:rFonts w:hint="eastAsia" w:ascii="宋体" w:hAnsi="宋体" w:eastAsia="宋体" w:cs="宋体"/>
              </w:rPr>
            </w:pPr>
            <w:r>
              <w:rPr>
                <w:rFonts w:hint="eastAsia" w:ascii="宋体" w:hAnsi="宋体" w:eastAsia="宋体" w:cs="宋体"/>
                <w:color w:val="333333"/>
                <w:sz w:val="18"/>
              </w:rPr>
              <w:t>41</w:t>
            </w:r>
          </w:p>
        </w:tc>
      </w:tr>
      <w:tr w14:paraId="1ADD0F00">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8D47031">
            <w:pPr>
              <w:jc w:val="left"/>
              <w:rPr>
                <w:rFonts w:hint="eastAsia" w:ascii="宋体" w:hAnsi="宋体" w:eastAsia="宋体" w:cs="宋体"/>
              </w:rPr>
            </w:pPr>
            <w:r>
              <w:rPr>
                <w:rFonts w:hint="eastAsia" w:ascii="宋体" w:hAnsi="宋体" w:eastAsia="宋体" w:cs="宋体"/>
                <w:color w:val="333333"/>
                <w:sz w:val="18"/>
              </w:rPr>
              <w:t>比亚迪</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FA34A50">
            <w:pPr>
              <w:jc w:val="center"/>
              <w:rPr>
                <w:rFonts w:hint="eastAsia" w:ascii="宋体" w:hAnsi="宋体" w:eastAsia="宋体" w:cs="宋体"/>
              </w:rPr>
            </w:pPr>
            <w:r>
              <w:rPr>
                <w:rFonts w:hint="eastAsia" w:ascii="宋体" w:hAnsi="宋体" w:eastAsia="宋体" w:cs="宋体"/>
                <w:color w:val="333333"/>
                <w:sz w:val="18"/>
              </w:rPr>
              <w:t>0%</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C50EAE8">
            <w:pPr>
              <w:jc w:val="center"/>
              <w:rPr>
                <w:rFonts w:hint="eastAsia" w:ascii="宋体" w:hAnsi="宋体" w:eastAsia="宋体" w:cs="宋体"/>
              </w:rPr>
            </w:pPr>
            <w:r>
              <w:rPr>
                <w:rFonts w:hint="eastAsia" w:ascii="宋体" w:hAnsi="宋体" w:eastAsia="宋体" w:cs="宋体"/>
                <w:color w:val="333333"/>
                <w:sz w:val="18"/>
              </w:rPr>
              <w:t>0.101</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DAA0DE6">
            <w:pPr>
              <w:jc w:val="center"/>
              <w:rPr>
                <w:rFonts w:hint="eastAsia" w:ascii="宋体" w:hAnsi="宋体" w:eastAsia="宋体" w:cs="宋体"/>
              </w:rPr>
            </w:pPr>
            <w:r>
              <w:rPr>
                <w:rFonts w:hint="eastAsia" w:ascii="宋体" w:hAnsi="宋体" w:eastAsia="宋体" w:cs="宋体"/>
                <w:color w:val="333333"/>
                <w:sz w:val="18"/>
              </w:rPr>
              <w:t>39</w:t>
            </w:r>
          </w:p>
        </w:tc>
      </w:tr>
      <w:tr w14:paraId="776FA1F7">
        <w:tblPrEx>
          <w:tblCellMar>
            <w:top w:w="0" w:type="dxa"/>
            <w:left w:w="108" w:type="dxa"/>
            <w:bottom w:w="0" w:type="dxa"/>
            <w:right w:w="108" w:type="dxa"/>
          </w:tblCellMar>
        </w:tblPrEx>
        <w:trPr>
          <w:jc w:val="center"/>
        </w:trPr>
        <w:tc>
          <w:tcPr>
            <w:tcW w:w="1417" w:type="dxa"/>
          </w:tcPr>
          <w:p w14:paraId="3E9B5784">
            <w:pPr>
              <w:jc w:val="left"/>
              <w:rPr>
                <w:rFonts w:hint="eastAsia" w:ascii="宋体" w:hAnsi="宋体" w:eastAsia="宋体" w:cs="宋体"/>
              </w:rPr>
            </w:pPr>
            <w:r>
              <w:rPr>
                <w:rFonts w:hint="eastAsia" w:ascii="宋体" w:hAnsi="宋体" w:eastAsia="宋体" w:cs="宋体"/>
                <w:color w:val="333333"/>
                <w:sz w:val="18"/>
              </w:rPr>
              <w:t>广汽集团</w:t>
            </w:r>
          </w:p>
        </w:tc>
        <w:tc>
          <w:tcPr>
            <w:tcW w:w="1134" w:type="dxa"/>
          </w:tcPr>
          <w:p w14:paraId="0DB79001">
            <w:pPr>
              <w:jc w:val="center"/>
              <w:rPr>
                <w:rFonts w:hint="eastAsia" w:ascii="宋体" w:hAnsi="宋体" w:eastAsia="宋体" w:cs="宋体"/>
              </w:rPr>
            </w:pPr>
            <w:r>
              <w:rPr>
                <w:rFonts w:hint="eastAsia" w:ascii="宋体" w:hAnsi="宋体" w:eastAsia="宋体" w:cs="宋体"/>
                <w:color w:val="333333"/>
                <w:sz w:val="18"/>
              </w:rPr>
              <w:t>0%</w:t>
            </w:r>
          </w:p>
        </w:tc>
        <w:tc>
          <w:tcPr>
            <w:tcW w:w="1417" w:type="dxa"/>
          </w:tcPr>
          <w:p w14:paraId="6438A1F9">
            <w:pPr>
              <w:jc w:val="center"/>
              <w:rPr>
                <w:rFonts w:hint="eastAsia" w:ascii="宋体" w:hAnsi="宋体" w:eastAsia="宋体" w:cs="宋体"/>
              </w:rPr>
            </w:pPr>
            <w:r>
              <w:rPr>
                <w:rFonts w:hint="eastAsia" w:ascii="宋体" w:hAnsi="宋体" w:eastAsia="宋体" w:cs="宋体"/>
                <w:color w:val="333333"/>
                <w:sz w:val="18"/>
              </w:rPr>
              <w:t>0.113</w:t>
            </w:r>
          </w:p>
        </w:tc>
        <w:tc>
          <w:tcPr>
            <w:tcW w:w="1134" w:type="dxa"/>
          </w:tcPr>
          <w:p w14:paraId="286B6521">
            <w:pPr>
              <w:jc w:val="center"/>
              <w:rPr>
                <w:rFonts w:hint="eastAsia" w:ascii="宋体" w:hAnsi="宋体" w:eastAsia="宋体" w:cs="宋体"/>
              </w:rPr>
            </w:pPr>
            <w:r>
              <w:rPr>
                <w:rFonts w:hint="eastAsia" w:ascii="宋体" w:hAnsi="宋体" w:eastAsia="宋体" w:cs="宋体"/>
                <w:color w:val="333333"/>
                <w:sz w:val="18"/>
              </w:rPr>
              <w:t>39</w:t>
            </w:r>
          </w:p>
        </w:tc>
      </w:tr>
      <w:tr w14:paraId="4A61DA97">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EC184C2">
            <w:pPr>
              <w:jc w:val="left"/>
              <w:rPr>
                <w:rFonts w:hint="eastAsia" w:ascii="宋体" w:hAnsi="宋体" w:eastAsia="宋体" w:cs="宋体"/>
              </w:rPr>
            </w:pPr>
            <w:r>
              <w:rPr>
                <w:rFonts w:hint="eastAsia" w:ascii="宋体" w:hAnsi="宋体" w:eastAsia="宋体" w:cs="宋体"/>
                <w:color w:val="333333"/>
                <w:sz w:val="18"/>
              </w:rPr>
              <w:t>长安汽车</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F4C9306">
            <w:pPr>
              <w:jc w:val="center"/>
              <w:rPr>
                <w:rFonts w:hint="eastAsia" w:ascii="宋体" w:hAnsi="宋体" w:eastAsia="宋体" w:cs="宋体"/>
              </w:rPr>
            </w:pPr>
            <w:r>
              <w:rPr>
                <w:rFonts w:hint="eastAsia" w:ascii="宋体" w:hAnsi="宋体" w:eastAsia="宋体" w:cs="宋体"/>
                <w:color w:val="333333"/>
                <w:sz w:val="18"/>
              </w:rPr>
              <w:t>0%</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772CD21">
            <w:pPr>
              <w:jc w:val="center"/>
              <w:rPr>
                <w:rFonts w:hint="eastAsia" w:ascii="宋体" w:hAnsi="宋体" w:eastAsia="宋体" w:cs="宋体"/>
              </w:rPr>
            </w:pPr>
            <w:r>
              <w:rPr>
                <w:rFonts w:hint="eastAsia" w:ascii="宋体" w:hAnsi="宋体" w:eastAsia="宋体" w:cs="宋体"/>
                <w:color w:val="333333"/>
                <w:sz w:val="18"/>
              </w:rPr>
              <w:t>0.114</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0C979881">
            <w:pPr>
              <w:jc w:val="center"/>
              <w:rPr>
                <w:rFonts w:hint="eastAsia" w:ascii="宋体" w:hAnsi="宋体" w:eastAsia="宋体" w:cs="宋体"/>
              </w:rPr>
            </w:pPr>
            <w:r>
              <w:rPr>
                <w:rFonts w:hint="eastAsia" w:ascii="宋体" w:hAnsi="宋体" w:eastAsia="宋体" w:cs="宋体"/>
                <w:color w:val="333333"/>
                <w:sz w:val="18"/>
              </w:rPr>
              <w:t>40</w:t>
            </w:r>
          </w:p>
        </w:tc>
      </w:tr>
      <w:tr w14:paraId="2B9DE9EA">
        <w:tblPrEx>
          <w:tblCellMar>
            <w:top w:w="0" w:type="dxa"/>
            <w:left w:w="108" w:type="dxa"/>
            <w:bottom w:w="0" w:type="dxa"/>
            <w:right w:w="108" w:type="dxa"/>
          </w:tblCellMar>
        </w:tblPrEx>
        <w:trPr>
          <w:jc w:val="center"/>
        </w:trPr>
        <w:tc>
          <w:tcPr>
            <w:tcW w:w="1417" w:type="dxa"/>
          </w:tcPr>
          <w:p w14:paraId="6CA03466">
            <w:pPr>
              <w:jc w:val="left"/>
              <w:rPr>
                <w:rFonts w:hint="eastAsia" w:ascii="宋体" w:hAnsi="宋体" w:eastAsia="宋体" w:cs="宋体"/>
              </w:rPr>
            </w:pPr>
            <w:r>
              <w:rPr>
                <w:rFonts w:hint="eastAsia" w:ascii="宋体" w:hAnsi="宋体" w:eastAsia="宋体" w:cs="宋体"/>
                <w:color w:val="333333"/>
                <w:sz w:val="18"/>
              </w:rPr>
              <w:t>江淮汽车</w:t>
            </w:r>
          </w:p>
        </w:tc>
        <w:tc>
          <w:tcPr>
            <w:tcW w:w="1134" w:type="dxa"/>
          </w:tcPr>
          <w:p w14:paraId="29377D72">
            <w:pPr>
              <w:jc w:val="center"/>
              <w:rPr>
                <w:rFonts w:hint="eastAsia" w:ascii="宋体" w:hAnsi="宋体" w:eastAsia="宋体" w:cs="宋体"/>
              </w:rPr>
            </w:pPr>
            <w:r>
              <w:rPr>
                <w:rFonts w:hint="eastAsia" w:ascii="宋体" w:hAnsi="宋体" w:eastAsia="宋体" w:cs="宋体"/>
                <w:color w:val="333333"/>
                <w:sz w:val="18"/>
              </w:rPr>
              <w:t>0%</w:t>
            </w:r>
          </w:p>
        </w:tc>
        <w:tc>
          <w:tcPr>
            <w:tcW w:w="1417" w:type="dxa"/>
          </w:tcPr>
          <w:p w14:paraId="620F0255">
            <w:pPr>
              <w:jc w:val="center"/>
              <w:rPr>
                <w:rFonts w:hint="eastAsia" w:ascii="宋体" w:hAnsi="宋体" w:eastAsia="宋体" w:cs="宋体"/>
              </w:rPr>
            </w:pPr>
            <w:r>
              <w:rPr>
                <w:rFonts w:hint="eastAsia" w:ascii="宋体" w:hAnsi="宋体" w:eastAsia="宋体" w:cs="宋体"/>
                <w:color w:val="333333"/>
                <w:sz w:val="18"/>
              </w:rPr>
              <w:t>0.114</w:t>
            </w:r>
          </w:p>
        </w:tc>
        <w:tc>
          <w:tcPr>
            <w:tcW w:w="1134" w:type="dxa"/>
          </w:tcPr>
          <w:p w14:paraId="6C7E2E68">
            <w:pPr>
              <w:jc w:val="center"/>
              <w:rPr>
                <w:rFonts w:hint="eastAsia" w:ascii="宋体" w:hAnsi="宋体" w:eastAsia="宋体" w:cs="宋体"/>
              </w:rPr>
            </w:pPr>
            <w:r>
              <w:rPr>
                <w:rFonts w:hint="eastAsia" w:ascii="宋体" w:hAnsi="宋体" w:eastAsia="宋体" w:cs="宋体"/>
                <w:color w:val="333333"/>
                <w:sz w:val="18"/>
              </w:rPr>
              <w:t>39</w:t>
            </w:r>
          </w:p>
        </w:tc>
      </w:tr>
      <w:tr w14:paraId="15D860D3">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31BB13E">
            <w:pPr>
              <w:jc w:val="left"/>
              <w:rPr>
                <w:rFonts w:hint="eastAsia" w:ascii="宋体" w:hAnsi="宋体" w:eastAsia="宋体" w:cs="宋体"/>
              </w:rPr>
            </w:pPr>
            <w:r>
              <w:rPr>
                <w:rFonts w:hint="eastAsia" w:ascii="宋体" w:hAnsi="宋体" w:eastAsia="宋体" w:cs="宋体"/>
                <w:color w:val="333333"/>
                <w:sz w:val="18"/>
              </w:rPr>
              <w:t>长城汽车</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DD4E373">
            <w:pPr>
              <w:jc w:val="center"/>
              <w:rPr>
                <w:rFonts w:hint="eastAsia" w:ascii="宋体" w:hAnsi="宋体" w:eastAsia="宋体" w:cs="宋体"/>
              </w:rPr>
            </w:pPr>
            <w:r>
              <w:rPr>
                <w:rFonts w:hint="eastAsia" w:ascii="宋体" w:hAnsi="宋体" w:eastAsia="宋体" w:cs="宋体"/>
                <w:color w:val="333333"/>
                <w:sz w:val="18"/>
              </w:rPr>
              <w:t>0%</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2E90353">
            <w:pPr>
              <w:jc w:val="center"/>
              <w:rPr>
                <w:rFonts w:hint="eastAsia" w:ascii="宋体" w:hAnsi="宋体" w:eastAsia="宋体" w:cs="宋体"/>
              </w:rPr>
            </w:pPr>
            <w:r>
              <w:rPr>
                <w:rFonts w:hint="eastAsia" w:ascii="宋体" w:hAnsi="宋体" w:eastAsia="宋体" w:cs="宋体"/>
                <w:color w:val="333333"/>
                <w:sz w:val="18"/>
              </w:rPr>
              <w:t>0.118</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5602233">
            <w:pPr>
              <w:jc w:val="center"/>
              <w:rPr>
                <w:rFonts w:hint="eastAsia" w:ascii="宋体" w:hAnsi="宋体" w:eastAsia="宋体" w:cs="宋体"/>
              </w:rPr>
            </w:pPr>
            <w:r>
              <w:rPr>
                <w:rFonts w:hint="eastAsia" w:ascii="宋体" w:hAnsi="宋体" w:eastAsia="宋体" w:cs="宋体"/>
                <w:color w:val="333333"/>
                <w:sz w:val="18"/>
              </w:rPr>
              <w:t>39</w:t>
            </w:r>
          </w:p>
        </w:tc>
      </w:tr>
      <w:tr w14:paraId="1F963880">
        <w:tblPrEx>
          <w:tblCellMar>
            <w:top w:w="0" w:type="dxa"/>
            <w:left w:w="108" w:type="dxa"/>
            <w:bottom w:w="0" w:type="dxa"/>
            <w:right w:w="108" w:type="dxa"/>
          </w:tblCellMar>
        </w:tblPrEx>
        <w:trPr>
          <w:jc w:val="center"/>
        </w:trPr>
        <w:tc>
          <w:tcPr>
            <w:tcW w:w="1417" w:type="dxa"/>
          </w:tcPr>
          <w:p w14:paraId="7EEDE14B">
            <w:pPr>
              <w:jc w:val="left"/>
              <w:rPr>
                <w:rFonts w:hint="eastAsia" w:ascii="宋体" w:hAnsi="宋体" w:eastAsia="宋体" w:cs="宋体"/>
              </w:rPr>
            </w:pPr>
            <w:r>
              <w:rPr>
                <w:rFonts w:hint="eastAsia" w:ascii="宋体" w:hAnsi="宋体" w:eastAsia="宋体" w:cs="宋体"/>
                <w:color w:val="333333"/>
                <w:sz w:val="18"/>
              </w:rPr>
              <w:t>上汽集团</w:t>
            </w:r>
          </w:p>
        </w:tc>
        <w:tc>
          <w:tcPr>
            <w:tcW w:w="1134" w:type="dxa"/>
          </w:tcPr>
          <w:p w14:paraId="7A908120">
            <w:pPr>
              <w:jc w:val="center"/>
              <w:rPr>
                <w:rFonts w:hint="eastAsia" w:ascii="宋体" w:hAnsi="宋体" w:eastAsia="宋体" w:cs="宋体"/>
              </w:rPr>
            </w:pPr>
            <w:r>
              <w:rPr>
                <w:rFonts w:hint="eastAsia" w:ascii="宋体" w:hAnsi="宋体" w:eastAsia="宋体" w:cs="宋体"/>
                <w:color w:val="333333"/>
                <w:sz w:val="18"/>
              </w:rPr>
              <w:t>0%</w:t>
            </w:r>
          </w:p>
        </w:tc>
        <w:tc>
          <w:tcPr>
            <w:tcW w:w="1417" w:type="dxa"/>
          </w:tcPr>
          <w:p w14:paraId="7BBA089B">
            <w:pPr>
              <w:jc w:val="center"/>
              <w:rPr>
                <w:rFonts w:hint="eastAsia" w:ascii="宋体" w:hAnsi="宋体" w:eastAsia="宋体" w:cs="宋体"/>
              </w:rPr>
            </w:pPr>
            <w:r>
              <w:rPr>
                <w:rFonts w:hint="eastAsia" w:ascii="宋体" w:hAnsi="宋体" w:eastAsia="宋体" w:cs="宋体"/>
                <w:color w:val="333333"/>
                <w:sz w:val="18"/>
              </w:rPr>
              <w:t>0.140</w:t>
            </w:r>
          </w:p>
        </w:tc>
        <w:tc>
          <w:tcPr>
            <w:tcW w:w="1134" w:type="dxa"/>
          </w:tcPr>
          <w:p w14:paraId="5CC4ED9C">
            <w:pPr>
              <w:jc w:val="center"/>
              <w:rPr>
                <w:rFonts w:hint="eastAsia" w:ascii="宋体" w:hAnsi="宋体" w:eastAsia="宋体" w:cs="宋体"/>
              </w:rPr>
            </w:pPr>
            <w:r>
              <w:rPr>
                <w:rFonts w:hint="eastAsia" w:ascii="宋体" w:hAnsi="宋体" w:eastAsia="宋体" w:cs="宋体"/>
                <w:color w:val="333333"/>
                <w:sz w:val="18"/>
              </w:rPr>
              <w:t>38</w:t>
            </w:r>
          </w:p>
        </w:tc>
      </w:tr>
    </w:tbl>
    <w:p w14:paraId="78E9D42B">
      <w:pPr>
        <w:spacing w:after="80"/>
        <w:rPr>
          <w:rFonts w:hint="eastAsia" w:ascii="宋体" w:hAnsi="宋体" w:eastAsia="宋体" w:cs="宋体"/>
        </w:rPr>
      </w:pPr>
    </w:p>
    <w:p w14:paraId="5BD5C158">
      <w:pPr>
        <w:spacing w:after="40" w:line="360" w:lineRule="auto"/>
        <w:ind w:firstLine="420"/>
        <w:rPr>
          <w:rFonts w:hint="eastAsia" w:ascii="宋体" w:hAnsi="宋体" w:eastAsia="宋体" w:cs="宋体"/>
        </w:rPr>
      </w:pPr>
      <w:r>
        <w:rPr>
          <w:rFonts w:hint="eastAsia" w:ascii="宋体" w:hAnsi="宋体" w:eastAsia="宋体" w:cs="宋体"/>
          <w:b w:val="0"/>
          <w:sz w:val="24"/>
        </w:rPr>
        <w:t>以异常率30%为预警线，北汽蓝谷异常率74%远超线外。赛力斯异常率7%，虽在正常范围内但非零，长安汽车异常率0%。赛力斯运营中存在的少量异常波动与其高增长高波动的模式特征一致。</w:t>
      </w:r>
    </w:p>
    <w:p w14:paraId="1E8CE380">
      <w:pPr>
        <w:spacing w:before="360" w:after="240"/>
        <w:jc w:val="center"/>
        <w:outlineLvl w:val="0"/>
        <w:rPr>
          <w:rFonts w:hint="eastAsia" w:ascii="宋体" w:hAnsi="宋体" w:eastAsia="宋体" w:cs="宋体"/>
        </w:rPr>
      </w:pPr>
      <w:bookmarkStart w:id="29" w:name="_Toc13521"/>
      <w:bookmarkStart w:id="30" w:name="_Toc4018"/>
      <w:r>
        <w:rPr>
          <w:rFonts w:hint="eastAsia" w:ascii="宋体" w:hAnsi="宋体" w:eastAsia="宋体" w:cs="宋体"/>
          <w:b/>
          <w:color w:val="000000"/>
          <w:sz w:val="32"/>
        </w:rPr>
        <w:t>五、六种预测方法对比</w:t>
      </w:r>
      <w:bookmarkEnd w:id="29"/>
      <w:bookmarkEnd w:id="30"/>
    </w:p>
    <w:p w14:paraId="78F9EEA7">
      <w:pPr>
        <w:spacing w:after="40" w:line="360" w:lineRule="auto"/>
        <w:ind w:firstLine="420"/>
        <w:rPr>
          <w:rFonts w:hint="eastAsia" w:ascii="宋体" w:hAnsi="宋体" w:eastAsia="宋体" w:cs="宋体"/>
        </w:rPr>
      </w:pPr>
      <w:r>
        <w:rPr>
          <w:rFonts w:hint="eastAsia" w:ascii="宋体" w:hAnsi="宋体" w:eastAsia="宋体" w:cs="宋体"/>
          <w:b w:val="0"/>
          <w:sz w:val="24"/>
        </w:rPr>
        <w:t>每家企业仅39至41个有效季度观测，属于小样本场景。在此约束下比较六种方法的拟合与预测表现。</w:t>
      </w:r>
    </w:p>
    <w:p w14:paraId="5B45F3B6">
      <w:pPr>
        <w:spacing w:before="240" w:after="120"/>
        <w:ind w:left="0"/>
        <w:outlineLvl w:val="1"/>
        <w:rPr>
          <w:rFonts w:hint="eastAsia" w:ascii="宋体" w:hAnsi="宋体" w:eastAsia="宋体" w:cs="宋体"/>
        </w:rPr>
      </w:pPr>
      <w:bookmarkStart w:id="31" w:name="_Toc26772"/>
      <w:bookmarkStart w:id="32" w:name="_Toc24070"/>
      <w:r>
        <w:rPr>
          <w:rFonts w:hint="eastAsia" w:ascii="宋体" w:hAnsi="宋体" w:eastAsia="宋体" w:cs="宋体"/>
          <w:b/>
          <w:color w:val="000000"/>
          <w:sz w:val="28"/>
        </w:rPr>
        <w:t>（一）赛力斯预测结果</w:t>
      </w:r>
      <w:bookmarkEnd w:id="31"/>
      <w:bookmarkEnd w:id="32"/>
    </w:p>
    <w:p w14:paraId="4E55C5C6">
      <w:pPr>
        <w:jc w:val="center"/>
        <w:rPr>
          <w:rFonts w:hint="eastAsia" w:ascii="宋体" w:hAnsi="宋体" w:eastAsia="宋体" w:cs="宋体"/>
        </w:rPr>
      </w:pPr>
      <w:r>
        <w:rPr>
          <w:rFonts w:hint="eastAsia" w:ascii="宋体" w:hAnsi="宋体" w:eastAsia="宋体" w:cs="宋体"/>
        </w:rPr>
        <w:drawing>
          <wp:inline distT="0" distB="0" distL="114300" distR="114300">
            <wp:extent cx="5399405" cy="2605405"/>
            <wp:effectExtent l="0" t="0" r="1079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00000" cy="2605772"/>
                    </a:xfrm>
                    <a:prstGeom prst="rect">
                      <a:avLst/>
                    </a:prstGeom>
                  </pic:spPr>
                </pic:pic>
              </a:graphicData>
            </a:graphic>
          </wp:inline>
        </w:drawing>
      </w:r>
    </w:p>
    <w:p w14:paraId="0C766E5D">
      <w:pPr>
        <w:spacing w:after="120"/>
        <w:jc w:val="center"/>
        <w:rPr>
          <w:rFonts w:hint="eastAsia" w:ascii="宋体" w:hAnsi="宋体" w:eastAsia="宋体" w:cs="宋体"/>
        </w:rPr>
      </w:pPr>
      <w:r>
        <w:rPr>
          <w:rFonts w:hint="eastAsia" w:ascii="宋体" w:hAnsi="宋体" w:eastAsia="宋体" w:cs="宋体"/>
          <w:sz w:val="18"/>
        </w:rPr>
        <w:t>图5-1  赛力斯毛利率六方法对比</w:t>
      </w:r>
    </w:p>
    <w:p w14:paraId="6759307E">
      <w:pPr>
        <w:rPr>
          <w:rFonts w:hint="eastAsia" w:ascii="宋体" w:hAnsi="宋体" w:eastAsia="宋体" w:cs="宋体"/>
        </w:rPr>
      </w:pPr>
    </w:p>
    <w:p w14:paraId="1D7E8B18">
      <w:pPr>
        <w:jc w:val="center"/>
        <w:rPr>
          <w:rFonts w:hint="eastAsia" w:ascii="宋体" w:hAnsi="宋体" w:eastAsia="宋体" w:cs="宋体"/>
        </w:rPr>
      </w:pPr>
      <w:r>
        <w:rPr>
          <w:rFonts w:hint="eastAsia" w:ascii="宋体" w:hAnsi="宋体" w:eastAsia="宋体" w:cs="宋体"/>
        </w:rPr>
        <w:drawing>
          <wp:inline distT="0" distB="0" distL="114300" distR="114300">
            <wp:extent cx="5399405" cy="2605405"/>
            <wp:effectExtent l="0" t="0" r="1079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00000" cy="2605772"/>
                    </a:xfrm>
                    <a:prstGeom prst="rect">
                      <a:avLst/>
                    </a:prstGeom>
                  </pic:spPr>
                </pic:pic>
              </a:graphicData>
            </a:graphic>
          </wp:inline>
        </w:drawing>
      </w:r>
    </w:p>
    <w:p w14:paraId="30229DEB">
      <w:pPr>
        <w:spacing w:after="120"/>
        <w:jc w:val="center"/>
        <w:rPr>
          <w:rFonts w:hint="eastAsia" w:ascii="宋体" w:hAnsi="宋体" w:eastAsia="宋体" w:cs="宋体"/>
        </w:rPr>
      </w:pPr>
      <w:r>
        <w:rPr>
          <w:rFonts w:hint="eastAsia" w:ascii="宋体" w:hAnsi="宋体" w:eastAsia="宋体" w:cs="宋体"/>
          <w:sz w:val="18"/>
        </w:rPr>
        <w:t>图5-2  赛力斯资产负债率六方法对比</w:t>
      </w:r>
    </w:p>
    <w:p w14:paraId="55D2AA77">
      <w:pPr>
        <w:spacing w:before="240" w:after="120"/>
        <w:ind w:left="0"/>
        <w:outlineLvl w:val="1"/>
        <w:rPr>
          <w:rFonts w:hint="eastAsia" w:ascii="宋体" w:hAnsi="宋体" w:eastAsia="宋体" w:cs="宋体"/>
        </w:rPr>
      </w:pPr>
      <w:bookmarkStart w:id="33" w:name="_Toc14567"/>
      <w:bookmarkStart w:id="34" w:name="_Toc7046"/>
      <w:r>
        <w:rPr>
          <w:rFonts w:hint="eastAsia" w:ascii="宋体" w:hAnsi="宋体" w:eastAsia="宋体" w:cs="宋体"/>
          <w:b/>
          <w:color w:val="000000"/>
          <w:sz w:val="28"/>
        </w:rPr>
        <w:t>（二）长安汽车预测结果</w:t>
      </w:r>
      <w:bookmarkEnd w:id="33"/>
      <w:bookmarkEnd w:id="34"/>
    </w:p>
    <w:p w14:paraId="4A85651C">
      <w:pPr>
        <w:jc w:val="center"/>
        <w:rPr>
          <w:rFonts w:hint="eastAsia" w:ascii="宋体" w:hAnsi="宋体" w:eastAsia="宋体" w:cs="宋体"/>
        </w:rPr>
      </w:pPr>
      <w:r>
        <w:rPr>
          <w:rFonts w:hint="eastAsia" w:ascii="宋体" w:hAnsi="宋体" w:eastAsia="宋体" w:cs="宋体"/>
        </w:rPr>
        <w:drawing>
          <wp:inline distT="0" distB="0" distL="114300" distR="114300">
            <wp:extent cx="5399405" cy="2605405"/>
            <wp:effectExtent l="0" t="0" r="1079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00000" cy="2605772"/>
                    </a:xfrm>
                    <a:prstGeom prst="rect">
                      <a:avLst/>
                    </a:prstGeom>
                  </pic:spPr>
                </pic:pic>
              </a:graphicData>
            </a:graphic>
          </wp:inline>
        </w:drawing>
      </w:r>
    </w:p>
    <w:p w14:paraId="4AC3A411">
      <w:pPr>
        <w:spacing w:after="120"/>
        <w:jc w:val="center"/>
        <w:rPr>
          <w:rFonts w:hint="eastAsia" w:ascii="宋体" w:hAnsi="宋体" w:eastAsia="宋体" w:cs="宋体"/>
        </w:rPr>
      </w:pPr>
      <w:r>
        <w:rPr>
          <w:rFonts w:hint="eastAsia" w:ascii="宋体" w:hAnsi="宋体" w:eastAsia="宋体" w:cs="宋体"/>
          <w:sz w:val="18"/>
        </w:rPr>
        <w:t>图5-3  长安汽车毛利率六方法对比</w:t>
      </w:r>
    </w:p>
    <w:p w14:paraId="3F2BCE38">
      <w:pPr>
        <w:rPr>
          <w:rFonts w:hint="eastAsia" w:ascii="宋体" w:hAnsi="宋体" w:eastAsia="宋体" w:cs="宋体"/>
        </w:rPr>
      </w:pPr>
    </w:p>
    <w:p w14:paraId="0EB148CE">
      <w:pPr>
        <w:jc w:val="center"/>
        <w:rPr>
          <w:rFonts w:hint="eastAsia" w:ascii="宋体" w:hAnsi="宋体" w:eastAsia="宋体" w:cs="宋体"/>
        </w:rPr>
      </w:pPr>
      <w:r>
        <w:rPr>
          <w:rFonts w:hint="eastAsia" w:ascii="宋体" w:hAnsi="宋体" w:eastAsia="宋体" w:cs="宋体"/>
        </w:rPr>
        <w:drawing>
          <wp:inline distT="0" distB="0" distL="114300" distR="114300">
            <wp:extent cx="5399405" cy="2605405"/>
            <wp:effectExtent l="0" t="0" r="1079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00000" cy="2605772"/>
                    </a:xfrm>
                    <a:prstGeom prst="rect">
                      <a:avLst/>
                    </a:prstGeom>
                  </pic:spPr>
                </pic:pic>
              </a:graphicData>
            </a:graphic>
          </wp:inline>
        </w:drawing>
      </w:r>
    </w:p>
    <w:p w14:paraId="55C3FB30">
      <w:pPr>
        <w:spacing w:after="120"/>
        <w:jc w:val="center"/>
        <w:rPr>
          <w:rFonts w:hint="eastAsia" w:ascii="宋体" w:hAnsi="宋体" w:eastAsia="宋体" w:cs="宋体"/>
        </w:rPr>
      </w:pPr>
      <w:r>
        <w:rPr>
          <w:rFonts w:hint="eastAsia" w:ascii="宋体" w:hAnsi="宋体" w:eastAsia="宋体" w:cs="宋体"/>
          <w:sz w:val="18"/>
        </w:rPr>
        <w:t>图5-4  长安汽车资产负债率六方法对比</w:t>
      </w:r>
    </w:p>
    <w:p w14:paraId="33F16D93">
      <w:pPr>
        <w:spacing w:before="240" w:after="120"/>
        <w:ind w:left="0"/>
        <w:outlineLvl w:val="1"/>
        <w:rPr>
          <w:rFonts w:hint="eastAsia" w:ascii="宋体" w:hAnsi="宋体" w:eastAsia="宋体" w:cs="宋体"/>
        </w:rPr>
      </w:pPr>
      <w:bookmarkStart w:id="35" w:name="_Toc3212"/>
      <w:bookmarkStart w:id="36" w:name="_Toc23615"/>
      <w:r>
        <w:rPr>
          <w:rFonts w:hint="eastAsia" w:ascii="宋体" w:hAnsi="宋体" w:eastAsia="宋体" w:cs="宋体"/>
          <w:b/>
          <w:color w:val="000000"/>
          <w:sz w:val="28"/>
        </w:rPr>
        <w:t>（三）综合排名与回测验证</w:t>
      </w:r>
      <w:bookmarkEnd w:id="35"/>
      <w:bookmarkEnd w:id="36"/>
    </w:p>
    <w:p w14:paraId="6D3399CF">
      <w:pPr>
        <w:jc w:val="center"/>
        <w:rPr>
          <w:rFonts w:hint="eastAsia" w:ascii="宋体" w:hAnsi="宋体" w:eastAsia="宋体" w:cs="宋体"/>
        </w:rPr>
      </w:pPr>
      <w:r>
        <w:rPr>
          <w:rFonts w:hint="eastAsia" w:ascii="宋体" w:hAnsi="宋体" w:eastAsia="宋体" w:cs="宋体"/>
        </w:rPr>
        <w:drawing>
          <wp:inline distT="0" distB="0" distL="114300" distR="114300">
            <wp:extent cx="5399405" cy="1750695"/>
            <wp:effectExtent l="0" t="0" r="1079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00000" cy="1751259"/>
                    </a:xfrm>
                    <a:prstGeom prst="rect">
                      <a:avLst/>
                    </a:prstGeom>
                  </pic:spPr>
                </pic:pic>
              </a:graphicData>
            </a:graphic>
          </wp:inline>
        </w:drawing>
      </w:r>
    </w:p>
    <w:p w14:paraId="700D30BB">
      <w:pPr>
        <w:spacing w:after="120"/>
        <w:jc w:val="center"/>
        <w:rPr>
          <w:rFonts w:hint="eastAsia" w:ascii="宋体" w:hAnsi="宋体" w:eastAsia="宋体" w:cs="宋体"/>
        </w:rPr>
      </w:pPr>
      <w:r>
        <w:rPr>
          <w:rFonts w:hint="eastAsia" w:ascii="宋体" w:hAnsi="宋体" w:eastAsia="宋体" w:cs="宋体"/>
          <w:sz w:val="18"/>
        </w:rPr>
        <w:t>图5-5  六种方法综合性能对比</w:t>
      </w:r>
    </w:p>
    <w:p w14:paraId="268410FB">
      <w:pPr>
        <w:rPr>
          <w:rFonts w:hint="eastAsia" w:ascii="宋体" w:hAnsi="宋体" w:eastAsia="宋体" w:cs="宋体"/>
        </w:rPr>
      </w:pPr>
    </w:p>
    <w:tbl>
      <w:tblPr>
        <w:tblStyle w:val="34"/>
        <w:tblW w:w="0" w:type="auto"/>
        <w:jc w:val="center"/>
        <w:tblLayout w:type="autofit"/>
        <w:tblCellMar>
          <w:top w:w="0" w:type="dxa"/>
          <w:left w:w="108" w:type="dxa"/>
          <w:bottom w:w="0" w:type="dxa"/>
          <w:right w:w="108" w:type="dxa"/>
        </w:tblCellMar>
      </w:tblPr>
      <w:tblGrid>
        <w:gridCol w:w="850"/>
        <w:gridCol w:w="1984"/>
        <w:gridCol w:w="1417"/>
        <w:gridCol w:w="1417"/>
        <w:gridCol w:w="1417"/>
      </w:tblGrid>
      <w:tr w14:paraId="0A4DACFD">
        <w:tblPrEx>
          <w:tblCellMar>
            <w:top w:w="0" w:type="dxa"/>
            <w:left w:w="108" w:type="dxa"/>
            <w:bottom w:w="0" w:type="dxa"/>
            <w:right w:w="108" w:type="dxa"/>
          </w:tblCellMar>
        </w:tblPrEx>
        <w:trPr>
          <w:jc w:val="center"/>
        </w:trPr>
        <w:tc>
          <w:tcPr>
            <w:tcW w:w="850" w:type="dxa"/>
            <w:tcBorders>
              <w:top w:val="single" w:color="2E75B6" w:sz="8" w:space="0"/>
              <w:left w:val="single" w:color="CCCCCC" w:sz="4" w:space="0"/>
              <w:bottom w:val="single" w:color="CCCCCC" w:sz="4" w:space="0"/>
              <w:right w:val="single" w:color="CCCCCC" w:sz="4" w:space="0"/>
            </w:tcBorders>
            <w:shd w:val="clear" w:color="auto" w:fill="D5E8F0"/>
          </w:tcPr>
          <w:p w14:paraId="65B046D9">
            <w:pPr>
              <w:jc w:val="center"/>
              <w:rPr>
                <w:rFonts w:hint="eastAsia" w:ascii="宋体" w:hAnsi="宋体" w:eastAsia="宋体" w:cs="宋体"/>
              </w:rPr>
            </w:pPr>
            <w:r>
              <w:rPr>
                <w:rFonts w:hint="eastAsia" w:ascii="宋体" w:hAnsi="宋体" w:eastAsia="宋体" w:cs="宋体"/>
                <w:b/>
                <w:color w:val="1A4789"/>
                <w:sz w:val="18"/>
              </w:rPr>
              <w:t>排名</w:t>
            </w:r>
          </w:p>
        </w:tc>
        <w:tc>
          <w:tcPr>
            <w:tcW w:w="1984" w:type="dxa"/>
            <w:tcBorders>
              <w:top w:val="single" w:color="2E75B6" w:sz="8" w:space="0"/>
              <w:left w:val="single" w:color="CCCCCC" w:sz="4" w:space="0"/>
              <w:bottom w:val="single" w:color="CCCCCC" w:sz="4" w:space="0"/>
              <w:right w:val="single" w:color="CCCCCC" w:sz="4" w:space="0"/>
            </w:tcBorders>
            <w:shd w:val="clear" w:color="auto" w:fill="D5E8F0"/>
          </w:tcPr>
          <w:p w14:paraId="472D0509">
            <w:pPr>
              <w:jc w:val="center"/>
              <w:rPr>
                <w:rFonts w:hint="eastAsia" w:ascii="宋体" w:hAnsi="宋体" w:eastAsia="宋体" w:cs="宋体"/>
              </w:rPr>
            </w:pPr>
            <w:r>
              <w:rPr>
                <w:rFonts w:hint="eastAsia" w:ascii="宋体" w:hAnsi="宋体" w:eastAsia="宋体" w:cs="宋体"/>
                <w:b/>
                <w:color w:val="1A4789"/>
                <w:sz w:val="18"/>
              </w:rPr>
              <w:t>方法</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35B35655">
            <w:pPr>
              <w:jc w:val="center"/>
              <w:rPr>
                <w:rFonts w:hint="eastAsia" w:ascii="宋体" w:hAnsi="宋体" w:eastAsia="宋体" w:cs="宋体"/>
              </w:rPr>
            </w:pPr>
            <w:r>
              <w:rPr>
                <w:rFonts w:hint="eastAsia" w:ascii="宋体" w:hAnsi="宋体" w:eastAsia="宋体" w:cs="宋体"/>
                <w:b/>
                <w:color w:val="1A4789"/>
                <w:sz w:val="18"/>
              </w:rPr>
              <w:t>平均R²</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58EB572C">
            <w:pPr>
              <w:jc w:val="center"/>
              <w:rPr>
                <w:rFonts w:hint="eastAsia" w:ascii="宋体" w:hAnsi="宋体" w:eastAsia="宋体" w:cs="宋体"/>
              </w:rPr>
            </w:pPr>
            <w:r>
              <w:rPr>
                <w:rFonts w:hint="eastAsia" w:ascii="宋体" w:hAnsi="宋体" w:eastAsia="宋体" w:cs="宋体"/>
                <w:b/>
                <w:color w:val="1A4789"/>
                <w:sz w:val="18"/>
              </w:rPr>
              <w:t>平均MAPE</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0E8B6E5E">
            <w:pPr>
              <w:jc w:val="center"/>
              <w:rPr>
                <w:rFonts w:hint="eastAsia" w:ascii="宋体" w:hAnsi="宋体" w:eastAsia="宋体" w:cs="宋体"/>
              </w:rPr>
            </w:pPr>
            <w:r>
              <w:rPr>
                <w:rFonts w:hint="eastAsia" w:ascii="宋体" w:hAnsi="宋体" w:eastAsia="宋体" w:cs="宋体"/>
                <w:b/>
                <w:color w:val="1A4789"/>
                <w:sz w:val="18"/>
              </w:rPr>
              <w:t>平均σ</w:t>
            </w:r>
          </w:p>
        </w:tc>
      </w:tr>
      <w:tr w14:paraId="6E67612A">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53D3E4E6">
            <w:pPr>
              <w:jc w:val="left"/>
              <w:rPr>
                <w:rFonts w:hint="eastAsia" w:ascii="宋体" w:hAnsi="宋体" w:eastAsia="宋体" w:cs="宋体"/>
              </w:rPr>
            </w:pPr>
            <w:r>
              <w:rPr>
                <w:rFonts w:hint="eastAsia" w:ascii="宋体" w:hAnsi="宋体" w:eastAsia="宋体" w:cs="宋体"/>
                <w:color w:val="333333"/>
                <w:sz w:val="18"/>
              </w:rPr>
              <w:t>1</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22E1C4EC">
            <w:pPr>
              <w:jc w:val="center"/>
              <w:rPr>
                <w:rFonts w:hint="eastAsia" w:ascii="宋体" w:hAnsi="宋体" w:eastAsia="宋体" w:cs="宋体"/>
              </w:rPr>
            </w:pPr>
            <w:r>
              <w:rPr>
                <w:rFonts w:hint="eastAsia" w:ascii="宋体" w:hAnsi="宋体" w:eastAsia="宋体" w:cs="宋体"/>
                <w:color w:val="333333"/>
                <w:sz w:val="18"/>
              </w:rPr>
              <w:t>线性回归</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E65BB0E">
            <w:pPr>
              <w:jc w:val="center"/>
              <w:rPr>
                <w:rFonts w:hint="eastAsia" w:ascii="宋体" w:hAnsi="宋体" w:eastAsia="宋体" w:cs="宋体"/>
              </w:rPr>
            </w:pPr>
            <w:r>
              <w:rPr>
                <w:rFonts w:hint="eastAsia" w:ascii="宋体" w:hAnsi="宋体" w:eastAsia="宋体" w:cs="宋体"/>
                <w:color w:val="333333"/>
                <w:sz w:val="18"/>
              </w:rPr>
              <w:t>0.096</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F1BB6E8">
            <w:pPr>
              <w:jc w:val="center"/>
              <w:rPr>
                <w:rFonts w:hint="eastAsia" w:ascii="宋体" w:hAnsi="宋体" w:eastAsia="宋体" w:cs="宋体"/>
              </w:rPr>
            </w:pPr>
            <w:r>
              <w:rPr>
                <w:rFonts w:hint="eastAsia" w:ascii="宋体" w:hAnsi="宋体" w:eastAsia="宋体" w:cs="宋体"/>
                <w:color w:val="333333"/>
                <w:sz w:val="18"/>
              </w:rPr>
              <w:t>236.3%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4A08287">
            <w:pPr>
              <w:jc w:val="center"/>
              <w:rPr>
                <w:rFonts w:hint="eastAsia" w:ascii="宋体" w:hAnsi="宋体" w:eastAsia="宋体" w:cs="宋体"/>
              </w:rPr>
            </w:pPr>
            <w:r>
              <w:rPr>
                <w:rFonts w:hint="eastAsia" w:ascii="宋体" w:hAnsi="宋体" w:eastAsia="宋体" w:cs="宋体"/>
                <w:color w:val="333333"/>
                <w:sz w:val="18"/>
              </w:rPr>
              <w:t>0.056</w:t>
            </w:r>
          </w:p>
        </w:tc>
      </w:tr>
      <w:tr w14:paraId="6548B373">
        <w:tblPrEx>
          <w:tblCellMar>
            <w:top w:w="0" w:type="dxa"/>
            <w:left w:w="108" w:type="dxa"/>
            <w:bottom w:w="0" w:type="dxa"/>
            <w:right w:w="108" w:type="dxa"/>
          </w:tblCellMar>
        </w:tblPrEx>
        <w:trPr>
          <w:jc w:val="center"/>
        </w:trPr>
        <w:tc>
          <w:tcPr>
            <w:tcW w:w="850" w:type="dxa"/>
          </w:tcPr>
          <w:p w14:paraId="403C3C7F">
            <w:pPr>
              <w:jc w:val="left"/>
              <w:rPr>
                <w:rFonts w:hint="eastAsia" w:ascii="宋体" w:hAnsi="宋体" w:eastAsia="宋体" w:cs="宋体"/>
              </w:rPr>
            </w:pPr>
            <w:r>
              <w:rPr>
                <w:rFonts w:hint="eastAsia" w:ascii="宋体" w:hAnsi="宋体" w:eastAsia="宋体" w:cs="宋体"/>
                <w:color w:val="333333"/>
                <w:sz w:val="18"/>
              </w:rPr>
              <w:t>2</w:t>
            </w:r>
          </w:p>
        </w:tc>
        <w:tc>
          <w:tcPr>
            <w:tcW w:w="1984" w:type="dxa"/>
          </w:tcPr>
          <w:p w14:paraId="2718FB1A">
            <w:pPr>
              <w:jc w:val="center"/>
              <w:rPr>
                <w:rFonts w:hint="eastAsia" w:ascii="宋体" w:hAnsi="宋体" w:eastAsia="宋体" w:cs="宋体"/>
              </w:rPr>
            </w:pPr>
            <w:r>
              <w:rPr>
                <w:rFonts w:hint="eastAsia" w:ascii="宋体" w:hAnsi="宋体" w:eastAsia="宋体" w:cs="宋体"/>
                <w:color w:val="333333"/>
                <w:sz w:val="18"/>
              </w:rPr>
              <w:t>Ridge回归</w:t>
            </w:r>
          </w:p>
        </w:tc>
        <w:tc>
          <w:tcPr>
            <w:tcW w:w="1417" w:type="dxa"/>
          </w:tcPr>
          <w:p w14:paraId="793EB952">
            <w:pPr>
              <w:jc w:val="center"/>
              <w:rPr>
                <w:rFonts w:hint="eastAsia" w:ascii="宋体" w:hAnsi="宋体" w:eastAsia="宋体" w:cs="宋体"/>
              </w:rPr>
            </w:pPr>
            <w:r>
              <w:rPr>
                <w:rFonts w:hint="eastAsia" w:ascii="宋体" w:hAnsi="宋体" w:eastAsia="宋体" w:cs="宋体"/>
                <w:color w:val="333333"/>
                <w:sz w:val="18"/>
              </w:rPr>
              <w:t>0.288</w:t>
            </w:r>
          </w:p>
        </w:tc>
        <w:tc>
          <w:tcPr>
            <w:tcW w:w="1417" w:type="dxa"/>
          </w:tcPr>
          <w:p w14:paraId="3B6D6EBA">
            <w:pPr>
              <w:jc w:val="center"/>
              <w:rPr>
                <w:rFonts w:hint="eastAsia" w:ascii="宋体" w:hAnsi="宋体" w:eastAsia="宋体" w:cs="宋体"/>
              </w:rPr>
            </w:pPr>
            <w:r>
              <w:rPr>
                <w:rFonts w:hint="eastAsia" w:ascii="宋体" w:hAnsi="宋体" w:eastAsia="宋体" w:cs="宋体"/>
                <w:color w:val="333333"/>
                <w:sz w:val="18"/>
              </w:rPr>
              <w:t>237.8%</w:t>
            </w:r>
          </w:p>
        </w:tc>
        <w:tc>
          <w:tcPr>
            <w:tcW w:w="1417" w:type="dxa"/>
          </w:tcPr>
          <w:p w14:paraId="1D4B61EC">
            <w:pPr>
              <w:jc w:val="center"/>
              <w:rPr>
                <w:rFonts w:hint="eastAsia" w:ascii="宋体" w:hAnsi="宋体" w:eastAsia="宋体" w:cs="宋体"/>
              </w:rPr>
            </w:pPr>
            <w:r>
              <w:rPr>
                <w:rFonts w:hint="eastAsia" w:ascii="宋体" w:hAnsi="宋体" w:eastAsia="宋体" w:cs="宋体"/>
                <w:color w:val="333333"/>
                <w:sz w:val="18"/>
              </w:rPr>
              <w:t>0.046</w:t>
            </w:r>
          </w:p>
        </w:tc>
      </w:tr>
      <w:tr w14:paraId="46735F97">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426044F3">
            <w:pPr>
              <w:jc w:val="left"/>
              <w:rPr>
                <w:rFonts w:hint="eastAsia" w:ascii="宋体" w:hAnsi="宋体" w:eastAsia="宋体" w:cs="宋体"/>
              </w:rPr>
            </w:pPr>
            <w:r>
              <w:rPr>
                <w:rFonts w:hint="eastAsia" w:ascii="宋体" w:hAnsi="宋体" w:eastAsia="宋体" w:cs="宋体"/>
                <w:color w:val="333333"/>
                <w:sz w:val="18"/>
              </w:rPr>
              <w:t>3</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43309326">
            <w:pPr>
              <w:jc w:val="center"/>
              <w:rPr>
                <w:rFonts w:hint="eastAsia" w:ascii="宋体" w:hAnsi="宋体" w:eastAsia="宋体" w:cs="宋体"/>
              </w:rPr>
            </w:pPr>
            <w:r>
              <w:rPr>
                <w:rFonts w:hint="eastAsia" w:ascii="宋体" w:hAnsi="宋体" w:eastAsia="宋体" w:cs="宋体"/>
                <w:color w:val="333333"/>
                <w:sz w:val="18"/>
              </w:rPr>
              <w:t>ARIMA</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5C7DE0A">
            <w:pPr>
              <w:jc w:val="center"/>
              <w:rPr>
                <w:rFonts w:hint="eastAsia" w:ascii="宋体" w:hAnsi="宋体" w:eastAsia="宋体" w:cs="宋体"/>
              </w:rPr>
            </w:pPr>
            <w:r>
              <w:rPr>
                <w:rFonts w:hint="eastAsia" w:ascii="宋体" w:hAnsi="宋体" w:eastAsia="宋体" w:cs="宋体"/>
                <w:color w:val="333333"/>
                <w:sz w:val="18"/>
              </w:rPr>
              <w:t>-2.393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2CD159D1">
            <w:pPr>
              <w:jc w:val="center"/>
              <w:rPr>
                <w:rFonts w:hint="eastAsia" w:ascii="宋体" w:hAnsi="宋体" w:eastAsia="宋体" w:cs="宋体"/>
              </w:rPr>
            </w:pPr>
            <w:r>
              <w:rPr>
                <w:rFonts w:hint="eastAsia" w:ascii="宋体" w:hAnsi="宋体" w:eastAsia="宋体" w:cs="宋体"/>
                <w:color w:val="333333"/>
                <w:sz w:val="18"/>
              </w:rPr>
              <w:t>97.5%</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0D86E0E">
            <w:pPr>
              <w:jc w:val="center"/>
              <w:rPr>
                <w:rFonts w:hint="eastAsia" w:ascii="宋体" w:hAnsi="宋体" w:eastAsia="宋体" w:cs="宋体"/>
              </w:rPr>
            </w:pPr>
            <w:r>
              <w:rPr>
                <w:rFonts w:hint="eastAsia" w:ascii="宋体" w:hAnsi="宋体" w:eastAsia="宋体" w:cs="宋体"/>
                <w:color w:val="333333"/>
                <w:sz w:val="18"/>
              </w:rPr>
              <w:t>0.081</w:t>
            </w:r>
          </w:p>
        </w:tc>
      </w:tr>
      <w:tr w14:paraId="5AE90802">
        <w:tblPrEx>
          <w:tblCellMar>
            <w:top w:w="0" w:type="dxa"/>
            <w:left w:w="108" w:type="dxa"/>
            <w:bottom w:w="0" w:type="dxa"/>
            <w:right w:w="108" w:type="dxa"/>
          </w:tblCellMar>
        </w:tblPrEx>
        <w:trPr>
          <w:jc w:val="center"/>
        </w:trPr>
        <w:tc>
          <w:tcPr>
            <w:tcW w:w="850" w:type="dxa"/>
          </w:tcPr>
          <w:p w14:paraId="584D5FA1">
            <w:pPr>
              <w:jc w:val="left"/>
              <w:rPr>
                <w:rFonts w:hint="eastAsia" w:ascii="宋体" w:hAnsi="宋体" w:eastAsia="宋体" w:cs="宋体"/>
              </w:rPr>
            </w:pPr>
            <w:r>
              <w:rPr>
                <w:rFonts w:hint="eastAsia" w:ascii="宋体" w:hAnsi="宋体" w:eastAsia="宋体" w:cs="宋体"/>
                <w:color w:val="333333"/>
                <w:sz w:val="18"/>
              </w:rPr>
              <w:t>4</w:t>
            </w:r>
          </w:p>
        </w:tc>
        <w:tc>
          <w:tcPr>
            <w:tcW w:w="1984" w:type="dxa"/>
          </w:tcPr>
          <w:p w14:paraId="59EC5B90">
            <w:pPr>
              <w:jc w:val="center"/>
              <w:rPr>
                <w:rFonts w:hint="eastAsia" w:ascii="宋体" w:hAnsi="宋体" w:eastAsia="宋体" w:cs="宋体"/>
              </w:rPr>
            </w:pPr>
            <w:r>
              <w:rPr>
                <w:rFonts w:hint="eastAsia" w:ascii="宋体" w:hAnsi="宋体" w:eastAsia="宋体" w:cs="宋体"/>
                <w:color w:val="333333"/>
                <w:sz w:val="18"/>
              </w:rPr>
              <w:t>Prophet</w:t>
            </w:r>
          </w:p>
        </w:tc>
        <w:tc>
          <w:tcPr>
            <w:tcW w:w="1417" w:type="dxa"/>
          </w:tcPr>
          <w:p w14:paraId="55376CE1">
            <w:pPr>
              <w:jc w:val="center"/>
              <w:rPr>
                <w:rFonts w:hint="eastAsia" w:ascii="宋体" w:hAnsi="宋体" w:eastAsia="宋体" w:cs="宋体"/>
              </w:rPr>
            </w:pPr>
            <w:r>
              <w:rPr>
                <w:rFonts w:hint="eastAsia" w:ascii="宋体" w:hAnsi="宋体" w:eastAsia="宋体" w:cs="宋体"/>
                <w:color w:val="333333"/>
                <w:sz w:val="18"/>
              </w:rPr>
              <w:t>-0.016</w:t>
            </w:r>
          </w:p>
        </w:tc>
        <w:tc>
          <w:tcPr>
            <w:tcW w:w="1417" w:type="dxa"/>
          </w:tcPr>
          <w:p w14:paraId="445DCBEC">
            <w:pPr>
              <w:jc w:val="center"/>
              <w:rPr>
                <w:rFonts w:hint="eastAsia" w:ascii="宋体" w:hAnsi="宋体" w:eastAsia="宋体" w:cs="宋体"/>
              </w:rPr>
            </w:pPr>
            <w:r>
              <w:rPr>
                <w:rFonts w:hint="eastAsia" w:ascii="宋体" w:hAnsi="宋体" w:eastAsia="宋体" w:cs="宋体"/>
                <w:color w:val="333333"/>
                <w:sz w:val="18"/>
              </w:rPr>
              <w:t>236.5%</w:t>
            </w:r>
          </w:p>
        </w:tc>
        <w:tc>
          <w:tcPr>
            <w:tcW w:w="1417" w:type="dxa"/>
          </w:tcPr>
          <w:p w14:paraId="2269A555">
            <w:pPr>
              <w:jc w:val="center"/>
              <w:rPr>
                <w:rFonts w:hint="eastAsia" w:ascii="宋体" w:hAnsi="宋体" w:eastAsia="宋体" w:cs="宋体"/>
              </w:rPr>
            </w:pPr>
            <w:r>
              <w:rPr>
                <w:rFonts w:hint="eastAsia" w:ascii="宋体" w:hAnsi="宋体" w:eastAsia="宋体" w:cs="宋体"/>
                <w:color w:val="333333"/>
                <w:sz w:val="18"/>
              </w:rPr>
              <w:t>0.058</w:t>
            </w:r>
          </w:p>
        </w:tc>
      </w:tr>
      <w:tr w14:paraId="2D03E40C">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753CABE1">
            <w:pPr>
              <w:jc w:val="left"/>
              <w:rPr>
                <w:rFonts w:hint="eastAsia" w:ascii="宋体" w:hAnsi="宋体" w:eastAsia="宋体" w:cs="宋体"/>
              </w:rPr>
            </w:pPr>
            <w:r>
              <w:rPr>
                <w:rFonts w:hint="eastAsia" w:ascii="宋体" w:hAnsi="宋体" w:eastAsia="宋体" w:cs="宋体"/>
                <w:color w:val="333333"/>
                <w:sz w:val="18"/>
              </w:rPr>
              <w:t>5</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393C048F">
            <w:pPr>
              <w:jc w:val="center"/>
              <w:rPr>
                <w:rFonts w:hint="eastAsia" w:ascii="宋体" w:hAnsi="宋体" w:eastAsia="宋体" w:cs="宋体"/>
              </w:rPr>
            </w:pPr>
            <w:r>
              <w:rPr>
                <w:rFonts w:hint="eastAsia" w:ascii="宋体" w:hAnsi="宋体" w:eastAsia="宋体" w:cs="宋体"/>
                <w:color w:val="333333"/>
                <w:sz w:val="18"/>
              </w:rPr>
              <w:t>LSTM</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E3C6E1B">
            <w:pPr>
              <w:jc w:val="center"/>
              <w:rPr>
                <w:rFonts w:hint="eastAsia" w:ascii="宋体" w:hAnsi="宋体" w:eastAsia="宋体" w:cs="宋体"/>
              </w:rPr>
            </w:pPr>
            <w:r>
              <w:rPr>
                <w:rFonts w:hint="eastAsia" w:ascii="宋体" w:hAnsi="宋体" w:eastAsia="宋体" w:cs="宋体"/>
                <w:color w:val="333333"/>
                <w:sz w:val="18"/>
              </w:rPr>
              <w:t>-392.46</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E90A0C3">
            <w:pPr>
              <w:jc w:val="center"/>
              <w:rPr>
                <w:rFonts w:hint="eastAsia" w:ascii="宋体" w:hAnsi="宋体" w:eastAsia="宋体" w:cs="宋体"/>
              </w:rPr>
            </w:pPr>
            <w:r>
              <w:rPr>
                <w:rFonts w:hint="eastAsia" w:ascii="宋体" w:hAnsi="宋体" w:eastAsia="宋体" w:cs="宋体"/>
                <w:color w:val="333333"/>
                <w:sz w:val="18"/>
              </w:rPr>
              <w:t>1339.9%</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E65E35E">
            <w:pPr>
              <w:jc w:val="center"/>
              <w:rPr>
                <w:rFonts w:hint="eastAsia" w:ascii="宋体" w:hAnsi="宋体" w:eastAsia="宋体" w:cs="宋体"/>
              </w:rPr>
            </w:pPr>
            <w:r>
              <w:rPr>
                <w:rFonts w:hint="eastAsia" w:ascii="宋体" w:hAnsi="宋体" w:eastAsia="宋体" w:cs="宋体"/>
                <w:color w:val="333333"/>
                <w:sz w:val="18"/>
              </w:rPr>
              <w:t>0.037</w:t>
            </w:r>
          </w:p>
        </w:tc>
      </w:tr>
      <w:tr w14:paraId="7326B535">
        <w:tblPrEx>
          <w:tblCellMar>
            <w:top w:w="0" w:type="dxa"/>
            <w:left w:w="108" w:type="dxa"/>
            <w:bottom w:w="0" w:type="dxa"/>
            <w:right w:w="108" w:type="dxa"/>
          </w:tblCellMar>
        </w:tblPrEx>
        <w:trPr>
          <w:jc w:val="center"/>
        </w:trPr>
        <w:tc>
          <w:tcPr>
            <w:tcW w:w="850" w:type="dxa"/>
          </w:tcPr>
          <w:p w14:paraId="26986013">
            <w:pPr>
              <w:jc w:val="left"/>
              <w:rPr>
                <w:rFonts w:hint="eastAsia" w:ascii="宋体" w:hAnsi="宋体" w:eastAsia="宋体" w:cs="宋体"/>
              </w:rPr>
            </w:pPr>
            <w:r>
              <w:rPr>
                <w:rFonts w:hint="eastAsia" w:ascii="宋体" w:hAnsi="宋体" w:eastAsia="宋体" w:cs="宋体"/>
                <w:color w:val="333333"/>
                <w:sz w:val="18"/>
              </w:rPr>
              <w:t>6</w:t>
            </w:r>
          </w:p>
        </w:tc>
        <w:tc>
          <w:tcPr>
            <w:tcW w:w="1984" w:type="dxa"/>
          </w:tcPr>
          <w:p w14:paraId="1BDAAA5E">
            <w:pPr>
              <w:jc w:val="center"/>
              <w:rPr>
                <w:rFonts w:hint="eastAsia" w:ascii="宋体" w:hAnsi="宋体" w:eastAsia="宋体" w:cs="宋体"/>
              </w:rPr>
            </w:pPr>
            <w:r>
              <w:rPr>
                <w:rFonts w:hint="eastAsia" w:ascii="宋体" w:hAnsi="宋体" w:eastAsia="宋体" w:cs="宋体"/>
                <w:color w:val="333333"/>
                <w:sz w:val="18"/>
              </w:rPr>
              <w:t>三次指数平滑</w:t>
            </w:r>
          </w:p>
        </w:tc>
        <w:tc>
          <w:tcPr>
            <w:tcW w:w="1417" w:type="dxa"/>
          </w:tcPr>
          <w:p w14:paraId="3EB0C61D">
            <w:pPr>
              <w:jc w:val="center"/>
              <w:rPr>
                <w:rFonts w:hint="eastAsia" w:ascii="宋体" w:hAnsi="宋体" w:eastAsia="宋体" w:cs="宋体"/>
              </w:rPr>
            </w:pPr>
            <w:r>
              <w:rPr>
                <w:rFonts w:hint="eastAsia" w:ascii="宋体" w:hAnsi="宋体" w:eastAsia="宋体" w:cs="宋体"/>
                <w:color w:val="333333"/>
                <w:sz w:val="18"/>
              </w:rPr>
              <w:t>-338.12</w:t>
            </w:r>
          </w:p>
        </w:tc>
        <w:tc>
          <w:tcPr>
            <w:tcW w:w="1417" w:type="dxa"/>
          </w:tcPr>
          <w:p w14:paraId="787A826B">
            <w:pPr>
              <w:jc w:val="center"/>
              <w:rPr>
                <w:rFonts w:hint="eastAsia" w:ascii="宋体" w:hAnsi="宋体" w:eastAsia="宋体" w:cs="宋体"/>
              </w:rPr>
            </w:pPr>
            <w:r>
              <w:rPr>
                <w:rFonts w:hint="eastAsia" w:ascii="宋体" w:hAnsi="宋体" w:eastAsia="宋体" w:cs="宋体"/>
                <w:color w:val="333333"/>
                <w:sz w:val="18"/>
              </w:rPr>
              <w:t>2631.9%</w:t>
            </w:r>
          </w:p>
        </w:tc>
        <w:tc>
          <w:tcPr>
            <w:tcW w:w="1417" w:type="dxa"/>
          </w:tcPr>
          <w:p w14:paraId="05BE1607">
            <w:pPr>
              <w:jc w:val="center"/>
              <w:rPr>
                <w:rFonts w:hint="eastAsia" w:ascii="宋体" w:hAnsi="宋体" w:eastAsia="宋体" w:cs="宋体"/>
              </w:rPr>
            </w:pPr>
            <w:r>
              <w:rPr>
                <w:rFonts w:hint="eastAsia" w:ascii="宋体" w:hAnsi="宋体" w:eastAsia="宋体" w:cs="宋体"/>
                <w:color w:val="333333"/>
                <w:sz w:val="18"/>
              </w:rPr>
              <w:t>0.696</w:t>
            </w:r>
          </w:p>
        </w:tc>
      </w:tr>
    </w:tbl>
    <w:p w14:paraId="282AEB59">
      <w:pPr>
        <w:spacing w:after="80"/>
        <w:rPr>
          <w:rFonts w:hint="eastAsia" w:ascii="宋体" w:hAnsi="宋体" w:eastAsia="宋体" w:cs="宋体"/>
        </w:rPr>
      </w:pPr>
    </w:p>
    <w:p w14:paraId="1E62C4EE">
      <w:pPr>
        <w:spacing w:after="40" w:line="360" w:lineRule="auto"/>
        <w:ind w:firstLine="420"/>
        <w:rPr>
          <w:rFonts w:hint="eastAsia" w:ascii="宋体" w:hAnsi="宋体" w:eastAsia="宋体" w:cs="宋体"/>
        </w:rPr>
      </w:pPr>
      <w:r>
        <w:rPr>
          <w:rFonts w:hint="eastAsia" w:ascii="宋体" w:hAnsi="宋体" w:eastAsia="宋体" w:cs="宋体"/>
          <w:b w:val="0"/>
          <w:sz w:val="24"/>
        </w:rPr>
        <w:t>综合分=R²排名百分位×0.4+(1-MAPE排名百分位)×0.4+(1-σ排名百分位)×0.2。线性回归因MAPE相对稳定排名第一；Ridge回归拟合R²（0.288）明显高于线性回归（0.096），是更优的拟合选择。LSTM和三次指数平滑的R²为负值，说明39个观测不足以训练神经网络或估计复杂的季节性参数。在小样本财务预测中，正则化的线性方法比深度学习和复杂时序模型更可靠。</w:t>
      </w:r>
    </w:p>
    <w:p w14:paraId="5D9C61C8">
      <w:pPr>
        <w:spacing w:after="40" w:line="360" w:lineRule="auto"/>
        <w:ind w:firstLine="420"/>
        <w:rPr>
          <w:rFonts w:hint="eastAsia" w:ascii="宋体" w:hAnsi="宋体" w:eastAsia="宋体" w:cs="宋体"/>
        </w:rPr>
      </w:pPr>
      <w:r>
        <w:rPr>
          <w:rFonts w:hint="eastAsia" w:ascii="宋体" w:hAnsi="宋体" w:eastAsia="宋体" w:cs="宋体"/>
          <w:b w:val="0"/>
          <w:sz w:val="24"/>
        </w:rPr>
        <w:t>以2026年第一季度实际数据对预测值进行MAPE回测评估：</w:t>
      </w:r>
    </w:p>
    <w:tbl>
      <w:tblPr>
        <w:tblStyle w:val="34"/>
        <w:tblW w:w="0" w:type="auto"/>
        <w:jc w:val="center"/>
        <w:tblLayout w:type="autofit"/>
        <w:tblCellMar>
          <w:top w:w="0" w:type="dxa"/>
          <w:left w:w="108" w:type="dxa"/>
          <w:bottom w:w="0" w:type="dxa"/>
          <w:right w:w="108" w:type="dxa"/>
        </w:tblCellMar>
      </w:tblPr>
      <w:tblGrid>
        <w:gridCol w:w="1134"/>
        <w:gridCol w:w="1417"/>
        <w:gridCol w:w="1134"/>
        <w:gridCol w:w="1134"/>
        <w:gridCol w:w="1134"/>
        <w:gridCol w:w="1417"/>
      </w:tblGrid>
      <w:tr w14:paraId="4BFD2AD3">
        <w:tblPrEx>
          <w:tblCellMar>
            <w:top w:w="0" w:type="dxa"/>
            <w:left w:w="108" w:type="dxa"/>
            <w:bottom w:w="0" w:type="dxa"/>
            <w:right w:w="108" w:type="dxa"/>
          </w:tblCellMar>
        </w:tblPrEx>
        <w:trPr>
          <w:jc w:val="center"/>
        </w:trPr>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501A8CC5">
            <w:pPr>
              <w:jc w:val="center"/>
              <w:rPr>
                <w:rFonts w:hint="eastAsia" w:ascii="宋体" w:hAnsi="宋体" w:eastAsia="宋体" w:cs="宋体"/>
              </w:rPr>
            </w:pPr>
            <w:r>
              <w:rPr>
                <w:rFonts w:hint="eastAsia" w:ascii="宋体" w:hAnsi="宋体" w:eastAsia="宋体" w:cs="宋体"/>
                <w:b/>
                <w:color w:val="1A4789"/>
                <w:sz w:val="18"/>
              </w:rPr>
              <w:t>企业</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52B0437">
            <w:pPr>
              <w:jc w:val="center"/>
              <w:rPr>
                <w:rFonts w:hint="eastAsia" w:ascii="宋体" w:hAnsi="宋体" w:eastAsia="宋体" w:cs="宋体"/>
              </w:rPr>
            </w:pPr>
            <w:r>
              <w:rPr>
                <w:rFonts w:hint="eastAsia" w:ascii="宋体" w:hAnsi="宋体" w:eastAsia="宋体" w:cs="宋体"/>
                <w:b/>
                <w:color w:val="1A4789"/>
                <w:sz w:val="18"/>
              </w:rPr>
              <w:t>指标</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60797842">
            <w:pPr>
              <w:jc w:val="center"/>
              <w:rPr>
                <w:rFonts w:hint="eastAsia" w:ascii="宋体" w:hAnsi="宋体" w:eastAsia="宋体" w:cs="宋体"/>
              </w:rPr>
            </w:pPr>
            <w:r>
              <w:rPr>
                <w:rFonts w:hint="eastAsia" w:ascii="宋体" w:hAnsi="宋体" w:eastAsia="宋体" w:cs="宋体"/>
                <w:b/>
                <w:color w:val="1A4789"/>
                <w:sz w:val="18"/>
              </w:rPr>
              <w:t>实际值</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14BC2DF4">
            <w:pPr>
              <w:jc w:val="center"/>
              <w:rPr>
                <w:rFonts w:hint="eastAsia" w:ascii="宋体" w:hAnsi="宋体" w:eastAsia="宋体" w:cs="宋体"/>
              </w:rPr>
            </w:pPr>
            <w:r>
              <w:rPr>
                <w:rFonts w:hint="eastAsia" w:ascii="宋体" w:hAnsi="宋体" w:eastAsia="宋体" w:cs="宋体"/>
                <w:b/>
                <w:color w:val="1A4789"/>
                <w:sz w:val="18"/>
              </w:rPr>
              <w:t>预测值</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289D1C20">
            <w:pPr>
              <w:jc w:val="center"/>
              <w:rPr>
                <w:rFonts w:hint="eastAsia" w:ascii="宋体" w:hAnsi="宋体" w:eastAsia="宋体" w:cs="宋体"/>
              </w:rPr>
            </w:pPr>
            <w:r>
              <w:rPr>
                <w:rFonts w:hint="eastAsia" w:ascii="宋体" w:hAnsi="宋体" w:eastAsia="宋体" w:cs="宋体"/>
                <w:b/>
                <w:color w:val="1A4789"/>
                <w:sz w:val="18"/>
              </w:rPr>
              <w:t>MAPE</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7BFB70F0">
            <w:pPr>
              <w:jc w:val="center"/>
              <w:rPr>
                <w:rFonts w:hint="eastAsia" w:ascii="宋体" w:hAnsi="宋体" w:eastAsia="宋体" w:cs="宋体"/>
              </w:rPr>
            </w:pPr>
            <w:r>
              <w:rPr>
                <w:rFonts w:hint="eastAsia" w:ascii="宋体" w:hAnsi="宋体" w:eastAsia="宋体" w:cs="宋体"/>
                <w:b/>
                <w:color w:val="1A4789"/>
                <w:sz w:val="18"/>
              </w:rPr>
              <w:t>评估</w:t>
            </w:r>
          </w:p>
        </w:tc>
      </w:tr>
      <w:tr w14:paraId="234DCDC3">
        <w:tblPrEx>
          <w:tblCellMar>
            <w:top w:w="0" w:type="dxa"/>
            <w:left w:w="108" w:type="dxa"/>
            <w:bottom w:w="0" w:type="dxa"/>
            <w:right w:w="108" w:type="dxa"/>
          </w:tblCellMar>
        </w:tblPrEx>
        <w:trPr>
          <w:jc w:val="center"/>
        </w:trPr>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857AC76">
            <w:pPr>
              <w:jc w:val="left"/>
              <w:rPr>
                <w:rFonts w:hint="eastAsia" w:ascii="宋体" w:hAnsi="宋体" w:eastAsia="宋体" w:cs="宋体"/>
              </w:rPr>
            </w:pPr>
            <w:r>
              <w:rPr>
                <w:rFonts w:hint="eastAsia" w:ascii="宋体" w:hAnsi="宋体" w:eastAsia="宋体" w:cs="宋体"/>
                <w:color w:val="333333"/>
                <w:sz w:val="18"/>
              </w:rPr>
              <w:t>赛力斯</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DEB2534">
            <w:pPr>
              <w:jc w:val="center"/>
              <w:rPr>
                <w:rFonts w:hint="eastAsia" w:ascii="宋体" w:hAnsi="宋体" w:eastAsia="宋体" w:cs="宋体"/>
              </w:rPr>
            </w:pPr>
            <w:r>
              <w:rPr>
                <w:rFonts w:hint="eastAsia" w:ascii="宋体" w:hAnsi="宋体" w:eastAsia="宋体" w:cs="宋体"/>
                <w:color w:val="333333"/>
                <w:sz w:val="18"/>
              </w:rPr>
              <w:t>毛利率</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7D3D3C0">
            <w:pPr>
              <w:jc w:val="center"/>
              <w:rPr>
                <w:rFonts w:hint="eastAsia" w:ascii="宋体" w:hAnsi="宋体" w:eastAsia="宋体" w:cs="宋体"/>
              </w:rPr>
            </w:pPr>
            <w:r>
              <w:rPr>
                <w:rFonts w:hint="eastAsia" w:ascii="宋体" w:hAnsi="宋体" w:eastAsia="宋体" w:cs="宋体"/>
                <w:color w:val="333333"/>
                <w:sz w:val="18"/>
              </w:rPr>
              <w:t>-0.0046</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04D973AA">
            <w:pPr>
              <w:jc w:val="center"/>
              <w:rPr>
                <w:rFonts w:hint="eastAsia" w:ascii="宋体" w:hAnsi="宋体" w:eastAsia="宋体" w:cs="宋体"/>
              </w:rPr>
            </w:pPr>
            <w:r>
              <w:rPr>
                <w:rFonts w:hint="eastAsia" w:ascii="宋体" w:hAnsi="宋体" w:eastAsia="宋体" w:cs="宋体"/>
                <w:color w:val="333333"/>
                <w:sz w:val="18"/>
              </w:rPr>
              <w:t>-0.1047</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59C263C5">
            <w:pPr>
              <w:jc w:val="center"/>
              <w:rPr>
                <w:rFonts w:hint="eastAsia" w:ascii="宋体" w:hAnsi="宋体" w:eastAsia="宋体" w:cs="宋体"/>
              </w:rPr>
            </w:pPr>
            <w:r>
              <w:rPr>
                <w:rFonts w:hint="eastAsia" w:ascii="宋体" w:hAnsi="宋体" w:eastAsia="宋体" w:cs="宋体"/>
                <w:color w:val="333333"/>
                <w:sz w:val="18"/>
              </w:rPr>
              <w:t>2176.3%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3094B32">
            <w:pPr>
              <w:jc w:val="center"/>
              <w:rPr>
                <w:rFonts w:hint="eastAsia" w:ascii="宋体" w:hAnsi="宋体" w:eastAsia="宋体" w:cs="宋体"/>
              </w:rPr>
            </w:pPr>
            <w:r>
              <w:rPr>
                <w:rFonts w:hint="eastAsia" w:ascii="宋体" w:hAnsi="宋体" w:eastAsia="宋体" w:cs="宋体"/>
                <w:color w:val="333333"/>
                <w:sz w:val="18"/>
              </w:rPr>
              <w:t>偏差大</w:t>
            </w:r>
          </w:p>
        </w:tc>
      </w:tr>
      <w:tr w14:paraId="77DECE3F">
        <w:tblPrEx>
          <w:tblCellMar>
            <w:top w:w="0" w:type="dxa"/>
            <w:left w:w="108" w:type="dxa"/>
            <w:bottom w:w="0" w:type="dxa"/>
            <w:right w:w="108" w:type="dxa"/>
          </w:tblCellMar>
        </w:tblPrEx>
        <w:trPr>
          <w:jc w:val="center"/>
        </w:trPr>
        <w:tc>
          <w:tcPr>
            <w:tcW w:w="1134" w:type="dxa"/>
          </w:tcPr>
          <w:p w14:paraId="0638BA45">
            <w:pPr>
              <w:jc w:val="left"/>
              <w:rPr>
                <w:rFonts w:hint="eastAsia" w:ascii="宋体" w:hAnsi="宋体" w:eastAsia="宋体" w:cs="宋体"/>
              </w:rPr>
            </w:pPr>
            <w:r>
              <w:rPr>
                <w:rFonts w:hint="eastAsia" w:ascii="宋体" w:hAnsi="宋体" w:eastAsia="宋体" w:cs="宋体"/>
                <w:color w:val="333333"/>
                <w:sz w:val="18"/>
              </w:rPr>
              <w:t>赛力斯</w:t>
            </w:r>
          </w:p>
        </w:tc>
        <w:tc>
          <w:tcPr>
            <w:tcW w:w="1417" w:type="dxa"/>
          </w:tcPr>
          <w:p w14:paraId="6838DB14">
            <w:pPr>
              <w:jc w:val="center"/>
              <w:rPr>
                <w:rFonts w:hint="eastAsia" w:ascii="宋体" w:hAnsi="宋体" w:eastAsia="宋体" w:cs="宋体"/>
              </w:rPr>
            </w:pPr>
            <w:r>
              <w:rPr>
                <w:rFonts w:hint="eastAsia" w:ascii="宋体" w:hAnsi="宋体" w:eastAsia="宋体" w:cs="宋体"/>
                <w:color w:val="333333"/>
                <w:sz w:val="18"/>
              </w:rPr>
              <w:t>资产负债率</w:t>
            </w:r>
          </w:p>
        </w:tc>
        <w:tc>
          <w:tcPr>
            <w:tcW w:w="1134" w:type="dxa"/>
          </w:tcPr>
          <w:p w14:paraId="71AE8B59">
            <w:pPr>
              <w:jc w:val="center"/>
              <w:rPr>
                <w:rFonts w:hint="eastAsia" w:ascii="宋体" w:hAnsi="宋体" w:eastAsia="宋体" w:cs="宋体"/>
              </w:rPr>
            </w:pPr>
            <w:r>
              <w:rPr>
                <w:rFonts w:hint="eastAsia" w:ascii="宋体" w:hAnsi="宋体" w:eastAsia="宋体" w:cs="宋体"/>
                <w:color w:val="333333"/>
                <w:sz w:val="18"/>
              </w:rPr>
              <w:t>0.6592</w:t>
            </w:r>
          </w:p>
        </w:tc>
        <w:tc>
          <w:tcPr>
            <w:tcW w:w="1134" w:type="dxa"/>
          </w:tcPr>
          <w:p w14:paraId="4CE0F84D">
            <w:pPr>
              <w:jc w:val="center"/>
              <w:rPr>
                <w:rFonts w:hint="eastAsia" w:ascii="宋体" w:hAnsi="宋体" w:eastAsia="宋体" w:cs="宋体"/>
              </w:rPr>
            </w:pPr>
            <w:r>
              <w:rPr>
                <w:rFonts w:hint="eastAsia" w:ascii="宋体" w:hAnsi="宋体" w:eastAsia="宋体" w:cs="宋体"/>
                <w:color w:val="333333"/>
                <w:sz w:val="18"/>
              </w:rPr>
              <w:t>0.7860</w:t>
            </w:r>
          </w:p>
        </w:tc>
        <w:tc>
          <w:tcPr>
            <w:tcW w:w="1134" w:type="dxa"/>
          </w:tcPr>
          <w:p w14:paraId="4C6443AB">
            <w:pPr>
              <w:jc w:val="center"/>
              <w:rPr>
                <w:rFonts w:hint="eastAsia" w:ascii="宋体" w:hAnsi="宋体" w:eastAsia="宋体" w:cs="宋体"/>
              </w:rPr>
            </w:pPr>
            <w:r>
              <w:rPr>
                <w:rFonts w:hint="eastAsia" w:ascii="宋体" w:hAnsi="宋体" w:eastAsia="宋体" w:cs="宋体"/>
                <w:color w:val="333333"/>
                <w:sz w:val="18"/>
              </w:rPr>
              <w:t>19.2%</w:t>
            </w:r>
          </w:p>
        </w:tc>
        <w:tc>
          <w:tcPr>
            <w:tcW w:w="1417" w:type="dxa"/>
          </w:tcPr>
          <w:p w14:paraId="577FEA62">
            <w:pPr>
              <w:jc w:val="center"/>
              <w:rPr>
                <w:rFonts w:hint="eastAsia" w:ascii="宋体" w:hAnsi="宋体" w:eastAsia="宋体" w:cs="宋体"/>
              </w:rPr>
            </w:pPr>
            <w:r>
              <w:rPr>
                <w:rFonts w:hint="eastAsia" w:ascii="宋体" w:hAnsi="宋体" w:eastAsia="宋体" w:cs="宋体"/>
                <w:color w:val="333333"/>
                <w:sz w:val="18"/>
              </w:rPr>
              <w:t>可接受</w:t>
            </w:r>
          </w:p>
        </w:tc>
      </w:tr>
      <w:tr w14:paraId="41EDDEB5">
        <w:tblPrEx>
          <w:tblCellMar>
            <w:top w:w="0" w:type="dxa"/>
            <w:left w:w="108" w:type="dxa"/>
            <w:bottom w:w="0" w:type="dxa"/>
            <w:right w:w="108" w:type="dxa"/>
          </w:tblCellMar>
        </w:tblPrEx>
        <w:trPr>
          <w:jc w:val="center"/>
        </w:trPr>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39EE4810">
            <w:pPr>
              <w:jc w:val="left"/>
              <w:rPr>
                <w:rFonts w:hint="eastAsia" w:ascii="宋体" w:hAnsi="宋体" w:eastAsia="宋体" w:cs="宋体"/>
              </w:rPr>
            </w:pPr>
            <w:r>
              <w:rPr>
                <w:rFonts w:hint="eastAsia" w:ascii="宋体" w:hAnsi="宋体" w:eastAsia="宋体" w:cs="宋体"/>
                <w:color w:val="333333"/>
                <w:sz w:val="18"/>
              </w:rPr>
              <w:t>长安</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1A52D10B">
            <w:pPr>
              <w:jc w:val="center"/>
              <w:rPr>
                <w:rFonts w:hint="eastAsia" w:ascii="宋体" w:hAnsi="宋体" w:eastAsia="宋体" w:cs="宋体"/>
              </w:rPr>
            </w:pPr>
            <w:r>
              <w:rPr>
                <w:rFonts w:hint="eastAsia" w:ascii="宋体" w:hAnsi="宋体" w:eastAsia="宋体" w:cs="宋体"/>
                <w:color w:val="333333"/>
                <w:sz w:val="18"/>
              </w:rPr>
              <w:t>毛利率</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AC7BC08">
            <w:pPr>
              <w:jc w:val="center"/>
              <w:rPr>
                <w:rFonts w:hint="eastAsia" w:ascii="宋体" w:hAnsi="宋体" w:eastAsia="宋体" w:cs="宋体"/>
              </w:rPr>
            </w:pPr>
            <w:r>
              <w:rPr>
                <w:rFonts w:hint="eastAsia" w:ascii="宋体" w:hAnsi="宋体" w:eastAsia="宋体" w:cs="宋体"/>
                <w:color w:val="333333"/>
                <w:sz w:val="18"/>
              </w:rPr>
              <w:t>-0.0006</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8FAC165">
            <w:pPr>
              <w:jc w:val="center"/>
              <w:rPr>
                <w:rFonts w:hint="eastAsia" w:ascii="宋体" w:hAnsi="宋体" w:eastAsia="宋体" w:cs="宋体"/>
              </w:rPr>
            </w:pPr>
            <w:r>
              <w:rPr>
                <w:rFonts w:hint="eastAsia" w:ascii="宋体" w:hAnsi="宋体" w:eastAsia="宋体" w:cs="宋体"/>
                <w:color w:val="333333"/>
                <w:sz w:val="18"/>
              </w:rPr>
              <w:t>0.0248</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5009B7F0">
            <w:pPr>
              <w:jc w:val="center"/>
              <w:rPr>
                <w:rFonts w:hint="eastAsia" w:ascii="宋体" w:hAnsi="宋体" w:eastAsia="宋体" w:cs="宋体"/>
              </w:rPr>
            </w:pPr>
            <w:r>
              <w:rPr>
                <w:rFonts w:hint="eastAsia" w:ascii="宋体" w:hAnsi="宋体" w:eastAsia="宋体" w:cs="宋体"/>
                <w:color w:val="333333"/>
                <w:sz w:val="18"/>
              </w:rPr>
              <w:t>4480.2%</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C59EB75">
            <w:pPr>
              <w:jc w:val="center"/>
              <w:rPr>
                <w:rFonts w:hint="eastAsia" w:ascii="宋体" w:hAnsi="宋体" w:eastAsia="宋体" w:cs="宋体"/>
              </w:rPr>
            </w:pPr>
            <w:r>
              <w:rPr>
                <w:rFonts w:hint="eastAsia" w:ascii="宋体" w:hAnsi="宋体" w:eastAsia="宋体" w:cs="宋体"/>
                <w:color w:val="333333"/>
                <w:sz w:val="18"/>
              </w:rPr>
              <w:t>偏差大</w:t>
            </w:r>
          </w:p>
        </w:tc>
      </w:tr>
      <w:tr w14:paraId="22435ED9">
        <w:tblPrEx>
          <w:tblCellMar>
            <w:top w:w="0" w:type="dxa"/>
            <w:left w:w="108" w:type="dxa"/>
            <w:bottom w:w="0" w:type="dxa"/>
            <w:right w:w="108" w:type="dxa"/>
          </w:tblCellMar>
        </w:tblPrEx>
        <w:trPr>
          <w:jc w:val="center"/>
        </w:trPr>
        <w:tc>
          <w:tcPr>
            <w:tcW w:w="1134" w:type="dxa"/>
          </w:tcPr>
          <w:p w14:paraId="6FA5AD69">
            <w:pPr>
              <w:jc w:val="left"/>
              <w:rPr>
                <w:rFonts w:hint="eastAsia" w:ascii="宋体" w:hAnsi="宋体" w:eastAsia="宋体" w:cs="宋体"/>
              </w:rPr>
            </w:pPr>
            <w:r>
              <w:rPr>
                <w:rFonts w:hint="eastAsia" w:ascii="宋体" w:hAnsi="宋体" w:eastAsia="宋体" w:cs="宋体"/>
                <w:color w:val="333333"/>
                <w:sz w:val="18"/>
              </w:rPr>
              <w:t>长安</w:t>
            </w:r>
          </w:p>
        </w:tc>
        <w:tc>
          <w:tcPr>
            <w:tcW w:w="1417" w:type="dxa"/>
          </w:tcPr>
          <w:p w14:paraId="0509904D">
            <w:pPr>
              <w:jc w:val="center"/>
              <w:rPr>
                <w:rFonts w:hint="eastAsia" w:ascii="宋体" w:hAnsi="宋体" w:eastAsia="宋体" w:cs="宋体"/>
              </w:rPr>
            </w:pPr>
            <w:r>
              <w:rPr>
                <w:rFonts w:hint="eastAsia" w:ascii="宋体" w:hAnsi="宋体" w:eastAsia="宋体" w:cs="宋体"/>
                <w:color w:val="333333"/>
                <w:sz w:val="18"/>
              </w:rPr>
              <w:t>资产负债率</w:t>
            </w:r>
          </w:p>
        </w:tc>
        <w:tc>
          <w:tcPr>
            <w:tcW w:w="1134" w:type="dxa"/>
          </w:tcPr>
          <w:p w14:paraId="00D8B275">
            <w:pPr>
              <w:jc w:val="center"/>
              <w:rPr>
                <w:rFonts w:hint="eastAsia" w:ascii="宋体" w:hAnsi="宋体" w:eastAsia="宋体" w:cs="宋体"/>
              </w:rPr>
            </w:pPr>
            <w:r>
              <w:rPr>
                <w:rFonts w:hint="eastAsia" w:ascii="宋体" w:hAnsi="宋体" w:eastAsia="宋体" w:cs="宋体"/>
                <w:color w:val="333333"/>
                <w:sz w:val="18"/>
              </w:rPr>
              <w:t>0.5715</w:t>
            </w:r>
          </w:p>
        </w:tc>
        <w:tc>
          <w:tcPr>
            <w:tcW w:w="1134" w:type="dxa"/>
          </w:tcPr>
          <w:p w14:paraId="4A9B1106">
            <w:pPr>
              <w:jc w:val="center"/>
              <w:rPr>
                <w:rFonts w:hint="eastAsia" w:ascii="宋体" w:hAnsi="宋体" w:eastAsia="宋体" w:cs="宋体"/>
              </w:rPr>
            </w:pPr>
            <w:r>
              <w:rPr>
                <w:rFonts w:hint="eastAsia" w:ascii="宋体" w:hAnsi="宋体" w:eastAsia="宋体" w:cs="宋体"/>
                <w:color w:val="333333"/>
                <w:sz w:val="18"/>
              </w:rPr>
              <w:t>0.5853</w:t>
            </w:r>
          </w:p>
        </w:tc>
        <w:tc>
          <w:tcPr>
            <w:tcW w:w="1134" w:type="dxa"/>
          </w:tcPr>
          <w:p w14:paraId="2060F077">
            <w:pPr>
              <w:jc w:val="center"/>
              <w:rPr>
                <w:rFonts w:hint="eastAsia" w:ascii="宋体" w:hAnsi="宋体" w:eastAsia="宋体" w:cs="宋体"/>
              </w:rPr>
            </w:pPr>
            <w:r>
              <w:rPr>
                <w:rFonts w:hint="eastAsia" w:ascii="宋体" w:hAnsi="宋体" w:eastAsia="宋体" w:cs="宋体"/>
                <w:color w:val="333333"/>
                <w:sz w:val="18"/>
              </w:rPr>
              <w:t>2.4%</w:t>
            </w:r>
          </w:p>
        </w:tc>
        <w:tc>
          <w:tcPr>
            <w:tcW w:w="1417" w:type="dxa"/>
          </w:tcPr>
          <w:p w14:paraId="2EC95079">
            <w:pPr>
              <w:jc w:val="center"/>
              <w:rPr>
                <w:rFonts w:hint="eastAsia" w:ascii="宋体" w:hAnsi="宋体" w:eastAsia="宋体" w:cs="宋体"/>
              </w:rPr>
            </w:pPr>
            <w:r>
              <w:rPr>
                <w:rFonts w:hint="eastAsia" w:ascii="宋体" w:hAnsi="宋体" w:eastAsia="宋体" w:cs="宋体"/>
                <w:color w:val="333333"/>
                <w:sz w:val="18"/>
              </w:rPr>
              <w:t>好</w:t>
            </w:r>
          </w:p>
        </w:tc>
      </w:tr>
    </w:tbl>
    <w:p w14:paraId="59518D53">
      <w:pPr>
        <w:spacing w:after="80"/>
        <w:rPr>
          <w:rFonts w:hint="eastAsia" w:ascii="宋体" w:hAnsi="宋体" w:eastAsia="宋体" w:cs="宋体"/>
        </w:rPr>
      </w:pPr>
    </w:p>
    <w:p w14:paraId="1163DCF8">
      <w:pPr>
        <w:spacing w:after="40" w:line="360" w:lineRule="auto"/>
        <w:ind w:firstLine="420"/>
        <w:rPr>
          <w:rFonts w:hint="eastAsia" w:ascii="宋体" w:hAnsi="宋体" w:eastAsia="宋体" w:cs="宋体"/>
        </w:rPr>
      </w:pPr>
      <w:r>
        <w:rPr>
          <w:rFonts w:hint="eastAsia" w:ascii="宋体" w:hAnsi="宋体" w:eastAsia="宋体" w:cs="宋体"/>
          <w:b w:val="0"/>
          <w:sz w:val="24"/>
        </w:rPr>
        <w:t>四组测试的平均MAPE为1669.54%。毛利率偏差大的原因是实际值接近零时相对误差被不合理放大——当实际毛利率为-0.46%时，任何非零预测都会产生极端MAPE。剔除毛利率后，资产负债率的MAPE在2.4%至19.2%之间，预测效果可接受。</w:t>
      </w:r>
    </w:p>
    <w:p w14:paraId="7652A6F8">
      <w:pPr>
        <w:spacing w:before="360" w:after="240"/>
        <w:jc w:val="center"/>
        <w:outlineLvl w:val="0"/>
        <w:rPr>
          <w:rFonts w:hint="eastAsia" w:ascii="宋体" w:hAnsi="宋体" w:eastAsia="宋体" w:cs="宋体"/>
        </w:rPr>
      </w:pPr>
      <w:bookmarkStart w:id="37" w:name="_Toc28018"/>
      <w:bookmarkStart w:id="38" w:name="_Toc5721"/>
      <w:r>
        <w:rPr>
          <w:rFonts w:hint="eastAsia" w:ascii="宋体" w:hAnsi="宋体" w:eastAsia="宋体" w:cs="宋体"/>
          <w:b/>
          <w:color w:val="000000"/>
          <w:sz w:val="32"/>
        </w:rPr>
        <w:t>六、杜邦分析</w:t>
      </w:r>
      <w:bookmarkEnd w:id="37"/>
      <w:bookmarkEnd w:id="38"/>
    </w:p>
    <w:p w14:paraId="6C9F530C">
      <w:pPr>
        <w:spacing w:after="40" w:line="360" w:lineRule="auto"/>
        <w:ind w:firstLine="420"/>
        <w:rPr>
          <w:rFonts w:hint="eastAsia" w:ascii="宋体" w:hAnsi="宋体" w:eastAsia="宋体" w:cs="宋体"/>
        </w:rPr>
      </w:pPr>
      <w:r>
        <w:rPr>
          <w:rFonts w:hint="eastAsia" w:ascii="宋体" w:hAnsi="宋体" w:eastAsia="宋体" w:cs="宋体"/>
          <w:b w:val="0"/>
          <w:sz w:val="24"/>
        </w:rPr>
        <w:t>杜邦分解将净资产收益率拆为三个驱动因素：销售净利率（盈利效率）、总资产周转率（资产使用效率）、权益乘数（杠杆水平）。连环替代法量化每个因素的贡献。</w:t>
      </w:r>
    </w:p>
    <w:p w14:paraId="023578AD">
      <w:pPr>
        <w:spacing w:before="240" w:after="120"/>
        <w:ind w:left="0"/>
        <w:outlineLvl w:val="1"/>
        <w:rPr>
          <w:rFonts w:hint="eastAsia" w:ascii="宋体" w:hAnsi="宋体" w:eastAsia="宋体" w:cs="宋体"/>
        </w:rPr>
      </w:pPr>
      <w:bookmarkStart w:id="39" w:name="_Toc31283"/>
      <w:bookmarkStart w:id="40" w:name="_Toc31598"/>
      <w:r>
        <w:rPr>
          <w:rFonts w:hint="eastAsia" w:ascii="宋体" w:hAnsi="宋体" w:eastAsia="宋体" w:cs="宋体"/>
          <w:b/>
          <w:color w:val="000000"/>
          <w:sz w:val="28"/>
        </w:rPr>
        <w:t>（一）赛力斯</w:t>
      </w:r>
      <w:bookmarkEnd w:id="39"/>
      <w:bookmarkEnd w:id="40"/>
    </w:p>
    <w:tbl>
      <w:tblPr>
        <w:tblStyle w:val="34"/>
        <w:tblW w:w="0" w:type="auto"/>
        <w:jc w:val="center"/>
        <w:tblLayout w:type="autofit"/>
        <w:tblCellMar>
          <w:top w:w="0" w:type="dxa"/>
          <w:left w:w="108" w:type="dxa"/>
          <w:bottom w:w="0" w:type="dxa"/>
          <w:right w:w="108" w:type="dxa"/>
        </w:tblCellMar>
      </w:tblPr>
      <w:tblGrid>
        <w:gridCol w:w="2268"/>
        <w:gridCol w:w="1984"/>
        <w:gridCol w:w="1701"/>
        <w:gridCol w:w="1701"/>
        <w:gridCol w:w="1701"/>
      </w:tblGrid>
      <w:tr w14:paraId="7F1F51AA">
        <w:tblPrEx>
          <w:tblCellMar>
            <w:top w:w="0" w:type="dxa"/>
            <w:left w:w="108" w:type="dxa"/>
            <w:bottom w:w="0" w:type="dxa"/>
            <w:right w:w="108" w:type="dxa"/>
          </w:tblCellMar>
        </w:tblPrEx>
        <w:trPr>
          <w:jc w:val="center"/>
        </w:trPr>
        <w:tc>
          <w:tcPr>
            <w:tcW w:w="2268" w:type="dxa"/>
            <w:tcBorders>
              <w:top w:val="single" w:color="2E75B6" w:sz="8" w:space="0"/>
              <w:left w:val="single" w:color="CCCCCC" w:sz="4" w:space="0"/>
              <w:bottom w:val="single" w:color="CCCCCC" w:sz="4" w:space="0"/>
              <w:right w:val="single" w:color="CCCCCC" w:sz="4" w:space="0"/>
            </w:tcBorders>
            <w:shd w:val="clear" w:color="auto" w:fill="D5E8F0"/>
          </w:tcPr>
          <w:p w14:paraId="7631EF31">
            <w:pPr>
              <w:jc w:val="center"/>
              <w:rPr>
                <w:rFonts w:hint="eastAsia" w:ascii="宋体" w:hAnsi="宋体" w:eastAsia="宋体" w:cs="宋体"/>
              </w:rPr>
            </w:pPr>
            <w:r>
              <w:rPr>
                <w:rFonts w:hint="eastAsia" w:ascii="宋体" w:hAnsi="宋体" w:eastAsia="宋体" w:cs="宋体"/>
                <w:b/>
                <w:color w:val="1A4789"/>
                <w:sz w:val="18"/>
              </w:rPr>
              <w:t>期间</w:t>
            </w:r>
          </w:p>
        </w:tc>
        <w:tc>
          <w:tcPr>
            <w:tcW w:w="1984" w:type="dxa"/>
            <w:tcBorders>
              <w:top w:val="single" w:color="2E75B6" w:sz="8" w:space="0"/>
              <w:left w:val="single" w:color="CCCCCC" w:sz="4" w:space="0"/>
              <w:bottom w:val="single" w:color="CCCCCC" w:sz="4" w:space="0"/>
              <w:right w:val="single" w:color="CCCCCC" w:sz="4" w:space="0"/>
            </w:tcBorders>
            <w:shd w:val="clear" w:color="auto" w:fill="D5E8F0"/>
          </w:tcPr>
          <w:p w14:paraId="3AEE0155">
            <w:pPr>
              <w:jc w:val="center"/>
              <w:rPr>
                <w:rFonts w:hint="eastAsia" w:ascii="宋体" w:hAnsi="宋体" w:eastAsia="宋体" w:cs="宋体"/>
              </w:rPr>
            </w:pPr>
            <w:r>
              <w:rPr>
                <w:rFonts w:hint="eastAsia" w:ascii="宋体" w:hAnsi="宋体" w:eastAsia="宋体" w:cs="宋体"/>
                <w:b/>
                <w:color w:val="1A4789"/>
                <w:sz w:val="18"/>
              </w:rPr>
              <w:t>净资产收益率变动</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37A25AB5">
            <w:pPr>
              <w:jc w:val="center"/>
              <w:rPr>
                <w:rFonts w:hint="eastAsia" w:ascii="宋体" w:hAnsi="宋体" w:eastAsia="宋体" w:cs="宋体"/>
              </w:rPr>
            </w:pPr>
            <w:r>
              <w:rPr>
                <w:rFonts w:hint="eastAsia" w:ascii="宋体" w:hAnsi="宋体" w:eastAsia="宋体" w:cs="宋体"/>
                <w:b/>
                <w:color w:val="1A4789"/>
                <w:sz w:val="18"/>
              </w:rPr>
              <w:t>净利率贡献</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77DD86FA">
            <w:pPr>
              <w:jc w:val="center"/>
              <w:rPr>
                <w:rFonts w:hint="eastAsia" w:ascii="宋体" w:hAnsi="宋体" w:eastAsia="宋体" w:cs="宋体"/>
              </w:rPr>
            </w:pPr>
            <w:r>
              <w:rPr>
                <w:rFonts w:hint="eastAsia" w:ascii="宋体" w:hAnsi="宋体" w:eastAsia="宋体" w:cs="宋体"/>
                <w:b/>
                <w:color w:val="1A4789"/>
                <w:sz w:val="18"/>
              </w:rPr>
              <w:t>周转率贡献</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187249F1">
            <w:pPr>
              <w:jc w:val="center"/>
              <w:rPr>
                <w:rFonts w:hint="eastAsia" w:ascii="宋体" w:hAnsi="宋体" w:eastAsia="宋体" w:cs="宋体"/>
              </w:rPr>
            </w:pPr>
            <w:r>
              <w:rPr>
                <w:rFonts w:hint="eastAsia" w:ascii="宋体" w:hAnsi="宋体" w:eastAsia="宋体" w:cs="宋体"/>
                <w:b/>
                <w:color w:val="1A4789"/>
                <w:sz w:val="18"/>
              </w:rPr>
              <w:t>杠杆贡献</w:t>
            </w:r>
          </w:p>
        </w:tc>
      </w:tr>
      <w:tr w14:paraId="3709F33F">
        <w:tblPrEx>
          <w:tblCellMar>
            <w:top w:w="0" w:type="dxa"/>
            <w:left w:w="108" w:type="dxa"/>
            <w:bottom w:w="0" w:type="dxa"/>
            <w:right w:w="108" w:type="dxa"/>
          </w:tblCellMar>
        </w:tblPrEx>
        <w:trPr>
          <w:jc w:val="center"/>
        </w:trPr>
        <w:tc>
          <w:tcPr>
            <w:tcW w:w="2268" w:type="dxa"/>
            <w:tcBorders>
              <w:top w:val="single" w:color="CCCCCC" w:sz="4" w:space="0"/>
              <w:left w:val="single" w:color="CCCCCC" w:sz="4" w:space="0"/>
              <w:bottom w:val="single" w:color="CCCCCC" w:sz="4" w:space="0"/>
              <w:right w:val="single" w:color="CCCCCC" w:sz="4" w:space="0"/>
            </w:tcBorders>
            <w:shd w:val="clear" w:color="auto" w:fill="F8F9FA"/>
          </w:tcPr>
          <w:p w14:paraId="2A240366">
            <w:pPr>
              <w:jc w:val="left"/>
              <w:rPr>
                <w:rFonts w:hint="eastAsia" w:ascii="宋体" w:hAnsi="宋体" w:eastAsia="宋体" w:cs="宋体"/>
              </w:rPr>
            </w:pPr>
            <w:r>
              <w:rPr>
                <w:rFonts w:hint="eastAsia" w:ascii="宋体" w:hAnsi="宋体" w:eastAsia="宋体" w:cs="宋体"/>
                <w:color w:val="333333"/>
                <w:sz w:val="18"/>
              </w:rPr>
              <w:t>2022→2023</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66845E40">
            <w:pPr>
              <w:jc w:val="center"/>
              <w:rPr>
                <w:rFonts w:hint="eastAsia" w:ascii="宋体" w:hAnsi="宋体" w:eastAsia="宋体" w:cs="宋体"/>
              </w:rPr>
            </w:pPr>
            <w:r>
              <w:rPr>
                <w:rFonts w:hint="eastAsia" w:ascii="宋体" w:hAnsi="宋体" w:eastAsia="宋体" w:cs="宋体"/>
                <w:color w:val="333333"/>
                <w:sz w:val="18"/>
              </w:rPr>
              <w:t>+9.3pp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7273208B">
            <w:pPr>
              <w:jc w:val="center"/>
              <w:rPr>
                <w:rFonts w:hint="eastAsia" w:ascii="宋体" w:hAnsi="宋体" w:eastAsia="宋体" w:cs="宋体"/>
              </w:rPr>
            </w:pPr>
            <w:r>
              <w:rPr>
                <w:rFonts w:hint="eastAsia" w:ascii="宋体" w:hAnsi="宋体" w:eastAsia="宋体" w:cs="宋体"/>
                <w:color w:val="333333"/>
                <w:sz w:val="18"/>
              </w:rPr>
              <w:t>+11.1pp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041DC757">
            <w:pPr>
              <w:jc w:val="center"/>
              <w:rPr>
                <w:rFonts w:hint="eastAsia" w:ascii="宋体" w:hAnsi="宋体" w:eastAsia="宋体" w:cs="宋体"/>
              </w:rPr>
            </w:pPr>
            <w:r>
              <w:rPr>
                <w:rFonts w:hint="eastAsia" w:ascii="宋体" w:hAnsi="宋体" w:eastAsia="宋体" w:cs="宋体"/>
                <w:color w:val="333333"/>
                <w:sz w:val="18"/>
              </w:rPr>
              <w:t>+1.2pp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69081A97">
            <w:pPr>
              <w:jc w:val="center"/>
              <w:rPr>
                <w:rFonts w:hint="eastAsia" w:ascii="宋体" w:hAnsi="宋体" w:eastAsia="宋体" w:cs="宋体"/>
              </w:rPr>
            </w:pPr>
            <w:r>
              <w:rPr>
                <w:rFonts w:hint="eastAsia" w:ascii="宋体" w:hAnsi="宋体" w:eastAsia="宋体" w:cs="宋体"/>
                <w:color w:val="333333"/>
                <w:sz w:val="18"/>
              </w:rPr>
              <w:t>-3.0pp</w:t>
            </w:r>
          </w:p>
        </w:tc>
      </w:tr>
      <w:tr w14:paraId="43EEB15B">
        <w:tblPrEx>
          <w:tblCellMar>
            <w:top w:w="0" w:type="dxa"/>
            <w:left w:w="108" w:type="dxa"/>
            <w:bottom w:w="0" w:type="dxa"/>
            <w:right w:w="108" w:type="dxa"/>
          </w:tblCellMar>
        </w:tblPrEx>
        <w:trPr>
          <w:jc w:val="center"/>
        </w:trPr>
        <w:tc>
          <w:tcPr>
            <w:tcW w:w="2268" w:type="dxa"/>
          </w:tcPr>
          <w:p w14:paraId="49BE7FF5">
            <w:pPr>
              <w:jc w:val="left"/>
              <w:rPr>
                <w:rFonts w:hint="eastAsia" w:ascii="宋体" w:hAnsi="宋体" w:eastAsia="宋体" w:cs="宋体"/>
              </w:rPr>
            </w:pPr>
            <w:r>
              <w:rPr>
                <w:rFonts w:hint="eastAsia" w:ascii="宋体" w:hAnsi="宋体" w:eastAsia="宋体" w:cs="宋体"/>
                <w:color w:val="333333"/>
                <w:sz w:val="18"/>
              </w:rPr>
              <w:t>2023→2024</w:t>
            </w:r>
          </w:p>
        </w:tc>
        <w:tc>
          <w:tcPr>
            <w:tcW w:w="1984" w:type="dxa"/>
          </w:tcPr>
          <w:p w14:paraId="58DF42D9">
            <w:pPr>
              <w:jc w:val="center"/>
              <w:rPr>
                <w:rFonts w:hint="eastAsia" w:ascii="宋体" w:hAnsi="宋体" w:eastAsia="宋体" w:cs="宋体"/>
              </w:rPr>
            </w:pPr>
            <w:r>
              <w:rPr>
                <w:rFonts w:hint="eastAsia" w:ascii="宋体" w:hAnsi="宋体" w:eastAsia="宋体" w:cs="宋体"/>
                <w:color w:val="333333"/>
                <w:sz w:val="18"/>
              </w:rPr>
              <w:t>+75.1pp</w:t>
            </w:r>
          </w:p>
        </w:tc>
        <w:tc>
          <w:tcPr>
            <w:tcW w:w="1701" w:type="dxa"/>
          </w:tcPr>
          <w:p w14:paraId="5B86F645">
            <w:pPr>
              <w:jc w:val="center"/>
              <w:rPr>
                <w:rFonts w:hint="eastAsia" w:ascii="宋体" w:hAnsi="宋体" w:eastAsia="宋体" w:cs="宋体"/>
              </w:rPr>
            </w:pPr>
            <w:r>
              <w:rPr>
                <w:rFonts w:hint="eastAsia" w:ascii="宋体" w:hAnsi="宋体" w:eastAsia="宋体" w:cs="宋体"/>
                <w:color w:val="333333"/>
                <w:sz w:val="18"/>
              </w:rPr>
              <w:t>+46.7pp</w:t>
            </w:r>
          </w:p>
        </w:tc>
        <w:tc>
          <w:tcPr>
            <w:tcW w:w="1701" w:type="dxa"/>
          </w:tcPr>
          <w:p w14:paraId="3531ABDF">
            <w:pPr>
              <w:jc w:val="center"/>
              <w:rPr>
                <w:rFonts w:hint="eastAsia" w:ascii="宋体" w:hAnsi="宋体" w:eastAsia="宋体" w:cs="宋体"/>
              </w:rPr>
            </w:pPr>
            <w:r>
              <w:rPr>
                <w:rFonts w:hint="eastAsia" w:ascii="宋体" w:hAnsi="宋体" w:eastAsia="宋体" w:cs="宋体"/>
                <w:color w:val="333333"/>
                <w:sz w:val="18"/>
              </w:rPr>
              <w:t>+12.3pp</w:t>
            </w:r>
          </w:p>
        </w:tc>
        <w:tc>
          <w:tcPr>
            <w:tcW w:w="1701" w:type="dxa"/>
          </w:tcPr>
          <w:p w14:paraId="66874590">
            <w:pPr>
              <w:jc w:val="center"/>
              <w:rPr>
                <w:rFonts w:hint="eastAsia" w:ascii="宋体" w:hAnsi="宋体" w:eastAsia="宋体" w:cs="宋体"/>
              </w:rPr>
            </w:pPr>
            <w:r>
              <w:rPr>
                <w:rFonts w:hint="eastAsia" w:ascii="宋体" w:hAnsi="宋体" w:eastAsia="宋体" w:cs="宋体"/>
                <w:color w:val="333333"/>
                <w:sz w:val="18"/>
              </w:rPr>
              <w:t>+16.1pp</w:t>
            </w:r>
          </w:p>
        </w:tc>
      </w:tr>
      <w:tr w14:paraId="42B2EC48">
        <w:tblPrEx>
          <w:tblCellMar>
            <w:top w:w="0" w:type="dxa"/>
            <w:left w:w="108" w:type="dxa"/>
            <w:bottom w:w="0" w:type="dxa"/>
            <w:right w:w="108" w:type="dxa"/>
          </w:tblCellMar>
        </w:tblPrEx>
        <w:trPr>
          <w:jc w:val="center"/>
        </w:trPr>
        <w:tc>
          <w:tcPr>
            <w:tcW w:w="2268" w:type="dxa"/>
            <w:tcBorders>
              <w:top w:val="single" w:color="CCCCCC" w:sz="4" w:space="0"/>
              <w:left w:val="single" w:color="CCCCCC" w:sz="4" w:space="0"/>
              <w:bottom w:val="single" w:color="CCCCCC" w:sz="4" w:space="0"/>
              <w:right w:val="single" w:color="CCCCCC" w:sz="4" w:space="0"/>
            </w:tcBorders>
            <w:shd w:val="clear" w:color="auto" w:fill="F8F9FA"/>
          </w:tcPr>
          <w:p w14:paraId="1E0C0EE5">
            <w:pPr>
              <w:jc w:val="left"/>
              <w:rPr>
                <w:rFonts w:hint="eastAsia" w:ascii="宋体" w:hAnsi="宋体" w:eastAsia="宋体" w:cs="宋体"/>
              </w:rPr>
            </w:pPr>
            <w:r>
              <w:rPr>
                <w:rFonts w:hint="eastAsia" w:ascii="宋体" w:hAnsi="宋体" w:eastAsia="宋体" w:cs="宋体"/>
                <w:color w:val="333333"/>
                <w:sz w:val="18"/>
              </w:rPr>
              <w:t>2024→2025</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18C8EF36">
            <w:pPr>
              <w:jc w:val="center"/>
              <w:rPr>
                <w:rFonts w:hint="eastAsia" w:ascii="宋体" w:hAnsi="宋体" w:eastAsia="宋体" w:cs="宋体"/>
              </w:rPr>
            </w:pPr>
            <w:r>
              <w:rPr>
                <w:rFonts w:hint="eastAsia" w:ascii="宋体" w:hAnsi="宋体" w:eastAsia="宋体" w:cs="宋体"/>
                <w:color w:val="333333"/>
                <w:sz w:val="18"/>
              </w:rPr>
              <w:t>-23.6pp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35F4577">
            <w:pPr>
              <w:jc w:val="center"/>
              <w:rPr>
                <w:rFonts w:hint="eastAsia" w:ascii="宋体" w:hAnsi="宋体" w:eastAsia="宋体" w:cs="宋体"/>
              </w:rPr>
            </w:pPr>
            <w:r>
              <w:rPr>
                <w:rFonts w:hint="eastAsia" w:ascii="宋体" w:hAnsi="宋体" w:eastAsia="宋体" w:cs="宋体"/>
                <w:color w:val="333333"/>
                <w:sz w:val="18"/>
              </w:rPr>
              <w:t>+5.4pp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669D531">
            <w:pPr>
              <w:jc w:val="center"/>
              <w:rPr>
                <w:rFonts w:hint="eastAsia" w:ascii="宋体" w:hAnsi="宋体" w:eastAsia="宋体" w:cs="宋体"/>
              </w:rPr>
            </w:pPr>
            <w:r>
              <w:rPr>
                <w:rFonts w:hint="eastAsia" w:ascii="宋体" w:hAnsi="宋体" w:eastAsia="宋体" w:cs="宋体"/>
                <w:color w:val="333333"/>
                <w:sz w:val="18"/>
              </w:rPr>
              <w:t>-11.2pp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5CC2C8C">
            <w:pPr>
              <w:jc w:val="center"/>
              <w:rPr>
                <w:rFonts w:hint="eastAsia" w:ascii="宋体" w:hAnsi="宋体" w:eastAsia="宋体" w:cs="宋体"/>
              </w:rPr>
            </w:pPr>
            <w:r>
              <w:rPr>
                <w:rFonts w:hint="eastAsia" w:ascii="宋体" w:hAnsi="宋体" w:eastAsia="宋体" w:cs="宋体"/>
                <w:color w:val="333333"/>
                <w:sz w:val="18"/>
              </w:rPr>
              <w:t>-17.8pp</w:t>
            </w:r>
          </w:p>
        </w:tc>
      </w:tr>
    </w:tbl>
    <w:p w14:paraId="657F8795">
      <w:pPr>
        <w:spacing w:after="80"/>
        <w:rPr>
          <w:rFonts w:hint="eastAsia" w:ascii="宋体" w:hAnsi="宋体" w:eastAsia="宋体" w:cs="宋体"/>
        </w:rPr>
      </w:pPr>
    </w:p>
    <w:p w14:paraId="646C3256">
      <w:pPr>
        <w:spacing w:after="40" w:line="360" w:lineRule="auto"/>
        <w:ind w:firstLine="420"/>
        <w:rPr>
          <w:rFonts w:hint="eastAsia" w:ascii="宋体" w:hAnsi="宋体" w:eastAsia="宋体" w:cs="宋体"/>
        </w:rPr>
      </w:pPr>
      <w:r>
        <w:rPr>
          <w:rFonts w:hint="eastAsia" w:ascii="宋体" w:hAnsi="宋体" w:eastAsia="宋体" w:cs="宋体"/>
          <w:b w:val="0"/>
          <w:sz w:val="24"/>
        </w:rPr>
        <w:t>2022至2023年为亏损收窄期，净利率从-15.3%回升至-11.6%，净资产收益率改善9.3个百分点。2023至2024年为爆发增长期：净利率转正至3.3%（贡献+46.7pp）、周转率翻倍从0.70至1.54（贡献+12.3pp）、权益乘数从4.49急升至7.69（贡献+16.1pp），三个因素叠加推动净资产收益率从-36.4%升至38.7%。2024至2025年为回调期：净资产收益率回落23.6个百分点至15.0%，去杠杆贡献-17.8pp（权益乘数7.69→3.52）、周转率下降贡献-11.2pp（1.54→1.15），净利率改善贡献+5.4pp（3.3%→3.7%）抵消了部分跌幅。</w:t>
      </w:r>
    </w:p>
    <w:p w14:paraId="16CE1BBE">
      <w:pPr>
        <w:spacing w:before="240" w:after="120"/>
        <w:ind w:left="0"/>
        <w:outlineLvl w:val="1"/>
        <w:rPr>
          <w:rFonts w:hint="eastAsia" w:ascii="宋体" w:hAnsi="宋体" w:eastAsia="宋体" w:cs="宋体"/>
        </w:rPr>
      </w:pPr>
      <w:bookmarkStart w:id="41" w:name="_Toc15556"/>
      <w:bookmarkStart w:id="42" w:name="_Toc14709"/>
      <w:r>
        <w:rPr>
          <w:rFonts w:hint="eastAsia" w:ascii="宋体" w:hAnsi="宋体" w:eastAsia="宋体" w:cs="宋体"/>
          <w:b/>
          <w:color w:val="000000"/>
          <w:sz w:val="28"/>
        </w:rPr>
        <w:t>（二）长安汽车</w:t>
      </w:r>
      <w:bookmarkEnd w:id="41"/>
      <w:bookmarkEnd w:id="42"/>
    </w:p>
    <w:tbl>
      <w:tblPr>
        <w:tblStyle w:val="34"/>
        <w:tblW w:w="0" w:type="auto"/>
        <w:jc w:val="center"/>
        <w:tblLayout w:type="autofit"/>
        <w:tblCellMar>
          <w:top w:w="0" w:type="dxa"/>
          <w:left w:w="108" w:type="dxa"/>
          <w:bottom w:w="0" w:type="dxa"/>
          <w:right w:w="108" w:type="dxa"/>
        </w:tblCellMar>
      </w:tblPr>
      <w:tblGrid>
        <w:gridCol w:w="2268"/>
        <w:gridCol w:w="1984"/>
        <w:gridCol w:w="1701"/>
        <w:gridCol w:w="1701"/>
        <w:gridCol w:w="1701"/>
      </w:tblGrid>
      <w:tr w14:paraId="4B0C5249">
        <w:tblPrEx>
          <w:tblCellMar>
            <w:top w:w="0" w:type="dxa"/>
            <w:left w:w="108" w:type="dxa"/>
            <w:bottom w:w="0" w:type="dxa"/>
            <w:right w:w="108" w:type="dxa"/>
          </w:tblCellMar>
        </w:tblPrEx>
        <w:trPr>
          <w:jc w:val="center"/>
        </w:trPr>
        <w:tc>
          <w:tcPr>
            <w:tcW w:w="2268" w:type="dxa"/>
            <w:tcBorders>
              <w:top w:val="single" w:color="2E75B6" w:sz="8" w:space="0"/>
              <w:left w:val="single" w:color="CCCCCC" w:sz="4" w:space="0"/>
              <w:bottom w:val="single" w:color="CCCCCC" w:sz="4" w:space="0"/>
              <w:right w:val="single" w:color="CCCCCC" w:sz="4" w:space="0"/>
            </w:tcBorders>
            <w:shd w:val="clear" w:color="auto" w:fill="D5E8F0"/>
          </w:tcPr>
          <w:p w14:paraId="37A9726D">
            <w:pPr>
              <w:jc w:val="center"/>
              <w:rPr>
                <w:rFonts w:hint="eastAsia" w:ascii="宋体" w:hAnsi="宋体" w:eastAsia="宋体" w:cs="宋体"/>
              </w:rPr>
            </w:pPr>
            <w:r>
              <w:rPr>
                <w:rFonts w:hint="eastAsia" w:ascii="宋体" w:hAnsi="宋体" w:eastAsia="宋体" w:cs="宋体"/>
                <w:b/>
                <w:color w:val="1A4789"/>
                <w:sz w:val="18"/>
              </w:rPr>
              <w:t>期间</w:t>
            </w:r>
          </w:p>
        </w:tc>
        <w:tc>
          <w:tcPr>
            <w:tcW w:w="1984" w:type="dxa"/>
            <w:tcBorders>
              <w:top w:val="single" w:color="2E75B6" w:sz="8" w:space="0"/>
              <w:left w:val="single" w:color="CCCCCC" w:sz="4" w:space="0"/>
              <w:bottom w:val="single" w:color="CCCCCC" w:sz="4" w:space="0"/>
              <w:right w:val="single" w:color="CCCCCC" w:sz="4" w:space="0"/>
            </w:tcBorders>
            <w:shd w:val="clear" w:color="auto" w:fill="D5E8F0"/>
          </w:tcPr>
          <w:p w14:paraId="1B0C8563">
            <w:pPr>
              <w:jc w:val="center"/>
              <w:rPr>
                <w:rFonts w:hint="eastAsia" w:ascii="宋体" w:hAnsi="宋体" w:eastAsia="宋体" w:cs="宋体"/>
              </w:rPr>
            </w:pPr>
            <w:r>
              <w:rPr>
                <w:rFonts w:hint="eastAsia" w:ascii="宋体" w:hAnsi="宋体" w:eastAsia="宋体" w:cs="宋体"/>
                <w:b/>
                <w:color w:val="1A4789"/>
                <w:sz w:val="18"/>
              </w:rPr>
              <w:t>净资产收益率变动</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575E33E3">
            <w:pPr>
              <w:jc w:val="center"/>
              <w:rPr>
                <w:rFonts w:hint="eastAsia" w:ascii="宋体" w:hAnsi="宋体" w:eastAsia="宋体" w:cs="宋体"/>
              </w:rPr>
            </w:pPr>
            <w:r>
              <w:rPr>
                <w:rFonts w:hint="eastAsia" w:ascii="宋体" w:hAnsi="宋体" w:eastAsia="宋体" w:cs="宋体"/>
                <w:b/>
                <w:color w:val="1A4789"/>
                <w:sz w:val="18"/>
              </w:rPr>
              <w:t>净利率贡献</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5A1DFFF3">
            <w:pPr>
              <w:jc w:val="center"/>
              <w:rPr>
                <w:rFonts w:hint="eastAsia" w:ascii="宋体" w:hAnsi="宋体" w:eastAsia="宋体" w:cs="宋体"/>
              </w:rPr>
            </w:pPr>
            <w:r>
              <w:rPr>
                <w:rFonts w:hint="eastAsia" w:ascii="宋体" w:hAnsi="宋体" w:eastAsia="宋体" w:cs="宋体"/>
                <w:b/>
                <w:color w:val="1A4789"/>
                <w:sz w:val="18"/>
              </w:rPr>
              <w:t>周转率贡献</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6889E0FD">
            <w:pPr>
              <w:jc w:val="center"/>
              <w:rPr>
                <w:rFonts w:hint="eastAsia" w:ascii="宋体" w:hAnsi="宋体" w:eastAsia="宋体" w:cs="宋体"/>
              </w:rPr>
            </w:pPr>
            <w:r>
              <w:rPr>
                <w:rFonts w:hint="eastAsia" w:ascii="宋体" w:hAnsi="宋体" w:eastAsia="宋体" w:cs="宋体"/>
                <w:b/>
                <w:color w:val="1A4789"/>
                <w:sz w:val="18"/>
              </w:rPr>
              <w:t>杠杆贡献</w:t>
            </w:r>
          </w:p>
        </w:tc>
      </w:tr>
      <w:tr w14:paraId="4186B72A">
        <w:tblPrEx>
          <w:tblCellMar>
            <w:top w:w="0" w:type="dxa"/>
            <w:left w:w="108" w:type="dxa"/>
            <w:bottom w:w="0" w:type="dxa"/>
            <w:right w:w="108" w:type="dxa"/>
          </w:tblCellMar>
        </w:tblPrEx>
        <w:trPr>
          <w:jc w:val="center"/>
        </w:trPr>
        <w:tc>
          <w:tcPr>
            <w:tcW w:w="2268" w:type="dxa"/>
            <w:tcBorders>
              <w:top w:val="single" w:color="CCCCCC" w:sz="4" w:space="0"/>
              <w:left w:val="single" w:color="CCCCCC" w:sz="4" w:space="0"/>
              <w:bottom w:val="single" w:color="CCCCCC" w:sz="4" w:space="0"/>
              <w:right w:val="single" w:color="CCCCCC" w:sz="4" w:space="0"/>
            </w:tcBorders>
            <w:shd w:val="clear" w:color="auto" w:fill="F8F9FA"/>
          </w:tcPr>
          <w:p w14:paraId="0F4EDF54">
            <w:pPr>
              <w:jc w:val="left"/>
              <w:rPr>
                <w:rFonts w:hint="eastAsia" w:ascii="宋体" w:hAnsi="宋体" w:eastAsia="宋体" w:cs="宋体"/>
              </w:rPr>
            </w:pPr>
            <w:r>
              <w:rPr>
                <w:rFonts w:hint="eastAsia" w:ascii="宋体" w:hAnsi="宋体" w:eastAsia="宋体" w:cs="宋体"/>
                <w:color w:val="333333"/>
                <w:sz w:val="18"/>
              </w:rPr>
              <w:t>2022→2023</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7D043256">
            <w:pPr>
              <w:jc w:val="center"/>
              <w:rPr>
                <w:rFonts w:hint="eastAsia" w:ascii="宋体" w:hAnsi="宋体" w:eastAsia="宋体" w:cs="宋体"/>
              </w:rPr>
            </w:pPr>
            <w:r>
              <w:rPr>
                <w:rFonts w:hint="eastAsia" w:ascii="宋体" w:hAnsi="宋体" w:eastAsia="宋体" w:cs="宋体"/>
                <w:color w:val="333333"/>
                <w:sz w:val="18"/>
              </w:rPr>
              <w:t>+0.9pp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2F2B597">
            <w:pPr>
              <w:jc w:val="center"/>
              <w:rPr>
                <w:rFonts w:hint="eastAsia" w:ascii="宋体" w:hAnsi="宋体" w:eastAsia="宋体" w:cs="宋体"/>
              </w:rPr>
            </w:pPr>
            <w:r>
              <w:rPr>
                <w:rFonts w:hint="eastAsia" w:ascii="宋体" w:hAnsi="宋体" w:eastAsia="宋体" w:cs="宋体"/>
                <w:color w:val="333333"/>
                <w:sz w:val="18"/>
              </w:rPr>
              <w:t>-0.2pp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A8ECBE9">
            <w:pPr>
              <w:jc w:val="center"/>
              <w:rPr>
                <w:rFonts w:hint="eastAsia" w:ascii="宋体" w:hAnsi="宋体" w:eastAsia="宋体" w:cs="宋体"/>
              </w:rPr>
            </w:pPr>
            <w:r>
              <w:rPr>
                <w:rFonts w:hint="eastAsia" w:ascii="宋体" w:hAnsi="宋体" w:eastAsia="宋体" w:cs="宋体"/>
                <w:color w:val="333333"/>
                <w:sz w:val="18"/>
              </w:rPr>
              <w:t>-0.5pp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73E9335E">
            <w:pPr>
              <w:jc w:val="center"/>
              <w:rPr>
                <w:rFonts w:hint="eastAsia" w:ascii="宋体" w:hAnsi="宋体" w:eastAsia="宋体" w:cs="宋体"/>
              </w:rPr>
            </w:pPr>
            <w:r>
              <w:rPr>
                <w:rFonts w:hint="eastAsia" w:ascii="宋体" w:hAnsi="宋体" w:eastAsia="宋体" w:cs="宋体"/>
                <w:color w:val="333333"/>
                <w:sz w:val="18"/>
              </w:rPr>
              <w:t>+1.6pp</w:t>
            </w:r>
          </w:p>
        </w:tc>
      </w:tr>
      <w:tr w14:paraId="431DE7B4">
        <w:tblPrEx>
          <w:tblCellMar>
            <w:top w:w="0" w:type="dxa"/>
            <w:left w:w="108" w:type="dxa"/>
            <w:bottom w:w="0" w:type="dxa"/>
            <w:right w:w="108" w:type="dxa"/>
          </w:tblCellMar>
        </w:tblPrEx>
        <w:trPr>
          <w:jc w:val="center"/>
        </w:trPr>
        <w:tc>
          <w:tcPr>
            <w:tcW w:w="2268" w:type="dxa"/>
          </w:tcPr>
          <w:p w14:paraId="2A587D6C">
            <w:pPr>
              <w:jc w:val="left"/>
              <w:rPr>
                <w:rFonts w:hint="eastAsia" w:ascii="宋体" w:hAnsi="宋体" w:eastAsia="宋体" w:cs="宋体"/>
              </w:rPr>
            </w:pPr>
            <w:r>
              <w:rPr>
                <w:rFonts w:hint="eastAsia" w:ascii="宋体" w:hAnsi="宋体" w:eastAsia="宋体" w:cs="宋体"/>
                <w:color w:val="333333"/>
                <w:sz w:val="18"/>
              </w:rPr>
              <w:t>2023→2024</w:t>
            </w:r>
          </w:p>
        </w:tc>
        <w:tc>
          <w:tcPr>
            <w:tcW w:w="1984" w:type="dxa"/>
          </w:tcPr>
          <w:p w14:paraId="3BDCAC94">
            <w:pPr>
              <w:jc w:val="center"/>
              <w:rPr>
                <w:rFonts w:hint="eastAsia" w:ascii="宋体" w:hAnsi="宋体" w:eastAsia="宋体" w:cs="宋体"/>
              </w:rPr>
            </w:pPr>
            <w:r>
              <w:rPr>
                <w:rFonts w:hint="eastAsia" w:ascii="宋体" w:hAnsi="宋体" w:eastAsia="宋体" w:cs="宋体"/>
                <w:color w:val="333333"/>
                <w:sz w:val="18"/>
              </w:rPr>
              <w:t>-5.3pp</w:t>
            </w:r>
          </w:p>
        </w:tc>
        <w:tc>
          <w:tcPr>
            <w:tcW w:w="1701" w:type="dxa"/>
          </w:tcPr>
          <w:p w14:paraId="28AA18C2">
            <w:pPr>
              <w:jc w:val="center"/>
              <w:rPr>
                <w:rFonts w:hint="eastAsia" w:ascii="宋体" w:hAnsi="宋体" w:eastAsia="宋体" w:cs="宋体"/>
              </w:rPr>
            </w:pPr>
            <w:r>
              <w:rPr>
                <w:rFonts w:hint="eastAsia" w:ascii="宋体" w:hAnsi="宋体" w:eastAsia="宋体" w:cs="宋体"/>
                <w:color w:val="333333"/>
                <w:sz w:val="18"/>
              </w:rPr>
              <w:t>-5.2pp</w:t>
            </w:r>
          </w:p>
        </w:tc>
        <w:tc>
          <w:tcPr>
            <w:tcW w:w="1701" w:type="dxa"/>
          </w:tcPr>
          <w:p w14:paraId="3A7D8CB3">
            <w:pPr>
              <w:jc w:val="center"/>
              <w:rPr>
                <w:rFonts w:hint="eastAsia" w:ascii="宋体" w:hAnsi="宋体" w:eastAsia="宋体" w:cs="宋体"/>
              </w:rPr>
            </w:pPr>
            <w:r>
              <w:rPr>
                <w:rFonts w:hint="eastAsia" w:ascii="宋体" w:hAnsi="宋体" w:eastAsia="宋体" w:cs="宋体"/>
                <w:color w:val="333333"/>
                <w:sz w:val="18"/>
              </w:rPr>
              <w:t>-0.3pp</w:t>
            </w:r>
          </w:p>
        </w:tc>
        <w:tc>
          <w:tcPr>
            <w:tcW w:w="1701" w:type="dxa"/>
          </w:tcPr>
          <w:p w14:paraId="13700679">
            <w:pPr>
              <w:jc w:val="center"/>
              <w:rPr>
                <w:rFonts w:hint="eastAsia" w:ascii="宋体" w:hAnsi="宋体" w:eastAsia="宋体" w:cs="宋体"/>
              </w:rPr>
            </w:pPr>
            <w:r>
              <w:rPr>
                <w:rFonts w:hint="eastAsia" w:ascii="宋体" w:hAnsi="宋体" w:eastAsia="宋体" w:cs="宋体"/>
                <w:color w:val="333333"/>
                <w:sz w:val="18"/>
              </w:rPr>
              <w:t>+0.2pp</w:t>
            </w:r>
          </w:p>
        </w:tc>
      </w:tr>
      <w:tr w14:paraId="090C2F12">
        <w:tblPrEx>
          <w:tblCellMar>
            <w:top w:w="0" w:type="dxa"/>
            <w:left w:w="108" w:type="dxa"/>
            <w:bottom w:w="0" w:type="dxa"/>
            <w:right w:w="108" w:type="dxa"/>
          </w:tblCellMar>
        </w:tblPrEx>
        <w:trPr>
          <w:jc w:val="center"/>
        </w:trPr>
        <w:tc>
          <w:tcPr>
            <w:tcW w:w="2268" w:type="dxa"/>
            <w:tcBorders>
              <w:top w:val="single" w:color="CCCCCC" w:sz="4" w:space="0"/>
              <w:left w:val="single" w:color="CCCCCC" w:sz="4" w:space="0"/>
              <w:bottom w:val="single" w:color="CCCCCC" w:sz="4" w:space="0"/>
              <w:right w:val="single" w:color="CCCCCC" w:sz="4" w:space="0"/>
            </w:tcBorders>
            <w:shd w:val="clear" w:color="auto" w:fill="F8F9FA"/>
          </w:tcPr>
          <w:p w14:paraId="1C48BC59">
            <w:pPr>
              <w:jc w:val="left"/>
              <w:rPr>
                <w:rFonts w:hint="eastAsia" w:ascii="宋体" w:hAnsi="宋体" w:eastAsia="宋体" w:cs="宋体"/>
              </w:rPr>
            </w:pPr>
            <w:r>
              <w:rPr>
                <w:rFonts w:hint="eastAsia" w:ascii="宋体" w:hAnsi="宋体" w:eastAsia="宋体" w:cs="宋体"/>
                <w:color w:val="333333"/>
                <w:sz w:val="18"/>
              </w:rPr>
              <w:t>2024→2025</w:t>
            </w:r>
          </w:p>
        </w:tc>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4FF5DA39">
            <w:pPr>
              <w:jc w:val="center"/>
              <w:rPr>
                <w:rFonts w:hint="eastAsia" w:ascii="宋体" w:hAnsi="宋体" w:eastAsia="宋体" w:cs="宋体"/>
              </w:rPr>
            </w:pPr>
            <w:r>
              <w:rPr>
                <w:rFonts w:hint="eastAsia" w:ascii="宋体" w:hAnsi="宋体" w:eastAsia="宋体" w:cs="宋体"/>
                <w:color w:val="333333"/>
                <w:sz w:val="18"/>
              </w:rPr>
              <w:t>-3.9pp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1C3BE1D">
            <w:pPr>
              <w:jc w:val="center"/>
              <w:rPr>
                <w:rFonts w:hint="eastAsia" w:ascii="宋体" w:hAnsi="宋体" w:eastAsia="宋体" w:cs="宋体"/>
              </w:rPr>
            </w:pPr>
            <w:r>
              <w:rPr>
                <w:rFonts w:hint="eastAsia" w:ascii="宋体" w:hAnsi="宋体" w:eastAsia="宋体" w:cs="宋体"/>
                <w:color w:val="333333"/>
                <w:sz w:val="18"/>
              </w:rPr>
              <w:t>-3.9pp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7CBC3586">
            <w:pPr>
              <w:jc w:val="center"/>
              <w:rPr>
                <w:rFonts w:hint="eastAsia" w:ascii="宋体" w:hAnsi="宋体" w:eastAsia="宋体" w:cs="宋体"/>
              </w:rPr>
            </w:pPr>
            <w:r>
              <w:rPr>
                <w:rFonts w:hint="eastAsia" w:ascii="宋体" w:hAnsi="宋体" w:eastAsia="宋体" w:cs="宋体"/>
                <w:color w:val="333333"/>
                <w:sz w:val="18"/>
              </w:rPr>
              <w:t>+0.2pp</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08333F0E">
            <w:pPr>
              <w:jc w:val="center"/>
              <w:rPr>
                <w:rFonts w:hint="eastAsia" w:ascii="宋体" w:hAnsi="宋体" w:eastAsia="宋体" w:cs="宋体"/>
              </w:rPr>
            </w:pPr>
            <w:r>
              <w:rPr>
                <w:rFonts w:hint="eastAsia" w:ascii="宋体" w:hAnsi="宋体" w:eastAsia="宋体" w:cs="宋体"/>
                <w:color w:val="333333"/>
                <w:sz w:val="18"/>
              </w:rPr>
              <w:t>-0.1pp</w:t>
            </w:r>
          </w:p>
        </w:tc>
      </w:tr>
    </w:tbl>
    <w:p w14:paraId="5BEDB693">
      <w:pPr>
        <w:spacing w:after="80"/>
        <w:rPr>
          <w:rFonts w:hint="eastAsia" w:ascii="宋体" w:hAnsi="宋体" w:eastAsia="宋体" w:cs="宋体"/>
        </w:rPr>
      </w:pPr>
    </w:p>
    <w:p w14:paraId="35CFED06">
      <w:pPr>
        <w:spacing w:after="40" w:line="360" w:lineRule="auto"/>
        <w:ind w:firstLine="420"/>
        <w:rPr>
          <w:rFonts w:hint="eastAsia" w:ascii="宋体" w:hAnsi="宋体" w:eastAsia="宋体" w:cs="宋体"/>
        </w:rPr>
      </w:pPr>
      <w:r>
        <w:rPr>
          <w:rFonts w:hint="eastAsia" w:ascii="宋体" w:hAnsi="宋体" w:eastAsia="宋体" w:cs="宋体"/>
          <w:b w:val="0"/>
          <w:sz w:val="24"/>
        </w:rPr>
        <w:t>长安汽车净资产收益率路径为12.3%→13.2%→8.0%→4.1%，三年间最大年度变动仅5.3个百分点。净利率持续下滑（6.4%→6.3%→3.8%→1.9%）是净资产收益率下降的唯一主因。周转率和权益乘数基本稳定，表明长安汽车维持了稳健的资本结构和资产运营策略。</w:t>
      </w:r>
    </w:p>
    <w:p w14:paraId="478FF635">
      <w:pPr>
        <w:jc w:val="center"/>
        <w:rPr>
          <w:rFonts w:hint="eastAsia" w:ascii="宋体" w:hAnsi="宋体" w:eastAsia="宋体" w:cs="宋体"/>
        </w:rPr>
      </w:pPr>
      <w:r>
        <w:rPr>
          <w:rFonts w:hint="eastAsia" w:ascii="宋体" w:hAnsi="宋体" w:eastAsia="宋体" w:cs="宋体"/>
        </w:rPr>
        <w:drawing>
          <wp:inline distT="0" distB="0" distL="114300" distR="114300">
            <wp:extent cx="5039995" cy="1261745"/>
            <wp:effectExtent l="0" t="0" r="444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40000" cy="1261813"/>
                    </a:xfrm>
                    <a:prstGeom prst="rect">
                      <a:avLst/>
                    </a:prstGeom>
                  </pic:spPr>
                </pic:pic>
              </a:graphicData>
            </a:graphic>
          </wp:inline>
        </w:drawing>
      </w:r>
    </w:p>
    <w:p w14:paraId="157CA389">
      <w:pPr>
        <w:spacing w:after="120"/>
        <w:jc w:val="center"/>
        <w:rPr>
          <w:rFonts w:hint="eastAsia" w:ascii="宋体" w:hAnsi="宋体" w:eastAsia="宋体" w:cs="宋体"/>
        </w:rPr>
      </w:pPr>
      <w:r>
        <w:rPr>
          <w:rFonts w:hint="eastAsia" w:ascii="宋体" w:hAnsi="宋体" w:eastAsia="宋体" w:cs="宋体"/>
          <w:sz w:val="18"/>
        </w:rPr>
        <w:t>图6-1  杜邦分析净资产收益率因素分解对比</w:t>
      </w:r>
    </w:p>
    <w:p w14:paraId="1E670EF3">
      <w:pPr>
        <w:spacing w:after="40" w:line="360" w:lineRule="auto"/>
        <w:ind w:firstLine="420"/>
        <w:rPr>
          <w:rFonts w:hint="eastAsia" w:ascii="宋体" w:hAnsi="宋体" w:eastAsia="宋体" w:cs="宋体"/>
        </w:rPr>
      </w:pPr>
      <w:r>
        <w:rPr>
          <w:rFonts w:hint="eastAsia" w:ascii="宋体" w:hAnsi="宋体" w:eastAsia="宋体" w:cs="宋体"/>
          <w:b w:val="0"/>
          <w:sz w:val="24"/>
        </w:rPr>
        <w:t>长安汽车净资产收益率的下降是一个缓慢、单一因素驱动的过程（行业价格战挤压利润率），可控性较强。赛力斯的净资产收益率变动则是杠杆扩张和收缩推动的大幅摆动，财务波动风险更大。</w:t>
      </w:r>
    </w:p>
    <w:p w14:paraId="2388A617">
      <w:pPr>
        <w:spacing w:before="360" w:after="240"/>
        <w:jc w:val="center"/>
        <w:outlineLvl w:val="0"/>
        <w:rPr>
          <w:rFonts w:hint="eastAsia" w:ascii="宋体" w:hAnsi="宋体" w:eastAsia="宋体" w:cs="宋体"/>
        </w:rPr>
      </w:pPr>
      <w:bookmarkStart w:id="43" w:name="_Toc5382"/>
      <w:bookmarkStart w:id="44" w:name="_Toc317"/>
      <w:r>
        <w:rPr>
          <w:rFonts w:hint="eastAsia" w:ascii="宋体" w:hAnsi="宋体" w:eastAsia="宋体" w:cs="宋体"/>
          <w:b/>
          <w:color w:val="000000"/>
          <w:sz w:val="32"/>
        </w:rPr>
        <w:t>七、现金流量分析</w:t>
      </w:r>
      <w:bookmarkEnd w:id="43"/>
      <w:bookmarkEnd w:id="44"/>
    </w:p>
    <w:p w14:paraId="6B10E889">
      <w:pPr>
        <w:spacing w:after="40" w:line="360" w:lineRule="auto"/>
        <w:ind w:firstLine="420"/>
        <w:rPr>
          <w:rFonts w:hint="eastAsia" w:ascii="宋体" w:hAnsi="宋体" w:eastAsia="宋体" w:cs="宋体"/>
        </w:rPr>
      </w:pPr>
      <w:r>
        <w:rPr>
          <w:rFonts w:hint="eastAsia" w:ascii="宋体" w:hAnsi="宋体" w:eastAsia="宋体" w:cs="宋体"/>
          <w:b w:val="0"/>
          <w:sz w:val="24"/>
        </w:rPr>
        <w:t>利润表以权责发生制为基础，收入确认不等于现金到账。现金流量表以收付实现制反映真实资金流动，是判断利润质量和经营安全性的重要依据。</w:t>
      </w:r>
    </w:p>
    <w:tbl>
      <w:tblPr>
        <w:tblStyle w:val="34"/>
        <w:tblW w:w="0" w:type="auto"/>
        <w:jc w:val="center"/>
        <w:tblLayout w:type="autofit"/>
        <w:tblCellMar>
          <w:top w:w="0" w:type="dxa"/>
          <w:left w:w="108" w:type="dxa"/>
          <w:bottom w:w="0" w:type="dxa"/>
          <w:right w:w="108" w:type="dxa"/>
        </w:tblCellMar>
      </w:tblPr>
      <w:tblGrid>
        <w:gridCol w:w="1417"/>
        <w:gridCol w:w="1417"/>
        <w:gridCol w:w="1417"/>
        <w:gridCol w:w="1417"/>
        <w:gridCol w:w="1701"/>
        <w:gridCol w:w="1701"/>
      </w:tblGrid>
      <w:tr w14:paraId="7B1507DF">
        <w:tblPrEx>
          <w:tblCellMar>
            <w:top w:w="0" w:type="dxa"/>
            <w:left w:w="108" w:type="dxa"/>
            <w:bottom w:w="0" w:type="dxa"/>
            <w:right w:w="108" w:type="dxa"/>
          </w:tblCellMar>
        </w:tblPrEx>
        <w:trPr>
          <w:jc w:val="center"/>
        </w:trPr>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3CBF41F">
            <w:pPr>
              <w:jc w:val="center"/>
              <w:rPr>
                <w:rFonts w:hint="eastAsia" w:ascii="宋体" w:hAnsi="宋体" w:eastAsia="宋体" w:cs="宋体"/>
              </w:rPr>
            </w:pPr>
            <w:r>
              <w:rPr>
                <w:rFonts w:hint="eastAsia" w:ascii="宋体" w:hAnsi="宋体" w:eastAsia="宋体" w:cs="宋体"/>
                <w:b/>
                <w:color w:val="1A4789"/>
                <w:sz w:val="18"/>
              </w:rPr>
              <w:t>公司</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D7A6F64">
            <w:pPr>
              <w:jc w:val="center"/>
              <w:rPr>
                <w:rFonts w:hint="eastAsia" w:ascii="宋体" w:hAnsi="宋体" w:eastAsia="宋体" w:cs="宋体"/>
              </w:rPr>
            </w:pPr>
            <w:r>
              <w:rPr>
                <w:rFonts w:hint="eastAsia" w:ascii="宋体" w:hAnsi="宋体" w:eastAsia="宋体" w:cs="宋体"/>
                <w:b/>
                <w:color w:val="1A4789"/>
                <w:sz w:val="18"/>
              </w:rPr>
              <w:t>经营活动现金净流量(亿)</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25B6E9D">
            <w:pPr>
              <w:jc w:val="center"/>
              <w:rPr>
                <w:rFonts w:hint="eastAsia" w:ascii="宋体" w:hAnsi="宋体" w:eastAsia="宋体" w:cs="宋体"/>
              </w:rPr>
            </w:pPr>
            <w:r>
              <w:rPr>
                <w:rFonts w:hint="eastAsia" w:ascii="宋体" w:hAnsi="宋体" w:eastAsia="宋体" w:cs="宋体"/>
                <w:b/>
                <w:color w:val="1A4789"/>
                <w:sz w:val="18"/>
              </w:rPr>
              <w:t>投资活动现金净流量(亿)</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7C09D868">
            <w:pPr>
              <w:jc w:val="center"/>
              <w:rPr>
                <w:rFonts w:hint="eastAsia" w:ascii="宋体" w:hAnsi="宋体" w:eastAsia="宋体" w:cs="宋体"/>
              </w:rPr>
            </w:pPr>
            <w:r>
              <w:rPr>
                <w:rFonts w:hint="eastAsia" w:ascii="宋体" w:hAnsi="宋体" w:eastAsia="宋体" w:cs="宋体"/>
                <w:b/>
                <w:color w:val="1A4789"/>
                <w:sz w:val="18"/>
              </w:rPr>
              <w:t>筹资活动现金净流量(亿)</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1B6DACF8">
            <w:pPr>
              <w:jc w:val="center"/>
              <w:rPr>
                <w:rFonts w:hint="eastAsia" w:ascii="宋体" w:hAnsi="宋体" w:eastAsia="宋体" w:cs="宋体"/>
              </w:rPr>
            </w:pPr>
            <w:r>
              <w:rPr>
                <w:rFonts w:hint="eastAsia" w:ascii="宋体" w:hAnsi="宋体" w:eastAsia="宋体" w:cs="宋体"/>
                <w:b/>
                <w:color w:val="1A4789"/>
                <w:sz w:val="18"/>
              </w:rPr>
              <w:t>组合模式</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6D618E8F">
            <w:pPr>
              <w:jc w:val="center"/>
              <w:rPr>
                <w:rFonts w:hint="eastAsia" w:ascii="宋体" w:hAnsi="宋体" w:eastAsia="宋体" w:cs="宋体"/>
              </w:rPr>
            </w:pPr>
            <w:r>
              <w:rPr>
                <w:rFonts w:hint="eastAsia" w:ascii="宋体" w:hAnsi="宋体" w:eastAsia="宋体" w:cs="宋体"/>
                <w:b/>
                <w:color w:val="1A4789"/>
                <w:sz w:val="18"/>
              </w:rPr>
              <w:t>阶段判断</w:t>
            </w:r>
          </w:p>
        </w:tc>
      </w:tr>
      <w:tr w14:paraId="669AA1D7">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6DC4305">
            <w:pPr>
              <w:jc w:val="left"/>
              <w:rPr>
                <w:rFonts w:hint="eastAsia" w:ascii="宋体" w:hAnsi="宋体" w:eastAsia="宋体" w:cs="宋体"/>
              </w:rPr>
            </w:pPr>
            <w:r>
              <w:rPr>
                <w:rFonts w:hint="eastAsia" w:ascii="宋体" w:hAnsi="宋体" w:eastAsia="宋体" w:cs="宋体"/>
                <w:color w:val="333333"/>
                <w:sz w:val="18"/>
              </w:rPr>
              <w:t>赛力斯</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C363C8F">
            <w:pPr>
              <w:jc w:val="center"/>
              <w:rPr>
                <w:rFonts w:hint="eastAsia" w:ascii="宋体" w:hAnsi="宋体" w:eastAsia="宋体" w:cs="宋体"/>
              </w:rPr>
            </w:pPr>
            <w:r>
              <w:rPr>
                <w:rFonts w:hint="eastAsia" w:ascii="宋体" w:hAnsi="宋体" w:eastAsia="宋体" w:cs="宋体"/>
                <w:color w:val="333333"/>
                <w:sz w:val="18"/>
              </w:rPr>
              <w:t>289.1</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33E449C">
            <w:pPr>
              <w:jc w:val="center"/>
              <w:rPr>
                <w:rFonts w:hint="eastAsia" w:ascii="宋体" w:hAnsi="宋体" w:eastAsia="宋体" w:cs="宋体"/>
              </w:rPr>
            </w:pPr>
            <w:r>
              <w:rPr>
                <w:rFonts w:hint="eastAsia" w:ascii="宋体" w:hAnsi="宋体" w:eastAsia="宋体" w:cs="宋体"/>
                <w:color w:val="333333"/>
                <w:sz w:val="18"/>
              </w:rPr>
              <w:t>-50.3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BF1A2EB">
            <w:pPr>
              <w:jc w:val="center"/>
              <w:rPr>
                <w:rFonts w:hint="eastAsia" w:ascii="宋体" w:hAnsi="宋体" w:eastAsia="宋体" w:cs="宋体"/>
              </w:rPr>
            </w:pPr>
            <w:r>
              <w:rPr>
                <w:rFonts w:hint="eastAsia" w:ascii="宋体" w:hAnsi="宋体" w:eastAsia="宋体" w:cs="宋体"/>
                <w:color w:val="333333"/>
                <w:sz w:val="18"/>
              </w:rPr>
              <w:t>182.8</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1DD2BE6">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2D951501">
            <w:pPr>
              <w:jc w:val="center"/>
              <w:rPr>
                <w:rFonts w:hint="eastAsia" w:ascii="宋体" w:hAnsi="宋体" w:eastAsia="宋体" w:cs="宋体"/>
              </w:rPr>
            </w:pPr>
            <w:r>
              <w:rPr>
                <w:rFonts w:hint="eastAsia" w:ascii="宋体" w:hAnsi="宋体" w:eastAsia="宋体" w:cs="宋体"/>
                <w:color w:val="333333"/>
                <w:sz w:val="18"/>
              </w:rPr>
              <w:t>成长期</w:t>
            </w:r>
          </w:p>
        </w:tc>
      </w:tr>
      <w:tr w14:paraId="08B3F5AD">
        <w:tblPrEx>
          <w:tblCellMar>
            <w:top w:w="0" w:type="dxa"/>
            <w:left w:w="108" w:type="dxa"/>
            <w:bottom w:w="0" w:type="dxa"/>
            <w:right w:w="108" w:type="dxa"/>
          </w:tblCellMar>
        </w:tblPrEx>
        <w:trPr>
          <w:jc w:val="center"/>
        </w:trPr>
        <w:tc>
          <w:tcPr>
            <w:tcW w:w="1417" w:type="dxa"/>
          </w:tcPr>
          <w:p w14:paraId="57EA75FC">
            <w:pPr>
              <w:jc w:val="left"/>
              <w:rPr>
                <w:rFonts w:hint="eastAsia" w:ascii="宋体" w:hAnsi="宋体" w:eastAsia="宋体" w:cs="宋体"/>
              </w:rPr>
            </w:pPr>
            <w:r>
              <w:rPr>
                <w:rFonts w:hint="eastAsia" w:ascii="宋体" w:hAnsi="宋体" w:eastAsia="宋体" w:cs="宋体"/>
                <w:color w:val="333333"/>
                <w:sz w:val="18"/>
              </w:rPr>
              <w:t>比亚迪</w:t>
            </w:r>
          </w:p>
        </w:tc>
        <w:tc>
          <w:tcPr>
            <w:tcW w:w="1417" w:type="dxa"/>
          </w:tcPr>
          <w:p w14:paraId="148EF82B">
            <w:pPr>
              <w:jc w:val="center"/>
              <w:rPr>
                <w:rFonts w:hint="eastAsia" w:ascii="宋体" w:hAnsi="宋体" w:eastAsia="宋体" w:cs="宋体"/>
              </w:rPr>
            </w:pPr>
            <w:r>
              <w:rPr>
                <w:rFonts w:hint="eastAsia" w:ascii="宋体" w:hAnsi="宋体" w:eastAsia="宋体" w:cs="宋体"/>
                <w:color w:val="333333"/>
                <w:sz w:val="18"/>
              </w:rPr>
              <w:t>591.4</w:t>
            </w:r>
          </w:p>
        </w:tc>
        <w:tc>
          <w:tcPr>
            <w:tcW w:w="1417" w:type="dxa"/>
          </w:tcPr>
          <w:p w14:paraId="5470C2C6">
            <w:pPr>
              <w:jc w:val="center"/>
              <w:rPr>
                <w:rFonts w:hint="eastAsia" w:ascii="宋体" w:hAnsi="宋体" w:eastAsia="宋体" w:cs="宋体"/>
              </w:rPr>
            </w:pPr>
            <w:r>
              <w:rPr>
                <w:rFonts w:hint="eastAsia" w:ascii="宋体" w:hAnsi="宋体" w:eastAsia="宋体" w:cs="宋体"/>
                <w:color w:val="333333"/>
                <w:sz w:val="18"/>
              </w:rPr>
              <w:t>-1974.6</w:t>
            </w:r>
          </w:p>
        </w:tc>
        <w:tc>
          <w:tcPr>
            <w:tcW w:w="1417" w:type="dxa"/>
          </w:tcPr>
          <w:p w14:paraId="6F641543">
            <w:pPr>
              <w:jc w:val="center"/>
              <w:rPr>
                <w:rFonts w:hint="eastAsia" w:ascii="宋体" w:hAnsi="宋体" w:eastAsia="宋体" w:cs="宋体"/>
              </w:rPr>
            </w:pPr>
            <w:r>
              <w:rPr>
                <w:rFonts w:hint="eastAsia" w:ascii="宋体" w:hAnsi="宋体" w:eastAsia="宋体" w:cs="宋体"/>
                <w:color w:val="333333"/>
                <w:sz w:val="18"/>
              </w:rPr>
              <w:t>1046.1</w:t>
            </w:r>
          </w:p>
        </w:tc>
        <w:tc>
          <w:tcPr>
            <w:tcW w:w="1701" w:type="dxa"/>
          </w:tcPr>
          <w:p w14:paraId="63C19ABB">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Pr>
          <w:p w14:paraId="429EDBCA">
            <w:pPr>
              <w:jc w:val="center"/>
              <w:rPr>
                <w:rFonts w:hint="eastAsia" w:ascii="宋体" w:hAnsi="宋体" w:eastAsia="宋体" w:cs="宋体"/>
              </w:rPr>
            </w:pPr>
            <w:r>
              <w:rPr>
                <w:rFonts w:hint="eastAsia" w:ascii="宋体" w:hAnsi="宋体" w:eastAsia="宋体" w:cs="宋体"/>
                <w:color w:val="333333"/>
                <w:sz w:val="18"/>
              </w:rPr>
              <w:t>成长期（激进扩张）</w:t>
            </w:r>
          </w:p>
        </w:tc>
      </w:tr>
      <w:tr w14:paraId="0DDDF665">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212BE188">
            <w:pPr>
              <w:jc w:val="left"/>
              <w:rPr>
                <w:rFonts w:hint="eastAsia" w:ascii="宋体" w:hAnsi="宋体" w:eastAsia="宋体" w:cs="宋体"/>
              </w:rPr>
            </w:pPr>
            <w:r>
              <w:rPr>
                <w:rFonts w:hint="eastAsia" w:ascii="宋体" w:hAnsi="宋体" w:eastAsia="宋体" w:cs="宋体"/>
                <w:color w:val="333333"/>
                <w:sz w:val="18"/>
              </w:rPr>
              <w:t>长城汽车</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9ECBF4A">
            <w:pPr>
              <w:jc w:val="center"/>
              <w:rPr>
                <w:rFonts w:hint="eastAsia" w:ascii="宋体" w:hAnsi="宋体" w:eastAsia="宋体" w:cs="宋体"/>
              </w:rPr>
            </w:pPr>
            <w:r>
              <w:rPr>
                <w:rFonts w:hint="eastAsia" w:ascii="宋体" w:hAnsi="宋体" w:eastAsia="宋体" w:cs="宋体"/>
                <w:color w:val="333333"/>
                <w:sz w:val="18"/>
              </w:rPr>
              <w:t>403.6</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993DF84">
            <w:pPr>
              <w:jc w:val="center"/>
              <w:rPr>
                <w:rFonts w:hint="eastAsia" w:ascii="宋体" w:hAnsi="宋体" w:eastAsia="宋体" w:cs="宋体"/>
              </w:rPr>
            </w:pPr>
            <w:r>
              <w:rPr>
                <w:rFonts w:hint="eastAsia" w:ascii="宋体" w:hAnsi="宋体" w:eastAsia="宋体" w:cs="宋体"/>
                <w:color w:val="333333"/>
                <w:sz w:val="18"/>
              </w:rPr>
              <w:t>-291.5</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DDB8E3A">
            <w:pPr>
              <w:jc w:val="center"/>
              <w:rPr>
                <w:rFonts w:hint="eastAsia" w:ascii="宋体" w:hAnsi="宋体" w:eastAsia="宋体" w:cs="宋体"/>
              </w:rPr>
            </w:pPr>
            <w:r>
              <w:rPr>
                <w:rFonts w:hint="eastAsia" w:ascii="宋体" w:hAnsi="宋体" w:eastAsia="宋体" w:cs="宋体"/>
                <w:color w:val="333333"/>
                <w:sz w:val="18"/>
              </w:rPr>
              <w:t>-134.4</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1D6D6C7">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2D466AD2">
            <w:pPr>
              <w:jc w:val="center"/>
              <w:rPr>
                <w:rFonts w:hint="eastAsia" w:ascii="宋体" w:hAnsi="宋体" w:eastAsia="宋体" w:cs="宋体"/>
              </w:rPr>
            </w:pPr>
            <w:r>
              <w:rPr>
                <w:rFonts w:hint="eastAsia" w:ascii="宋体" w:hAnsi="宋体" w:eastAsia="宋体" w:cs="宋体"/>
                <w:color w:val="333333"/>
                <w:sz w:val="18"/>
              </w:rPr>
              <w:t>成熟期</w:t>
            </w:r>
          </w:p>
        </w:tc>
      </w:tr>
      <w:tr w14:paraId="7908B0ED">
        <w:tblPrEx>
          <w:tblCellMar>
            <w:top w:w="0" w:type="dxa"/>
            <w:left w:w="108" w:type="dxa"/>
            <w:bottom w:w="0" w:type="dxa"/>
            <w:right w:w="108" w:type="dxa"/>
          </w:tblCellMar>
        </w:tblPrEx>
        <w:trPr>
          <w:jc w:val="center"/>
        </w:trPr>
        <w:tc>
          <w:tcPr>
            <w:tcW w:w="1417" w:type="dxa"/>
          </w:tcPr>
          <w:p w14:paraId="558608FC">
            <w:pPr>
              <w:jc w:val="left"/>
              <w:rPr>
                <w:rFonts w:hint="eastAsia" w:ascii="宋体" w:hAnsi="宋体" w:eastAsia="宋体" w:cs="宋体"/>
              </w:rPr>
            </w:pPr>
            <w:r>
              <w:rPr>
                <w:rFonts w:hint="eastAsia" w:ascii="宋体" w:hAnsi="宋体" w:eastAsia="宋体" w:cs="宋体"/>
                <w:color w:val="333333"/>
                <w:sz w:val="18"/>
              </w:rPr>
              <w:t>上汽集团</w:t>
            </w:r>
          </w:p>
        </w:tc>
        <w:tc>
          <w:tcPr>
            <w:tcW w:w="1417" w:type="dxa"/>
          </w:tcPr>
          <w:p w14:paraId="50A6EE7A">
            <w:pPr>
              <w:jc w:val="center"/>
              <w:rPr>
                <w:rFonts w:hint="eastAsia" w:ascii="宋体" w:hAnsi="宋体" w:eastAsia="宋体" w:cs="宋体"/>
              </w:rPr>
            </w:pPr>
            <w:r>
              <w:rPr>
                <w:rFonts w:hint="eastAsia" w:ascii="宋体" w:hAnsi="宋体" w:eastAsia="宋体" w:cs="宋体"/>
                <w:color w:val="333333"/>
                <w:sz w:val="18"/>
              </w:rPr>
              <w:t>343.1</w:t>
            </w:r>
          </w:p>
        </w:tc>
        <w:tc>
          <w:tcPr>
            <w:tcW w:w="1417" w:type="dxa"/>
          </w:tcPr>
          <w:p w14:paraId="5F5375FA">
            <w:pPr>
              <w:jc w:val="center"/>
              <w:rPr>
                <w:rFonts w:hint="eastAsia" w:ascii="宋体" w:hAnsi="宋体" w:eastAsia="宋体" w:cs="宋体"/>
              </w:rPr>
            </w:pPr>
            <w:r>
              <w:rPr>
                <w:rFonts w:hint="eastAsia" w:ascii="宋体" w:hAnsi="宋体" w:eastAsia="宋体" w:cs="宋体"/>
                <w:color w:val="333333"/>
                <w:sz w:val="18"/>
              </w:rPr>
              <w:t>-275.6</w:t>
            </w:r>
          </w:p>
        </w:tc>
        <w:tc>
          <w:tcPr>
            <w:tcW w:w="1417" w:type="dxa"/>
          </w:tcPr>
          <w:p w14:paraId="44EF7323">
            <w:pPr>
              <w:jc w:val="center"/>
              <w:rPr>
                <w:rFonts w:hint="eastAsia" w:ascii="宋体" w:hAnsi="宋体" w:eastAsia="宋体" w:cs="宋体"/>
              </w:rPr>
            </w:pPr>
            <w:r>
              <w:rPr>
                <w:rFonts w:hint="eastAsia" w:ascii="宋体" w:hAnsi="宋体" w:eastAsia="宋体" w:cs="宋体"/>
                <w:color w:val="333333"/>
                <w:sz w:val="18"/>
              </w:rPr>
              <w:t>-532.2</w:t>
            </w:r>
          </w:p>
        </w:tc>
        <w:tc>
          <w:tcPr>
            <w:tcW w:w="1701" w:type="dxa"/>
          </w:tcPr>
          <w:p w14:paraId="2B1FCCA3">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Pr>
          <w:p w14:paraId="3C92441B">
            <w:pPr>
              <w:jc w:val="center"/>
              <w:rPr>
                <w:rFonts w:hint="eastAsia" w:ascii="宋体" w:hAnsi="宋体" w:eastAsia="宋体" w:cs="宋体"/>
              </w:rPr>
            </w:pPr>
            <w:r>
              <w:rPr>
                <w:rFonts w:hint="eastAsia" w:ascii="宋体" w:hAnsi="宋体" w:eastAsia="宋体" w:cs="宋体"/>
                <w:color w:val="333333"/>
                <w:sz w:val="18"/>
              </w:rPr>
              <w:t>成熟期（收缩杠杆）</w:t>
            </w:r>
          </w:p>
        </w:tc>
      </w:tr>
      <w:tr w14:paraId="4FC2E829">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7A22921">
            <w:pPr>
              <w:jc w:val="left"/>
              <w:rPr>
                <w:rFonts w:hint="eastAsia" w:ascii="宋体" w:hAnsi="宋体" w:eastAsia="宋体" w:cs="宋体"/>
              </w:rPr>
            </w:pPr>
            <w:r>
              <w:rPr>
                <w:rFonts w:hint="eastAsia" w:ascii="宋体" w:hAnsi="宋体" w:eastAsia="宋体" w:cs="宋体"/>
                <w:color w:val="333333"/>
                <w:sz w:val="18"/>
              </w:rPr>
              <w:t>长安汽车</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087A306">
            <w:pPr>
              <w:jc w:val="center"/>
              <w:rPr>
                <w:rFonts w:hint="eastAsia" w:ascii="宋体" w:hAnsi="宋体" w:eastAsia="宋体" w:cs="宋体"/>
              </w:rPr>
            </w:pPr>
            <w:r>
              <w:rPr>
                <w:rFonts w:hint="eastAsia" w:ascii="宋体" w:hAnsi="宋体" w:eastAsia="宋体" w:cs="宋体"/>
                <w:color w:val="333333"/>
                <w:sz w:val="18"/>
              </w:rPr>
              <w:t>18.4</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45172D9">
            <w:pPr>
              <w:jc w:val="center"/>
              <w:rPr>
                <w:rFonts w:hint="eastAsia" w:ascii="宋体" w:hAnsi="宋体" w:eastAsia="宋体" w:cs="宋体"/>
              </w:rPr>
            </w:pPr>
            <w:r>
              <w:rPr>
                <w:rFonts w:hint="eastAsia" w:ascii="宋体" w:hAnsi="宋体" w:eastAsia="宋体" w:cs="宋体"/>
                <w:color w:val="333333"/>
                <w:sz w:val="18"/>
              </w:rPr>
              <w:t>-122.2</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29965BAB">
            <w:pPr>
              <w:jc w:val="center"/>
              <w:rPr>
                <w:rFonts w:hint="eastAsia" w:ascii="宋体" w:hAnsi="宋体" w:eastAsia="宋体" w:cs="宋体"/>
              </w:rPr>
            </w:pPr>
            <w:r>
              <w:rPr>
                <w:rFonts w:hint="eastAsia" w:ascii="宋体" w:hAnsi="宋体" w:eastAsia="宋体" w:cs="宋体"/>
                <w:color w:val="333333"/>
                <w:sz w:val="18"/>
              </w:rPr>
              <w:t>-1.9</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609227F4">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06AC52EE">
            <w:pPr>
              <w:jc w:val="center"/>
              <w:rPr>
                <w:rFonts w:hint="eastAsia" w:ascii="宋体" w:hAnsi="宋体" w:eastAsia="宋体" w:cs="宋体"/>
              </w:rPr>
            </w:pPr>
            <w:r>
              <w:rPr>
                <w:rFonts w:hint="eastAsia" w:ascii="宋体" w:hAnsi="宋体" w:eastAsia="宋体" w:cs="宋体"/>
                <w:color w:val="333333"/>
                <w:sz w:val="18"/>
              </w:rPr>
              <w:t>成熟期（造血偏弱）</w:t>
            </w:r>
          </w:p>
        </w:tc>
      </w:tr>
      <w:tr w14:paraId="157CAA9F">
        <w:tblPrEx>
          <w:tblCellMar>
            <w:top w:w="0" w:type="dxa"/>
            <w:left w:w="108" w:type="dxa"/>
            <w:bottom w:w="0" w:type="dxa"/>
            <w:right w:w="108" w:type="dxa"/>
          </w:tblCellMar>
        </w:tblPrEx>
        <w:trPr>
          <w:jc w:val="center"/>
        </w:trPr>
        <w:tc>
          <w:tcPr>
            <w:tcW w:w="1417" w:type="dxa"/>
          </w:tcPr>
          <w:p w14:paraId="3FF12020">
            <w:pPr>
              <w:jc w:val="left"/>
              <w:rPr>
                <w:rFonts w:hint="eastAsia" w:ascii="宋体" w:hAnsi="宋体" w:eastAsia="宋体" w:cs="宋体"/>
              </w:rPr>
            </w:pPr>
            <w:r>
              <w:rPr>
                <w:rFonts w:hint="eastAsia" w:ascii="宋体" w:hAnsi="宋体" w:eastAsia="宋体" w:cs="宋体"/>
                <w:color w:val="333333"/>
                <w:sz w:val="18"/>
              </w:rPr>
              <w:t>江淮汽车</w:t>
            </w:r>
          </w:p>
        </w:tc>
        <w:tc>
          <w:tcPr>
            <w:tcW w:w="1417" w:type="dxa"/>
          </w:tcPr>
          <w:p w14:paraId="5DB11AE1">
            <w:pPr>
              <w:jc w:val="center"/>
              <w:rPr>
                <w:rFonts w:hint="eastAsia" w:ascii="宋体" w:hAnsi="宋体" w:eastAsia="宋体" w:cs="宋体"/>
              </w:rPr>
            </w:pPr>
            <w:r>
              <w:rPr>
                <w:rFonts w:hint="eastAsia" w:ascii="宋体" w:hAnsi="宋体" w:eastAsia="宋体" w:cs="宋体"/>
                <w:color w:val="333333"/>
                <w:sz w:val="18"/>
              </w:rPr>
              <w:t>34.0</w:t>
            </w:r>
          </w:p>
        </w:tc>
        <w:tc>
          <w:tcPr>
            <w:tcW w:w="1417" w:type="dxa"/>
          </w:tcPr>
          <w:p w14:paraId="268327D8">
            <w:pPr>
              <w:jc w:val="center"/>
              <w:rPr>
                <w:rFonts w:hint="eastAsia" w:ascii="宋体" w:hAnsi="宋体" w:eastAsia="宋体" w:cs="宋体"/>
              </w:rPr>
            </w:pPr>
            <w:r>
              <w:rPr>
                <w:rFonts w:hint="eastAsia" w:ascii="宋体" w:hAnsi="宋体" w:eastAsia="宋体" w:cs="宋体"/>
                <w:color w:val="333333"/>
                <w:sz w:val="18"/>
              </w:rPr>
              <w:t>10.6</w:t>
            </w:r>
          </w:p>
        </w:tc>
        <w:tc>
          <w:tcPr>
            <w:tcW w:w="1417" w:type="dxa"/>
          </w:tcPr>
          <w:p w14:paraId="0FCD0B16">
            <w:pPr>
              <w:jc w:val="center"/>
              <w:rPr>
                <w:rFonts w:hint="eastAsia" w:ascii="宋体" w:hAnsi="宋体" w:eastAsia="宋体" w:cs="宋体"/>
              </w:rPr>
            </w:pPr>
            <w:r>
              <w:rPr>
                <w:rFonts w:hint="eastAsia" w:ascii="宋体" w:hAnsi="宋体" w:eastAsia="宋体" w:cs="宋体"/>
                <w:color w:val="333333"/>
                <w:sz w:val="18"/>
              </w:rPr>
              <w:t>-17.1</w:t>
            </w:r>
          </w:p>
        </w:tc>
        <w:tc>
          <w:tcPr>
            <w:tcW w:w="1701" w:type="dxa"/>
          </w:tcPr>
          <w:p w14:paraId="323C8F84">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Pr>
          <w:p w14:paraId="2555E637">
            <w:pPr>
              <w:jc w:val="center"/>
              <w:rPr>
                <w:rFonts w:hint="eastAsia" w:ascii="宋体" w:hAnsi="宋体" w:eastAsia="宋体" w:cs="宋体"/>
              </w:rPr>
            </w:pPr>
            <w:r>
              <w:rPr>
                <w:rFonts w:hint="eastAsia" w:ascii="宋体" w:hAnsi="宋体" w:eastAsia="宋体" w:cs="宋体"/>
                <w:color w:val="333333"/>
                <w:sz w:val="18"/>
              </w:rPr>
              <w:t>成熟期</w:t>
            </w:r>
          </w:p>
        </w:tc>
      </w:tr>
      <w:tr w14:paraId="330B5995">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1DC81586">
            <w:pPr>
              <w:jc w:val="left"/>
              <w:rPr>
                <w:rFonts w:hint="eastAsia" w:ascii="宋体" w:hAnsi="宋体" w:eastAsia="宋体" w:cs="宋体"/>
              </w:rPr>
            </w:pPr>
            <w:r>
              <w:rPr>
                <w:rFonts w:hint="eastAsia" w:ascii="宋体" w:hAnsi="宋体" w:eastAsia="宋体" w:cs="宋体"/>
                <w:color w:val="333333"/>
                <w:sz w:val="18"/>
              </w:rPr>
              <w:t>广汽集团</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23FB577F">
            <w:pPr>
              <w:jc w:val="center"/>
              <w:rPr>
                <w:rFonts w:hint="eastAsia" w:ascii="宋体" w:hAnsi="宋体" w:eastAsia="宋体" w:cs="宋体"/>
              </w:rPr>
            </w:pPr>
            <w:r>
              <w:rPr>
                <w:rFonts w:hint="eastAsia" w:ascii="宋体" w:hAnsi="宋体" w:eastAsia="宋体" w:cs="宋体"/>
                <w:color w:val="333333"/>
                <w:sz w:val="18"/>
              </w:rPr>
              <w:t>-150.3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B60017A">
            <w:pPr>
              <w:jc w:val="center"/>
              <w:rPr>
                <w:rFonts w:hint="eastAsia" w:ascii="宋体" w:hAnsi="宋体" w:eastAsia="宋体" w:cs="宋体"/>
              </w:rPr>
            </w:pPr>
            <w:r>
              <w:rPr>
                <w:rFonts w:hint="eastAsia" w:ascii="宋体" w:hAnsi="宋体" w:eastAsia="宋体" w:cs="宋体"/>
                <w:color w:val="333333"/>
                <w:sz w:val="18"/>
              </w:rPr>
              <w:t>-56.4</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16D55212">
            <w:pPr>
              <w:jc w:val="center"/>
              <w:rPr>
                <w:rFonts w:hint="eastAsia" w:ascii="宋体" w:hAnsi="宋体" w:eastAsia="宋体" w:cs="宋体"/>
              </w:rPr>
            </w:pPr>
            <w:r>
              <w:rPr>
                <w:rFonts w:hint="eastAsia" w:ascii="宋体" w:hAnsi="宋体" w:eastAsia="宋体" w:cs="宋体"/>
                <w:color w:val="333333"/>
                <w:sz w:val="18"/>
              </w:rPr>
              <w:t>55.1</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64E3B048">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FC851AB">
            <w:pPr>
              <w:jc w:val="center"/>
              <w:rPr>
                <w:rFonts w:hint="eastAsia" w:ascii="宋体" w:hAnsi="宋体" w:eastAsia="宋体" w:cs="宋体"/>
              </w:rPr>
            </w:pPr>
            <w:r>
              <w:rPr>
                <w:rFonts w:hint="eastAsia" w:ascii="宋体" w:hAnsi="宋体" w:eastAsia="宋体" w:cs="宋体"/>
                <w:color w:val="333333"/>
                <w:sz w:val="18"/>
              </w:rPr>
              <w:t>需关注</w:t>
            </w:r>
          </w:p>
        </w:tc>
      </w:tr>
      <w:tr w14:paraId="05D5E8CD">
        <w:tblPrEx>
          <w:tblCellMar>
            <w:top w:w="0" w:type="dxa"/>
            <w:left w:w="108" w:type="dxa"/>
            <w:bottom w:w="0" w:type="dxa"/>
            <w:right w:w="108" w:type="dxa"/>
          </w:tblCellMar>
        </w:tblPrEx>
        <w:trPr>
          <w:jc w:val="center"/>
        </w:trPr>
        <w:tc>
          <w:tcPr>
            <w:tcW w:w="1417" w:type="dxa"/>
          </w:tcPr>
          <w:p w14:paraId="42B3DFB0">
            <w:pPr>
              <w:jc w:val="left"/>
              <w:rPr>
                <w:rFonts w:hint="eastAsia" w:ascii="宋体" w:hAnsi="宋体" w:eastAsia="宋体" w:cs="宋体"/>
              </w:rPr>
            </w:pPr>
            <w:r>
              <w:rPr>
                <w:rFonts w:hint="eastAsia" w:ascii="宋体" w:hAnsi="宋体" w:eastAsia="宋体" w:cs="宋体"/>
                <w:color w:val="333333"/>
                <w:sz w:val="18"/>
              </w:rPr>
              <w:t>北汽蓝谷</w:t>
            </w:r>
          </w:p>
        </w:tc>
        <w:tc>
          <w:tcPr>
            <w:tcW w:w="1417" w:type="dxa"/>
          </w:tcPr>
          <w:p w14:paraId="33B3F30C">
            <w:pPr>
              <w:jc w:val="center"/>
              <w:rPr>
                <w:rFonts w:hint="eastAsia" w:ascii="宋体" w:hAnsi="宋体" w:eastAsia="宋体" w:cs="宋体"/>
              </w:rPr>
            </w:pPr>
            <w:r>
              <w:rPr>
                <w:rFonts w:hint="eastAsia" w:ascii="宋体" w:hAnsi="宋体" w:eastAsia="宋体" w:cs="宋体"/>
                <w:color w:val="333333"/>
                <w:sz w:val="18"/>
              </w:rPr>
              <w:t>19.3</w:t>
            </w:r>
          </w:p>
        </w:tc>
        <w:tc>
          <w:tcPr>
            <w:tcW w:w="1417" w:type="dxa"/>
          </w:tcPr>
          <w:p w14:paraId="75B13EE8">
            <w:pPr>
              <w:jc w:val="center"/>
              <w:rPr>
                <w:rFonts w:hint="eastAsia" w:ascii="宋体" w:hAnsi="宋体" w:eastAsia="宋体" w:cs="宋体"/>
              </w:rPr>
            </w:pPr>
            <w:r>
              <w:rPr>
                <w:rFonts w:hint="eastAsia" w:ascii="宋体" w:hAnsi="宋体" w:eastAsia="宋体" w:cs="宋体"/>
                <w:color w:val="333333"/>
                <w:sz w:val="18"/>
              </w:rPr>
              <w:t>-29.7</w:t>
            </w:r>
          </w:p>
        </w:tc>
        <w:tc>
          <w:tcPr>
            <w:tcW w:w="1417" w:type="dxa"/>
          </w:tcPr>
          <w:p w14:paraId="7732384F">
            <w:pPr>
              <w:jc w:val="center"/>
              <w:rPr>
                <w:rFonts w:hint="eastAsia" w:ascii="宋体" w:hAnsi="宋体" w:eastAsia="宋体" w:cs="宋体"/>
              </w:rPr>
            </w:pPr>
            <w:r>
              <w:rPr>
                <w:rFonts w:hint="eastAsia" w:ascii="宋体" w:hAnsi="宋体" w:eastAsia="宋体" w:cs="宋体"/>
                <w:color w:val="333333"/>
                <w:sz w:val="18"/>
              </w:rPr>
              <w:t>-26.1</w:t>
            </w:r>
          </w:p>
        </w:tc>
        <w:tc>
          <w:tcPr>
            <w:tcW w:w="1701" w:type="dxa"/>
          </w:tcPr>
          <w:p w14:paraId="25EBF7AE">
            <w:pPr>
              <w:jc w:val="center"/>
              <w:rPr>
                <w:rFonts w:hint="eastAsia" w:ascii="宋体" w:hAnsi="宋体" w:eastAsia="宋体" w:cs="宋体"/>
              </w:rPr>
            </w:pPr>
            <w:r>
              <w:rPr>
                <w:rFonts w:hint="eastAsia" w:ascii="宋体" w:hAnsi="宋体" w:eastAsia="宋体" w:cs="宋体"/>
                <w:color w:val="333333"/>
                <w:sz w:val="18"/>
              </w:rPr>
              <w:t>经营+/投资-/筹资-</w:t>
            </w:r>
          </w:p>
        </w:tc>
        <w:tc>
          <w:tcPr>
            <w:tcW w:w="1701" w:type="dxa"/>
          </w:tcPr>
          <w:p w14:paraId="2C58B99D">
            <w:pPr>
              <w:jc w:val="center"/>
              <w:rPr>
                <w:rFonts w:hint="eastAsia" w:ascii="宋体" w:hAnsi="宋体" w:eastAsia="宋体" w:cs="宋体"/>
              </w:rPr>
            </w:pPr>
            <w:r>
              <w:rPr>
                <w:rFonts w:hint="eastAsia" w:ascii="宋体" w:hAnsi="宋体" w:eastAsia="宋体" w:cs="宋体"/>
                <w:color w:val="333333"/>
                <w:sz w:val="18"/>
              </w:rPr>
              <w:t>需关注</w:t>
            </w:r>
          </w:p>
        </w:tc>
      </w:tr>
    </w:tbl>
    <w:p w14:paraId="0EB9F56F">
      <w:pPr>
        <w:spacing w:after="80"/>
        <w:rPr>
          <w:rFonts w:hint="eastAsia" w:ascii="宋体" w:hAnsi="宋体" w:eastAsia="宋体" w:cs="宋体"/>
        </w:rPr>
      </w:pPr>
    </w:p>
    <w:p w14:paraId="7619DD3E">
      <w:pPr>
        <w:spacing w:after="40" w:line="360" w:lineRule="auto"/>
        <w:ind w:firstLine="420"/>
        <w:rPr>
          <w:rFonts w:hint="eastAsia" w:ascii="宋体" w:hAnsi="宋体" w:eastAsia="宋体" w:cs="宋体"/>
        </w:rPr>
      </w:pPr>
      <w:r>
        <w:rPr>
          <w:rFonts w:hint="eastAsia" w:ascii="宋体" w:hAnsi="宋体" w:eastAsia="宋体" w:cs="宋体"/>
          <w:b w:val="0"/>
          <w:sz w:val="24"/>
        </w:rPr>
        <w:t>根据经营活动现金净流量三组合理论，"经营+/投资-/筹资+"为成长期特征：经营活动净流入为正但不足以覆盖投资扩张，需外部融资。赛力斯（经营289亿，筹资183亿）和比亚迪（经营591亿，筹资1046亿）属于此模式。"经营+/投资-/筹资-"为成熟期特征：经营活动产生的现金可覆盖投资和偿债。长城汽车是典型——404亿元经营净流入同时覆盖292亿元投资支出和134亿元偿债。</w:t>
      </w:r>
    </w:p>
    <w:p w14:paraId="3B8BAAAE">
      <w:pPr>
        <w:spacing w:after="40" w:line="360" w:lineRule="auto"/>
        <w:ind w:firstLine="420"/>
        <w:rPr>
          <w:rFonts w:hint="eastAsia" w:ascii="宋体" w:hAnsi="宋体" w:eastAsia="宋体" w:cs="宋体"/>
        </w:rPr>
      </w:pPr>
      <w:r>
        <w:rPr>
          <w:rFonts w:hint="eastAsia" w:ascii="宋体" w:hAnsi="宋体" w:eastAsia="宋体" w:cs="宋体"/>
          <w:b w:val="0"/>
          <w:sz w:val="24"/>
        </w:rPr>
        <w:t>长安汽车经营活动现金净流量仅18.4亿元，虽为正但规模偏小，投资支出122.2亿元需消耗现金储备。广汽集团经营活动现金净流量-150.3亿元，是唯一经营活动净流出为负的企业，经营业务本身在消耗现金，依赖筹资55.1亿元维持运营。</w:t>
      </w:r>
    </w:p>
    <w:p w14:paraId="60E98BBC">
      <w:pPr>
        <w:spacing w:after="40" w:line="360" w:lineRule="auto"/>
        <w:ind w:firstLine="420"/>
        <w:rPr>
          <w:rFonts w:hint="eastAsia" w:ascii="宋体" w:hAnsi="宋体" w:eastAsia="宋体" w:cs="宋体"/>
        </w:rPr>
      </w:pPr>
      <w:r>
        <w:rPr>
          <w:rFonts w:hint="eastAsia" w:ascii="宋体" w:hAnsi="宋体" w:eastAsia="宋体" w:cs="宋体"/>
          <w:b w:val="0"/>
          <w:sz w:val="24"/>
        </w:rPr>
        <w:t>经营活动现金净流量组合比利润指标更能揭示企业经营模式的本质差异：赛力斯的高净资产收益率伴随后续融资需求，长城汽车的高净资产收益率伴随自给自足的现金流——两者的增长质量有根本区别。</w:t>
      </w:r>
    </w:p>
    <w:p w14:paraId="7319D6B5">
      <w:pPr>
        <w:spacing w:before="360" w:after="240"/>
        <w:jc w:val="center"/>
        <w:outlineLvl w:val="0"/>
        <w:rPr>
          <w:rFonts w:hint="eastAsia" w:ascii="宋体" w:hAnsi="宋体" w:eastAsia="宋体" w:cs="宋体"/>
        </w:rPr>
      </w:pPr>
      <w:bookmarkStart w:id="45" w:name="_Toc23826"/>
      <w:bookmarkStart w:id="46" w:name="_Toc1855"/>
      <w:r>
        <w:rPr>
          <w:rFonts w:hint="eastAsia" w:ascii="宋体" w:hAnsi="宋体" w:eastAsia="宋体" w:cs="宋体"/>
          <w:b/>
          <w:color w:val="000000"/>
          <w:sz w:val="32"/>
        </w:rPr>
        <w:t>八、Z-score与沃尔评分</w:t>
      </w:r>
      <w:bookmarkEnd w:id="45"/>
      <w:bookmarkEnd w:id="46"/>
    </w:p>
    <w:p w14:paraId="454B4D72">
      <w:pPr>
        <w:spacing w:before="240" w:after="120"/>
        <w:ind w:left="0"/>
        <w:outlineLvl w:val="1"/>
        <w:rPr>
          <w:rFonts w:hint="eastAsia" w:ascii="宋体" w:hAnsi="宋体" w:eastAsia="宋体" w:cs="宋体"/>
        </w:rPr>
      </w:pPr>
      <w:bookmarkStart w:id="47" w:name="_Toc16486"/>
      <w:bookmarkStart w:id="48" w:name="_Toc29781"/>
      <w:r>
        <w:rPr>
          <w:rFonts w:hint="eastAsia" w:ascii="宋体" w:hAnsi="宋体" w:eastAsia="宋体" w:cs="宋体"/>
          <w:b/>
          <w:color w:val="000000"/>
          <w:sz w:val="28"/>
        </w:rPr>
        <w:t>（一）Altman Z-score</w:t>
      </w:r>
      <w:bookmarkEnd w:id="47"/>
      <w:bookmarkEnd w:id="48"/>
    </w:p>
    <w:p w14:paraId="5034B653">
      <w:pPr>
        <w:spacing w:after="40" w:line="360" w:lineRule="auto"/>
        <w:ind w:firstLine="420"/>
        <w:rPr>
          <w:rFonts w:hint="eastAsia" w:ascii="宋体" w:hAnsi="宋体" w:eastAsia="宋体" w:cs="宋体"/>
        </w:rPr>
      </w:pPr>
      <w:r>
        <w:rPr>
          <w:rFonts w:hint="eastAsia" w:ascii="宋体" w:hAnsi="宋体" w:eastAsia="宋体" w:cs="宋体"/>
          <w:b w:val="0"/>
          <w:sz w:val="24"/>
        </w:rPr>
        <w:t>采用Altman(1968)制造业Z-score公式：Z=1.2X₁+1.4X₂+3.3X₃+0.6X₄+1.0X₅。传统判定阈值：Z&lt;1.81为危险区，1.81≤Z≤2.99为灰色区，Z&gt;2.99为安全区。需注意该模型基于美国制造业数据构建，对新能源汽车企业的适用性有限。</w:t>
      </w:r>
    </w:p>
    <w:tbl>
      <w:tblPr>
        <w:tblStyle w:val="34"/>
        <w:tblW w:w="0" w:type="auto"/>
        <w:jc w:val="center"/>
        <w:tblLayout w:type="autofit"/>
        <w:tblCellMar>
          <w:top w:w="0" w:type="dxa"/>
          <w:left w:w="108" w:type="dxa"/>
          <w:bottom w:w="0" w:type="dxa"/>
          <w:right w:w="108" w:type="dxa"/>
        </w:tblCellMar>
      </w:tblPr>
      <w:tblGrid>
        <w:gridCol w:w="1417"/>
        <w:gridCol w:w="1134"/>
        <w:gridCol w:w="1417"/>
        <w:gridCol w:w="1134"/>
      </w:tblGrid>
      <w:tr w14:paraId="092FE5C3">
        <w:tblPrEx>
          <w:tblCellMar>
            <w:top w:w="0" w:type="dxa"/>
            <w:left w:w="108" w:type="dxa"/>
            <w:bottom w:w="0" w:type="dxa"/>
            <w:right w:w="108" w:type="dxa"/>
          </w:tblCellMar>
        </w:tblPrEx>
        <w:trPr>
          <w:jc w:val="center"/>
        </w:trPr>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536F481">
            <w:pPr>
              <w:jc w:val="center"/>
              <w:rPr>
                <w:rFonts w:hint="eastAsia" w:ascii="宋体" w:hAnsi="宋体" w:eastAsia="宋体" w:cs="宋体"/>
              </w:rPr>
            </w:pPr>
            <w:r>
              <w:rPr>
                <w:rFonts w:hint="eastAsia" w:ascii="宋体" w:hAnsi="宋体" w:eastAsia="宋体" w:cs="宋体"/>
                <w:b/>
                <w:color w:val="1A4789"/>
                <w:sz w:val="18"/>
              </w:rPr>
              <w:t>公司</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30A2CF5B">
            <w:pPr>
              <w:jc w:val="center"/>
              <w:rPr>
                <w:rFonts w:hint="eastAsia" w:ascii="宋体" w:hAnsi="宋体" w:eastAsia="宋体" w:cs="宋体"/>
              </w:rPr>
            </w:pPr>
            <w:r>
              <w:rPr>
                <w:rFonts w:hint="eastAsia" w:ascii="宋体" w:hAnsi="宋体" w:eastAsia="宋体" w:cs="宋体"/>
                <w:b/>
                <w:color w:val="1A4789"/>
                <w:sz w:val="18"/>
              </w:rPr>
              <w:t>Z-score</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2F7C9B74">
            <w:pPr>
              <w:jc w:val="center"/>
              <w:rPr>
                <w:rFonts w:hint="eastAsia" w:ascii="宋体" w:hAnsi="宋体" w:eastAsia="宋体" w:cs="宋体"/>
              </w:rPr>
            </w:pPr>
            <w:r>
              <w:rPr>
                <w:rFonts w:hint="eastAsia" w:ascii="宋体" w:hAnsi="宋体" w:eastAsia="宋体" w:cs="宋体"/>
                <w:b/>
                <w:color w:val="1A4789"/>
                <w:sz w:val="18"/>
              </w:rPr>
              <w:t>传统判定</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6083BDB6">
            <w:pPr>
              <w:jc w:val="center"/>
              <w:rPr>
                <w:rFonts w:hint="eastAsia" w:ascii="宋体" w:hAnsi="宋体" w:eastAsia="宋体" w:cs="宋体"/>
              </w:rPr>
            </w:pPr>
            <w:r>
              <w:rPr>
                <w:rFonts w:hint="eastAsia" w:ascii="宋体" w:hAnsi="宋体" w:eastAsia="宋体" w:cs="宋体"/>
                <w:b/>
                <w:color w:val="1A4789"/>
                <w:sz w:val="18"/>
              </w:rPr>
              <w:t>排名</w:t>
            </w:r>
          </w:p>
        </w:tc>
      </w:tr>
      <w:tr w14:paraId="1ACAA420">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897C81E">
            <w:pPr>
              <w:jc w:val="left"/>
              <w:rPr>
                <w:rFonts w:hint="eastAsia" w:ascii="宋体" w:hAnsi="宋体" w:eastAsia="宋体" w:cs="宋体"/>
              </w:rPr>
            </w:pPr>
            <w:r>
              <w:rPr>
                <w:rFonts w:hint="eastAsia" w:ascii="宋体" w:hAnsi="宋体" w:eastAsia="宋体" w:cs="宋体"/>
                <w:color w:val="333333"/>
                <w:sz w:val="18"/>
              </w:rPr>
              <w:t>长城汽车</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B080C27">
            <w:pPr>
              <w:jc w:val="center"/>
              <w:rPr>
                <w:rFonts w:hint="eastAsia" w:ascii="宋体" w:hAnsi="宋体" w:eastAsia="宋体" w:cs="宋体"/>
              </w:rPr>
            </w:pPr>
            <w:r>
              <w:rPr>
                <w:rFonts w:hint="eastAsia" w:ascii="宋体" w:hAnsi="宋体" w:eastAsia="宋体" w:cs="宋体"/>
                <w:color w:val="333333"/>
                <w:sz w:val="18"/>
              </w:rPr>
              <w:t>2.08</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5071C40">
            <w:pPr>
              <w:jc w:val="center"/>
              <w:rPr>
                <w:rFonts w:hint="eastAsia" w:ascii="宋体" w:hAnsi="宋体" w:eastAsia="宋体" w:cs="宋体"/>
              </w:rPr>
            </w:pPr>
            <w:r>
              <w:rPr>
                <w:rFonts w:hint="eastAsia" w:ascii="宋体" w:hAnsi="宋体" w:eastAsia="宋体" w:cs="宋体"/>
                <w:color w:val="333333"/>
                <w:sz w:val="18"/>
              </w:rPr>
              <w:t>灰色区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6DB7BBB1">
            <w:pPr>
              <w:jc w:val="center"/>
              <w:rPr>
                <w:rFonts w:hint="eastAsia" w:ascii="宋体" w:hAnsi="宋体" w:eastAsia="宋体" w:cs="宋体"/>
              </w:rPr>
            </w:pPr>
            <w:r>
              <w:rPr>
                <w:rFonts w:hint="eastAsia" w:ascii="宋体" w:hAnsi="宋体" w:eastAsia="宋体" w:cs="宋体"/>
                <w:color w:val="333333"/>
                <w:sz w:val="18"/>
              </w:rPr>
              <w:t>1</w:t>
            </w:r>
          </w:p>
        </w:tc>
      </w:tr>
      <w:tr w14:paraId="4AD6074B">
        <w:tblPrEx>
          <w:tblCellMar>
            <w:top w:w="0" w:type="dxa"/>
            <w:left w:w="108" w:type="dxa"/>
            <w:bottom w:w="0" w:type="dxa"/>
            <w:right w:w="108" w:type="dxa"/>
          </w:tblCellMar>
        </w:tblPrEx>
        <w:trPr>
          <w:jc w:val="center"/>
        </w:trPr>
        <w:tc>
          <w:tcPr>
            <w:tcW w:w="1417" w:type="dxa"/>
          </w:tcPr>
          <w:p w14:paraId="5AC1F04C">
            <w:pPr>
              <w:jc w:val="left"/>
              <w:rPr>
                <w:rFonts w:hint="eastAsia" w:ascii="宋体" w:hAnsi="宋体" w:eastAsia="宋体" w:cs="宋体"/>
              </w:rPr>
            </w:pPr>
            <w:r>
              <w:rPr>
                <w:rFonts w:hint="eastAsia" w:ascii="宋体" w:hAnsi="宋体" w:eastAsia="宋体" w:cs="宋体"/>
                <w:color w:val="333333"/>
                <w:sz w:val="18"/>
              </w:rPr>
              <w:t>长安汽车</w:t>
            </w:r>
          </w:p>
        </w:tc>
        <w:tc>
          <w:tcPr>
            <w:tcW w:w="1134" w:type="dxa"/>
          </w:tcPr>
          <w:p w14:paraId="28D48366">
            <w:pPr>
              <w:jc w:val="center"/>
              <w:rPr>
                <w:rFonts w:hint="eastAsia" w:ascii="宋体" w:hAnsi="宋体" w:eastAsia="宋体" w:cs="宋体"/>
              </w:rPr>
            </w:pPr>
            <w:r>
              <w:rPr>
                <w:rFonts w:hint="eastAsia" w:ascii="宋体" w:hAnsi="宋体" w:eastAsia="宋体" w:cs="宋体"/>
                <w:color w:val="333333"/>
                <w:sz w:val="18"/>
              </w:rPr>
              <w:t>1.82</w:t>
            </w:r>
          </w:p>
        </w:tc>
        <w:tc>
          <w:tcPr>
            <w:tcW w:w="1417" w:type="dxa"/>
          </w:tcPr>
          <w:p w14:paraId="7CDED7EF">
            <w:pPr>
              <w:jc w:val="center"/>
              <w:rPr>
                <w:rFonts w:hint="eastAsia" w:ascii="宋体" w:hAnsi="宋体" w:eastAsia="宋体" w:cs="宋体"/>
              </w:rPr>
            </w:pPr>
            <w:r>
              <w:rPr>
                <w:rFonts w:hint="eastAsia" w:ascii="宋体" w:hAnsi="宋体" w:eastAsia="宋体" w:cs="宋体"/>
                <w:color w:val="333333"/>
                <w:sz w:val="18"/>
              </w:rPr>
              <w:t>灰色区</w:t>
            </w:r>
          </w:p>
        </w:tc>
        <w:tc>
          <w:tcPr>
            <w:tcW w:w="1134" w:type="dxa"/>
          </w:tcPr>
          <w:p w14:paraId="53C2FDA6">
            <w:pPr>
              <w:jc w:val="center"/>
              <w:rPr>
                <w:rFonts w:hint="eastAsia" w:ascii="宋体" w:hAnsi="宋体" w:eastAsia="宋体" w:cs="宋体"/>
              </w:rPr>
            </w:pPr>
            <w:r>
              <w:rPr>
                <w:rFonts w:hint="eastAsia" w:ascii="宋体" w:hAnsi="宋体" w:eastAsia="宋体" w:cs="宋体"/>
                <w:color w:val="333333"/>
                <w:sz w:val="18"/>
              </w:rPr>
              <w:t>2</w:t>
            </w:r>
          </w:p>
        </w:tc>
      </w:tr>
      <w:tr w14:paraId="618C50C9">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6AEC80A">
            <w:pPr>
              <w:jc w:val="left"/>
              <w:rPr>
                <w:rFonts w:hint="eastAsia" w:ascii="宋体" w:hAnsi="宋体" w:eastAsia="宋体" w:cs="宋体"/>
              </w:rPr>
            </w:pPr>
            <w:r>
              <w:rPr>
                <w:rFonts w:hint="eastAsia" w:ascii="宋体" w:hAnsi="宋体" w:eastAsia="宋体" w:cs="宋体"/>
                <w:color w:val="333333"/>
                <w:sz w:val="18"/>
              </w:rPr>
              <w:t>赛力斯</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4806DD8C">
            <w:pPr>
              <w:jc w:val="center"/>
              <w:rPr>
                <w:rFonts w:hint="eastAsia" w:ascii="宋体" w:hAnsi="宋体" w:eastAsia="宋体" w:cs="宋体"/>
              </w:rPr>
            </w:pPr>
            <w:r>
              <w:rPr>
                <w:rFonts w:hint="eastAsia" w:ascii="宋体" w:hAnsi="宋体" w:eastAsia="宋体" w:cs="宋体"/>
                <w:color w:val="333333"/>
                <w:sz w:val="18"/>
              </w:rPr>
              <w:t>1.63</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F173596">
            <w:pPr>
              <w:jc w:val="center"/>
              <w:rPr>
                <w:rFonts w:hint="eastAsia" w:ascii="宋体" w:hAnsi="宋体" w:eastAsia="宋体" w:cs="宋体"/>
              </w:rPr>
            </w:pPr>
            <w:r>
              <w:rPr>
                <w:rFonts w:hint="eastAsia" w:ascii="宋体" w:hAnsi="宋体" w:eastAsia="宋体" w:cs="宋体"/>
                <w:color w:val="333333"/>
                <w:sz w:val="18"/>
              </w:rPr>
              <w:t>危险区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439FB1DE">
            <w:pPr>
              <w:jc w:val="center"/>
              <w:rPr>
                <w:rFonts w:hint="eastAsia" w:ascii="宋体" w:hAnsi="宋体" w:eastAsia="宋体" w:cs="宋体"/>
              </w:rPr>
            </w:pPr>
            <w:r>
              <w:rPr>
                <w:rFonts w:hint="eastAsia" w:ascii="宋体" w:hAnsi="宋体" w:eastAsia="宋体" w:cs="宋体"/>
                <w:color w:val="333333"/>
                <w:sz w:val="18"/>
              </w:rPr>
              <w:t>3</w:t>
            </w:r>
          </w:p>
        </w:tc>
      </w:tr>
      <w:tr w14:paraId="5AA20ED7">
        <w:tblPrEx>
          <w:tblCellMar>
            <w:top w:w="0" w:type="dxa"/>
            <w:left w:w="108" w:type="dxa"/>
            <w:bottom w:w="0" w:type="dxa"/>
            <w:right w:w="108" w:type="dxa"/>
          </w:tblCellMar>
        </w:tblPrEx>
        <w:trPr>
          <w:jc w:val="center"/>
        </w:trPr>
        <w:tc>
          <w:tcPr>
            <w:tcW w:w="1417" w:type="dxa"/>
          </w:tcPr>
          <w:p w14:paraId="20986839">
            <w:pPr>
              <w:jc w:val="left"/>
              <w:rPr>
                <w:rFonts w:hint="eastAsia" w:ascii="宋体" w:hAnsi="宋体" w:eastAsia="宋体" w:cs="宋体"/>
              </w:rPr>
            </w:pPr>
            <w:r>
              <w:rPr>
                <w:rFonts w:hint="eastAsia" w:ascii="宋体" w:hAnsi="宋体" w:eastAsia="宋体" w:cs="宋体"/>
                <w:color w:val="333333"/>
                <w:sz w:val="18"/>
              </w:rPr>
              <w:t>上汽集团</w:t>
            </w:r>
          </w:p>
        </w:tc>
        <w:tc>
          <w:tcPr>
            <w:tcW w:w="1134" w:type="dxa"/>
          </w:tcPr>
          <w:p w14:paraId="51FB59DF">
            <w:pPr>
              <w:jc w:val="center"/>
              <w:rPr>
                <w:rFonts w:hint="eastAsia" w:ascii="宋体" w:hAnsi="宋体" w:eastAsia="宋体" w:cs="宋体"/>
              </w:rPr>
            </w:pPr>
            <w:r>
              <w:rPr>
                <w:rFonts w:hint="eastAsia" w:ascii="宋体" w:hAnsi="宋体" w:eastAsia="宋体" w:cs="宋体"/>
                <w:color w:val="333333"/>
                <w:sz w:val="18"/>
              </w:rPr>
              <w:t>1.57</w:t>
            </w:r>
          </w:p>
        </w:tc>
        <w:tc>
          <w:tcPr>
            <w:tcW w:w="1417" w:type="dxa"/>
          </w:tcPr>
          <w:p w14:paraId="1DEC12E0">
            <w:pPr>
              <w:jc w:val="center"/>
              <w:rPr>
                <w:rFonts w:hint="eastAsia" w:ascii="宋体" w:hAnsi="宋体" w:eastAsia="宋体" w:cs="宋体"/>
              </w:rPr>
            </w:pPr>
            <w:r>
              <w:rPr>
                <w:rFonts w:hint="eastAsia" w:ascii="宋体" w:hAnsi="宋体" w:eastAsia="宋体" w:cs="宋体"/>
                <w:color w:val="333333"/>
                <w:sz w:val="18"/>
              </w:rPr>
              <w:t>危险区</w:t>
            </w:r>
          </w:p>
        </w:tc>
        <w:tc>
          <w:tcPr>
            <w:tcW w:w="1134" w:type="dxa"/>
          </w:tcPr>
          <w:p w14:paraId="00F7689E">
            <w:pPr>
              <w:jc w:val="center"/>
              <w:rPr>
                <w:rFonts w:hint="eastAsia" w:ascii="宋体" w:hAnsi="宋体" w:eastAsia="宋体" w:cs="宋体"/>
              </w:rPr>
            </w:pPr>
            <w:r>
              <w:rPr>
                <w:rFonts w:hint="eastAsia" w:ascii="宋体" w:hAnsi="宋体" w:eastAsia="宋体" w:cs="宋体"/>
                <w:color w:val="333333"/>
                <w:sz w:val="18"/>
              </w:rPr>
              <w:t>4</w:t>
            </w:r>
          </w:p>
        </w:tc>
      </w:tr>
      <w:tr w14:paraId="21508161">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F615046">
            <w:pPr>
              <w:jc w:val="left"/>
              <w:rPr>
                <w:rFonts w:hint="eastAsia" w:ascii="宋体" w:hAnsi="宋体" w:eastAsia="宋体" w:cs="宋体"/>
              </w:rPr>
            </w:pPr>
            <w:r>
              <w:rPr>
                <w:rFonts w:hint="eastAsia" w:ascii="宋体" w:hAnsi="宋体" w:eastAsia="宋体" w:cs="宋体"/>
                <w:color w:val="333333"/>
                <w:sz w:val="18"/>
              </w:rPr>
              <w:t>比亚迪</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94F7A16">
            <w:pPr>
              <w:jc w:val="center"/>
              <w:rPr>
                <w:rFonts w:hint="eastAsia" w:ascii="宋体" w:hAnsi="宋体" w:eastAsia="宋体" w:cs="宋体"/>
              </w:rPr>
            </w:pPr>
            <w:r>
              <w:rPr>
                <w:rFonts w:hint="eastAsia" w:ascii="宋体" w:hAnsi="宋体" w:eastAsia="宋体" w:cs="宋体"/>
                <w:color w:val="333333"/>
                <w:sz w:val="18"/>
              </w:rPr>
              <w:t>1.38</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44E4A22">
            <w:pPr>
              <w:jc w:val="center"/>
              <w:rPr>
                <w:rFonts w:hint="eastAsia" w:ascii="宋体" w:hAnsi="宋体" w:eastAsia="宋体" w:cs="宋体"/>
              </w:rPr>
            </w:pPr>
            <w:r>
              <w:rPr>
                <w:rFonts w:hint="eastAsia" w:ascii="宋体" w:hAnsi="宋体" w:eastAsia="宋体" w:cs="宋体"/>
                <w:color w:val="333333"/>
                <w:sz w:val="18"/>
              </w:rPr>
              <w:t>危险区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FFF1460">
            <w:pPr>
              <w:jc w:val="center"/>
              <w:rPr>
                <w:rFonts w:hint="eastAsia" w:ascii="宋体" w:hAnsi="宋体" w:eastAsia="宋体" w:cs="宋体"/>
              </w:rPr>
            </w:pPr>
            <w:r>
              <w:rPr>
                <w:rFonts w:hint="eastAsia" w:ascii="宋体" w:hAnsi="宋体" w:eastAsia="宋体" w:cs="宋体"/>
                <w:color w:val="333333"/>
                <w:sz w:val="18"/>
              </w:rPr>
              <w:t>5</w:t>
            </w:r>
          </w:p>
        </w:tc>
      </w:tr>
      <w:tr w14:paraId="07B9717C">
        <w:tblPrEx>
          <w:tblCellMar>
            <w:top w:w="0" w:type="dxa"/>
            <w:left w:w="108" w:type="dxa"/>
            <w:bottom w:w="0" w:type="dxa"/>
            <w:right w:w="108" w:type="dxa"/>
          </w:tblCellMar>
        </w:tblPrEx>
        <w:trPr>
          <w:jc w:val="center"/>
        </w:trPr>
        <w:tc>
          <w:tcPr>
            <w:tcW w:w="1417" w:type="dxa"/>
          </w:tcPr>
          <w:p w14:paraId="7B60A8BD">
            <w:pPr>
              <w:jc w:val="left"/>
              <w:rPr>
                <w:rFonts w:hint="eastAsia" w:ascii="宋体" w:hAnsi="宋体" w:eastAsia="宋体" w:cs="宋体"/>
              </w:rPr>
            </w:pPr>
            <w:r>
              <w:rPr>
                <w:rFonts w:hint="eastAsia" w:ascii="宋体" w:hAnsi="宋体" w:eastAsia="宋体" w:cs="宋体"/>
                <w:color w:val="333333"/>
                <w:sz w:val="18"/>
              </w:rPr>
              <w:t>广汽集团</w:t>
            </w:r>
          </w:p>
        </w:tc>
        <w:tc>
          <w:tcPr>
            <w:tcW w:w="1134" w:type="dxa"/>
          </w:tcPr>
          <w:p w14:paraId="0300827C">
            <w:pPr>
              <w:jc w:val="center"/>
              <w:rPr>
                <w:rFonts w:hint="eastAsia" w:ascii="宋体" w:hAnsi="宋体" w:eastAsia="宋体" w:cs="宋体"/>
              </w:rPr>
            </w:pPr>
            <w:r>
              <w:rPr>
                <w:rFonts w:hint="eastAsia" w:ascii="宋体" w:hAnsi="宋体" w:eastAsia="宋体" w:cs="宋体"/>
                <w:color w:val="333333"/>
                <w:sz w:val="18"/>
              </w:rPr>
              <w:t>1.32</w:t>
            </w:r>
          </w:p>
        </w:tc>
        <w:tc>
          <w:tcPr>
            <w:tcW w:w="1417" w:type="dxa"/>
          </w:tcPr>
          <w:p w14:paraId="61B6D8E0">
            <w:pPr>
              <w:jc w:val="center"/>
              <w:rPr>
                <w:rFonts w:hint="eastAsia" w:ascii="宋体" w:hAnsi="宋体" w:eastAsia="宋体" w:cs="宋体"/>
              </w:rPr>
            </w:pPr>
            <w:r>
              <w:rPr>
                <w:rFonts w:hint="eastAsia" w:ascii="宋体" w:hAnsi="宋体" w:eastAsia="宋体" w:cs="宋体"/>
                <w:color w:val="333333"/>
                <w:sz w:val="18"/>
              </w:rPr>
              <w:t>危险区</w:t>
            </w:r>
          </w:p>
        </w:tc>
        <w:tc>
          <w:tcPr>
            <w:tcW w:w="1134" w:type="dxa"/>
          </w:tcPr>
          <w:p w14:paraId="24577907">
            <w:pPr>
              <w:jc w:val="center"/>
              <w:rPr>
                <w:rFonts w:hint="eastAsia" w:ascii="宋体" w:hAnsi="宋体" w:eastAsia="宋体" w:cs="宋体"/>
              </w:rPr>
            </w:pPr>
            <w:r>
              <w:rPr>
                <w:rFonts w:hint="eastAsia" w:ascii="宋体" w:hAnsi="宋体" w:eastAsia="宋体" w:cs="宋体"/>
                <w:color w:val="333333"/>
                <w:sz w:val="18"/>
              </w:rPr>
              <w:t>6</w:t>
            </w:r>
          </w:p>
        </w:tc>
      </w:tr>
      <w:tr w14:paraId="06DF5DF2">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78EE577">
            <w:pPr>
              <w:jc w:val="left"/>
              <w:rPr>
                <w:rFonts w:hint="eastAsia" w:ascii="宋体" w:hAnsi="宋体" w:eastAsia="宋体" w:cs="宋体"/>
              </w:rPr>
            </w:pPr>
            <w:r>
              <w:rPr>
                <w:rFonts w:hint="eastAsia" w:ascii="宋体" w:hAnsi="宋体" w:eastAsia="宋体" w:cs="宋体"/>
                <w:color w:val="333333"/>
                <w:sz w:val="18"/>
              </w:rPr>
              <w:t>江淮汽车</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20F12B61">
            <w:pPr>
              <w:jc w:val="center"/>
              <w:rPr>
                <w:rFonts w:hint="eastAsia" w:ascii="宋体" w:hAnsi="宋体" w:eastAsia="宋体" w:cs="宋体"/>
              </w:rPr>
            </w:pPr>
            <w:r>
              <w:rPr>
                <w:rFonts w:hint="eastAsia" w:ascii="宋体" w:hAnsi="宋体" w:eastAsia="宋体" w:cs="宋体"/>
                <w:color w:val="333333"/>
                <w:sz w:val="18"/>
              </w:rPr>
              <w:t>0.84</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1D1C497">
            <w:pPr>
              <w:jc w:val="center"/>
              <w:rPr>
                <w:rFonts w:hint="eastAsia" w:ascii="宋体" w:hAnsi="宋体" w:eastAsia="宋体" w:cs="宋体"/>
              </w:rPr>
            </w:pPr>
            <w:r>
              <w:rPr>
                <w:rFonts w:hint="eastAsia" w:ascii="宋体" w:hAnsi="宋体" w:eastAsia="宋体" w:cs="宋体"/>
                <w:color w:val="333333"/>
                <w:sz w:val="18"/>
              </w:rPr>
              <w:t>危险区</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75386F3E">
            <w:pPr>
              <w:jc w:val="center"/>
              <w:rPr>
                <w:rFonts w:hint="eastAsia" w:ascii="宋体" w:hAnsi="宋体" w:eastAsia="宋体" w:cs="宋体"/>
              </w:rPr>
            </w:pPr>
            <w:r>
              <w:rPr>
                <w:rFonts w:hint="eastAsia" w:ascii="宋体" w:hAnsi="宋体" w:eastAsia="宋体" w:cs="宋体"/>
                <w:color w:val="333333"/>
                <w:sz w:val="18"/>
              </w:rPr>
              <w:t>7</w:t>
            </w:r>
          </w:p>
        </w:tc>
      </w:tr>
      <w:tr w14:paraId="5D39DF4A">
        <w:tblPrEx>
          <w:tblCellMar>
            <w:top w:w="0" w:type="dxa"/>
            <w:left w:w="108" w:type="dxa"/>
            <w:bottom w:w="0" w:type="dxa"/>
            <w:right w:w="108" w:type="dxa"/>
          </w:tblCellMar>
        </w:tblPrEx>
        <w:trPr>
          <w:jc w:val="center"/>
        </w:trPr>
        <w:tc>
          <w:tcPr>
            <w:tcW w:w="1417" w:type="dxa"/>
          </w:tcPr>
          <w:p w14:paraId="665B82F8">
            <w:pPr>
              <w:jc w:val="left"/>
              <w:rPr>
                <w:rFonts w:hint="eastAsia" w:ascii="宋体" w:hAnsi="宋体" w:eastAsia="宋体" w:cs="宋体"/>
              </w:rPr>
            </w:pPr>
            <w:r>
              <w:rPr>
                <w:rFonts w:hint="eastAsia" w:ascii="宋体" w:hAnsi="宋体" w:eastAsia="宋体" w:cs="宋体"/>
                <w:color w:val="333333"/>
                <w:sz w:val="18"/>
              </w:rPr>
              <w:t>北汽蓝谷</w:t>
            </w:r>
          </w:p>
        </w:tc>
        <w:tc>
          <w:tcPr>
            <w:tcW w:w="1134" w:type="dxa"/>
          </w:tcPr>
          <w:p w14:paraId="37FF65A4">
            <w:pPr>
              <w:jc w:val="center"/>
              <w:rPr>
                <w:rFonts w:hint="eastAsia" w:ascii="宋体" w:hAnsi="宋体" w:eastAsia="宋体" w:cs="宋体"/>
              </w:rPr>
            </w:pPr>
            <w:r>
              <w:rPr>
                <w:rFonts w:hint="eastAsia" w:ascii="宋体" w:hAnsi="宋体" w:eastAsia="宋体" w:cs="宋体"/>
                <w:color w:val="333333"/>
                <w:sz w:val="18"/>
              </w:rPr>
              <w:t>-1.44</w:t>
            </w:r>
          </w:p>
        </w:tc>
        <w:tc>
          <w:tcPr>
            <w:tcW w:w="1417" w:type="dxa"/>
          </w:tcPr>
          <w:p w14:paraId="36B7E92D">
            <w:pPr>
              <w:jc w:val="center"/>
              <w:rPr>
                <w:rFonts w:hint="eastAsia" w:ascii="宋体" w:hAnsi="宋体" w:eastAsia="宋体" w:cs="宋体"/>
              </w:rPr>
            </w:pPr>
            <w:r>
              <w:rPr>
                <w:rFonts w:hint="eastAsia" w:ascii="宋体" w:hAnsi="宋体" w:eastAsia="宋体" w:cs="宋体"/>
                <w:color w:val="333333"/>
                <w:sz w:val="18"/>
              </w:rPr>
              <w:t>危险区</w:t>
            </w:r>
          </w:p>
        </w:tc>
        <w:tc>
          <w:tcPr>
            <w:tcW w:w="1134" w:type="dxa"/>
          </w:tcPr>
          <w:p w14:paraId="20BC9466">
            <w:pPr>
              <w:jc w:val="center"/>
              <w:rPr>
                <w:rFonts w:hint="eastAsia" w:ascii="宋体" w:hAnsi="宋体" w:eastAsia="宋体" w:cs="宋体"/>
              </w:rPr>
            </w:pPr>
            <w:r>
              <w:rPr>
                <w:rFonts w:hint="eastAsia" w:ascii="宋体" w:hAnsi="宋体" w:eastAsia="宋体" w:cs="宋体"/>
                <w:color w:val="333333"/>
                <w:sz w:val="18"/>
              </w:rPr>
              <w:t>8</w:t>
            </w:r>
          </w:p>
        </w:tc>
      </w:tr>
    </w:tbl>
    <w:p w14:paraId="4086D0D1">
      <w:pPr>
        <w:spacing w:after="80"/>
        <w:rPr>
          <w:rFonts w:hint="eastAsia" w:ascii="宋体" w:hAnsi="宋体" w:eastAsia="宋体" w:cs="宋体"/>
        </w:rPr>
      </w:pPr>
    </w:p>
    <w:p w14:paraId="6FA3F952">
      <w:pPr>
        <w:spacing w:after="40" w:line="360" w:lineRule="auto"/>
        <w:ind w:firstLine="420"/>
        <w:rPr>
          <w:rFonts w:hint="eastAsia" w:ascii="宋体" w:hAnsi="宋体" w:eastAsia="宋体" w:cs="宋体"/>
        </w:rPr>
      </w:pPr>
      <w:r>
        <w:rPr>
          <w:rFonts w:hint="eastAsia" w:ascii="宋体" w:hAnsi="宋体" w:eastAsia="宋体" w:cs="宋体"/>
          <w:b w:val="0"/>
          <w:sz w:val="24"/>
        </w:rPr>
        <w:t>仅看Z-score数值，8家企业无一进入安全区。但结合前文的经营活动现金净流量和盈利能力分析可以发现，长城汽车和长安汽车的"危险区"判定更多是行业特征所致（高研发、轻资产），而非实际破产风险。</w:t>
      </w:r>
    </w:p>
    <w:p w14:paraId="458418AB">
      <w:pPr>
        <w:spacing w:before="240" w:after="120"/>
        <w:ind w:left="0"/>
        <w:outlineLvl w:val="1"/>
        <w:rPr>
          <w:rFonts w:hint="eastAsia" w:ascii="宋体" w:hAnsi="宋体" w:eastAsia="宋体" w:cs="宋体"/>
        </w:rPr>
      </w:pPr>
      <w:bookmarkStart w:id="49" w:name="_Toc6707"/>
      <w:bookmarkStart w:id="50" w:name="_Toc10800"/>
      <w:r>
        <w:rPr>
          <w:rFonts w:hint="eastAsia" w:ascii="宋体" w:hAnsi="宋体" w:eastAsia="宋体" w:cs="宋体"/>
          <w:b/>
          <w:color w:val="000000"/>
          <w:sz w:val="28"/>
        </w:rPr>
        <w:t>（二）沃尔评分</w:t>
      </w:r>
      <w:bookmarkEnd w:id="49"/>
      <w:bookmarkEnd w:id="50"/>
    </w:p>
    <w:p w14:paraId="7047F9CE">
      <w:pPr>
        <w:spacing w:after="40" w:line="360" w:lineRule="auto"/>
        <w:ind w:firstLine="420"/>
        <w:rPr>
          <w:rFonts w:hint="eastAsia" w:ascii="宋体" w:hAnsi="宋体" w:eastAsia="宋体" w:cs="宋体"/>
        </w:rPr>
      </w:pPr>
      <w:r>
        <w:rPr>
          <w:rFonts w:hint="eastAsia" w:ascii="宋体" w:hAnsi="宋体" w:eastAsia="宋体" w:cs="宋体"/>
          <w:b w:val="0"/>
          <w:sz w:val="24"/>
        </w:rPr>
        <w:t>选取5个指标合计100分：毛利率15分、有息负债率25分、流动比率25分、总资产周转率15分、营业收入增长率20分。营业收入增长率采用分档评分减少天花板效应。</w:t>
      </w:r>
    </w:p>
    <w:tbl>
      <w:tblPr>
        <w:tblStyle w:val="34"/>
        <w:tblW w:w="0" w:type="auto"/>
        <w:jc w:val="center"/>
        <w:tblLayout w:type="autofit"/>
        <w:tblCellMar>
          <w:top w:w="0" w:type="dxa"/>
          <w:left w:w="108" w:type="dxa"/>
          <w:bottom w:w="0" w:type="dxa"/>
          <w:right w:w="108" w:type="dxa"/>
        </w:tblCellMar>
      </w:tblPr>
      <w:tblGrid>
        <w:gridCol w:w="850"/>
        <w:gridCol w:w="1247"/>
        <w:gridCol w:w="850"/>
        <w:gridCol w:w="1020"/>
        <w:gridCol w:w="1134"/>
        <w:gridCol w:w="850"/>
        <w:gridCol w:w="850"/>
        <w:gridCol w:w="1020"/>
      </w:tblGrid>
      <w:tr w14:paraId="099E4B93">
        <w:tblPrEx>
          <w:tblCellMar>
            <w:top w:w="0" w:type="dxa"/>
            <w:left w:w="108" w:type="dxa"/>
            <w:bottom w:w="0" w:type="dxa"/>
            <w:right w:w="108" w:type="dxa"/>
          </w:tblCellMar>
        </w:tblPrEx>
        <w:trPr>
          <w:jc w:val="center"/>
        </w:trPr>
        <w:tc>
          <w:tcPr>
            <w:tcW w:w="850" w:type="dxa"/>
            <w:tcBorders>
              <w:top w:val="single" w:color="2E75B6" w:sz="8" w:space="0"/>
              <w:left w:val="single" w:color="CCCCCC" w:sz="4" w:space="0"/>
              <w:bottom w:val="single" w:color="CCCCCC" w:sz="4" w:space="0"/>
              <w:right w:val="single" w:color="CCCCCC" w:sz="4" w:space="0"/>
            </w:tcBorders>
            <w:shd w:val="clear" w:color="auto" w:fill="D5E8F0"/>
          </w:tcPr>
          <w:p w14:paraId="177B7B76">
            <w:pPr>
              <w:jc w:val="center"/>
              <w:rPr>
                <w:rFonts w:hint="eastAsia" w:ascii="宋体" w:hAnsi="宋体" w:eastAsia="宋体" w:cs="宋体"/>
              </w:rPr>
            </w:pPr>
            <w:r>
              <w:rPr>
                <w:rFonts w:hint="eastAsia" w:ascii="宋体" w:hAnsi="宋体" w:eastAsia="宋体" w:cs="宋体"/>
                <w:b/>
                <w:color w:val="1A4789"/>
                <w:sz w:val="18"/>
              </w:rPr>
              <w:t>排名</w:t>
            </w:r>
          </w:p>
        </w:tc>
        <w:tc>
          <w:tcPr>
            <w:tcW w:w="1247" w:type="dxa"/>
            <w:tcBorders>
              <w:top w:val="single" w:color="2E75B6" w:sz="8" w:space="0"/>
              <w:left w:val="single" w:color="CCCCCC" w:sz="4" w:space="0"/>
              <w:bottom w:val="single" w:color="CCCCCC" w:sz="4" w:space="0"/>
              <w:right w:val="single" w:color="CCCCCC" w:sz="4" w:space="0"/>
            </w:tcBorders>
            <w:shd w:val="clear" w:color="auto" w:fill="D5E8F0"/>
          </w:tcPr>
          <w:p w14:paraId="7FCED6A2">
            <w:pPr>
              <w:jc w:val="center"/>
              <w:rPr>
                <w:rFonts w:hint="eastAsia" w:ascii="宋体" w:hAnsi="宋体" w:eastAsia="宋体" w:cs="宋体"/>
              </w:rPr>
            </w:pPr>
            <w:r>
              <w:rPr>
                <w:rFonts w:hint="eastAsia" w:ascii="宋体" w:hAnsi="宋体" w:eastAsia="宋体" w:cs="宋体"/>
                <w:b/>
                <w:color w:val="1A4789"/>
                <w:sz w:val="18"/>
              </w:rPr>
              <w:t>企业</w:t>
            </w:r>
          </w:p>
        </w:tc>
        <w:tc>
          <w:tcPr>
            <w:tcW w:w="850" w:type="dxa"/>
            <w:tcBorders>
              <w:top w:val="single" w:color="2E75B6" w:sz="8" w:space="0"/>
              <w:left w:val="single" w:color="CCCCCC" w:sz="4" w:space="0"/>
              <w:bottom w:val="single" w:color="CCCCCC" w:sz="4" w:space="0"/>
              <w:right w:val="single" w:color="CCCCCC" w:sz="4" w:space="0"/>
            </w:tcBorders>
            <w:shd w:val="clear" w:color="auto" w:fill="D5E8F0"/>
          </w:tcPr>
          <w:p w14:paraId="2CE2D503">
            <w:pPr>
              <w:jc w:val="center"/>
              <w:rPr>
                <w:rFonts w:hint="eastAsia" w:ascii="宋体" w:hAnsi="宋体" w:eastAsia="宋体" w:cs="宋体"/>
              </w:rPr>
            </w:pPr>
            <w:r>
              <w:rPr>
                <w:rFonts w:hint="eastAsia" w:ascii="宋体" w:hAnsi="宋体" w:eastAsia="宋体" w:cs="宋体"/>
                <w:b/>
                <w:color w:val="1A4789"/>
                <w:sz w:val="18"/>
              </w:rPr>
              <w:t>总分</w:t>
            </w:r>
          </w:p>
        </w:tc>
        <w:tc>
          <w:tcPr>
            <w:tcW w:w="1020" w:type="dxa"/>
            <w:tcBorders>
              <w:top w:val="single" w:color="2E75B6" w:sz="8" w:space="0"/>
              <w:left w:val="single" w:color="CCCCCC" w:sz="4" w:space="0"/>
              <w:bottom w:val="single" w:color="CCCCCC" w:sz="4" w:space="0"/>
              <w:right w:val="single" w:color="CCCCCC" w:sz="4" w:space="0"/>
            </w:tcBorders>
            <w:shd w:val="clear" w:color="auto" w:fill="D5E8F0"/>
          </w:tcPr>
          <w:p w14:paraId="3F4D6045">
            <w:pPr>
              <w:jc w:val="center"/>
              <w:rPr>
                <w:rFonts w:hint="eastAsia" w:ascii="宋体" w:hAnsi="宋体" w:eastAsia="宋体" w:cs="宋体"/>
              </w:rPr>
            </w:pPr>
            <w:r>
              <w:rPr>
                <w:rFonts w:hint="eastAsia" w:ascii="宋体" w:hAnsi="宋体" w:eastAsia="宋体" w:cs="宋体"/>
                <w:b/>
                <w:color w:val="1A4789"/>
                <w:sz w:val="18"/>
              </w:rPr>
              <w:t>毛利率(15)</w:t>
            </w:r>
          </w:p>
        </w:tc>
        <w:tc>
          <w:tcPr>
            <w:tcW w:w="1134" w:type="dxa"/>
            <w:tcBorders>
              <w:top w:val="single" w:color="2E75B6" w:sz="8" w:space="0"/>
              <w:left w:val="single" w:color="CCCCCC" w:sz="4" w:space="0"/>
              <w:bottom w:val="single" w:color="CCCCCC" w:sz="4" w:space="0"/>
              <w:right w:val="single" w:color="CCCCCC" w:sz="4" w:space="0"/>
            </w:tcBorders>
            <w:shd w:val="clear" w:color="auto" w:fill="D5E8F0"/>
          </w:tcPr>
          <w:p w14:paraId="1C056BC8">
            <w:pPr>
              <w:jc w:val="center"/>
              <w:rPr>
                <w:rFonts w:hint="eastAsia" w:ascii="宋体" w:hAnsi="宋体" w:eastAsia="宋体" w:cs="宋体"/>
              </w:rPr>
            </w:pPr>
            <w:r>
              <w:rPr>
                <w:rFonts w:hint="eastAsia" w:ascii="宋体" w:hAnsi="宋体" w:eastAsia="宋体" w:cs="宋体"/>
                <w:b/>
                <w:color w:val="1A4789"/>
                <w:sz w:val="18"/>
              </w:rPr>
              <w:t>有息负债率(25)</w:t>
            </w:r>
          </w:p>
        </w:tc>
        <w:tc>
          <w:tcPr>
            <w:tcW w:w="850" w:type="dxa"/>
            <w:tcBorders>
              <w:top w:val="single" w:color="2E75B6" w:sz="8" w:space="0"/>
              <w:left w:val="single" w:color="CCCCCC" w:sz="4" w:space="0"/>
              <w:bottom w:val="single" w:color="CCCCCC" w:sz="4" w:space="0"/>
              <w:right w:val="single" w:color="CCCCCC" w:sz="4" w:space="0"/>
            </w:tcBorders>
            <w:shd w:val="clear" w:color="auto" w:fill="D5E8F0"/>
          </w:tcPr>
          <w:p w14:paraId="07BBCFD9">
            <w:pPr>
              <w:jc w:val="center"/>
              <w:rPr>
                <w:rFonts w:hint="eastAsia" w:ascii="宋体" w:hAnsi="宋体" w:eastAsia="宋体" w:cs="宋体"/>
              </w:rPr>
            </w:pPr>
            <w:r>
              <w:rPr>
                <w:rFonts w:hint="eastAsia" w:ascii="宋体" w:hAnsi="宋体" w:eastAsia="宋体" w:cs="宋体"/>
                <w:b/>
                <w:color w:val="1A4789"/>
                <w:sz w:val="18"/>
              </w:rPr>
              <w:t>流动比率(25)</w:t>
            </w:r>
          </w:p>
        </w:tc>
        <w:tc>
          <w:tcPr>
            <w:tcW w:w="850" w:type="dxa"/>
            <w:tcBorders>
              <w:top w:val="single" w:color="2E75B6" w:sz="8" w:space="0"/>
              <w:left w:val="single" w:color="CCCCCC" w:sz="4" w:space="0"/>
              <w:bottom w:val="single" w:color="CCCCCC" w:sz="4" w:space="0"/>
              <w:right w:val="single" w:color="CCCCCC" w:sz="4" w:space="0"/>
            </w:tcBorders>
            <w:shd w:val="clear" w:color="auto" w:fill="D5E8F0"/>
          </w:tcPr>
          <w:p w14:paraId="4CBECF59">
            <w:pPr>
              <w:jc w:val="center"/>
              <w:rPr>
                <w:rFonts w:hint="eastAsia" w:ascii="宋体" w:hAnsi="宋体" w:eastAsia="宋体" w:cs="宋体"/>
              </w:rPr>
            </w:pPr>
            <w:r>
              <w:rPr>
                <w:rFonts w:hint="eastAsia" w:ascii="宋体" w:hAnsi="宋体" w:eastAsia="宋体" w:cs="宋体"/>
                <w:b/>
                <w:color w:val="1A4789"/>
                <w:sz w:val="18"/>
              </w:rPr>
              <w:t>周转率(15)</w:t>
            </w:r>
          </w:p>
        </w:tc>
        <w:tc>
          <w:tcPr>
            <w:tcW w:w="1020" w:type="dxa"/>
            <w:tcBorders>
              <w:top w:val="single" w:color="2E75B6" w:sz="8" w:space="0"/>
              <w:left w:val="single" w:color="CCCCCC" w:sz="4" w:space="0"/>
              <w:bottom w:val="single" w:color="CCCCCC" w:sz="4" w:space="0"/>
              <w:right w:val="single" w:color="CCCCCC" w:sz="4" w:space="0"/>
            </w:tcBorders>
            <w:shd w:val="clear" w:color="auto" w:fill="D5E8F0"/>
          </w:tcPr>
          <w:p w14:paraId="31438FF2">
            <w:pPr>
              <w:jc w:val="center"/>
              <w:rPr>
                <w:rFonts w:hint="eastAsia" w:ascii="宋体" w:hAnsi="宋体" w:eastAsia="宋体" w:cs="宋体"/>
              </w:rPr>
            </w:pPr>
            <w:r>
              <w:rPr>
                <w:rFonts w:hint="eastAsia" w:ascii="宋体" w:hAnsi="宋体" w:eastAsia="宋体" w:cs="宋体"/>
                <w:b/>
                <w:color w:val="1A4789"/>
                <w:sz w:val="18"/>
              </w:rPr>
              <w:t>营收增长(20)</w:t>
            </w:r>
          </w:p>
        </w:tc>
      </w:tr>
      <w:tr w14:paraId="02561019">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3023F8F9">
            <w:pPr>
              <w:jc w:val="left"/>
              <w:rPr>
                <w:rFonts w:hint="eastAsia" w:ascii="宋体" w:hAnsi="宋体" w:eastAsia="宋体" w:cs="宋体"/>
              </w:rPr>
            </w:pPr>
            <w:r>
              <w:rPr>
                <w:rFonts w:hint="eastAsia" w:ascii="宋体" w:hAnsi="宋体" w:eastAsia="宋体" w:cs="宋体"/>
                <w:color w:val="333333"/>
                <w:sz w:val="18"/>
              </w:rPr>
              <w:t>1</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4987BD2E">
            <w:pPr>
              <w:jc w:val="center"/>
              <w:rPr>
                <w:rFonts w:hint="eastAsia" w:ascii="宋体" w:hAnsi="宋体" w:eastAsia="宋体" w:cs="宋体"/>
              </w:rPr>
            </w:pPr>
            <w:r>
              <w:rPr>
                <w:rFonts w:hint="eastAsia" w:ascii="宋体" w:hAnsi="宋体" w:eastAsia="宋体" w:cs="宋体"/>
                <w:color w:val="333333"/>
                <w:sz w:val="18"/>
              </w:rPr>
              <w:t>赛力斯</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13E2DAC8">
            <w:pPr>
              <w:jc w:val="center"/>
              <w:rPr>
                <w:rFonts w:hint="eastAsia" w:ascii="宋体" w:hAnsi="宋体" w:eastAsia="宋体" w:cs="宋体"/>
              </w:rPr>
            </w:pPr>
            <w:r>
              <w:rPr>
                <w:rFonts w:hint="eastAsia" w:ascii="宋体" w:hAnsi="宋体" w:eastAsia="宋体" w:cs="宋体"/>
                <w:color w:val="333333"/>
                <w:sz w:val="18"/>
              </w:rPr>
              <w:t>90.4</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57EA9F12">
            <w:pPr>
              <w:jc w:val="center"/>
              <w:rPr>
                <w:rFonts w:hint="eastAsia" w:ascii="宋体" w:hAnsi="宋体" w:eastAsia="宋体" w:cs="宋体"/>
              </w:rPr>
            </w:pPr>
            <w:r>
              <w:rPr>
                <w:rFonts w:hint="eastAsia" w:ascii="宋体" w:hAnsi="宋体" w:eastAsia="宋体" w:cs="宋体"/>
                <w:color w:val="333333"/>
                <w:sz w:val="18"/>
              </w:rPr>
              <w:t>4.4</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041385FA">
            <w:pPr>
              <w:jc w:val="center"/>
              <w:rPr>
                <w:rFonts w:hint="eastAsia" w:ascii="宋体" w:hAnsi="宋体" w:eastAsia="宋体" w:cs="宋体"/>
              </w:rPr>
            </w:pPr>
            <w:r>
              <w:rPr>
                <w:rFonts w:hint="eastAsia" w:ascii="宋体" w:hAnsi="宋体" w:eastAsia="宋体" w:cs="宋体"/>
                <w:color w:val="333333"/>
                <w:sz w:val="18"/>
              </w:rPr>
              <w:t>2.2</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2E5D48AA">
            <w:pPr>
              <w:jc w:val="center"/>
              <w:rPr>
                <w:rFonts w:hint="eastAsia" w:ascii="宋体" w:hAnsi="宋体" w:eastAsia="宋体" w:cs="宋体"/>
              </w:rPr>
            </w:pPr>
            <w:r>
              <w:rPr>
                <w:rFonts w:hint="eastAsia" w:ascii="宋体" w:hAnsi="宋体" w:eastAsia="宋体" w:cs="宋体"/>
                <w:color w:val="333333"/>
                <w:sz w:val="18"/>
              </w:rPr>
              <w:t>17.6</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2E38FBAE">
            <w:pPr>
              <w:jc w:val="center"/>
              <w:rPr>
                <w:rFonts w:hint="eastAsia" w:ascii="宋体" w:hAnsi="宋体" w:eastAsia="宋体" w:cs="宋体"/>
              </w:rPr>
            </w:pPr>
            <w:r>
              <w:rPr>
                <w:rFonts w:hint="eastAsia" w:ascii="宋体" w:hAnsi="宋体" w:eastAsia="宋体" w:cs="宋体"/>
                <w:color w:val="333333"/>
                <w:sz w:val="18"/>
              </w:rPr>
              <w:t>26.3</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746B5DCA">
            <w:pPr>
              <w:jc w:val="center"/>
              <w:rPr>
                <w:rFonts w:hint="eastAsia" w:ascii="宋体" w:hAnsi="宋体" w:eastAsia="宋体" w:cs="宋体"/>
              </w:rPr>
            </w:pPr>
            <w:r>
              <w:rPr>
                <w:rFonts w:hint="eastAsia" w:ascii="宋体" w:hAnsi="宋体" w:eastAsia="宋体" w:cs="宋体"/>
                <w:color w:val="333333"/>
                <w:sz w:val="18"/>
              </w:rPr>
              <w:t>40.0</w:t>
            </w:r>
          </w:p>
        </w:tc>
      </w:tr>
      <w:tr w14:paraId="0A6284A6">
        <w:tblPrEx>
          <w:tblCellMar>
            <w:top w:w="0" w:type="dxa"/>
            <w:left w:w="108" w:type="dxa"/>
            <w:bottom w:w="0" w:type="dxa"/>
            <w:right w:w="108" w:type="dxa"/>
          </w:tblCellMar>
        </w:tblPrEx>
        <w:trPr>
          <w:jc w:val="center"/>
        </w:trPr>
        <w:tc>
          <w:tcPr>
            <w:tcW w:w="850" w:type="dxa"/>
          </w:tcPr>
          <w:p w14:paraId="14108481">
            <w:pPr>
              <w:jc w:val="left"/>
              <w:rPr>
                <w:rFonts w:hint="eastAsia" w:ascii="宋体" w:hAnsi="宋体" w:eastAsia="宋体" w:cs="宋体"/>
              </w:rPr>
            </w:pPr>
            <w:r>
              <w:rPr>
                <w:rFonts w:hint="eastAsia" w:ascii="宋体" w:hAnsi="宋体" w:eastAsia="宋体" w:cs="宋体"/>
                <w:color w:val="333333"/>
                <w:sz w:val="18"/>
              </w:rPr>
              <w:t>2</w:t>
            </w:r>
          </w:p>
        </w:tc>
        <w:tc>
          <w:tcPr>
            <w:tcW w:w="1247" w:type="dxa"/>
          </w:tcPr>
          <w:p w14:paraId="70EF5992">
            <w:pPr>
              <w:jc w:val="center"/>
              <w:rPr>
                <w:rFonts w:hint="eastAsia" w:ascii="宋体" w:hAnsi="宋体" w:eastAsia="宋体" w:cs="宋体"/>
              </w:rPr>
            </w:pPr>
            <w:r>
              <w:rPr>
                <w:rFonts w:hint="eastAsia" w:ascii="宋体" w:hAnsi="宋体" w:eastAsia="宋体" w:cs="宋体"/>
                <w:color w:val="333333"/>
                <w:sz w:val="18"/>
              </w:rPr>
              <w:t>长城汽车</w:t>
            </w:r>
          </w:p>
        </w:tc>
        <w:tc>
          <w:tcPr>
            <w:tcW w:w="850" w:type="dxa"/>
          </w:tcPr>
          <w:p w14:paraId="5BBEDF39">
            <w:pPr>
              <w:jc w:val="center"/>
              <w:rPr>
                <w:rFonts w:hint="eastAsia" w:ascii="宋体" w:hAnsi="宋体" w:eastAsia="宋体" w:cs="宋体"/>
              </w:rPr>
            </w:pPr>
            <w:r>
              <w:rPr>
                <w:rFonts w:hint="eastAsia" w:ascii="宋体" w:hAnsi="宋体" w:eastAsia="宋体" w:cs="宋体"/>
                <w:color w:val="333333"/>
                <w:sz w:val="18"/>
              </w:rPr>
              <w:t>84.9</w:t>
            </w:r>
          </w:p>
        </w:tc>
        <w:tc>
          <w:tcPr>
            <w:tcW w:w="1020" w:type="dxa"/>
          </w:tcPr>
          <w:p w14:paraId="36E1A7AA">
            <w:pPr>
              <w:jc w:val="center"/>
              <w:rPr>
                <w:rFonts w:hint="eastAsia" w:ascii="宋体" w:hAnsi="宋体" w:eastAsia="宋体" w:cs="宋体"/>
              </w:rPr>
            </w:pPr>
            <w:r>
              <w:rPr>
                <w:rFonts w:hint="eastAsia" w:ascii="宋体" w:hAnsi="宋体" w:eastAsia="宋体" w:cs="宋体"/>
                <w:color w:val="333333"/>
                <w:sz w:val="18"/>
              </w:rPr>
              <w:t>3.2</w:t>
            </w:r>
          </w:p>
        </w:tc>
        <w:tc>
          <w:tcPr>
            <w:tcW w:w="1134" w:type="dxa"/>
          </w:tcPr>
          <w:p w14:paraId="42886886">
            <w:pPr>
              <w:jc w:val="center"/>
              <w:rPr>
                <w:rFonts w:hint="eastAsia" w:ascii="宋体" w:hAnsi="宋体" w:eastAsia="宋体" w:cs="宋体"/>
              </w:rPr>
            </w:pPr>
            <w:r>
              <w:rPr>
                <w:rFonts w:hint="eastAsia" w:ascii="宋体" w:hAnsi="宋体" w:eastAsia="宋体" w:cs="宋体"/>
                <w:color w:val="333333"/>
                <w:sz w:val="18"/>
              </w:rPr>
              <w:t>4.0</w:t>
            </w:r>
          </w:p>
        </w:tc>
        <w:tc>
          <w:tcPr>
            <w:tcW w:w="850" w:type="dxa"/>
          </w:tcPr>
          <w:p w14:paraId="64D08E44">
            <w:pPr>
              <w:jc w:val="center"/>
              <w:rPr>
                <w:rFonts w:hint="eastAsia" w:ascii="宋体" w:hAnsi="宋体" w:eastAsia="宋体" w:cs="宋体"/>
              </w:rPr>
            </w:pPr>
            <w:r>
              <w:rPr>
                <w:rFonts w:hint="eastAsia" w:ascii="宋体" w:hAnsi="宋体" w:eastAsia="宋体" w:cs="宋体"/>
                <w:color w:val="333333"/>
                <w:sz w:val="18"/>
              </w:rPr>
              <w:t>18.2</w:t>
            </w:r>
          </w:p>
        </w:tc>
        <w:tc>
          <w:tcPr>
            <w:tcW w:w="850" w:type="dxa"/>
          </w:tcPr>
          <w:p w14:paraId="5F9C7535">
            <w:pPr>
              <w:jc w:val="center"/>
              <w:rPr>
                <w:rFonts w:hint="eastAsia" w:ascii="宋体" w:hAnsi="宋体" w:eastAsia="宋体" w:cs="宋体"/>
              </w:rPr>
            </w:pPr>
            <w:r>
              <w:rPr>
                <w:rFonts w:hint="eastAsia" w:ascii="宋体" w:hAnsi="宋体" w:eastAsia="宋体" w:cs="宋体"/>
                <w:color w:val="333333"/>
                <w:sz w:val="18"/>
              </w:rPr>
              <w:t>19.4</w:t>
            </w:r>
          </w:p>
        </w:tc>
        <w:tc>
          <w:tcPr>
            <w:tcW w:w="1020" w:type="dxa"/>
          </w:tcPr>
          <w:p w14:paraId="6E2B4892">
            <w:pPr>
              <w:jc w:val="center"/>
              <w:rPr>
                <w:rFonts w:hint="eastAsia" w:ascii="宋体" w:hAnsi="宋体" w:eastAsia="宋体" w:cs="宋体"/>
              </w:rPr>
            </w:pPr>
            <w:r>
              <w:rPr>
                <w:rFonts w:hint="eastAsia" w:ascii="宋体" w:hAnsi="宋体" w:eastAsia="宋体" w:cs="宋体"/>
                <w:color w:val="333333"/>
                <w:sz w:val="18"/>
              </w:rPr>
              <w:t>40.0</w:t>
            </w:r>
          </w:p>
        </w:tc>
      </w:tr>
      <w:tr w14:paraId="319F0CE9">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06B6ECCA">
            <w:pPr>
              <w:jc w:val="left"/>
              <w:rPr>
                <w:rFonts w:hint="eastAsia" w:ascii="宋体" w:hAnsi="宋体" w:eastAsia="宋体" w:cs="宋体"/>
              </w:rPr>
            </w:pPr>
            <w:r>
              <w:rPr>
                <w:rFonts w:hint="eastAsia" w:ascii="宋体" w:hAnsi="宋体" w:eastAsia="宋体" w:cs="宋体"/>
                <w:color w:val="333333"/>
                <w:sz w:val="18"/>
              </w:rPr>
              <w:t>3</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387AC182">
            <w:pPr>
              <w:jc w:val="center"/>
              <w:rPr>
                <w:rFonts w:hint="eastAsia" w:ascii="宋体" w:hAnsi="宋体" w:eastAsia="宋体" w:cs="宋体"/>
              </w:rPr>
            </w:pPr>
            <w:r>
              <w:rPr>
                <w:rFonts w:hint="eastAsia" w:ascii="宋体" w:hAnsi="宋体" w:eastAsia="宋体" w:cs="宋体"/>
                <w:color w:val="333333"/>
                <w:sz w:val="18"/>
              </w:rPr>
              <w:t>比亚迪</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2A70245F">
            <w:pPr>
              <w:jc w:val="center"/>
              <w:rPr>
                <w:rFonts w:hint="eastAsia" w:ascii="宋体" w:hAnsi="宋体" w:eastAsia="宋体" w:cs="宋体"/>
              </w:rPr>
            </w:pPr>
            <w:r>
              <w:rPr>
                <w:rFonts w:hint="eastAsia" w:ascii="宋体" w:hAnsi="宋体" w:eastAsia="宋体" w:cs="宋体"/>
                <w:color w:val="333333"/>
                <w:sz w:val="18"/>
              </w:rPr>
              <w:t>82.5</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4C76C9B7">
            <w:pPr>
              <w:jc w:val="center"/>
              <w:rPr>
                <w:rFonts w:hint="eastAsia" w:ascii="宋体" w:hAnsi="宋体" w:eastAsia="宋体" w:cs="宋体"/>
              </w:rPr>
            </w:pPr>
            <w:r>
              <w:rPr>
                <w:rFonts w:hint="eastAsia" w:ascii="宋体" w:hAnsi="宋体" w:eastAsia="宋体" w:cs="宋体"/>
                <w:color w:val="333333"/>
                <w:sz w:val="18"/>
              </w:rPr>
              <w:t>3.2</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ED5F6A4">
            <w:pPr>
              <w:jc w:val="center"/>
              <w:rPr>
                <w:rFonts w:hint="eastAsia" w:ascii="宋体" w:hAnsi="宋体" w:eastAsia="宋体" w:cs="宋体"/>
              </w:rPr>
            </w:pPr>
            <w:r>
              <w:rPr>
                <w:rFonts w:hint="eastAsia" w:ascii="宋体" w:hAnsi="宋体" w:eastAsia="宋体" w:cs="宋体"/>
                <w:color w:val="333333"/>
                <w:sz w:val="18"/>
              </w:rPr>
              <w:t>7.8</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1AC4AADB">
            <w:pPr>
              <w:jc w:val="center"/>
              <w:rPr>
                <w:rFonts w:hint="eastAsia" w:ascii="宋体" w:hAnsi="宋体" w:eastAsia="宋体" w:cs="宋体"/>
              </w:rPr>
            </w:pPr>
            <w:r>
              <w:rPr>
                <w:rFonts w:hint="eastAsia" w:ascii="宋体" w:hAnsi="宋体" w:eastAsia="宋体" w:cs="宋体"/>
                <w:color w:val="333333"/>
                <w:sz w:val="18"/>
              </w:rPr>
              <w:t>13.2</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38028FC6">
            <w:pPr>
              <w:jc w:val="center"/>
              <w:rPr>
                <w:rFonts w:hint="eastAsia" w:ascii="宋体" w:hAnsi="宋体" w:eastAsia="宋体" w:cs="宋体"/>
              </w:rPr>
            </w:pPr>
            <w:r>
              <w:rPr>
                <w:rFonts w:hint="eastAsia" w:ascii="宋体" w:hAnsi="宋体" w:eastAsia="宋体" w:cs="宋体"/>
                <w:color w:val="333333"/>
                <w:sz w:val="18"/>
              </w:rPr>
              <w:t>18.3</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2E204820">
            <w:pPr>
              <w:jc w:val="center"/>
              <w:rPr>
                <w:rFonts w:hint="eastAsia" w:ascii="宋体" w:hAnsi="宋体" w:eastAsia="宋体" w:cs="宋体"/>
              </w:rPr>
            </w:pPr>
            <w:r>
              <w:rPr>
                <w:rFonts w:hint="eastAsia" w:ascii="宋体" w:hAnsi="宋体" w:eastAsia="宋体" w:cs="宋体"/>
                <w:color w:val="333333"/>
                <w:sz w:val="18"/>
              </w:rPr>
              <w:t>40.0</w:t>
            </w:r>
          </w:p>
        </w:tc>
      </w:tr>
      <w:tr w14:paraId="266B6A0E">
        <w:tblPrEx>
          <w:tblCellMar>
            <w:top w:w="0" w:type="dxa"/>
            <w:left w:w="108" w:type="dxa"/>
            <w:bottom w:w="0" w:type="dxa"/>
            <w:right w:w="108" w:type="dxa"/>
          </w:tblCellMar>
        </w:tblPrEx>
        <w:trPr>
          <w:jc w:val="center"/>
        </w:trPr>
        <w:tc>
          <w:tcPr>
            <w:tcW w:w="850" w:type="dxa"/>
          </w:tcPr>
          <w:p w14:paraId="505168F5">
            <w:pPr>
              <w:jc w:val="left"/>
              <w:rPr>
                <w:rFonts w:hint="eastAsia" w:ascii="宋体" w:hAnsi="宋体" w:eastAsia="宋体" w:cs="宋体"/>
              </w:rPr>
            </w:pPr>
            <w:r>
              <w:rPr>
                <w:rFonts w:hint="eastAsia" w:ascii="宋体" w:hAnsi="宋体" w:eastAsia="宋体" w:cs="宋体"/>
                <w:color w:val="333333"/>
                <w:sz w:val="18"/>
              </w:rPr>
              <w:t>4</w:t>
            </w:r>
          </w:p>
        </w:tc>
        <w:tc>
          <w:tcPr>
            <w:tcW w:w="1247" w:type="dxa"/>
          </w:tcPr>
          <w:p w14:paraId="7BA2562C">
            <w:pPr>
              <w:jc w:val="center"/>
              <w:rPr>
                <w:rFonts w:hint="eastAsia" w:ascii="宋体" w:hAnsi="宋体" w:eastAsia="宋体" w:cs="宋体"/>
              </w:rPr>
            </w:pPr>
            <w:r>
              <w:rPr>
                <w:rFonts w:hint="eastAsia" w:ascii="宋体" w:hAnsi="宋体" w:eastAsia="宋体" w:cs="宋体"/>
                <w:color w:val="333333"/>
                <w:sz w:val="18"/>
              </w:rPr>
              <w:t>北汽蓝谷</w:t>
            </w:r>
          </w:p>
        </w:tc>
        <w:tc>
          <w:tcPr>
            <w:tcW w:w="850" w:type="dxa"/>
          </w:tcPr>
          <w:p w14:paraId="1C13514A">
            <w:pPr>
              <w:jc w:val="center"/>
              <w:rPr>
                <w:rFonts w:hint="eastAsia" w:ascii="宋体" w:hAnsi="宋体" w:eastAsia="宋体" w:cs="宋体"/>
              </w:rPr>
            </w:pPr>
            <w:r>
              <w:rPr>
                <w:rFonts w:hint="eastAsia" w:ascii="宋体" w:hAnsi="宋体" w:eastAsia="宋体" w:cs="宋体"/>
                <w:color w:val="333333"/>
                <w:sz w:val="18"/>
              </w:rPr>
              <w:t>78.8</w:t>
            </w:r>
          </w:p>
        </w:tc>
        <w:tc>
          <w:tcPr>
            <w:tcW w:w="1020" w:type="dxa"/>
          </w:tcPr>
          <w:p w14:paraId="454E37F2">
            <w:pPr>
              <w:jc w:val="center"/>
              <w:rPr>
                <w:rFonts w:hint="eastAsia" w:ascii="宋体" w:hAnsi="宋体" w:eastAsia="宋体" w:cs="宋体"/>
              </w:rPr>
            </w:pPr>
            <w:r>
              <w:rPr>
                <w:rFonts w:hint="eastAsia" w:ascii="宋体" w:hAnsi="宋体" w:eastAsia="宋体" w:cs="宋体"/>
                <w:color w:val="333333"/>
                <w:sz w:val="18"/>
              </w:rPr>
              <w:t>0.0</w:t>
            </w:r>
          </w:p>
        </w:tc>
        <w:tc>
          <w:tcPr>
            <w:tcW w:w="1134" w:type="dxa"/>
          </w:tcPr>
          <w:p w14:paraId="75D88E49">
            <w:pPr>
              <w:jc w:val="center"/>
              <w:rPr>
                <w:rFonts w:hint="eastAsia" w:ascii="宋体" w:hAnsi="宋体" w:eastAsia="宋体" w:cs="宋体"/>
              </w:rPr>
            </w:pPr>
            <w:r>
              <w:rPr>
                <w:rFonts w:hint="eastAsia" w:ascii="宋体" w:hAnsi="宋体" w:eastAsia="宋体" w:cs="宋体"/>
                <w:color w:val="333333"/>
                <w:sz w:val="18"/>
              </w:rPr>
              <w:t>12.1</w:t>
            </w:r>
          </w:p>
        </w:tc>
        <w:tc>
          <w:tcPr>
            <w:tcW w:w="850" w:type="dxa"/>
          </w:tcPr>
          <w:p w14:paraId="277962DE">
            <w:pPr>
              <w:jc w:val="center"/>
              <w:rPr>
                <w:rFonts w:hint="eastAsia" w:ascii="宋体" w:hAnsi="宋体" w:eastAsia="宋体" w:cs="宋体"/>
              </w:rPr>
            </w:pPr>
            <w:r>
              <w:rPr>
                <w:rFonts w:hint="eastAsia" w:ascii="宋体" w:hAnsi="宋体" w:eastAsia="宋体" w:cs="宋体"/>
                <w:color w:val="333333"/>
                <w:sz w:val="18"/>
              </w:rPr>
              <w:t>10.9</w:t>
            </w:r>
          </w:p>
        </w:tc>
        <w:tc>
          <w:tcPr>
            <w:tcW w:w="850" w:type="dxa"/>
          </w:tcPr>
          <w:p w14:paraId="097F97EF">
            <w:pPr>
              <w:jc w:val="center"/>
              <w:rPr>
                <w:rFonts w:hint="eastAsia" w:ascii="宋体" w:hAnsi="宋体" w:eastAsia="宋体" w:cs="宋体"/>
              </w:rPr>
            </w:pPr>
            <w:r>
              <w:rPr>
                <w:rFonts w:hint="eastAsia" w:ascii="宋体" w:hAnsi="宋体" w:eastAsia="宋体" w:cs="宋体"/>
                <w:color w:val="333333"/>
                <w:sz w:val="18"/>
              </w:rPr>
              <w:t>15.8</w:t>
            </w:r>
          </w:p>
        </w:tc>
        <w:tc>
          <w:tcPr>
            <w:tcW w:w="1020" w:type="dxa"/>
          </w:tcPr>
          <w:p w14:paraId="04978678">
            <w:pPr>
              <w:jc w:val="center"/>
              <w:rPr>
                <w:rFonts w:hint="eastAsia" w:ascii="宋体" w:hAnsi="宋体" w:eastAsia="宋体" w:cs="宋体"/>
              </w:rPr>
            </w:pPr>
            <w:r>
              <w:rPr>
                <w:rFonts w:hint="eastAsia" w:ascii="宋体" w:hAnsi="宋体" w:eastAsia="宋体" w:cs="宋体"/>
                <w:color w:val="333333"/>
                <w:sz w:val="18"/>
              </w:rPr>
              <w:t>40.0</w:t>
            </w:r>
          </w:p>
        </w:tc>
      </w:tr>
      <w:tr w14:paraId="44962175">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681E29B6">
            <w:pPr>
              <w:jc w:val="left"/>
              <w:rPr>
                <w:rFonts w:hint="eastAsia" w:ascii="宋体" w:hAnsi="宋体" w:eastAsia="宋体" w:cs="宋体"/>
              </w:rPr>
            </w:pPr>
            <w:r>
              <w:rPr>
                <w:rFonts w:hint="eastAsia" w:ascii="宋体" w:hAnsi="宋体" w:eastAsia="宋体" w:cs="宋体"/>
                <w:color w:val="333333"/>
                <w:sz w:val="18"/>
              </w:rPr>
              <w:t>5</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5651A09C">
            <w:pPr>
              <w:jc w:val="center"/>
              <w:rPr>
                <w:rFonts w:hint="eastAsia" w:ascii="宋体" w:hAnsi="宋体" w:eastAsia="宋体" w:cs="宋体"/>
              </w:rPr>
            </w:pPr>
            <w:r>
              <w:rPr>
                <w:rFonts w:hint="eastAsia" w:ascii="宋体" w:hAnsi="宋体" w:eastAsia="宋体" w:cs="宋体"/>
                <w:color w:val="333333"/>
                <w:sz w:val="18"/>
              </w:rPr>
              <w:t>长安汽车</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3BE9182C">
            <w:pPr>
              <w:jc w:val="center"/>
              <w:rPr>
                <w:rFonts w:hint="eastAsia" w:ascii="宋体" w:hAnsi="宋体" w:eastAsia="宋体" w:cs="宋体"/>
              </w:rPr>
            </w:pPr>
            <w:r>
              <w:rPr>
                <w:rFonts w:hint="eastAsia" w:ascii="宋体" w:hAnsi="宋体" w:eastAsia="宋体" w:cs="宋体"/>
                <w:color w:val="333333"/>
                <w:sz w:val="18"/>
              </w:rPr>
              <w:t>78.4</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774E093F">
            <w:pPr>
              <w:jc w:val="center"/>
              <w:rPr>
                <w:rFonts w:hint="eastAsia" w:ascii="宋体" w:hAnsi="宋体" w:eastAsia="宋体" w:cs="宋体"/>
              </w:rPr>
            </w:pPr>
            <w:r>
              <w:rPr>
                <w:rFonts w:hint="eastAsia" w:ascii="宋体" w:hAnsi="宋体" w:eastAsia="宋体" w:cs="宋体"/>
                <w:color w:val="333333"/>
                <w:sz w:val="18"/>
              </w:rPr>
              <w:t>1.6</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14E0255E">
            <w:pPr>
              <w:jc w:val="center"/>
              <w:rPr>
                <w:rFonts w:hint="eastAsia" w:ascii="宋体" w:hAnsi="宋体" w:eastAsia="宋体" w:cs="宋体"/>
              </w:rPr>
            </w:pPr>
            <w:r>
              <w:rPr>
                <w:rFonts w:hint="eastAsia" w:ascii="宋体" w:hAnsi="宋体" w:eastAsia="宋体" w:cs="宋体"/>
                <w:color w:val="333333"/>
                <w:sz w:val="18"/>
              </w:rPr>
              <w:t>0.7</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46BE39E0">
            <w:pPr>
              <w:jc w:val="center"/>
              <w:rPr>
                <w:rFonts w:hint="eastAsia" w:ascii="宋体" w:hAnsi="宋体" w:eastAsia="宋体" w:cs="宋体"/>
              </w:rPr>
            </w:pPr>
            <w:r>
              <w:rPr>
                <w:rFonts w:hint="eastAsia" w:ascii="宋体" w:hAnsi="宋体" w:eastAsia="宋体" w:cs="宋体"/>
                <w:color w:val="333333"/>
                <w:sz w:val="18"/>
              </w:rPr>
              <w:t>20.2</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5ACD8419">
            <w:pPr>
              <w:jc w:val="center"/>
              <w:rPr>
                <w:rFonts w:hint="eastAsia" w:ascii="宋体" w:hAnsi="宋体" w:eastAsia="宋体" w:cs="宋体"/>
              </w:rPr>
            </w:pPr>
            <w:r>
              <w:rPr>
                <w:rFonts w:hint="eastAsia" w:ascii="宋体" w:hAnsi="宋体" w:eastAsia="宋体" w:cs="宋体"/>
                <w:color w:val="333333"/>
                <w:sz w:val="18"/>
              </w:rPr>
              <w:t>15.9</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30BDBF65">
            <w:pPr>
              <w:jc w:val="center"/>
              <w:rPr>
                <w:rFonts w:hint="eastAsia" w:ascii="宋体" w:hAnsi="宋体" w:eastAsia="宋体" w:cs="宋体"/>
              </w:rPr>
            </w:pPr>
            <w:r>
              <w:rPr>
                <w:rFonts w:hint="eastAsia" w:ascii="宋体" w:hAnsi="宋体" w:eastAsia="宋体" w:cs="宋体"/>
                <w:color w:val="333333"/>
                <w:sz w:val="18"/>
              </w:rPr>
              <w:t>40.0</w:t>
            </w:r>
          </w:p>
        </w:tc>
      </w:tr>
      <w:tr w14:paraId="4806C835">
        <w:tblPrEx>
          <w:tblCellMar>
            <w:top w:w="0" w:type="dxa"/>
            <w:left w:w="108" w:type="dxa"/>
            <w:bottom w:w="0" w:type="dxa"/>
            <w:right w:w="108" w:type="dxa"/>
          </w:tblCellMar>
        </w:tblPrEx>
        <w:trPr>
          <w:jc w:val="center"/>
        </w:trPr>
        <w:tc>
          <w:tcPr>
            <w:tcW w:w="850" w:type="dxa"/>
          </w:tcPr>
          <w:p w14:paraId="33194B07">
            <w:pPr>
              <w:jc w:val="left"/>
              <w:rPr>
                <w:rFonts w:hint="eastAsia" w:ascii="宋体" w:hAnsi="宋体" w:eastAsia="宋体" w:cs="宋体"/>
              </w:rPr>
            </w:pPr>
            <w:r>
              <w:rPr>
                <w:rFonts w:hint="eastAsia" w:ascii="宋体" w:hAnsi="宋体" w:eastAsia="宋体" w:cs="宋体"/>
                <w:color w:val="333333"/>
                <w:sz w:val="18"/>
              </w:rPr>
              <w:t>6</w:t>
            </w:r>
          </w:p>
        </w:tc>
        <w:tc>
          <w:tcPr>
            <w:tcW w:w="1247" w:type="dxa"/>
          </w:tcPr>
          <w:p w14:paraId="7F4FA59D">
            <w:pPr>
              <w:jc w:val="center"/>
              <w:rPr>
                <w:rFonts w:hint="eastAsia" w:ascii="宋体" w:hAnsi="宋体" w:eastAsia="宋体" w:cs="宋体"/>
              </w:rPr>
            </w:pPr>
            <w:r>
              <w:rPr>
                <w:rFonts w:hint="eastAsia" w:ascii="宋体" w:hAnsi="宋体" w:eastAsia="宋体" w:cs="宋体"/>
                <w:color w:val="333333"/>
                <w:sz w:val="18"/>
              </w:rPr>
              <w:t>上汽集团</w:t>
            </w:r>
          </w:p>
        </w:tc>
        <w:tc>
          <w:tcPr>
            <w:tcW w:w="850" w:type="dxa"/>
          </w:tcPr>
          <w:p w14:paraId="77BD3947">
            <w:pPr>
              <w:jc w:val="center"/>
              <w:rPr>
                <w:rFonts w:hint="eastAsia" w:ascii="宋体" w:hAnsi="宋体" w:eastAsia="宋体" w:cs="宋体"/>
              </w:rPr>
            </w:pPr>
            <w:r>
              <w:rPr>
                <w:rFonts w:hint="eastAsia" w:ascii="宋体" w:hAnsi="宋体" w:eastAsia="宋体" w:cs="宋体"/>
                <w:color w:val="333333"/>
                <w:sz w:val="18"/>
              </w:rPr>
              <w:t>78.4</w:t>
            </w:r>
          </w:p>
        </w:tc>
        <w:tc>
          <w:tcPr>
            <w:tcW w:w="1020" w:type="dxa"/>
          </w:tcPr>
          <w:p w14:paraId="71230BA5">
            <w:pPr>
              <w:jc w:val="center"/>
              <w:rPr>
                <w:rFonts w:hint="eastAsia" w:ascii="宋体" w:hAnsi="宋体" w:eastAsia="宋体" w:cs="宋体"/>
              </w:rPr>
            </w:pPr>
            <w:r>
              <w:rPr>
                <w:rFonts w:hint="eastAsia" w:ascii="宋体" w:hAnsi="宋体" w:eastAsia="宋体" w:cs="宋体"/>
                <w:color w:val="333333"/>
                <w:sz w:val="18"/>
              </w:rPr>
              <w:t>0.0</w:t>
            </w:r>
          </w:p>
        </w:tc>
        <w:tc>
          <w:tcPr>
            <w:tcW w:w="1134" w:type="dxa"/>
          </w:tcPr>
          <w:p w14:paraId="010B5CD1">
            <w:pPr>
              <w:jc w:val="center"/>
              <w:rPr>
                <w:rFonts w:hint="eastAsia" w:ascii="宋体" w:hAnsi="宋体" w:eastAsia="宋体" w:cs="宋体"/>
              </w:rPr>
            </w:pPr>
            <w:r>
              <w:rPr>
                <w:rFonts w:hint="eastAsia" w:ascii="宋体" w:hAnsi="宋体" w:eastAsia="宋体" w:cs="宋体"/>
                <w:color w:val="333333"/>
                <w:sz w:val="18"/>
              </w:rPr>
              <w:t>5.8</w:t>
            </w:r>
          </w:p>
        </w:tc>
        <w:tc>
          <w:tcPr>
            <w:tcW w:w="850" w:type="dxa"/>
          </w:tcPr>
          <w:p w14:paraId="56EA7D01">
            <w:pPr>
              <w:jc w:val="center"/>
              <w:rPr>
                <w:rFonts w:hint="eastAsia" w:ascii="宋体" w:hAnsi="宋体" w:eastAsia="宋体" w:cs="宋体"/>
              </w:rPr>
            </w:pPr>
            <w:r>
              <w:rPr>
                <w:rFonts w:hint="eastAsia" w:ascii="宋体" w:hAnsi="宋体" w:eastAsia="宋体" w:cs="宋体"/>
                <w:color w:val="333333"/>
                <w:sz w:val="18"/>
              </w:rPr>
              <w:t>19.9</w:t>
            </w:r>
          </w:p>
        </w:tc>
        <w:tc>
          <w:tcPr>
            <w:tcW w:w="850" w:type="dxa"/>
          </w:tcPr>
          <w:p w14:paraId="19A4E716">
            <w:pPr>
              <w:jc w:val="center"/>
              <w:rPr>
                <w:rFonts w:hint="eastAsia" w:ascii="宋体" w:hAnsi="宋体" w:eastAsia="宋体" w:cs="宋体"/>
              </w:rPr>
            </w:pPr>
            <w:r>
              <w:rPr>
                <w:rFonts w:hint="eastAsia" w:ascii="宋体" w:hAnsi="宋体" w:eastAsia="宋体" w:cs="宋体"/>
                <w:color w:val="333333"/>
                <w:sz w:val="18"/>
              </w:rPr>
              <w:t>12.6</w:t>
            </w:r>
          </w:p>
        </w:tc>
        <w:tc>
          <w:tcPr>
            <w:tcW w:w="1020" w:type="dxa"/>
          </w:tcPr>
          <w:p w14:paraId="087923C8">
            <w:pPr>
              <w:jc w:val="center"/>
              <w:rPr>
                <w:rFonts w:hint="eastAsia" w:ascii="宋体" w:hAnsi="宋体" w:eastAsia="宋体" w:cs="宋体"/>
              </w:rPr>
            </w:pPr>
            <w:r>
              <w:rPr>
                <w:rFonts w:hint="eastAsia" w:ascii="宋体" w:hAnsi="宋体" w:eastAsia="宋体" w:cs="宋体"/>
                <w:color w:val="333333"/>
                <w:sz w:val="18"/>
              </w:rPr>
              <w:t>40.0</w:t>
            </w:r>
          </w:p>
        </w:tc>
      </w:tr>
      <w:tr w14:paraId="6B2B659C">
        <w:tblPrEx>
          <w:tblCellMar>
            <w:top w:w="0" w:type="dxa"/>
            <w:left w:w="108" w:type="dxa"/>
            <w:bottom w:w="0" w:type="dxa"/>
            <w:right w:w="108" w:type="dxa"/>
          </w:tblCellMar>
        </w:tblPrEx>
        <w:trPr>
          <w:jc w:val="center"/>
        </w:trPr>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5DCE5886">
            <w:pPr>
              <w:jc w:val="left"/>
              <w:rPr>
                <w:rFonts w:hint="eastAsia" w:ascii="宋体" w:hAnsi="宋体" w:eastAsia="宋体" w:cs="宋体"/>
              </w:rPr>
            </w:pPr>
            <w:r>
              <w:rPr>
                <w:rFonts w:hint="eastAsia" w:ascii="宋体" w:hAnsi="宋体" w:eastAsia="宋体" w:cs="宋体"/>
                <w:color w:val="333333"/>
                <w:sz w:val="18"/>
              </w:rPr>
              <w:t>7</w:t>
            </w:r>
          </w:p>
        </w:tc>
        <w:tc>
          <w:tcPr>
            <w:tcW w:w="1247" w:type="dxa"/>
            <w:tcBorders>
              <w:top w:val="single" w:color="CCCCCC" w:sz="4" w:space="0"/>
              <w:left w:val="single" w:color="CCCCCC" w:sz="4" w:space="0"/>
              <w:bottom w:val="single" w:color="CCCCCC" w:sz="4" w:space="0"/>
              <w:right w:val="single" w:color="CCCCCC" w:sz="4" w:space="0"/>
            </w:tcBorders>
            <w:shd w:val="clear" w:color="auto" w:fill="F8F9FA"/>
          </w:tcPr>
          <w:p w14:paraId="2E7CC537">
            <w:pPr>
              <w:jc w:val="center"/>
              <w:rPr>
                <w:rFonts w:hint="eastAsia" w:ascii="宋体" w:hAnsi="宋体" w:eastAsia="宋体" w:cs="宋体"/>
              </w:rPr>
            </w:pPr>
            <w:r>
              <w:rPr>
                <w:rFonts w:hint="eastAsia" w:ascii="宋体" w:hAnsi="宋体" w:eastAsia="宋体" w:cs="宋体"/>
                <w:color w:val="333333"/>
                <w:sz w:val="18"/>
              </w:rPr>
              <w:t>江淮汽车</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6ACF62FB">
            <w:pPr>
              <w:jc w:val="center"/>
              <w:rPr>
                <w:rFonts w:hint="eastAsia" w:ascii="宋体" w:hAnsi="宋体" w:eastAsia="宋体" w:cs="宋体"/>
              </w:rPr>
            </w:pPr>
            <w:r>
              <w:rPr>
                <w:rFonts w:hint="eastAsia" w:ascii="宋体" w:hAnsi="宋体" w:eastAsia="宋体" w:cs="宋体"/>
                <w:color w:val="333333"/>
                <w:sz w:val="18"/>
              </w:rPr>
              <w:t>78.2</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41083EC0">
            <w:pPr>
              <w:jc w:val="center"/>
              <w:rPr>
                <w:rFonts w:hint="eastAsia" w:ascii="宋体" w:hAnsi="宋体" w:eastAsia="宋体" w:cs="宋体"/>
              </w:rPr>
            </w:pPr>
            <w:r>
              <w:rPr>
                <w:rFonts w:hint="eastAsia" w:ascii="宋体" w:hAnsi="宋体" w:eastAsia="宋体" w:cs="宋体"/>
                <w:color w:val="333333"/>
                <w:sz w:val="18"/>
              </w:rPr>
              <w:t>0.0</w:t>
            </w:r>
          </w:p>
        </w:tc>
        <w:tc>
          <w:tcPr>
            <w:tcW w:w="1134" w:type="dxa"/>
            <w:tcBorders>
              <w:top w:val="single" w:color="CCCCCC" w:sz="4" w:space="0"/>
              <w:left w:val="single" w:color="CCCCCC" w:sz="4" w:space="0"/>
              <w:bottom w:val="single" w:color="CCCCCC" w:sz="4" w:space="0"/>
              <w:right w:val="single" w:color="CCCCCC" w:sz="4" w:space="0"/>
            </w:tcBorders>
            <w:shd w:val="clear" w:color="auto" w:fill="F8F9FA"/>
          </w:tcPr>
          <w:p w14:paraId="32EB44FF">
            <w:pPr>
              <w:jc w:val="center"/>
              <w:rPr>
                <w:rFonts w:hint="eastAsia" w:ascii="宋体" w:hAnsi="宋体" w:eastAsia="宋体" w:cs="宋体"/>
              </w:rPr>
            </w:pPr>
            <w:r>
              <w:rPr>
                <w:rFonts w:hint="eastAsia" w:ascii="宋体" w:hAnsi="宋体" w:eastAsia="宋体" w:cs="宋体"/>
                <w:color w:val="333333"/>
                <w:sz w:val="18"/>
              </w:rPr>
              <w:t>7.6</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2979B3BD">
            <w:pPr>
              <w:jc w:val="center"/>
              <w:rPr>
                <w:rFonts w:hint="eastAsia" w:ascii="宋体" w:hAnsi="宋体" w:eastAsia="宋体" w:cs="宋体"/>
              </w:rPr>
            </w:pPr>
            <w:r>
              <w:rPr>
                <w:rFonts w:hint="eastAsia" w:ascii="宋体" w:hAnsi="宋体" w:eastAsia="宋体" w:cs="宋体"/>
                <w:color w:val="333333"/>
                <w:sz w:val="18"/>
              </w:rPr>
              <w:t>13.4</w:t>
            </w:r>
          </w:p>
        </w:tc>
        <w:tc>
          <w:tcPr>
            <w:tcW w:w="850" w:type="dxa"/>
            <w:tcBorders>
              <w:top w:val="single" w:color="CCCCCC" w:sz="4" w:space="0"/>
              <w:left w:val="single" w:color="CCCCCC" w:sz="4" w:space="0"/>
              <w:bottom w:val="single" w:color="CCCCCC" w:sz="4" w:space="0"/>
              <w:right w:val="single" w:color="CCCCCC" w:sz="4" w:space="0"/>
            </w:tcBorders>
            <w:shd w:val="clear" w:color="auto" w:fill="F8F9FA"/>
          </w:tcPr>
          <w:p w14:paraId="7501CB19">
            <w:pPr>
              <w:jc w:val="center"/>
              <w:rPr>
                <w:rFonts w:hint="eastAsia" w:ascii="宋体" w:hAnsi="宋体" w:eastAsia="宋体" w:cs="宋体"/>
              </w:rPr>
            </w:pPr>
            <w:r>
              <w:rPr>
                <w:rFonts w:hint="eastAsia" w:ascii="宋体" w:hAnsi="宋体" w:eastAsia="宋体" w:cs="宋体"/>
                <w:color w:val="333333"/>
                <w:sz w:val="18"/>
              </w:rPr>
              <w:t>17.2</w:t>
            </w:r>
          </w:p>
        </w:tc>
        <w:tc>
          <w:tcPr>
            <w:tcW w:w="1020" w:type="dxa"/>
            <w:tcBorders>
              <w:top w:val="single" w:color="CCCCCC" w:sz="4" w:space="0"/>
              <w:left w:val="single" w:color="CCCCCC" w:sz="4" w:space="0"/>
              <w:bottom w:val="single" w:color="CCCCCC" w:sz="4" w:space="0"/>
              <w:right w:val="single" w:color="CCCCCC" w:sz="4" w:space="0"/>
            </w:tcBorders>
            <w:shd w:val="clear" w:color="auto" w:fill="F8F9FA"/>
          </w:tcPr>
          <w:p w14:paraId="0B36670F">
            <w:pPr>
              <w:jc w:val="center"/>
              <w:rPr>
                <w:rFonts w:hint="eastAsia" w:ascii="宋体" w:hAnsi="宋体" w:eastAsia="宋体" w:cs="宋体"/>
              </w:rPr>
            </w:pPr>
            <w:r>
              <w:rPr>
                <w:rFonts w:hint="eastAsia" w:ascii="宋体" w:hAnsi="宋体" w:eastAsia="宋体" w:cs="宋体"/>
                <w:color w:val="333333"/>
                <w:sz w:val="18"/>
              </w:rPr>
              <w:t>40.0</w:t>
            </w:r>
          </w:p>
        </w:tc>
      </w:tr>
      <w:tr w14:paraId="5260E216">
        <w:tblPrEx>
          <w:tblCellMar>
            <w:top w:w="0" w:type="dxa"/>
            <w:left w:w="108" w:type="dxa"/>
            <w:bottom w:w="0" w:type="dxa"/>
            <w:right w:w="108" w:type="dxa"/>
          </w:tblCellMar>
        </w:tblPrEx>
        <w:trPr>
          <w:jc w:val="center"/>
        </w:trPr>
        <w:tc>
          <w:tcPr>
            <w:tcW w:w="850" w:type="dxa"/>
          </w:tcPr>
          <w:p w14:paraId="74B91227">
            <w:pPr>
              <w:jc w:val="left"/>
              <w:rPr>
                <w:rFonts w:hint="eastAsia" w:ascii="宋体" w:hAnsi="宋体" w:eastAsia="宋体" w:cs="宋体"/>
              </w:rPr>
            </w:pPr>
            <w:r>
              <w:rPr>
                <w:rFonts w:hint="eastAsia" w:ascii="宋体" w:hAnsi="宋体" w:eastAsia="宋体" w:cs="宋体"/>
                <w:color w:val="333333"/>
                <w:sz w:val="18"/>
              </w:rPr>
              <w:t>8</w:t>
            </w:r>
          </w:p>
        </w:tc>
        <w:tc>
          <w:tcPr>
            <w:tcW w:w="1247" w:type="dxa"/>
          </w:tcPr>
          <w:p w14:paraId="18BB6FCE">
            <w:pPr>
              <w:jc w:val="center"/>
              <w:rPr>
                <w:rFonts w:hint="eastAsia" w:ascii="宋体" w:hAnsi="宋体" w:eastAsia="宋体" w:cs="宋体"/>
              </w:rPr>
            </w:pPr>
            <w:r>
              <w:rPr>
                <w:rFonts w:hint="eastAsia" w:ascii="宋体" w:hAnsi="宋体" w:eastAsia="宋体" w:cs="宋体"/>
                <w:color w:val="333333"/>
                <w:sz w:val="18"/>
              </w:rPr>
              <w:t>广汽集团</w:t>
            </w:r>
          </w:p>
        </w:tc>
        <w:tc>
          <w:tcPr>
            <w:tcW w:w="850" w:type="dxa"/>
          </w:tcPr>
          <w:p w14:paraId="65CF054A">
            <w:pPr>
              <w:jc w:val="center"/>
              <w:rPr>
                <w:rFonts w:hint="eastAsia" w:ascii="宋体" w:hAnsi="宋体" w:eastAsia="宋体" w:cs="宋体"/>
              </w:rPr>
            </w:pPr>
            <w:r>
              <w:rPr>
                <w:rFonts w:hint="eastAsia" w:ascii="宋体" w:hAnsi="宋体" w:eastAsia="宋体" w:cs="宋体"/>
                <w:color w:val="333333"/>
                <w:sz w:val="18"/>
              </w:rPr>
              <w:t>77.5</w:t>
            </w:r>
          </w:p>
        </w:tc>
        <w:tc>
          <w:tcPr>
            <w:tcW w:w="1020" w:type="dxa"/>
          </w:tcPr>
          <w:p w14:paraId="12CE87A8">
            <w:pPr>
              <w:jc w:val="center"/>
              <w:rPr>
                <w:rFonts w:hint="eastAsia" w:ascii="宋体" w:hAnsi="宋体" w:eastAsia="宋体" w:cs="宋体"/>
              </w:rPr>
            </w:pPr>
            <w:r>
              <w:rPr>
                <w:rFonts w:hint="eastAsia" w:ascii="宋体" w:hAnsi="宋体" w:eastAsia="宋体" w:cs="宋体"/>
                <w:color w:val="333333"/>
                <w:sz w:val="18"/>
              </w:rPr>
              <w:t>0.0</w:t>
            </w:r>
          </w:p>
        </w:tc>
        <w:tc>
          <w:tcPr>
            <w:tcW w:w="1134" w:type="dxa"/>
          </w:tcPr>
          <w:p w14:paraId="1163B734">
            <w:pPr>
              <w:jc w:val="center"/>
              <w:rPr>
                <w:rFonts w:hint="eastAsia" w:ascii="宋体" w:hAnsi="宋体" w:eastAsia="宋体" w:cs="宋体"/>
              </w:rPr>
            </w:pPr>
            <w:r>
              <w:rPr>
                <w:rFonts w:hint="eastAsia" w:ascii="宋体" w:hAnsi="宋体" w:eastAsia="宋体" w:cs="宋体"/>
                <w:color w:val="333333"/>
                <w:sz w:val="18"/>
              </w:rPr>
              <w:t>11.3</w:t>
            </w:r>
          </w:p>
        </w:tc>
        <w:tc>
          <w:tcPr>
            <w:tcW w:w="850" w:type="dxa"/>
          </w:tcPr>
          <w:p w14:paraId="66254617">
            <w:pPr>
              <w:jc w:val="center"/>
              <w:rPr>
                <w:rFonts w:hint="eastAsia" w:ascii="宋体" w:hAnsi="宋体" w:eastAsia="宋体" w:cs="宋体"/>
              </w:rPr>
            </w:pPr>
            <w:r>
              <w:rPr>
                <w:rFonts w:hint="eastAsia" w:ascii="宋体" w:hAnsi="宋体" w:eastAsia="宋体" w:cs="宋体"/>
                <w:color w:val="333333"/>
                <w:sz w:val="18"/>
              </w:rPr>
              <w:t>19.1</w:t>
            </w:r>
          </w:p>
        </w:tc>
        <w:tc>
          <w:tcPr>
            <w:tcW w:w="850" w:type="dxa"/>
          </w:tcPr>
          <w:p w14:paraId="4E435443">
            <w:pPr>
              <w:jc w:val="center"/>
              <w:rPr>
                <w:rFonts w:hint="eastAsia" w:ascii="宋体" w:hAnsi="宋体" w:eastAsia="宋体" w:cs="宋体"/>
              </w:rPr>
            </w:pPr>
            <w:r>
              <w:rPr>
                <w:rFonts w:hint="eastAsia" w:ascii="宋体" w:hAnsi="宋体" w:eastAsia="宋体" w:cs="宋体"/>
                <w:color w:val="333333"/>
                <w:sz w:val="18"/>
              </w:rPr>
              <w:t>8.2</w:t>
            </w:r>
          </w:p>
        </w:tc>
        <w:tc>
          <w:tcPr>
            <w:tcW w:w="1020" w:type="dxa"/>
          </w:tcPr>
          <w:p w14:paraId="4A30F341">
            <w:pPr>
              <w:jc w:val="center"/>
              <w:rPr>
                <w:rFonts w:hint="eastAsia" w:ascii="宋体" w:hAnsi="宋体" w:eastAsia="宋体" w:cs="宋体"/>
              </w:rPr>
            </w:pPr>
            <w:r>
              <w:rPr>
                <w:rFonts w:hint="eastAsia" w:ascii="宋体" w:hAnsi="宋体" w:eastAsia="宋体" w:cs="宋体"/>
                <w:color w:val="333333"/>
                <w:sz w:val="18"/>
              </w:rPr>
              <w:t>38.9</w:t>
            </w:r>
          </w:p>
        </w:tc>
      </w:tr>
    </w:tbl>
    <w:p w14:paraId="09B2450A">
      <w:pPr>
        <w:spacing w:after="80"/>
        <w:rPr>
          <w:rFonts w:hint="eastAsia" w:ascii="宋体" w:hAnsi="宋体" w:eastAsia="宋体" w:cs="宋体"/>
        </w:rPr>
      </w:pPr>
    </w:p>
    <w:p w14:paraId="297A5DF7">
      <w:pPr>
        <w:spacing w:after="40" w:line="360" w:lineRule="auto"/>
        <w:ind w:firstLine="420"/>
        <w:rPr>
          <w:rFonts w:hint="eastAsia" w:ascii="宋体" w:hAnsi="宋体" w:eastAsia="宋体" w:cs="宋体"/>
        </w:rPr>
      </w:pPr>
      <w:r>
        <w:rPr>
          <w:rFonts w:hint="eastAsia" w:ascii="宋体" w:hAnsi="宋体" w:eastAsia="宋体" w:cs="宋体"/>
          <w:b w:val="0"/>
          <w:sz w:val="24"/>
        </w:rPr>
        <w:t>赛力斯排名第一主要得益于高营业收入增长率（54.8%，满分）和高总资产周转率（1.402，接近满分）。北汽蓝谷因营收增长率184.6%排名第四，但其毛利率得分为零。沃尔评分对高增长企业的偏好是其固有特点。</w:t>
      </w:r>
    </w:p>
    <w:p w14:paraId="48257824">
      <w:pPr>
        <w:spacing w:before="360" w:after="240"/>
        <w:jc w:val="center"/>
        <w:outlineLvl w:val="0"/>
        <w:rPr>
          <w:rFonts w:hint="eastAsia" w:ascii="宋体" w:hAnsi="宋体" w:eastAsia="宋体" w:cs="宋体"/>
        </w:rPr>
      </w:pPr>
      <w:bookmarkStart w:id="51" w:name="_Toc7905"/>
      <w:bookmarkStart w:id="52" w:name="_Toc25082"/>
      <w:r>
        <w:rPr>
          <w:rFonts w:hint="eastAsia" w:ascii="宋体" w:hAnsi="宋体" w:eastAsia="宋体" w:cs="宋体"/>
          <w:b/>
          <w:color w:val="000000"/>
          <w:sz w:val="32"/>
        </w:rPr>
        <w:t>九、销量结构与综合风险</w:t>
      </w:r>
      <w:bookmarkEnd w:id="51"/>
      <w:bookmarkEnd w:id="52"/>
    </w:p>
    <w:p w14:paraId="76E76BCD">
      <w:pPr>
        <w:jc w:val="center"/>
        <w:rPr>
          <w:rFonts w:hint="eastAsia" w:ascii="宋体" w:hAnsi="宋体" w:eastAsia="宋体" w:cs="宋体"/>
        </w:rPr>
      </w:pPr>
      <w:r>
        <w:rPr>
          <w:rFonts w:hint="eastAsia" w:ascii="宋体" w:hAnsi="宋体" w:eastAsia="宋体" w:cs="宋体"/>
        </w:rPr>
        <w:drawing>
          <wp:inline distT="0" distB="0" distL="114300" distR="114300">
            <wp:extent cx="5399405" cy="2081530"/>
            <wp:effectExtent l="0" t="0" r="1079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00000" cy="2081564"/>
                    </a:xfrm>
                    <a:prstGeom prst="rect">
                      <a:avLst/>
                    </a:prstGeom>
                  </pic:spPr>
                </pic:pic>
              </a:graphicData>
            </a:graphic>
          </wp:inline>
        </w:drawing>
      </w:r>
    </w:p>
    <w:p w14:paraId="36344198">
      <w:pPr>
        <w:spacing w:after="120"/>
        <w:jc w:val="center"/>
        <w:rPr>
          <w:rFonts w:hint="eastAsia" w:ascii="宋体" w:hAnsi="宋体" w:eastAsia="宋体" w:cs="宋体"/>
        </w:rPr>
      </w:pPr>
      <w:r>
        <w:rPr>
          <w:rFonts w:hint="eastAsia" w:ascii="宋体" w:hAnsi="宋体" w:eastAsia="宋体" w:cs="宋体"/>
          <w:sz w:val="18"/>
        </w:rPr>
        <w:t>图9-1  赛力斯vs长安销量结构对比</w:t>
      </w:r>
    </w:p>
    <w:p w14:paraId="31C0FDB8">
      <w:pPr>
        <w:spacing w:after="40" w:line="360" w:lineRule="auto"/>
        <w:ind w:firstLine="420"/>
        <w:rPr>
          <w:rFonts w:hint="eastAsia" w:ascii="宋体" w:hAnsi="宋体" w:eastAsia="宋体" w:cs="宋体"/>
        </w:rPr>
      </w:pPr>
      <w:r>
        <w:rPr>
          <w:rFonts w:hint="eastAsia" w:ascii="宋体" w:hAnsi="宋体" w:eastAsia="宋体" w:cs="宋体"/>
          <w:b w:val="0"/>
          <w:sz w:val="24"/>
        </w:rPr>
        <w:t>赛力斯问界系列销量占比从2022年的57.8%上升至2025年的约95%。长安汽车新能源销量占比从2023年的7.8%升至2025年的约26%，深蓝、阿维塔、启源三个品牌分布在不同价格段。</w:t>
      </w:r>
    </w:p>
    <w:p w14:paraId="7CBF3B3F">
      <w:pPr>
        <w:spacing w:after="40" w:line="360" w:lineRule="auto"/>
        <w:ind w:firstLine="420"/>
        <w:rPr>
          <w:rFonts w:hint="eastAsia" w:ascii="宋体" w:hAnsi="宋体" w:eastAsia="宋体" w:cs="宋体"/>
        </w:rPr>
      </w:pPr>
      <w:r>
        <w:rPr>
          <w:rFonts w:hint="eastAsia" w:ascii="宋体" w:hAnsi="宋体" w:eastAsia="宋体" w:cs="宋体"/>
          <w:b w:val="0"/>
          <w:sz w:val="24"/>
        </w:rPr>
        <w:t>品牌集中度是赛力斯最大的非财务风险：任何涉及华为合作关系的变化、问界品牌形象受损或单一车型质量问题，都可能对企业产生系统性影响。长安汽车的多品牌布局提供了天然的风险分散。</w:t>
      </w:r>
    </w:p>
    <w:p w14:paraId="6770ADCB">
      <w:pPr>
        <w:rPr>
          <w:rFonts w:hint="eastAsia" w:ascii="宋体" w:hAnsi="宋体" w:eastAsia="宋体" w:cs="宋体"/>
        </w:rPr>
      </w:pPr>
    </w:p>
    <w:p w14:paraId="11DF4C92">
      <w:pPr>
        <w:jc w:val="center"/>
        <w:rPr>
          <w:rFonts w:hint="eastAsia" w:ascii="宋体" w:hAnsi="宋体" w:eastAsia="宋体" w:cs="宋体"/>
        </w:rPr>
      </w:pPr>
      <w:r>
        <w:rPr>
          <w:rFonts w:hint="eastAsia" w:ascii="宋体" w:hAnsi="宋体" w:eastAsia="宋体" w:cs="宋体"/>
        </w:rPr>
        <w:drawing>
          <wp:inline distT="0" distB="0" distL="114300" distR="114300">
            <wp:extent cx="4319905" cy="3552825"/>
            <wp:effectExtent l="0" t="0" r="825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20000" cy="3553368"/>
                    </a:xfrm>
                    <a:prstGeom prst="rect">
                      <a:avLst/>
                    </a:prstGeom>
                  </pic:spPr>
                </pic:pic>
              </a:graphicData>
            </a:graphic>
          </wp:inline>
        </w:drawing>
      </w:r>
    </w:p>
    <w:p w14:paraId="4C1FD0A5">
      <w:pPr>
        <w:spacing w:after="120"/>
        <w:jc w:val="center"/>
        <w:rPr>
          <w:rFonts w:hint="eastAsia" w:ascii="宋体" w:hAnsi="宋体" w:eastAsia="宋体" w:cs="宋体"/>
        </w:rPr>
      </w:pPr>
      <w:r>
        <w:rPr>
          <w:rFonts w:hint="eastAsia" w:ascii="宋体" w:hAnsi="宋体" w:eastAsia="宋体" w:cs="宋体"/>
          <w:sz w:val="18"/>
        </w:rPr>
        <w:t>图9-2  综合风险雷达图</w:t>
      </w:r>
    </w:p>
    <w:p w14:paraId="55FC7B10">
      <w:pPr>
        <w:rPr>
          <w:rFonts w:hint="eastAsia" w:ascii="宋体" w:hAnsi="宋体" w:eastAsia="宋体" w:cs="宋体"/>
        </w:rPr>
      </w:pPr>
    </w:p>
    <w:p w14:paraId="647F78C9">
      <w:pPr>
        <w:jc w:val="center"/>
        <w:rPr>
          <w:rFonts w:hint="eastAsia" w:ascii="宋体" w:hAnsi="宋体" w:eastAsia="宋体" w:cs="宋体"/>
        </w:rPr>
      </w:pPr>
      <w:r>
        <w:rPr>
          <w:rFonts w:hint="eastAsia" w:ascii="宋体" w:hAnsi="宋体" w:eastAsia="宋体" w:cs="宋体"/>
        </w:rPr>
        <w:drawing>
          <wp:inline distT="0" distB="0" distL="114300" distR="114300">
            <wp:extent cx="5039995" cy="6325235"/>
            <wp:effectExtent l="0" t="0" r="444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040000" cy="6325506"/>
                    </a:xfrm>
                    <a:prstGeom prst="rect">
                      <a:avLst/>
                    </a:prstGeom>
                  </pic:spPr>
                </pic:pic>
              </a:graphicData>
            </a:graphic>
          </wp:inline>
        </w:drawing>
      </w:r>
    </w:p>
    <w:p w14:paraId="2D5C7385">
      <w:pPr>
        <w:spacing w:after="120"/>
        <w:jc w:val="center"/>
        <w:rPr>
          <w:rFonts w:hint="eastAsia" w:ascii="宋体" w:hAnsi="宋体" w:eastAsia="宋体" w:cs="宋体"/>
        </w:rPr>
      </w:pPr>
      <w:r>
        <w:rPr>
          <w:rFonts w:hint="eastAsia" w:ascii="宋体" w:hAnsi="宋体" w:eastAsia="宋体" w:cs="宋体"/>
          <w:sz w:val="18"/>
        </w:rPr>
        <w:t>图9-3  赛力斯vs长安五指标十年趋势</w:t>
      </w:r>
    </w:p>
    <w:p w14:paraId="70ECF5E5">
      <w:pPr>
        <w:spacing w:after="40" w:line="360" w:lineRule="auto"/>
        <w:ind w:firstLine="420"/>
        <w:rPr>
          <w:rFonts w:hint="eastAsia" w:ascii="宋体" w:hAnsi="宋体" w:eastAsia="宋体" w:cs="宋体"/>
        </w:rPr>
      </w:pPr>
      <w:r>
        <w:rPr>
          <w:rFonts w:hint="eastAsia" w:ascii="宋体" w:hAnsi="宋体" w:eastAsia="宋体" w:cs="宋体"/>
          <w:b w:val="0"/>
          <w:sz w:val="24"/>
        </w:rPr>
        <w:t>十年趋势图显示，赛力斯在毛利率和净资产收益率上的波动幅度显著大于长安汽车，2023-2024年急剧拉升后2025年回落。长安汽车各项指标变化平缓。两种模式在波动性上的差异贯穿整个观察期。</w:t>
      </w:r>
    </w:p>
    <w:p w14:paraId="579B23EA">
      <w:pPr>
        <w:spacing w:before="360" w:after="240"/>
        <w:jc w:val="center"/>
        <w:outlineLvl w:val="0"/>
        <w:rPr>
          <w:rFonts w:hint="eastAsia" w:ascii="宋体" w:hAnsi="宋体" w:eastAsia="宋体" w:cs="宋体"/>
        </w:rPr>
      </w:pPr>
      <w:bookmarkStart w:id="53" w:name="_Toc16964"/>
      <w:bookmarkStart w:id="54" w:name="_Toc31867"/>
      <w:r>
        <w:rPr>
          <w:rFonts w:hint="eastAsia" w:ascii="宋体" w:hAnsi="宋体" w:eastAsia="宋体" w:cs="宋体"/>
          <w:b/>
          <w:color w:val="000000"/>
          <w:sz w:val="32"/>
        </w:rPr>
        <w:t>十、结论与建议</w:t>
      </w:r>
      <w:bookmarkEnd w:id="53"/>
      <w:bookmarkEnd w:id="54"/>
    </w:p>
    <w:p w14:paraId="384FB8F0">
      <w:pPr>
        <w:spacing w:before="240" w:after="120"/>
        <w:ind w:left="0"/>
        <w:rPr>
          <w:rFonts w:hint="eastAsia" w:ascii="宋体" w:hAnsi="宋体" w:eastAsia="宋体" w:cs="宋体"/>
        </w:rPr>
      </w:pPr>
      <w:r>
        <w:rPr>
          <w:rFonts w:hint="eastAsia" w:ascii="宋体" w:hAnsi="宋体" w:eastAsia="宋体" w:cs="宋体"/>
          <w:b/>
          <w:color w:val="000000"/>
          <w:sz w:val="28"/>
        </w:rPr>
        <w:t>（一）两种模式财务特征对比</w:t>
      </w:r>
    </w:p>
    <w:tbl>
      <w:tblPr>
        <w:tblStyle w:val="34"/>
        <w:tblW w:w="0" w:type="auto"/>
        <w:jc w:val="center"/>
        <w:tblLayout w:type="autofit"/>
        <w:tblCellMar>
          <w:top w:w="0" w:type="dxa"/>
          <w:left w:w="108" w:type="dxa"/>
          <w:bottom w:w="0" w:type="dxa"/>
          <w:right w:w="108" w:type="dxa"/>
        </w:tblCellMar>
      </w:tblPr>
      <w:tblGrid>
        <w:gridCol w:w="1984"/>
        <w:gridCol w:w="3118"/>
        <w:gridCol w:w="3118"/>
      </w:tblGrid>
      <w:tr w14:paraId="30E95B1D">
        <w:tblPrEx>
          <w:tblCellMar>
            <w:top w:w="0" w:type="dxa"/>
            <w:left w:w="108" w:type="dxa"/>
            <w:bottom w:w="0" w:type="dxa"/>
            <w:right w:w="108" w:type="dxa"/>
          </w:tblCellMar>
        </w:tblPrEx>
        <w:trPr>
          <w:jc w:val="center"/>
        </w:trPr>
        <w:tc>
          <w:tcPr>
            <w:tcW w:w="1984" w:type="dxa"/>
            <w:tcBorders>
              <w:top w:val="single" w:color="2E75B6" w:sz="8" w:space="0"/>
              <w:left w:val="single" w:color="CCCCCC" w:sz="4" w:space="0"/>
              <w:bottom w:val="single" w:color="CCCCCC" w:sz="4" w:space="0"/>
              <w:right w:val="single" w:color="CCCCCC" w:sz="4" w:space="0"/>
            </w:tcBorders>
            <w:shd w:val="clear" w:color="auto" w:fill="D5E8F0"/>
          </w:tcPr>
          <w:p w14:paraId="4A49FB8A">
            <w:pPr>
              <w:jc w:val="center"/>
              <w:rPr>
                <w:rFonts w:hint="eastAsia" w:ascii="宋体" w:hAnsi="宋体" w:eastAsia="宋体" w:cs="宋体"/>
              </w:rPr>
            </w:pPr>
            <w:r>
              <w:rPr>
                <w:rFonts w:hint="eastAsia" w:ascii="宋体" w:hAnsi="宋体" w:eastAsia="宋体" w:cs="宋体"/>
                <w:b/>
                <w:color w:val="1A4789"/>
                <w:sz w:val="18"/>
              </w:rPr>
              <w:t>维度</w:t>
            </w:r>
          </w:p>
        </w:tc>
        <w:tc>
          <w:tcPr>
            <w:tcW w:w="3118" w:type="dxa"/>
            <w:tcBorders>
              <w:top w:val="single" w:color="2E75B6" w:sz="8" w:space="0"/>
              <w:left w:val="single" w:color="CCCCCC" w:sz="4" w:space="0"/>
              <w:bottom w:val="single" w:color="CCCCCC" w:sz="4" w:space="0"/>
              <w:right w:val="single" w:color="CCCCCC" w:sz="4" w:space="0"/>
            </w:tcBorders>
            <w:shd w:val="clear" w:color="auto" w:fill="D5E8F0"/>
          </w:tcPr>
          <w:p w14:paraId="348C2BDA">
            <w:pPr>
              <w:jc w:val="center"/>
              <w:rPr>
                <w:rFonts w:hint="eastAsia" w:ascii="宋体" w:hAnsi="宋体" w:eastAsia="宋体" w:cs="宋体"/>
              </w:rPr>
            </w:pPr>
            <w:r>
              <w:rPr>
                <w:rFonts w:hint="eastAsia" w:ascii="宋体" w:hAnsi="宋体" w:eastAsia="宋体" w:cs="宋体"/>
                <w:b/>
                <w:color w:val="1A4789"/>
                <w:sz w:val="18"/>
              </w:rPr>
              <w:t>赛力斯</w:t>
            </w:r>
          </w:p>
        </w:tc>
        <w:tc>
          <w:tcPr>
            <w:tcW w:w="3118" w:type="dxa"/>
            <w:tcBorders>
              <w:top w:val="single" w:color="2E75B6" w:sz="8" w:space="0"/>
              <w:left w:val="single" w:color="CCCCCC" w:sz="4" w:space="0"/>
              <w:bottom w:val="single" w:color="CCCCCC" w:sz="4" w:space="0"/>
              <w:right w:val="single" w:color="CCCCCC" w:sz="4" w:space="0"/>
            </w:tcBorders>
            <w:shd w:val="clear" w:color="auto" w:fill="D5E8F0"/>
          </w:tcPr>
          <w:p w14:paraId="67367602">
            <w:pPr>
              <w:jc w:val="center"/>
              <w:rPr>
                <w:rFonts w:hint="eastAsia" w:ascii="宋体" w:hAnsi="宋体" w:eastAsia="宋体" w:cs="宋体"/>
              </w:rPr>
            </w:pPr>
            <w:r>
              <w:rPr>
                <w:rFonts w:hint="eastAsia" w:ascii="宋体" w:hAnsi="宋体" w:eastAsia="宋体" w:cs="宋体"/>
                <w:b/>
                <w:color w:val="1A4789"/>
                <w:sz w:val="18"/>
              </w:rPr>
              <w:t>长安汽车</w:t>
            </w:r>
          </w:p>
        </w:tc>
      </w:tr>
      <w:tr w14:paraId="685F01CD">
        <w:tblPrEx>
          <w:tblCellMar>
            <w:top w:w="0" w:type="dxa"/>
            <w:left w:w="108" w:type="dxa"/>
            <w:bottom w:w="0" w:type="dxa"/>
            <w:right w:w="108" w:type="dxa"/>
          </w:tblCellMar>
        </w:tblPrEx>
        <w:trPr>
          <w:jc w:val="center"/>
        </w:trPr>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3B3BFC78">
            <w:pPr>
              <w:jc w:val="left"/>
              <w:rPr>
                <w:rFonts w:hint="eastAsia" w:ascii="宋体" w:hAnsi="宋体" w:eastAsia="宋体" w:cs="宋体"/>
              </w:rPr>
            </w:pPr>
            <w:r>
              <w:rPr>
                <w:rFonts w:hint="eastAsia" w:ascii="宋体" w:hAnsi="宋体" w:eastAsia="宋体" w:cs="宋体"/>
                <w:color w:val="333333"/>
                <w:sz w:val="18"/>
              </w:rPr>
              <w:t>净资产收益率波动</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230E7065">
            <w:pPr>
              <w:jc w:val="center"/>
              <w:rPr>
                <w:rFonts w:hint="eastAsia" w:ascii="宋体" w:hAnsi="宋体" w:eastAsia="宋体" w:cs="宋体"/>
              </w:rPr>
            </w:pPr>
            <w:r>
              <w:rPr>
                <w:rFonts w:hint="eastAsia" w:ascii="宋体" w:hAnsi="宋体" w:eastAsia="宋体" w:cs="宋体"/>
                <w:color w:val="333333"/>
                <w:sz w:val="18"/>
              </w:rPr>
              <w:t>剧烈（-45.7%至38.7%至15.0%）</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30C18319">
            <w:pPr>
              <w:jc w:val="center"/>
              <w:rPr>
                <w:rFonts w:hint="eastAsia" w:ascii="宋体" w:hAnsi="宋体" w:eastAsia="宋体" w:cs="宋体"/>
              </w:rPr>
            </w:pPr>
            <w:r>
              <w:rPr>
                <w:rFonts w:hint="eastAsia" w:ascii="宋体" w:hAnsi="宋体" w:eastAsia="宋体" w:cs="宋体"/>
                <w:color w:val="333333"/>
                <w:sz w:val="18"/>
              </w:rPr>
              <w:t>温和（12.3%至4.1%）</w:t>
            </w:r>
          </w:p>
        </w:tc>
      </w:tr>
      <w:tr w14:paraId="462ED012">
        <w:tblPrEx>
          <w:tblCellMar>
            <w:top w:w="0" w:type="dxa"/>
            <w:left w:w="108" w:type="dxa"/>
            <w:bottom w:w="0" w:type="dxa"/>
            <w:right w:w="108" w:type="dxa"/>
          </w:tblCellMar>
        </w:tblPrEx>
        <w:trPr>
          <w:jc w:val="center"/>
        </w:trPr>
        <w:tc>
          <w:tcPr>
            <w:tcW w:w="1984" w:type="dxa"/>
          </w:tcPr>
          <w:p w14:paraId="7B4E3687">
            <w:pPr>
              <w:jc w:val="left"/>
              <w:rPr>
                <w:rFonts w:hint="eastAsia" w:ascii="宋体" w:hAnsi="宋体" w:eastAsia="宋体" w:cs="宋体"/>
              </w:rPr>
            </w:pPr>
            <w:r>
              <w:rPr>
                <w:rFonts w:hint="eastAsia" w:ascii="宋体" w:hAnsi="宋体" w:eastAsia="宋体" w:cs="宋体"/>
                <w:color w:val="333333"/>
                <w:sz w:val="18"/>
              </w:rPr>
              <w:t>净资产收益率下降主因</w:t>
            </w:r>
          </w:p>
        </w:tc>
        <w:tc>
          <w:tcPr>
            <w:tcW w:w="3118" w:type="dxa"/>
          </w:tcPr>
          <w:p w14:paraId="090F3A81">
            <w:pPr>
              <w:jc w:val="center"/>
              <w:rPr>
                <w:rFonts w:hint="eastAsia" w:ascii="宋体" w:hAnsi="宋体" w:eastAsia="宋体" w:cs="宋体"/>
              </w:rPr>
            </w:pPr>
            <w:r>
              <w:rPr>
                <w:rFonts w:hint="eastAsia" w:ascii="宋体" w:hAnsi="宋体" w:eastAsia="宋体" w:cs="宋体"/>
                <w:color w:val="333333"/>
                <w:sz w:val="18"/>
              </w:rPr>
              <w:t>去杠杆（-17.8pp）+周转率下降（-11.2pp）</w:t>
            </w:r>
          </w:p>
        </w:tc>
        <w:tc>
          <w:tcPr>
            <w:tcW w:w="3118" w:type="dxa"/>
          </w:tcPr>
          <w:p w14:paraId="212CF487">
            <w:pPr>
              <w:jc w:val="center"/>
              <w:rPr>
                <w:rFonts w:hint="eastAsia" w:ascii="宋体" w:hAnsi="宋体" w:eastAsia="宋体" w:cs="宋体"/>
              </w:rPr>
            </w:pPr>
            <w:r>
              <w:rPr>
                <w:rFonts w:hint="eastAsia" w:ascii="宋体" w:hAnsi="宋体" w:eastAsia="宋体" w:cs="宋体"/>
                <w:color w:val="333333"/>
                <w:sz w:val="18"/>
              </w:rPr>
              <w:t>净利率下滑（-3.9pp）</w:t>
            </w:r>
          </w:p>
        </w:tc>
      </w:tr>
      <w:tr w14:paraId="174BE0EB">
        <w:tblPrEx>
          <w:tblCellMar>
            <w:top w:w="0" w:type="dxa"/>
            <w:left w:w="108" w:type="dxa"/>
            <w:bottom w:w="0" w:type="dxa"/>
            <w:right w:w="108" w:type="dxa"/>
          </w:tblCellMar>
        </w:tblPrEx>
        <w:trPr>
          <w:jc w:val="center"/>
        </w:trPr>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18FF843B">
            <w:pPr>
              <w:jc w:val="left"/>
              <w:rPr>
                <w:rFonts w:hint="eastAsia" w:ascii="宋体" w:hAnsi="宋体" w:eastAsia="宋体" w:cs="宋体"/>
              </w:rPr>
            </w:pPr>
            <w:r>
              <w:rPr>
                <w:rFonts w:hint="eastAsia" w:ascii="宋体" w:hAnsi="宋体" w:eastAsia="宋体" w:cs="宋体"/>
                <w:color w:val="333333"/>
                <w:sz w:val="18"/>
              </w:rPr>
              <w:t>现金流模式</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72CE9301">
            <w:pPr>
              <w:jc w:val="center"/>
              <w:rPr>
                <w:rFonts w:hint="eastAsia" w:ascii="宋体" w:hAnsi="宋体" w:eastAsia="宋体" w:cs="宋体"/>
              </w:rPr>
            </w:pPr>
            <w:r>
              <w:rPr>
                <w:rFonts w:hint="eastAsia" w:ascii="宋体" w:hAnsi="宋体" w:eastAsia="宋体" w:cs="宋体"/>
                <w:color w:val="333333"/>
                <w:sz w:val="18"/>
              </w:rPr>
              <w:t>经营+/投资-/筹资+（成长期）</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230E2CA5">
            <w:pPr>
              <w:jc w:val="center"/>
              <w:rPr>
                <w:rFonts w:hint="eastAsia" w:ascii="宋体" w:hAnsi="宋体" w:eastAsia="宋体" w:cs="宋体"/>
              </w:rPr>
            </w:pPr>
            <w:r>
              <w:rPr>
                <w:rFonts w:hint="eastAsia" w:ascii="宋体" w:hAnsi="宋体" w:eastAsia="宋体" w:cs="宋体"/>
                <w:color w:val="333333"/>
                <w:sz w:val="18"/>
              </w:rPr>
              <w:t>经营+/投资-/筹资-（成熟期）</w:t>
            </w:r>
          </w:p>
        </w:tc>
      </w:tr>
      <w:tr w14:paraId="0EA8AA63">
        <w:tblPrEx>
          <w:tblCellMar>
            <w:top w:w="0" w:type="dxa"/>
            <w:left w:w="108" w:type="dxa"/>
            <w:bottom w:w="0" w:type="dxa"/>
            <w:right w:w="108" w:type="dxa"/>
          </w:tblCellMar>
        </w:tblPrEx>
        <w:trPr>
          <w:jc w:val="center"/>
        </w:trPr>
        <w:tc>
          <w:tcPr>
            <w:tcW w:w="1984" w:type="dxa"/>
          </w:tcPr>
          <w:p w14:paraId="7A5CA3DD">
            <w:pPr>
              <w:jc w:val="left"/>
              <w:rPr>
                <w:rFonts w:hint="eastAsia" w:ascii="宋体" w:hAnsi="宋体" w:eastAsia="宋体" w:cs="宋体"/>
              </w:rPr>
            </w:pPr>
            <w:r>
              <w:rPr>
                <w:rFonts w:hint="eastAsia" w:ascii="宋体" w:hAnsi="宋体" w:eastAsia="宋体" w:cs="宋体"/>
                <w:color w:val="333333"/>
                <w:sz w:val="18"/>
              </w:rPr>
              <w:t>业务集中度</w:t>
            </w:r>
          </w:p>
        </w:tc>
        <w:tc>
          <w:tcPr>
            <w:tcW w:w="3118" w:type="dxa"/>
          </w:tcPr>
          <w:p w14:paraId="281BA7DB">
            <w:pPr>
              <w:jc w:val="center"/>
              <w:rPr>
                <w:rFonts w:hint="eastAsia" w:ascii="宋体" w:hAnsi="宋体" w:eastAsia="宋体" w:cs="宋体"/>
              </w:rPr>
            </w:pPr>
            <w:r>
              <w:rPr>
                <w:rFonts w:hint="eastAsia" w:ascii="宋体" w:hAnsi="宋体" w:eastAsia="宋体" w:cs="宋体"/>
                <w:color w:val="333333"/>
                <w:sz w:val="18"/>
              </w:rPr>
              <w:t>问界~95%，单一品牌</w:t>
            </w:r>
          </w:p>
        </w:tc>
        <w:tc>
          <w:tcPr>
            <w:tcW w:w="3118" w:type="dxa"/>
          </w:tcPr>
          <w:p w14:paraId="1778D702">
            <w:pPr>
              <w:jc w:val="center"/>
              <w:rPr>
                <w:rFonts w:hint="eastAsia" w:ascii="宋体" w:hAnsi="宋体" w:eastAsia="宋体" w:cs="宋体"/>
              </w:rPr>
            </w:pPr>
            <w:r>
              <w:rPr>
                <w:rFonts w:hint="eastAsia" w:ascii="宋体" w:hAnsi="宋体" w:eastAsia="宋体" w:cs="宋体"/>
                <w:color w:val="333333"/>
                <w:sz w:val="18"/>
              </w:rPr>
              <w:t>多品牌，新能源~26%</w:t>
            </w:r>
          </w:p>
        </w:tc>
      </w:tr>
      <w:tr w14:paraId="4F11272F">
        <w:tblPrEx>
          <w:tblCellMar>
            <w:top w:w="0" w:type="dxa"/>
            <w:left w:w="108" w:type="dxa"/>
            <w:bottom w:w="0" w:type="dxa"/>
            <w:right w:w="108" w:type="dxa"/>
          </w:tblCellMar>
        </w:tblPrEx>
        <w:trPr>
          <w:jc w:val="center"/>
        </w:trPr>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3B97B931">
            <w:pPr>
              <w:jc w:val="left"/>
              <w:rPr>
                <w:rFonts w:hint="eastAsia" w:ascii="宋体" w:hAnsi="宋体" w:eastAsia="宋体" w:cs="宋体"/>
              </w:rPr>
            </w:pPr>
            <w:r>
              <w:rPr>
                <w:rFonts w:hint="eastAsia" w:ascii="宋体" w:hAnsi="宋体" w:eastAsia="宋体" w:cs="宋体"/>
                <w:color w:val="333333"/>
                <w:sz w:val="18"/>
              </w:rPr>
              <w:t>Z-score</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48411D80">
            <w:pPr>
              <w:jc w:val="center"/>
              <w:rPr>
                <w:rFonts w:hint="eastAsia" w:ascii="宋体" w:hAnsi="宋体" w:eastAsia="宋体" w:cs="宋体"/>
              </w:rPr>
            </w:pPr>
            <w:r>
              <w:rPr>
                <w:rFonts w:hint="eastAsia" w:ascii="宋体" w:hAnsi="宋体" w:eastAsia="宋体" w:cs="宋体"/>
                <w:color w:val="333333"/>
                <w:sz w:val="18"/>
              </w:rPr>
              <w:t>1.63</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480D0605">
            <w:pPr>
              <w:jc w:val="center"/>
              <w:rPr>
                <w:rFonts w:hint="eastAsia" w:ascii="宋体" w:hAnsi="宋体" w:eastAsia="宋体" w:cs="宋体"/>
              </w:rPr>
            </w:pPr>
            <w:r>
              <w:rPr>
                <w:rFonts w:hint="eastAsia" w:ascii="宋体" w:hAnsi="宋体" w:eastAsia="宋体" w:cs="宋体"/>
                <w:color w:val="333333"/>
                <w:sz w:val="18"/>
              </w:rPr>
              <w:t>1.82（优于赛力斯）</w:t>
            </w:r>
          </w:p>
        </w:tc>
      </w:tr>
      <w:tr w14:paraId="66D3EB98">
        <w:tblPrEx>
          <w:tblCellMar>
            <w:top w:w="0" w:type="dxa"/>
            <w:left w:w="108" w:type="dxa"/>
            <w:bottom w:w="0" w:type="dxa"/>
            <w:right w:w="108" w:type="dxa"/>
          </w:tblCellMar>
        </w:tblPrEx>
        <w:trPr>
          <w:jc w:val="center"/>
        </w:trPr>
        <w:tc>
          <w:tcPr>
            <w:tcW w:w="1984" w:type="dxa"/>
          </w:tcPr>
          <w:p w14:paraId="429DE30F">
            <w:pPr>
              <w:jc w:val="left"/>
              <w:rPr>
                <w:rFonts w:hint="eastAsia" w:ascii="宋体" w:hAnsi="宋体" w:eastAsia="宋体" w:cs="宋体"/>
              </w:rPr>
            </w:pPr>
            <w:r>
              <w:rPr>
                <w:rFonts w:hint="eastAsia" w:ascii="宋体" w:hAnsi="宋体" w:eastAsia="宋体" w:cs="宋体"/>
                <w:color w:val="333333"/>
                <w:sz w:val="18"/>
              </w:rPr>
              <w:t>沃尔评分</w:t>
            </w:r>
          </w:p>
        </w:tc>
        <w:tc>
          <w:tcPr>
            <w:tcW w:w="3118" w:type="dxa"/>
          </w:tcPr>
          <w:p w14:paraId="5DEB9F18">
            <w:pPr>
              <w:jc w:val="center"/>
              <w:rPr>
                <w:rFonts w:hint="eastAsia" w:ascii="宋体" w:hAnsi="宋体" w:eastAsia="宋体" w:cs="宋体"/>
              </w:rPr>
            </w:pPr>
            <w:r>
              <w:rPr>
                <w:rFonts w:hint="eastAsia" w:ascii="宋体" w:hAnsi="宋体" w:eastAsia="宋体" w:cs="宋体"/>
                <w:color w:val="333333"/>
                <w:sz w:val="18"/>
              </w:rPr>
              <w:t>90.4分（第1名）</w:t>
            </w:r>
          </w:p>
        </w:tc>
        <w:tc>
          <w:tcPr>
            <w:tcW w:w="3118" w:type="dxa"/>
          </w:tcPr>
          <w:p w14:paraId="7C7D4BAF">
            <w:pPr>
              <w:jc w:val="center"/>
              <w:rPr>
                <w:rFonts w:hint="eastAsia" w:ascii="宋体" w:hAnsi="宋体" w:eastAsia="宋体" w:cs="宋体"/>
              </w:rPr>
            </w:pPr>
            <w:r>
              <w:rPr>
                <w:rFonts w:hint="eastAsia" w:ascii="宋体" w:hAnsi="宋体" w:eastAsia="宋体" w:cs="宋体"/>
                <w:color w:val="333333"/>
                <w:sz w:val="18"/>
              </w:rPr>
              <w:t>78.4分（第5名）</w:t>
            </w:r>
          </w:p>
        </w:tc>
      </w:tr>
      <w:tr w14:paraId="4771B4D1">
        <w:tblPrEx>
          <w:tblCellMar>
            <w:top w:w="0" w:type="dxa"/>
            <w:left w:w="108" w:type="dxa"/>
            <w:bottom w:w="0" w:type="dxa"/>
            <w:right w:w="108" w:type="dxa"/>
          </w:tblCellMar>
        </w:tblPrEx>
        <w:trPr>
          <w:jc w:val="center"/>
        </w:trPr>
        <w:tc>
          <w:tcPr>
            <w:tcW w:w="1984" w:type="dxa"/>
            <w:tcBorders>
              <w:top w:val="single" w:color="CCCCCC" w:sz="4" w:space="0"/>
              <w:left w:val="single" w:color="CCCCCC" w:sz="4" w:space="0"/>
              <w:bottom w:val="single" w:color="CCCCCC" w:sz="4" w:space="0"/>
              <w:right w:val="single" w:color="CCCCCC" w:sz="4" w:space="0"/>
            </w:tcBorders>
            <w:shd w:val="clear" w:color="auto" w:fill="F8F9FA"/>
          </w:tcPr>
          <w:p w14:paraId="0325A370">
            <w:pPr>
              <w:jc w:val="left"/>
              <w:rPr>
                <w:rFonts w:hint="eastAsia" w:ascii="宋体" w:hAnsi="宋体" w:eastAsia="宋体" w:cs="宋体"/>
              </w:rPr>
            </w:pPr>
            <w:r>
              <w:rPr>
                <w:rFonts w:hint="eastAsia" w:ascii="宋体" w:hAnsi="宋体" w:eastAsia="宋体" w:cs="宋体"/>
                <w:color w:val="333333"/>
                <w:sz w:val="18"/>
              </w:rPr>
              <w:t>异常率</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2DA6F8D2">
            <w:pPr>
              <w:jc w:val="center"/>
              <w:rPr>
                <w:rFonts w:hint="eastAsia" w:ascii="宋体" w:hAnsi="宋体" w:eastAsia="宋体" w:cs="宋体"/>
              </w:rPr>
            </w:pPr>
            <w:r>
              <w:rPr>
                <w:rFonts w:hint="eastAsia" w:ascii="宋体" w:hAnsi="宋体" w:eastAsia="宋体" w:cs="宋体"/>
                <w:color w:val="333333"/>
                <w:sz w:val="18"/>
              </w:rPr>
              <w:t>7%（有少量异常）</w:t>
            </w:r>
          </w:p>
        </w:tc>
        <w:tc>
          <w:tcPr>
            <w:tcW w:w="3118" w:type="dxa"/>
            <w:tcBorders>
              <w:top w:val="single" w:color="CCCCCC" w:sz="4" w:space="0"/>
              <w:left w:val="single" w:color="CCCCCC" w:sz="4" w:space="0"/>
              <w:bottom w:val="single" w:color="CCCCCC" w:sz="4" w:space="0"/>
              <w:right w:val="single" w:color="CCCCCC" w:sz="4" w:space="0"/>
            </w:tcBorders>
            <w:shd w:val="clear" w:color="auto" w:fill="F8F9FA"/>
          </w:tcPr>
          <w:p w14:paraId="3C2EE44E">
            <w:pPr>
              <w:jc w:val="center"/>
              <w:rPr>
                <w:rFonts w:hint="eastAsia" w:ascii="宋体" w:hAnsi="宋体" w:eastAsia="宋体" w:cs="宋体"/>
              </w:rPr>
            </w:pPr>
            <w:r>
              <w:rPr>
                <w:rFonts w:hint="eastAsia" w:ascii="宋体" w:hAnsi="宋体" w:eastAsia="宋体" w:cs="宋体"/>
                <w:color w:val="333333"/>
                <w:sz w:val="18"/>
              </w:rPr>
              <w:t>0%</w:t>
            </w:r>
          </w:p>
        </w:tc>
      </w:tr>
      <w:tr w14:paraId="020D45C6">
        <w:tblPrEx>
          <w:tblCellMar>
            <w:top w:w="0" w:type="dxa"/>
            <w:left w:w="108" w:type="dxa"/>
            <w:bottom w:w="0" w:type="dxa"/>
            <w:right w:w="108" w:type="dxa"/>
          </w:tblCellMar>
        </w:tblPrEx>
        <w:trPr>
          <w:jc w:val="center"/>
        </w:trPr>
        <w:tc>
          <w:tcPr>
            <w:tcW w:w="1984" w:type="dxa"/>
          </w:tcPr>
          <w:p w14:paraId="4078EF49">
            <w:pPr>
              <w:jc w:val="left"/>
              <w:rPr>
                <w:rFonts w:hint="eastAsia" w:ascii="宋体" w:hAnsi="宋体" w:eastAsia="宋体" w:cs="宋体"/>
              </w:rPr>
            </w:pPr>
            <w:r>
              <w:rPr>
                <w:rFonts w:hint="eastAsia" w:ascii="宋体" w:hAnsi="宋体" w:eastAsia="宋体" w:cs="宋体"/>
                <w:color w:val="333333"/>
                <w:sz w:val="18"/>
              </w:rPr>
              <w:t>最佳预测方法</w:t>
            </w:r>
          </w:p>
        </w:tc>
        <w:tc>
          <w:tcPr>
            <w:tcW w:w="3118" w:type="dxa"/>
          </w:tcPr>
          <w:p w14:paraId="796A0AF1">
            <w:pPr>
              <w:jc w:val="center"/>
              <w:rPr>
                <w:rFonts w:hint="eastAsia" w:ascii="宋体" w:hAnsi="宋体" w:eastAsia="宋体" w:cs="宋体"/>
              </w:rPr>
            </w:pPr>
            <w:r>
              <w:rPr>
                <w:rFonts w:hint="eastAsia" w:ascii="宋体" w:hAnsi="宋体" w:eastAsia="宋体" w:cs="宋体"/>
                <w:color w:val="333333"/>
                <w:sz w:val="18"/>
              </w:rPr>
              <w:t>Ridge（资产负债率误差19.2%）</w:t>
            </w:r>
          </w:p>
        </w:tc>
        <w:tc>
          <w:tcPr>
            <w:tcW w:w="3118" w:type="dxa"/>
          </w:tcPr>
          <w:p w14:paraId="62E8BF2E">
            <w:pPr>
              <w:jc w:val="center"/>
              <w:rPr>
                <w:rFonts w:hint="eastAsia" w:ascii="宋体" w:hAnsi="宋体" w:eastAsia="宋体" w:cs="宋体"/>
              </w:rPr>
            </w:pPr>
            <w:r>
              <w:rPr>
                <w:rFonts w:hint="eastAsia" w:ascii="宋体" w:hAnsi="宋体" w:eastAsia="宋体" w:cs="宋体"/>
                <w:color w:val="333333"/>
                <w:sz w:val="18"/>
              </w:rPr>
              <w:t>Ridge（资产负债率误差2.4%）</w:t>
            </w:r>
          </w:p>
        </w:tc>
      </w:tr>
    </w:tbl>
    <w:p w14:paraId="443DF1F0">
      <w:pPr>
        <w:spacing w:after="80"/>
        <w:rPr>
          <w:rFonts w:hint="eastAsia" w:ascii="宋体" w:hAnsi="宋体" w:eastAsia="宋体" w:cs="宋体"/>
        </w:rPr>
      </w:pPr>
    </w:p>
    <w:p w14:paraId="18346577">
      <w:pPr>
        <w:spacing w:before="240" w:after="120"/>
        <w:ind w:left="0"/>
        <w:rPr>
          <w:rFonts w:hint="eastAsia" w:ascii="宋体" w:hAnsi="宋体" w:eastAsia="宋体" w:cs="宋体"/>
        </w:rPr>
      </w:pPr>
      <w:r>
        <w:rPr>
          <w:rFonts w:hint="eastAsia" w:ascii="宋体" w:hAnsi="宋体" w:eastAsia="宋体" w:cs="宋体"/>
          <w:b/>
          <w:color w:val="000000"/>
          <w:sz w:val="28"/>
        </w:rPr>
        <w:t>（二）对赛力斯的建议</w:t>
      </w:r>
    </w:p>
    <w:p w14:paraId="6040FAE2">
      <w:pPr>
        <w:spacing w:after="40" w:line="360" w:lineRule="auto"/>
        <w:ind w:firstLine="420"/>
        <w:rPr>
          <w:rFonts w:hint="eastAsia" w:ascii="宋体" w:hAnsi="宋体" w:eastAsia="宋体" w:cs="宋体"/>
        </w:rPr>
      </w:pPr>
      <w:r>
        <w:rPr>
          <w:rFonts w:hint="eastAsia" w:ascii="宋体" w:hAnsi="宋体" w:eastAsia="宋体" w:cs="宋体"/>
          <w:b w:val="0"/>
          <w:sz w:val="24"/>
        </w:rPr>
        <w:t>第一，降低品牌集中度。问界占比95%意味着任何涉及华为合作策略的变化都可能产生根本性影响。建议通过发展自有品牌或引入第二个合作伙伴，在未来2-3年将集中度降至70%以下。</w:t>
      </w:r>
    </w:p>
    <w:p w14:paraId="2C3BD0FE">
      <w:pPr>
        <w:spacing w:after="40" w:line="360" w:lineRule="auto"/>
        <w:ind w:firstLine="420"/>
        <w:rPr>
          <w:rFonts w:hint="eastAsia" w:ascii="宋体" w:hAnsi="宋体" w:eastAsia="宋体" w:cs="宋体"/>
        </w:rPr>
      </w:pPr>
      <w:r>
        <w:rPr>
          <w:rFonts w:hint="eastAsia" w:ascii="宋体" w:hAnsi="宋体" w:eastAsia="宋体" w:cs="宋体"/>
          <w:b w:val="0"/>
          <w:sz w:val="24"/>
        </w:rPr>
        <w:t>第二，继续推进去杠杆。权益乘数已从7.69降至3.52，但资产负债率70.91%在行业中仍偏高。股权融资替代债务融资是可选路径。</w:t>
      </w:r>
    </w:p>
    <w:p w14:paraId="14A228E8">
      <w:pPr>
        <w:spacing w:after="40" w:line="360" w:lineRule="auto"/>
        <w:ind w:firstLine="420"/>
        <w:rPr>
          <w:rFonts w:hint="eastAsia" w:ascii="宋体" w:hAnsi="宋体" w:eastAsia="宋体" w:cs="宋体"/>
        </w:rPr>
      </w:pPr>
      <w:r>
        <w:rPr>
          <w:rFonts w:hint="eastAsia" w:ascii="宋体" w:hAnsi="宋体" w:eastAsia="宋体" w:cs="宋体"/>
          <w:b w:val="0"/>
          <w:sz w:val="24"/>
        </w:rPr>
        <w:t>第三，关注资产周转效率。周转率贡献-11.2pp说明2025年资产使用效率下降，需分析是产能利用率下降还是库存积压所致。</w:t>
      </w:r>
    </w:p>
    <w:p w14:paraId="16FCB756">
      <w:pPr>
        <w:spacing w:after="40" w:line="360" w:lineRule="auto"/>
        <w:ind w:firstLine="420"/>
        <w:rPr>
          <w:rFonts w:hint="eastAsia" w:ascii="宋体" w:hAnsi="宋体" w:eastAsia="宋体" w:cs="宋体"/>
        </w:rPr>
      </w:pPr>
      <w:r>
        <w:rPr>
          <w:rFonts w:hint="eastAsia" w:ascii="宋体" w:hAnsi="宋体" w:eastAsia="宋体" w:cs="宋体"/>
          <w:b w:val="0"/>
          <w:sz w:val="24"/>
        </w:rPr>
        <w:t>第四，保持净利率改善趋势。净利率3.3%→3.7%是唯一正向贡献因素，与产品结构向高价位M9偏移有关，应继续优化产品结构。</w:t>
      </w:r>
    </w:p>
    <w:p w14:paraId="2A8BEB79">
      <w:pPr>
        <w:spacing w:before="240" w:after="120"/>
        <w:ind w:left="0"/>
        <w:outlineLvl w:val="1"/>
        <w:rPr>
          <w:rFonts w:hint="eastAsia" w:ascii="宋体" w:hAnsi="宋体" w:eastAsia="宋体" w:cs="宋体"/>
        </w:rPr>
      </w:pPr>
      <w:bookmarkStart w:id="55" w:name="_Toc19651"/>
      <w:bookmarkStart w:id="56" w:name="_Toc15754"/>
      <w:r>
        <w:rPr>
          <w:rFonts w:hint="eastAsia" w:ascii="宋体" w:hAnsi="宋体" w:eastAsia="宋体" w:cs="宋体"/>
          <w:b/>
          <w:color w:val="000000"/>
          <w:sz w:val="28"/>
        </w:rPr>
        <w:t>（三）对长安汽车的建议</w:t>
      </w:r>
      <w:bookmarkEnd w:id="55"/>
      <w:bookmarkEnd w:id="56"/>
    </w:p>
    <w:p w14:paraId="02E29EDF">
      <w:pPr>
        <w:spacing w:after="40" w:line="360" w:lineRule="auto"/>
        <w:ind w:firstLine="420"/>
        <w:rPr>
          <w:rFonts w:hint="eastAsia" w:ascii="宋体" w:hAnsi="宋体" w:eastAsia="宋体" w:cs="宋体"/>
        </w:rPr>
      </w:pPr>
      <w:r>
        <w:rPr>
          <w:rFonts w:hint="eastAsia" w:ascii="宋体" w:hAnsi="宋体" w:eastAsia="宋体" w:cs="宋体"/>
          <w:b w:val="0"/>
          <w:sz w:val="24"/>
        </w:rPr>
        <w:t>第一，加快新能源投放。26%的新能源占比在行业中偏低。深蓝品牌在10-20万主流区间有增长潜力，阿维塔需提升品牌认知度。</w:t>
      </w:r>
    </w:p>
    <w:p w14:paraId="5EDF3233">
      <w:pPr>
        <w:spacing w:after="40" w:line="360" w:lineRule="auto"/>
        <w:ind w:firstLine="420"/>
        <w:rPr>
          <w:rFonts w:hint="eastAsia" w:ascii="宋体" w:hAnsi="宋体" w:eastAsia="宋体" w:cs="宋体"/>
        </w:rPr>
      </w:pPr>
      <w:r>
        <w:rPr>
          <w:rFonts w:hint="eastAsia" w:ascii="宋体" w:hAnsi="宋体" w:eastAsia="宋体" w:cs="宋体"/>
          <w:b w:val="0"/>
          <w:sz w:val="24"/>
        </w:rPr>
        <w:t>第二，改善毛利率。1.61%的毛利率意味着每辆车的直接利润空间极小，需要从产品结构和成本控制两端同时改善。</w:t>
      </w:r>
    </w:p>
    <w:p w14:paraId="52B12A47">
      <w:pPr>
        <w:spacing w:after="40" w:line="360" w:lineRule="auto"/>
        <w:ind w:firstLine="420"/>
        <w:rPr>
          <w:rFonts w:hint="eastAsia" w:ascii="宋体" w:hAnsi="宋体" w:eastAsia="宋体" w:cs="宋体"/>
        </w:rPr>
      </w:pPr>
      <w:r>
        <w:rPr>
          <w:rFonts w:hint="eastAsia" w:ascii="宋体" w:hAnsi="宋体" w:eastAsia="宋体" w:cs="宋体"/>
          <w:b w:val="0"/>
          <w:sz w:val="24"/>
        </w:rPr>
        <w:t>第三，增强经营活动现金净流量。18.4亿元的经营活动净流入偏弱，可加强应收账款催收和存货周转管理。</w:t>
      </w:r>
    </w:p>
    <w:p w14:paraId="0455011D">
      <w:pPr>
        <w:spacing w:after="40" w:line="360" w:lineRule="auto"/>
        <w:ind w:firstLine="420"/>
        <w:rPr>
          <w:rFonts w:hint="eastAsia" w:ascii="宋体" w:hAnsi="宋体" w:eastAsia="宋体" w:cs="宋体"/>
        </w:rPr>
      </w:pPr>
      <w:r>
        <w:rPr>
          <w:rFonts w:hint="eastAsia" w:ascii="宋体" w:hAnsi="宋体" w:eastAsia="宋体" w:cs="宋体"/>
          <w:b w:val="0"/>
          <w:sz w:val="24"/>
        </w:rPr>
        <w:t>第四，维持财务稳健优势。Z-score 1.82（第二高）、资产负债率59.61%（低于行业均值）是差异化优势，转型过程中应予以保持。</w:t>
      </w:r>
    </w:p>
    <w:p w14:paraId="2B0CC8BB">
      <w:pPr>
        <w:spacing w:before="240" w:after="120"/>
        <w:ind w:left="0"/>
        <w:outlineLvl w:val="1"/>
        <w:rPr>
          <w:rFonts w:hint="eastAsia" w:ascii="宋体" w:hAnsi="宋体" w:eastAsia="宋体" w:cs="宋体"/>
        </w:rPr>
      </w:pPr>
      <w:bookmarkStart w:id="57" w:name="_Toc29825"/>
      <w:bookmarkStart w:id="58" w:name="_Toc1562"/>
      <w:r>
        <w:rPr>
          <w:rFonts w:hint="eastAsia" w:ascii="宋体" w:hAnsi="宋体" w:eastAsia="宋体" w:cs="宋体"/>
          <w:b/>
          <w:color w:val="000000"/>
          <w:sz w:val="28"/>
        </w:rPr>
        <w:t>（四）研究不足</w:t>
      </w:r>
      <w:bookmarkEnd w:id="57"/>
      <w:bookmarkEnd w:id="58"/>
    </w:p>
    <w:p w14:paraId="7039CD0F">
      <w:pPr>
        <w:spacing w:after="40" w:line="360" w:lineRule="auto"/>
        <w:ind w:firstLine="420"/>
        <w:rPr>
          <w:rFonts w:hint="eastAsia" w:ascii="宋体" w:hAnsi="宋体" w:eastAsia="宋体" w:cs="宋体"/>
        </w:rPr>
      </w:pPr>
      <w:r>
        <w:rPr>
          <w:rFonts w:hint="eastAsia" w:ascii="宋体" w:hAnsi="宋体" w:eastAsia="宋体" w:cs="宋体"/>
          <w:b w:val="0"/>
          <w:sz w:val="24"/>
        </w:rPr>
        <w:t>本研究存在以下局限：样本仅8家A股企业，结论适用范围限于样本内；39个季度观测限制深度学习模型有效性（LSTM在所有测试中R²为负值）；毛利率MAPE极高（&gt;100%至数千%），原因在于实际值接近零时相对误差被不合理放大，后续研究可用MAE替代；Altman Z-score基于1968年美国制造业数据构建，对中国新能源车企的适用性有局限；Prophet因CmdStan运行环境错误未能正常输出；财务报告披露通常滞后2-3个月，2025年报数据反映的是历史情况，对未来的预测包含不确定性。</w:t>
      </w:r>
    </w:p>
    <w:p w14:paraId="5A8B0FE3">
      <w:pPr>
        <w:rPr>
          <w:rFonts w:hint="eastAsia" w:ascii="宋体" w:hAnsi="宋体" w:eastAsia="宋体" w:cs="宋体"/>
        </w:rPr>
      </w:pPr>
      <w:r>
        <w:rPr>
          <w:rFonts w:hint="eastAsia" w:ascii="宋体" w:hAnsi="宋体" w:eastAsia="宋体" w:cs="宋体"/>
        </w:rPr>
        <w:br w:type="page"/>
      </w:r>
    </w:p>
    <w:p w14:paraId="150E2E62">
      <w:pPr>
        <w:spacing w:before="360" w:after="240"/>
        <w:jc w:val="center"/>
        <w:outlineLvl w:val="0"/>
        <w:rPr>
          <w:rFonts w:hint="eastAsia" w:ascii="宋体" w:hAnsi="宋体" w:eastAsia="宋体" w:cs="宋体"/>
        </w:rPr>
      </w:pPr>
      <w:bookmarkStart w:id="59" w:name="_Toc30730"/>
      <w:bookmarkStart w:id="60" w:name="_Toc4321"/>
      <w:r>
        <w:rPr>
          <w:rFonts w:hint="eastAsia" w:ascii="宋体" w:hAnsi="宋体" w:eastAsia="宋体" w:cs="宋体"/>
          <w:b/>
          <w:color w:val="000000"/>
          <w:sz w:val="32"/>
        </w:rPr>
        <w:t>参考文献</w:t>
      </w:r>
      <w:bookmarkEnd w:id="59"/>
      <w:bookmarkEnd w:id="60"/>
    </w:p>
    <w:p w14:paraId="4ACCEE99">
      <w:pPr>
        <w:spacing w:line="360" w:lineRule="auto"/>
        <w:rPr>
          <w:rFonts w:hint="eastAsia" w:ascii="宋体" w:hAnsi="宋体" w:eastAsia="宋体" w:cs="宋体"/>
        </w:rPr>
      </w:pPr>
      <w:r>
        <w:rPr>
          <w:rFonts w:hint="eastAsia" w:ascii="宋体" w:hAnsi="宋体" w:eastAsia="宋体" w:cs="宋体"/>
          <w:sz w:val="21"/>
        </w:rPr>
        <w:t>[1] 郭苏敬, 崔杰, 马会娟, 等. 财务报告分析（微课版）[M]. 北京: 清华大学出版社, 2022.</w:t>
      </w:r>
    </w:p>
    <w:p w14:paraId="44B1CD9E">
      <w:pPr>
        <w:spacing w:line="360" w:lineRule="auto"/>
        <w:rPr>
          <w:rFonts w:hint="eastAsia" w:ascii="宋体" w:hAnsi="宋体" w:eastAsia="宋体" w:cs="宋体"/>
        </w:rPr>
      </w:pPr>
      <w:r>
        <w:rPr>
          <w:rFonts w:hint="eastAsia" w:ascii="宋体" w:hAnsi="宋体" w:eastAsia="宋体" w:cs="宋体"/>
          <w:sz w:val="21"/>
        </w:rPr>
        <w:t>[2] Altman E I. Financial ratios, discriminant analysis and the prediction of corporate bankruptcy[J]. The Journal of Finance, 1968, 23(4): 589-609.</w:t>
      </w:r>
    </w:p>
    <w:p w14:paraId="0774EC90">
      <w:pPr>
        <w:spacing w:line="360" w:lineRule="auto"/>
        <w:rPr>
          <w:rFonts w:hint="eastAsia" w:ascii="宋体" w:hAnsi="宋体" w:eastAsia="宋体" w:cs="宋体"/>
        </w:rPr>
      </w:pPr>
      <w:r>
        <w:rPr>
          <w:rFonts w:hint="eastAsia" w:ascii="宋体" w:hAnsi="宋体" w:eastAsia="宋体" w:cs="宋体"/>
          <w:sz w:val="21"/>
        </w:rPr>
        <w:t>[3] Taylor S J, Letham B. Forecasting at scale[J]. The American Statistician, 2018, 72(1): 37-45.</w:t>
      </w:r>
    </w:p>
    <w:p w14:paraId="70674104">
      <w:pPr>
        <w:spacing w:line="360" w:lineRule="auto"/>
        <w:rPr>
          <w:rFonts w:hint="eastAsia" w:ascii="宋体" w:hAnsi="宋体" w:eastAsia="宋体" w:cs="宋体"/>
        </w:rPr>
      </w:pPr>
      <w:r>
        <w:rPr>
          <w:rFonts w:hint="eastAsia" w:ascii="宋体" w:hAnsi="宋体" w:eastAsia="宋体" w:cs="宋体"/>
          <w:sz w:val="21"/>
        </w:rPr>
        <w:t>[4] Hoerl A E, Kennard R W. Ridge regression: Biased estimation for nonorthogonal problems[J]. Technometrics, 1970, 12(1): 55-67.</w:t>
      </w:r>
    </w:p>
    <w:p w14:paraId="3F728039">
      <w:pPr>
        <w:spacing w:line="360" w:lineRule="auto"/>
        <w:rPr>
          <w:rFonts w:hint="eastAsia" w:ascii="宋体" w:hAnsi="宋体" w:eastAsia="宋体" w:cs="宋体"/>
        </w:rPr>
      </w:pPr>
      <w:r>
        <w:rPr>
          <w:rFonts w:hint="eastAsia" w:ascii="宋体" w:hAnsi="宋体" w:eastAsia="宋体" w:cs="宋体"/>
          <w:sz w:val="21"/>
        </w:rPr>
        <w:t>[5] Liu F T, Ting K M, Zhou Z H. Isolation forest[C]. 2008 Eighth IEEE International Conference on Data Mining, 2008: 413-422.</w:t>
      </w:r>
    </w:p>
    <w:p w14:paraId="270F9459">
      <w:pPr>
        <w:spacing w:line="360" w:lineRule="auto"/>
        <w:rPr>
          <w:rFonts w:hint="eastAsia" w:ascii="宋体" w:hAnsi="宋体" w:eastAsia="宋体" w:cs="宋体"/>
        </w:rPr>
      </w:pPr>
      <w:r>
        <w:rPr>
          <w:rFonts w:hint="eastAsia" w:ascii="宋体" w:hAnsi="宋体" w:eastAsia="宋体" w:cs="宋体"/>
          <w:sz w:val="21"/>
        </w:rPr>
        <w:t>[6] 中国证监会. 上市公司信息披露管理办法[S]. 2021.</w:t>
      </w:r>
    </w:p>
    <w:p w14:paraId="32436A83">
      <w:pPr>
        <w:spacing w:line="360" w:lineRule="auto"/>
        <w:rPr>
          <w:rFonts w:hint="eastAsia" w:ascii="宋体" w:hAnsi="宋体" w:eastAsia="宋体" w:cs="宋体"/>
        </w:rPr>
      </w:pPr>
      <w:r>
        <w:rPr>
          <w:rFonts w:hint="eastAsia" w:ascii="宋体" w:hAnsi="宋体" w:eastAsia="宋体" w:cs="宋体"/>
          <w:sz w:val="21"/>
        </w:rPr>
        <w:t>[7] 财政部. 企业会计准则——基本准则[S]. 2014.</w:t>
      </w:r>
    </w:p>
    <w:p w14:paraId="497C440B">
      <w:pPr>
        <w:spacing w:line="360" w:lineRule="auto"/>
        <w:rPr>
          <w:rFonts w:hint="eastAsia" w:ascii="宋体" w:hAnsi="宋体" w:eastAsia="宋体" w:cs="宋体"/>
        </w:rPr>
      </w:pPr>
      <w:r>
        <w:rPr>
          <w:rFonts w:hint="eastAsia" w:ascii="宋体" w:hAnsi="宋体" w:eastAsia="宋体" w:cs="宋体"/>
          <w:sz w:val="21"/>
        </w:rPr>
        <w:t>[8] AkShare. Python financial data interface[EB/OL]. https://github.com/akfamily/akshare.</w:t>
      </w:r>
    </w:p>
    <w:p w14:paraId="441F702F">
      <w:pPr>
        <w:rPr>
          <w:rFonts w:hint="eastAsia" w:ascii="宋体" w:hAnsi="宋体" w:eastAsia="宋体" w:cs="宋体"/>
        </w:rPr>
      </w:pPr>
      <w:r>
        <w:rPr>
          <w:rFonts w:hint="eastAsia" w:ascii="宋体" w:hAnsi="宋体" w:eastAsia="宋体" w:cs="宋体"/>
        </w:rPr>
        <w:br w:type="page"/>
      </w:r>
    </w:p>
    <w:p w14:paraId="73FD2319">
      <w:pPr>
        <w:spacing w:before="360" w:after="240"/>
        <w:jc w:val="center"/>
        <w:outlineLvl w:val="0"/>
        <w:rPr>
          <w:rFonts w:hint="eastAsia" w:ascii="宋体" w:hAnsi="宋体" w:eastAsia="宋体" w:cs="宋体"/>
        </w:rPr>
      </w:pPr>
      <w:bookmarkStart w:id="61" w:name="_Toc19410"/>
      <w:bookmarkStart w:id="62" w:name="_Toc27674"/>
      <w:r>
        <w:rPr>
          <w:rFonts w:hint="eastAsia" w:ascii="宋体" w:hAnsi="宋体" w:eastAsia="宋体" w:cs="宋体"/>
          <w:b/>
          <w:color w:val="000000"/>
          <w:sz w:val="32"/>
        </w:rPr>
        <w:t>附录A  18项财务指标计算公式</w:t>
      </w:r>
      <w:bookmarkEnd w:id="61"/>
      <w:bookmarkEnd w:id="62"/>
    </w:p>
    <w:tbl>
      <w:tblPr>
        <w:tblStyle w:val="34"/>
        <w:tblW w:w="0" w:type="auto"/>
        <w:jc w:val="center"/>
        <w:tblLayout w:type="autofit"/>
        <w:tblCellMar>
          <w:top w:w="0" w:type="dxa"/>
          <w:left w:w="108" w:type="dxa"/>
          <w:bottom w:w="0" w:type="dxa"/>
          <w:right w:w="108" w:type="dxa"/>
        </w:tblCellMar>
      </w:tblPr>
      <w:tblGrid>
        <w:gridCol w:w="567"/>
        <w:gridCol w:w="1701"/>
        <w:gridCol w:w="3969"/>
        <w:gridCol w:w="1417"/>
      </w:tblGrid>
      <w:tr w14:paraId="5EFD6EF3">
        <w:tblPrEx>
          <w:tblCellMar>
            <w:top w:w="0" w:type="dxa"/>
            <w:left w:w="108" w:type="dxa"/>
            <w:bottom w:w="0" w:type="dxa"/>
            <w:right w:w="108" w:type="dxa"/>
          </w:tblCellMar>
        </w:tblPrEx>
        <w:trPr>
          <w:jc w:val="center"/>
        </w:trPr>
        <w:tc>
          <w:tcPr>
            <w:tcW w:w="567" w:type="dxa"/>
            <w:tcBorders>
              <w:top w:val="single" w:color="2E75B6" w:sz="8" w:space="0"/>
              <w:left w:val="single" w:color="CCCCCC" w:sz="4" w:space="0"/>
              <w:bottom w:val="single" w:color="CCCCCC" w:sz="4" w:space="0"/>
              <w:right w:val="single" w:color="CCCCCC" w:sz="4" w:space="0"/>
            </w:tcBorders>
            <w:shd w:val="clear" w:color="auto" w:fill="D5E8F0"/>
          </w:tcPr>
          <w:p w14:paraId="4ECBDB40">
            <w:pPr>
              <w:jc w:val="center"/>
              <w:rPr>
                <w:rFonts w:hint="eastAsia" w:ascii="宋体" w:hAnsi="宋体" w:eastAsia="宋体" w:cs="宋体"/>
              </w:rPr>
            </w:pPr>
            <w:r>
              <w:rPr>
                <w:rFonts w:hint="eastAsia" w:ascii="宋体" w:hAnsi="宋体" w:eastAsia="宋体" w:cs="宋体"/>
                <w:b/>
                <w:color w:val="1A4789"/>
                <w:sz w:val="18"/>
              </w:rPr>
              <w:t>序号</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1C2E1E4E">
            <w:pPr>
              <w:jc w:val="center"/>
              <w:rPr>
                <w:rFonts w:hint="eastAsia" w:ascii="宋体" w:hAnsi="宋体" w:eastAsia="宋体" w:cs="宋体"/>
              </w:rPr>
            </w:pPr>
            <w:r>
              <w:rPr>
                <w:rFonts w:hint="eastAsia" w:ascii="宋体" w:hAnsi="宋体" w:eastAsia="宋体" w:cs="宋体"/>
                <w:b/>
                <w:color w:val="1A4789"/>
                <w:sz w:val="18"/>
              </w:rPr>
              <w:t>指标名称</w:t>
            </w:r>
          </w:p>
        </w:tc>
        <w:tc>
          <w:tcPr>
            <w:tcW w:w="3969" w:type="dxa"/>
            <w:tcBorders>
              <w:top w:val="single" w:color="2E75B6" w:sz="8" w:space="0"/>
              <w:left w:val="single" w:color="CCCCCC" w:sz="4" w:space="0"/>
              <w:bottom w:val="single" w:color="CCCCCC" w:sz="4" w:space="0"/>
              <w:right w:val="single" w:color="CCCCCC" w:sz="4" w:space="0"/>
            </w:tcBorders>
            <w:shd w:val="clear" w:color="auto" w:fill="D5E8F0"/>
          </w:tcPr>
          <w:p w14:paraId="7A80A114">
            <w:pPr>
              <w:jc w:val="center"/>
              <w:rPr>
                <w:rFonts w:hint="eastAsia" w:ascii="宋体" w:hAnsi="宋体" w:eastAsia="宋体" w:cs="宋体"/>
              </w:rPr>
            </w:pPr>
            <w:r>
              <w:rPr>
                <w:rFonts w:hint="eastAsia" w:ascii="宋体" w:hAnsi="宋体" w:eastAsia="宋体" w:cs="宋体"/>
                <w:b/>
                <w:color w:val="1A4789"/>
                <w:sz w:val="18"/>
              </w:rPr>
              <w:t>计算公式</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10AB038F">
            <w:pPr>
              <w:jc w:val="center"/>
              <w:rPr>
                <w:rFonts w:hint="eastAsia" w:ascii="宋体" w:hAnsi="宋体" w:eastAsia="宋体" w:cs="宋体"/>
              </w:rPr>
            </w:pPr>
            <w:r>
              <w:rPr>
                <w:rFonts w:hint="eastAsia" w:ascii="宋体" w:hAnsi="宋体" w:eastAsia="宋体" w:cs="宋体"/>
                <w:b/>
                <w:color w:val="1A4789"/>
                <w:sz w:val="18"/>
              </w:rPr>
              <w:t>类别</w:t>
            </w:r>
          </w:p>
        </w:tc>
      </w:tr>
      <w:tr w14:paraId="66A8FA15">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768643D1">
            <w:pPr>
              <w:jc w:val="left"/>
              <w:rPr>
                <w:rFonts w:hint="eastAsia" w:ascii="宋体" w:hAnsi="宋体" w:eastAsia="宋体" w:cs="宋体"/>
              </w:rPr>
            </w:pPr>
            <w:r>
              <w:rPr>
                <w:rFonts w:hint="eastAsia" w:ascii="宋体" w:hAnsi="宋体" w:eastAsia="宋体" w:cs="宋体"/>
                <w:color w:val="333333"/>
                <w:sz w:val="18"/>
              </w:rPr>
              <w:t>1</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3B60554">
            <w:pPr>
              <w:jc w:val="center"/>
              <w:rPr>
                <w:rFonts w:hint="eastAsia" w:ascii="宋体" w:hAnsi="宋体" w:eastAsia="宋体" w:cs="宋体"/>
              </w:rPr>
            </w:pPr>
            <w:r>
              <w:rPr>
                <w:rFonts w:hint="eastAsia" w:ascii="宋体" w:hAnsi="宋体" w:eastAsia="宋体" w:cs="宋体"/>
                <w:color w:val="333333"/>
                <w:sz w:val="18"/>
              </w:rPr>
              <w:t>毛利率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79654BBB">
            <w:pPr>
              <w:jc w:val="center"/>
              <w:rPr>
                <w:rFonts w:hint="eastAsia" w:ascii="宋体" w:hAnsi="宋体" w:eastAsia="宋体" w:cs="宋体"/>
              </w:rPr>
            </w:pPr>
            <w:r>
              <w:rPr>
                <w:rFonts w:hint="eastAsia" w:ascii="宋体" w:hAnsi="宋体" w:eastAsia="宋体" w:cs="宋体"/>
                <w:color w:val="333333"/>
                <w:sz w:val="18"/>
              </w:rPr>
              <w:t>1−营业成本÷营业收入</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DBCC8AE">
            <w:pPr>
              <w:jc w:val="center"/>
              <w:rPr>
                <w:rFonts w:hint="eastAsia" w:ascii="宋体" w:hAnsi="宋体" w:eastAsia="宋体" w:cs="宋体"/>
              </w:rPr>
            </w:pPr>
            <w:r>
              <w:rPr>
                <w:rFonts w:hint="eastAsia" w:ascii="宋体" w:hAnsi="宋体" w:eastAsia="宋体" w:cs="宋体"/>
                <w:color w:val="333333"/>
                <w:sz w:val="18"/>
              </w:rPr>
              <w:t>盈利能力</w:t>
            </w:r>
          </w:p>
        </w:tc>
      </w:tr>
      <w:tr w14:paraId="41CC7795">
        <w:tblPrEx>
          <w:tblCellMar>
            <w:top w:w="0" w:type="dxa"/>
            <w:left w:w="108" w:type="dxa"/>
            <w:bottom w:w="0" w:type="dxa"/>
            <w:right w:w="108" w:type="dxa"/>
          </w:tblCellMar>
        </w:tblPrEx>
        <w:trPr>
          <w:jc w:val="center"/>
        </w:trPr>
        <w:tc>
          <w:tcPr>
            <w:tcW w:w="567" w:type="dxa"/>
          </w:tcPr>
          <w:p w14:paraId="0CA6A2A3">
            <w:pPr>
              <w:jc w:val="left"/>
              <w:rPr>
                <w:rFonts w:hint="eastAsia" w:ascii="宋体" w:hAnsi="宋体" w:eastAsia="宋体" w:cs="宋体"/>
              </w:rPr>
            </w:pPr>
            <w:r>
              <w:rPr>
                <w:rFonts w:hint="eastAsia" w:ascii="宋体" w:hAnsi="宋体" w:eastAsia="宋体" w:cs="宋体"/>
                <w:color w:val="333333"/>
                <w:sz w:val="18"/>
              </w:rPr>
              <w:t>2</w:t>
            </w:r>
          </w:p>
        </w:tc>
        <w:tc>
          <w:tcPr>
            <w:tcW w:w="1701" w:type="dxa"/>
          </w:tcPr>
          <w:p w14:paraId="2565B535">
            <w:pPr>
              <w:jc w:val="center"/>
              <w:rPr>
                <w:rFonts w:hint="eastAsia" w:ascii="宋体" w:hAnsi="宋体" w:eastAsia="宋体" w:cs="宋体"/>
              </w:rPr>
            </w:pPr>
            <w:r>
              <w:rPr>
                <w:rFonts w:hint="eastAsia" w:ascii="宋体" w:hAnsi="宋体" w:eastAsia="宋体" w:cs="宋体"/>
                <w:color w:val="333333"/>
                <w:sz w:val="18"/>
              </w:rPr>
              <w:t>营业利润率</w:t>
            </w:r>
          </w:p>
        </w:tc>
        <w:tc>
          <w:tcPr>
            <w:tcW w:w="3969" w:type="dxa"/>
          </w:tcPr>
          <w:p w14:paraId="0B4FC412">
            <w:pPr>
              <w:jc w:val="center"/>
              <w:rPr>
                <w:rFonts w:hint="eastAsia" w:ascii="宋体" w:hAnsi="宋体" w:eastAsia="宋体" w:cs="宋体"/>
              </w:rPr>
            </w:pPr>
            <w:r>
              <w:rPr>
                <w:rFonts w:hint="eastAsia" w:ascii="宋体" w:hAnsi="宋体" w:eastAsia="宋体" w:cs="宋体"/>
                <w:color w:val="333333"/>
                <w:sz w:val="18"/>
              </w:rPr>
              <w:t>营业利润÷营业收入</w:t>
            </w:r>
          </w:p>
        </w:tc>
        <w:tc>
          <w:tcPr>
            <w:tcW w:w="1417" w:type="dxa"/>
          </w:tcPr>
          <w:p w14:paraId="570EA33B">
            <w:pPr>
              <w:jc w:val="center"/>
              <w:rPr>
                <w:rFonts w:hint="eastAsia" w:ascii="宋体" w:hAnsi="宋体" w:eastAsia="宋体" w:cs="宋体"/>
              </w:rPr>
            </w:pPr>
            <w:r>
              <w:rPr>
                <w:rFonts w:hint="eastAsia" w:ascii="宋体" w:hAnsi="宋体" w:eastAsia="宋体" w:cs="宋体"/>
                <w:color w:val="333333"/>
                <w:sz w:val="18"/>
              </w:rPr>
              <w:t>盈利能力</w:t>
            </w:r>
          </w:p>
        </w:tc>
      </w:tr>
      <w:tr w14:paraId="06E7A1C3">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1D86C335">
            <w:pPr>
              <w:jc w:val="left"/>
              <w:rPr>
                <w:rFonts w:hint="eastAsia" w:ascii="宋体" w:hAnsi="宋体" w:eastAsia="宋体" w:cs="宋体"/>
              </w:rPr>
            </w:pPr>
            <w:r>
              <w:rPr>
                <w:rFonts w:hint="eastAsia" w:ascii="宋体" w:hAnsi="宋体" w:eastAsia="宋体" w:cs="宋体"/>
                <w:color w:val="333333"/>
                <w:sz w:val="18"/>
              </w:rPr>
              <w:t>3</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741EDA3E">
            <w:pPr>
              <w:jc w:val="center"/>
              <w:rPr>
                <w:rFonts w:hint="eastAsia" w:ascii="宋体" w:hAnsi="宋体" w:eastAsia="宋体" w:cs="宋体"/>
              </w:rPr>
            </w:pPr>
            <w:r>
              <w:rPr>
                <w:rFonts w:hint="eastAsia" w:ascii="宋体" w:hAnsi="宋体" w:eastAsia="宋体" w:cs="宋体"/>
                <w:color w:val="333333"/>
                <w:sz w:val="18"/>
              </w:rPr>
              <w:t>净利润率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57896F86">
            <w:pPr>
              <w:jc w:val="center"/>
              <w:rPr>
                <w:rFonts w:hint="eastAsia" w:ascii="宋体" w:hAnsi="宋体" w:eastAsia="宋体" w:cs="宋体"/>
              </w:rPr>
            </w:pPr>
            <w:r>
              <w:rPr>
                <w:rFonts w:hint="eastAsia" w:ascii="宋体" w:hAnsi="宋体" w:eastAsia="宋体" w:cs="宋体"/>
                <w:color w:val="333333"/>
                <w:sz w:val="18"/>
              </w:rPr>
              <w:t>净利润÷营业收入</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A00E19C">
            <w:pPr>
              <w:jc w:val="center"/>
              <w:rPr>
                <w:rFonts w:hint="eastAsia" w:ascii="宋体" w:hAnsi="宋体" w:eastAsia="宋体" w:cs="宋体"/>
              </w:rPr>
            </w:pPr>
            <w:r>
              <w:rPr>
                <w:rFonts w:hint="eastAsia" w:ascii="宋体" w:hAnsi="宋体" w:eastAsia="宋体" w:cs="宋体"/>
                <w:color w:val="333333"/>
                <w:sz w:val="18"/>
              </w:rPr>
              <w:t>盈利能力</w:t>
            </w:r>
          </w:p>
        </w:tc>
      </w:tr>
      <w:tr w14:paraId="534FC23F">
        <w:tblPrEx>
          <w:tblCellMar>
            <w:top w:w="0" w:type="dxa"/>
            <w:left w:w="108" w:type="dxa"/>
            <w:bottom w:w="0" w:type="dxa"/>
            <w:right w:w="108" w:type="dxa"/>
          </w:tblCellMar>
        </w:tblPrEx>
        <w:trPr>
          <w:jc w:val="center"/>
        </w:trPr>
        <w:tc>
          <w:tcPr>
            <w:tcW w:w="567" w:type="dxa"/>
          </w:tcPr>
          <w:p w14:paraId="79036DE4">
            <w:pPr>
              <w:jc w:val="left"/>
              <w:rPr>
                <w:rFonts w:hint="eastAsia" w:ascii="宋体" w:hAnsi="宋体" w:eastAsia="宋体" w:cs="宋体"/>
              </w:rPr>
            </w:pPr>
            <w:r>
              <w:rPr>
                <w:rFonts w:hint="eastAsia" w:ascii="宋体" w:hAnsi="宋体" w:eastAsia="宋体" w:cs="宋体"/>
                <w:color w:val="333333"/>
                <w:sz w:val="18"/>
              </w:rPr>
              <w:t>4</w:t>
            </w:r>
          </w:p>
        </w:tc>
        <w:tc>
          <w:tcPr>
            <w:tcW w:w="1701" w:type="dxa"/>
          </w:tcPr>
          <w:p w14:paraId="7E088F21">
            <w:pPr>
              <w:jc w:val="center"/>
              <w:rPr>
                <w:rFonts w:hint="eastAsia" w:ascii="宋体" w:hAnsi="宋体" w:eastAsia="宋体" w:cs="宋体"/>
              </w:rPr>
            </w:pPr>
            <w:r>
              <w:rPr>
                <w:rFonts w:hint="eastAsia" w:ascii="宋体" w:hAnsi="宋体" w:eastAsia="宋体" w:cs="宋体"/>
                <w:color w:val="333333"/>
                <w:sz w:val="18"/>
              </w:rPr>
              <w:t>净资产收益率</w:t>
            </w:r>
          </w:p>
        </w:tc>
        <w:tc>
          <w:tcPr>
            <w:tcW w:w="3969" w:type="dxa"/>
          </w:tcPr>
          <w:p w14:paraId="7829BD0C">
            <w:pPr>
              <w:jc w:val="center"/>
              <w:rPr>
                <w:rFonts w:hint="eastAsia" w:ascii="宋体" w:hAnsi="宋体" w:eastAsia="宋体" w:cs="宋体"/>
              </w:rPr>
            </w:pPr>
            <w:r>
              <w:rPr>
                <w:rFonts w:hint="eastAsia" w:ascii="宋体" w:hAnsi="宋体" w:eastAsia="宋体" w:cs="宋体"/>
                <w:color w:val="333333"/>
                <w:sz w:val="18"/>
              </w:rPr>
              <w:t>2×归属母公司净利润÷(期初权益+期末权益)</w:t>
            </w:r>
          </w:p>
        </w:tc>
        <w:tc>
          <w:tcPr>
            <w:tcW w:w="1417" w:type="dxa"/>
          </w:tcPr>
          <w:p w14:paraId="0E73B8DB">
            <w:pPr>
              <w:jc w:val="center"/>
              <w:rPr>
                <w:rFonts w:hint="eastAsia" w:ascii="宋体" w:hAnsi="宋体" w:eastAsia="宋体" w:cs="宋体"/>
              </w:rPr>
            </w:pPr>
            <w:r>
              <w:rPr>
                <w:rFonts w:hint="eastAsia" w:ascii="宋体" w:hAnsi="宋体" w:eastAsia="宋体" w:cs="宋体"/>
                <w:color w:val="333333"/>
                <w:sz w:val="18"/>
              </w:rPr>
              <w:t>盈利能力</w:t>
            </w:r>
          </w:p>
        </w:tc>
      </w:tr>
      <w:tr w14:paraId="408E46F3">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4EDA3805">
            <w:pPr>
              <w:jc w:val="left"/>
              <w:rPr>
                <w:rFonts w:hint="eastAsia" w:ascii="宋体" w:hAnsi="宋体" w:eastAsia="宋体" w:cs="宋体"/>
              </w:rPr>
            </w:pPr>
            <w:r>
              <w:rPr>
                <w:rFonts w:hint="eastAsia" w:ascii="宋体" w:hAnsi="宋体" w:eastAsia="宋体" w:cs="宋体"/>
                <w:color w:val="333333"/>
                <w:sz w:val="18"/>
              </w:rPr>
              <w:t>5</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4F22D444">
            <w:pPr>
              <w:jc w:val="center"/>
              <w:rPr>
                <w:rFonts w:hint="eastAsia" w:ascii="宋体" w:hAnsi="宋体" w:eastAsia="宋体" w:cs="宋体"/>
              </w:rPr>
            </w:pPr>
            <w:r>
              <w:rPr>
                <w:rFonts w:hint="eastAsia" w:ascii="宋体" w:hAnsi="宋体" w:eastAsia="宋体" w:cs="宋体"/>
                <w:color w:val="333333"/>
                <w:sz w:val="18"/>
              </w:rPr>
              <w:t>存货周转率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1D0064CB">
            <w:pPr>
              <w:jc w:val="center"/>
              <w:rPr>
                <w:rFonts w:hint="eastAsia" w:ascii="宋体" w:hAnsi="宋体" w:eastAsia="宋体" w:cs="宋体"/>
              </w:rPr>
            </w:pPr>
            <w:r>
              <w:rPr>
                <w:rFonts w:hint="eastAsia" w:ascii="宋体" w:hAnsi="宋体" w:eastAsia="宋体" w:cs="宋体"/>
                <w:color w:val="333333"/>
                <w:sz w:val="18"/>
              </w:rPr>
              <w:t>2×营业成本÷(期初存货+期末存货)</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0E6A9DD">
            <w:pPr>
              <w:jc w:val="center"/>
              <w:rPr>
                <w:rFonts w:hint="eastAsia" w:ascii="宋体" w:hAnsi="宋体" w:eastAsia="宋体" w:cs="宋体"/>
              </w:rPr>
            </w:pPr>
            <w:r>
              <w:rPr>
                <w:rFonts w:hint="eastAsia" w:ascii="宋体" w:hAnsi="宋体" w:eastAsia="宋体" w:cs="宋体"/>
                <w:color w:val="333333"/>
                <w:sz w:val="18"/>
              </w:rPr>
              <w:t>营运能力</w:t>
            </w:r>
          </w:p>
        </w:tc>
      </w:tr>
      <w:tr w14:paraId="303AC386">
        <w:tblPrEx>
          <w:tblCellMar>
            <w:top w:w="0" w:type="dxa"/>
            <w:left w:w="108" w:type="dxa"/>
            <w:bottom w:w="0" w:type="dxa"/>
            <w:right w:w="108" w:type="dxa"/>
          </w:tblCellMar>
        </w:tblPrEx>
        <w:trPr>
          <w:jc w:val="center"/>
        </w:trPr>
        <w:tc>
          <w:tcPr>
            <w:tcW w:w="567" w:type="dxa"/>
          </w:tcPr>
          <w:p w14:paraId="22042AC5">
            <w:pPr>
              <w:jc w:val="left"/>
              <w:rPr>
                <w:rFonts w:hint="eastAsia" w:ascii="宋体" w:hAnsi="宋体" w:eastAsia="宋体" w:cs="宋体"/>
              </w:rPr>
            </w:pPr>
            <w:r>
              <w:rPr>
                <w:rFonts w:hint="eastAsia" w:ascii="宋体" w:hAnsi="宋体" w:eastAsia="宋体" w:cs="宋体"/>
                <w:color w:val="333333"/>
                <w:sz w:val="18"/>
              </w:rPr>
              <w:t>6</w:t>
            </w:r>
          </w:p>
        </w:tc>
        <w:tc>
          <w:tcPr>
            <w:tcW w:w="1701" w:type="dxa"/>
          </w:tcPr>
          <w:p w14:paraId="25E73798">
            <w:pPr>
              <w:jc w:val="center"/>
              <w:rPr>
                <w:rFonts w:hint="eastAsia" w:ascii="宋体" w:hAnsi="宋体" w:eastAsia="宋体" w:cs="宋体"/>
              </w:rPr>
            </w:pPr>
            <w:r>
              <w:rPr>
                <w:rFonts w:hint="eastAsia" w:ascii="宋体" w:hAnsi="宋体" w:eastAsia="宋体" w:cs="宋体"/>
                <w:color w:val="333333"/>
                <w:sz w:val="18"/>
              </w:rPr>
              <w:t>总资产周转率</w:t>
            </w:r>
          </w:p>
        </w:tc>
        <w:tc>
          <w:tcPr>
            <w:tcW w:w="3969" w:type="dxa"/>
          </w:tcPr>
          <w:p w14:paraId="371738E0">
            <w:pPr>
              <w:jc w:val="center"/>
              <w:rPr>
                <w:rFonts w:hint="eastAsia" w:ascii="宋体" w:hAnsi="宋体" w:eastAsia="宋体" w:cs="宋体"/>
              </w:rPr>
            </w:pPr>
            <w:r>
              <w:rPr>
                <w:rFonts w:hint="eastAsia" w:ascii="宋体" w:hAnsi="宋体" w:eastAsia="宋体" w:cs="宋体"/>
                <w:color w:val="333333"/>
                <w:sz w:val="18"/>
              </w:rPr>
              <w:t>2×营业收入÷(期初总资产+期末总资产)</w:t>
            </w:r>
          </w:p>
        </w:tc>
        <w:tc>
          <w:tcPr>
            <w:tcW w:w="1417" w:type="dxa"/>
          </w:tcPr>
          <w:p w14:paraId="1A4008E9">
            <w:pPr>
              <w:jc w:val="center"/>
              <w:rPr>
                <w:rFonts w:hint="eastAsia" w:ascii="宋体" w:hAnsi="宋体" w:eastAsia="宋体" w:cs="宋体"/>
              </w:rPr>
            </w:pPr>
            <w:r>
              <w:rPr>
                <w:rFonts w:hint="eastAsia" w:ascii="宋体" w:hAnsi="宋体" w:eastAsia="宋体" w:cs="宋体"/>
                <w:color w:val="333333"/>
                <w:sz w:val="18"/>
              </w:rPr>
              <w:t>营运能力</w:t>
            </w:r>
          </w:p>
        </w:tc>
      </w:tr>
      <w:tr w14:paraId="78342592">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4A0EC800">
            <w:pPr>
              <w:jc w:val="left"/>
              <w:rPr>
                <w:rFonts w:hint="eastAsia" w:ascii="宋体" w:hAnsi="宋体" w:eastAsia="宋体" w:cs="宋体"/>
              </w:rPr>
            </w:pPr>
            <w:r>
              <w:rPr>
                <w:rFonts w:hint="eastAsia" w:ascii="宋体" w:hAnsi="宋体" w:eastAsia="宋体" w:cs="宋体"/>
                <w:color w:val="333333"/>
                <w:sz w:val="18"/>
              </w:rPr>
              <w:t>7</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26A450D7">
            <w:pPr>
              <w:jc w:val="center"/>
              <w:rPr>
                <w:rFonts w:hint="eastAsia" w:ascii="宋体" w:hAnsi="宋体" w:eastAsia="宋体" w:cs="宋体"/>
              </w:rPr>
            </w:pPr>
            <w:r>
              <w:rPr>
                <w:rFonts w:hint="eastAsia" w:ascii="宋体" w:hAnsi="宋体" w:eastAsia="宋体" w:cs="宋体"/>
                <w:color w:val="333333"/>
                <w:sz w:val="18"/>
              </w:rPr>
              <w:t>应收账款周转率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22B1E443">
            <w:pPr>
              <w:jc w:val="center"/>
              <w:rPr>
                <w:rFonts w:hint="eastAsia" w:ascii="宋体" w:hAnsi="宋体" w:eastAsia="宋体" w:cs="宋体"/>
              </w:rPr>
            </w:pPr>
            <w:r>
              <w:rPr>
                <w:rFonts w:hint="eastAsia" w:ascii="宋体" w:hAnsi="宋体" w:eastAsia="宋体" w:cs="宋体"/>
                <w:color w:val="333333"/>
                <w:sz w:val="18"/>
              </w:rPr>
              <w:t>2×营业收入÷(期初应收+期末应收)</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5371937">
            <w:pPr>
              <w:jc w:val="center"/>
              <w:rPr>
                <w:rFonts w:hint="eastAsia" w:ascii="宋体" w:hAnsi="宋体" w:eastAsia="宋体" w:cs="宋体"/>
              </w:rPr>
            </w:pPr>
            <w:r>
              <w:rPr>
                <w:rFonts w:hint="eastAsia" w:ascii="宋体" w:hAnsi="宋体" w:eastAsia="宋体" w:cs="宋体"/>
                <w:color w:val="333333"/>
                <w:sz w:val="18"/>
              </w:rPr>
              <w:t>营运能力</w:t>
            </w:r>
          </w:p>
        </w:tc>
      </w:tr>
      <w:tr w14:paraId="125C1ACB">
        <w:tblPrEx>
          <w:tblCellMar>
            <w:top w:w="0" w:type="dxa"/>
            <w:left w:w="108" w:type="dxa"/>
            <w:bottom w:w="0" w:type="dxa"/>
            <w:right w:w="108" w:type="dxa"/>
          </w:tblCellMar>
        </w:tblPrEx>
        <w:trPr>
          <w:jc w:val="center"/>
        </w:trPr>
        <w:tc>
          <w:tcPr>
            <w:tcW w:w="567" w:type="dxa"/>
          </w:tcPr>
          <w:p w14:paraId="259B7DBD">
            <w:pPr>
              <w:jc w:val="left"/>
              <w:rPr>
                <w:rFonts w:hint="eastAsia" w:ascii="宋体" w:hAnsi="宋体" w:eastAsia="宋体" w:cs="宋体"/>
              </w:rPr>
            </w:pPr>
            <w:r>
              <w:rPr>
                <w:rFonts w:hint="eastAsia" w:ascii="宋体" w:hAnsi="宋体" w:eastAsia="宋体" w:cs="宋体"/>
                <w:color w:val="333333"/>
                <w:sz w:val="18"/>
              </w:rPr>
              <w:t>8</w:t>
            </w:r>
          </w:p>
        </w:tc>
        <w:tc>
          <w:tcPr>
            <w:tcW w:w="1701" w:type="dxa"/>
          </w:tcPr>
          <w:p w14:paraId="08BD611C">
            <w:pPr>
              <w:jc w:val="center"/>
              <w:rPr>
                <w:rFonts w:hint="eastAsia" w:ascii="宋体" w:hAnsi="宋体" w:eastAsia="宋体" w:cs="宋体"/>
              </w:rPr>
            </w:pPr>
            <w:r>
              <w:rPr>
                <w:rFonts w:hint="eastAsia" w:ascii="宋体" w:hAnsi="宋体" w:eastAsia="宋体" w:cs="宋体"/>
                <w:color w:val="333333"/>
                <w:sz w:val="18"/>
              </w:rPr>
              <w:t>流动比率</w:t>
            </w:r>
          </w:p>
        </w:tc>
        <w:tc>
          <w:tcPr>
            <w:tcW w:w="3969" w:type="dxa"/>
          </w:tcPr>
          <w:p w14:paraId="1FCA0D06">
            <w:pPr>
              <w:jc w:val="center"/>
              <w:rPr>
                <w:rFonts w:hint="eastAsia" w:ascii="宋体" w:hAnsi="宋体" w:eastAsia="宋体" w:cs="宋体"/>
              </w:rPr>
            </w:pPr>
            <w:r>
              <w:rPr>
                <w:rFonts w:hint="eastAsia" w:ascii="宋体" w:hAnsi="宋体" w:eastAsia="宋体" w:cs="宋体"/>
                <w:color w:val="333333"/>
                <w:sz w:val="18"/>
              </w:rPr>
              <w:t>流动资产÷流动负债</w:t>
            </w:r>
          </w:p>
        </w:tc>
        <w:tc>
          <w:tcPr>
            <w:tcW w:w="1417" w:type="dxa"/>
          </w:tcPr>
          <w:p w14:paraId="3FAE7C39">
            <w:pPr>
              <w:jc w:val="center"/>
              <w:rPr>
                <w:rFonts w:hint="eastAsia" w:ascii="宋体" w:hAnsi="宋体" w:eastAsia="宋体" w:cs="宋体"/>
              </w:rPr>
            </w:pPr>
            <w:r>
              <w:rPr>
                <w:rFonts w:hint="eastAsia" w:ascii="宋体" w:hAnsi="宋体" w:eastAsia="宋体" w:cs="宋体"/>
                <w:color w:val="333333"/>
                <w:sz w:val="18"/>
              </w:rPr>
              <w:t>偿债能力</w:t>
            </w:r>
          </w:p>
        </w:tc>
      </w:tr>
      <w:tr w14:paraId="3024C8FC">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218D4EEF">
            <w:pPr>
              <w:jc w:val="left"/>
              <w:rPr>
                <w:rFonts w:hint="eastAsia" w:ascii="宋体" w:hAnsi="宋体" w:eastAsia="宋体" w:cs="宋体"/>
              </w:rPr>
            </w:pPr>
            <w:r>
              <w:rPr>
                <w:rFonts w:hint="eastAsia" w:ascii="宋体" w:hAnsi="宋体" w:eastAsia="宋体" w:cs="宋体"/>
                <w:color w:val="333333"/>
                <w:sz w:val="18"/>
              </w:rPr>
              <w:t>9</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4FDDEFF7">
            <w:pPr>
              <w:jc w:val="center"/>
              <w:rPr>
                <w:rFonts w:hint="eastAsia" w:ascii="宋体" w:hAnsi="宋体" w:eastAsia="宋体" w:cs="宋体"/>
              </w:rPr>
            </w:pPr>
            <w:r>
              <w:rPr>
                <w:rFonts w:hint="eastAsia" w:ascii="宋体" w:hAnsi="宋体" w:eastAsia="宋体" w:cs="宋体"/>
                <w:color w:val="333333"/>
                <w:sz w:val="18"/>
              </w:rPr>
              <w:t>速动比率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66CAD68E">
            <w:pPr>
              <w:jc w:val="center"/>
              <w:rPr>
                <w:rFonts w:hint="eastAsia" w:ascii="宋体" w:hAnsi="宋体" w:eastAsia="宋体" w:cs="宋体"/>
              </w:rPr>
            </w:pPr>
            <w:r>
              <w:rPr>
                <w:rFonts w:hint="eastAsia" w:ascii="宋体" w:hAnsi="宋体" w:eastAsia="宋体" w:cs="宋体"/>
                <w:color w:val="333333"/>
                <w:sz w:val="18"/>
              </w:rPr>
              <w:t>(流动资产−存货−预付账款)÷流动负债</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9D65594">
            <w:pPr>
              <w:jc w:val="center"/>
              <w:rPr>
                <w:rFonts w:hint="eastAsia" w:ascii="宋体" w:hAnsi="宋体" w:eastAsia="宋体" w:cs="宋体"/>
              </w:rPr>
            </w:pPr>
            <w:r>
              <w:rPr>
                <w:rFonts w:hint="eastAsia" w:ascii="宋体" w:hAnsi="宋体" w:eastAsia="宋体" w:cs="宋体"/>
                <w:color w:val="333333"/>
                <w:sz w:val="18"/>
              </w:rPr>
              <w:t>偿债能力</w:t>
            </w:r>
          </w:p>
        </w:tc>
      </w:tr>
      <w:tr w14:paraId="180D26CA">
        <w:tblPrEx>
          <w:tblCellMar>
            <w:top w:w="0" w:type="dxa"/>
            <w:left w:w="108" w:type="dxa"/>
            <w:bottom w:w="0" w:type="dxa"/>
            <w:right w:w="108" w:type="dxa"/>
          </w:tblCellMar>
        </w:tblPrEx>
        <w:trPr>
          <w:jc w:val="center"/>
        </w:trPr>
        <w:tc>
          <w:tcPr>
            <w:tcW w:w="567" w:type="dxa"/>
          </w:tcPr>
          <w:p w14:paraId="77935930">
            <w:pPr>
              <w:jc w:val="left"/>
              <w:rPr>
                <w:rFonts w:hint="eastAsia" w:ascii="宋体" w:hAnsi="宋体" w:eastAsia="宋体" w:cs="宋体"/>
              </w:rPr>
            </w:pPr>
            <w:r>
              <w:rPr>
                <w:rFonts w:hint="eastAsia" w:ascii="宋体" w:hAnsi="宋体" w:eastAsia="宋体" w:cs="宋体"/>
                <w:color w:val="333333"/>
                <w:sz w:val="18"/>
              </w:rPr>
              <w:t>10</w:t>
            </w:r>
          </w:p>
        </w:tc>
        <w:tc>
          <w:tcPr>
            <w:tcW w:w="1701" w:type="dxa"/>
          </w:tcPr>
          <w:p w14:paraId="75001B6D">
            <w:pPr>
              <w:jc w:val="center"/>
              <w:rPr>
                <w:rFonts w:hint="eastAsia" w:ascii="宋体" w:hAnsi="宋体" w:eastAsia="宋体" w:cs="宋体"/>
              </w:rPr>
            </w:pPr>
            <w:r>
              <w:rPr>
                <w:rFonts w:hint="eastAsia" w:ascii="宋体" w:hAnsi="宋体" w:eastAsia="宋体" w:cs="宋体"/>
                <w:color w:val="333333"/>
                <w:sz w:val="18"/>
              </w:rPr>
              <w:t>利息保障倍数</w:t>
            </w:r>
          </w:p>
        </w:tc>
        <w:tc>
          <w:tcPr>
            <w:tcW w:w="3969" w:type="dxa"/>
          </w:tcPr>
          <w:p w14:paraId="1A79BD3E">
            <w:pPr>
              <w:jc w:val="center"/>
              <w:rPr>
                <w:rFonts w:hint="eastAsia" w:ascii="宋体" w:hAnsi="宋体" w:eastAsia="宋体" w:cs="宋体"/>
              </w:rPr>
            </w:pPr>
            <w:r>
              <w:rPr>
                <w:rFonts w:hint="eastAsia" w:ascii="宋体" w:hAnsi="宋体" w:eastAsia="宋体" w:cs="宋体"/>
                <w:color w:val="333333"/>
                <w:sz w:val="18"/>
              </w:rPr>
              <w:t>(营业利润+利息费用)÷利息费用</w:t>
            </w:r>
          </w:p>
        </w:tc>
        <w:tc>
          <w:tcPr>
            <w:tcW w:w="1417" w:type="dxa"/>
          </w:tcPr>
          <w:p w14:paraId="4C1FCB91">
            <w:pPr>
              <w:jc w:val="center"/>
              <w:rPr>
                <w:rFonts w:hint="eastAsia" w:ascii="宋体" w:hAnsi="宋体" w:eastAsia="宋体" w:cs="宋体"/>
              </w:rPr>
            </w:pPr>
            <w:r>
              <w:rPr>
                <w:rFonts w:hint="eastAsia" w:ascii="宋体" w:hAnsi="宋体" w:eastAsia="宋体" w:cs="宋体"/>
                <w:color w:val="333333"/>
                <w:sz w:val="18"/>
              </w:rPr>
              <w:t>偿债能力</w:t>
            </w:r>
          </w:p>
        </w:tc>
      </w:tr>
      <w:tr w14:paraId="65C6ED86">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73741859">
            <w:pPr>
              <w:jc w:val="left"/>
              <w:rPr>
                <w:rFonts w:hint="eastAsia" w:ascii="宋体" w:hAnsi="宋体" w:eastAsia="宋体" w:cs="宋体"/>
              </w:rPr>
            </w:pPr>
            <w:r>
              <w:rPr>
                <w:rFonts w:hint="eastAsia" w:ascii="宋体" w:hAnsi="宋体" w:eastAsia="宋体" w:cs="宋体"/>
                <w:color w:val="333333"/>
                <w:sz w:val="18"/>
              </w:rPr>
              <w:t>11</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615516F">
            <w:pPr>
              <w:jc w:val="center"/>
              <w:rPr>
                <w:rFonts w:hint="eastAsia" w:ascii="宋体" w:hAnsi="宋体" w:eastAsia="宋体" w:cs="宋体"/>
              </w:rPr>
            </w:pPr>
            <w:r>
              <w:rPr>
                <w:rFonts w:hint="eastAsia" w:ascii="宋体" w:hAnsi="宋体" w:eastAsia="宋体" w:cs="宋体"/>
                <w:color w:val="333333"/>
                <w:sz w:val="18"/>
              </w:rPr>
              <w:t>资产负债率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23BEBC98">
            <w:pPr>
              <w:jc w:val="center"/>
              <w:rPr>
                <w:rFonts w:hint="eastAsia" w:ascii="宋体" w:hAnsi="宋体" w:eastAsia="宋体" w:cs="宋体"/>
              </w:rPr>
            </w:pPr>
            <w:r>
              <w:rPr>
                <w:rFonts w:hint="eastAsia" w:ascii="宋体" w:hAnsi="宋体" w:eastAsia="宋体" w:cs="宋体"/>
                <w:color w:val="333333"/>
                <w:sz w:val="18"/>
              </w:rPr>
              <w:t>负债合计÷资产合计</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BEA6CBD">
            <w:pPr>
              <w:jc w:val="center"/>
              <w:rPr>
                <w:rFonts w:hint="eastAsia" w:ascii="宋体" w:hAnsi="宋体" w:eastAsia="宋体" w:cs="宋体"/>
              </w:rPr>
            </w:pPr>
            <w:r>
              <w:rPr>
                <w:rFonts w:hint="eastAsia" w:ascii="宋体" w:hAnsi="宋体" w:eastAsia="宋体" w:cs="宋体"/>
                <w:color w:val="333333"/>
                <w:sz w:val="18"/>
              </w:rPr>
              <w:t>偿债能力</w:t>
            </w:r>
          </w:p>
        </w:tc>
      </w:tr>
      <w:tr w14:paraId="5B198DA0">
        <w:tblPrEx>
          <w:tblCellMar>
            <w:top w:w="0" w:type="dxa"/>
            <w:left w:w="108" w:type="dxa"/>
            <w:bottom w:w="0" w:type="dxa"/>
            <w:right w:w="108" w:type="dxa"/>
          </w:tblCellMar>
        </w:tblPrEx>
        <w:trPr>
          <w:jc w:val="center"/>
        </w:trPr>
        <w:tc>
          <w:tcPr>
            <w:tcW w:w="567" w:type="dxa"/>
          </w:tcPr>
          <w:p w14:paraId="156C28DA">
            <w:pPr>
              <w:jc w:val="left"/>
              <w:rPr>
                <w:rFonts w:hint="eastAsia" w:ascii="宋体" w:hAnsi="宋体" w:eastAsia="宋体" w:cs="宋体"/>
              </w:rPr>
            </w:pPr>
            <w:r>
              <w:rPr>
                <w:rFonts w:hint="eastAsia" w:ascii="宋体" w:hAnsi="宋体" w:eastAsia="宋体" w:cs="宋体"/>
                <w:color w:val="333333"/>
                <w:sz w:val="18"/>
              </w:rPr>
              <w:t>12</w:t>
            </w:r>
          </w:p>
        </w:tc>
        <w:tc>
          <w:tcPr>
            <w:tcW w:w="1701" w:type="dxa"/>
          </w:tcPr>
          <w:p w14:paraId="37B56144">
            <w:pPr>
              <w:jc w:val="center"/>
              <w:rPr>
                <w:rFonts w:hint="eastAsia" w:ascii="宋体" w:hAnsi="宋体" w:eastAsia="宋体" w:cs="宋体"/>
              </w:rPr>
            </w:pPr>
            <w:r>
              <w:rPr>
                <w:rFonts w:hint="eastAsia" w:ascii="宋体" w:hAnsi="宋体" w:eastAsia="宋体" w:cs="宋体"/>
                <w:color w:val="333333"/>
                <w:sz w:val="18"/>
              </w:rPr>
              <w:t>营业收入增长率</w:t>
            </w:r>
          </w:p>
        </w:tc>
        <w:tc>
          <w:tcPr>
            <w:tcW w:w="3969" w:type="dxa"/>
          </w:tcPr>
          <w:p w14:paraId="71E77296">
            <w:pPr>
              <w:jc w:val="center"/>
              <w:rPr>
                <w:rFonts w:hint="eastAsia" w:ascii="宋体" w:hAnsi="宋体" w:eastAsia="宋体" w:cs="宋体"/>
              </w:rPr>
            </w:pPr>
            <w:r>
              <w:rPr>
                <w:rFonts w:hint="eastAsia" w:ascii="宋体" w:hAnsi="宋体" w:eastAsia="宋体" w:cs="宋体"/>
                <w:color w:val="333333"/>
                <w:sz w:val="18"/>
              </w:rPr>
              <w:t>营业收入÷上期营业收入−1</w:t>
            </w:r>
          </w:p>
        </w:tc>
        <w:tc>
          <w:tcPr>
            <w:tcW w:w="1417" w:type="dxa"/>
          </w:tcPr>
          <w:p w14:paraId="6C417EA8">
            <w:pPr>
              <w:jc w:val="center"/>
              <w:rPr>
                <w:rFonts w:hint="eastAsia" w:ascii="宋体" w:hAnsi="宋体" w:eastAsia="宋体" w:cs="宋体"/>
              </w:rPr>
            </w:pPr>
            <w:r>
              <w:rPr>
                <w:rFonts w:hint="eastAsia" w:ascii="宋体" w:hAnsi="宋体" w:eastAsia="宋体" w:cs="宋体"/>
                <w:color w:val="333333"/>
                <w:sz w:val="18"/>
              </w:rPr>
              <w:t>成长能力</w:t>
            </w:r>
          </w:p>
        </w:tc>
      </w:tr>
      <w:tr w14:paraId="7F695F31">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5E663158">
            <w:pPr>
              <w:jc w:val="left"/>
              <w:rPr>
                <w:rFonts w:hint="eastAsia" w:ascii="宋体" w:hAnsi="宋体" w:eastAsia="宋体" w:cs="宋体"/>
              </w:rPr>
            </w:pPr>
            <w:r>
              <w:rPr>
                <w:rFonts w:hint="eastAsia" w:ascii="宋体" w:hAnsi="宋体" w:eastAsia="宋体" w:cs="宋体"/>
                <w:color w:val="333333"/>
                <w:sz w:val="18"/>
              </w:rPr>
              <w:t>13</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17D4F54">
            <w:pPr>
              <w:jc w:val="center"/>
              <w:rPr>
                <w:rFonts w:hint="eastAsia" w:ascii="宋体" w:hAnsi="宋体" w:eastAsia="宋体" w:cs="宋体"/>
              </w:rPr>
            </w:pPr>
            <w:r>
              <w:rPr>
                <w:rFonts w:hint="eastAsia" w:ascii="宋体" w:hAnsi="宋体" w:eastAsia="宋体" w:cs="宋体"/>
                <w:color w:val="333333"/>
                <w:sz w:val="18"/>
              </w:rPr>
              <w:t>营业利润增长率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01F669CE">
            <w:pPr>
              <w:jc w:val="center"/>
              <w:rPr>
                <w:rFonts w:hint="eastAsia" w:ascii="宋体" w:hAnsi="宋体" w:eastAsia="宋体" w:cs="宋体"/>
              </w:rPr>
            </w:pPr>
            <w:r>
              <w:rPr>
                <w:rFonts w:hint="eastAsia" w:ascii="宋体" w:hAnsi="宋体" w:eastAsia="宋体" w:cs="宋体"/>
                <w:color w:val="333333"/>
                <w:sz w:val="18"/>
              </w:rPr>
              <w:t>营业利润÷上期营业利润−1</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AAE5182">
            <w:pPr>
              <w:jc w:val="center"/>
              <w:rPr>
                <w:rFonts w:hint="eastAsia" w:ascii="宋体" w:hAnsi="宋体" w:eastAsia="宋体" w:cs="宋体"/>
              </w:rPr>
            </w:pPr>
            <w:r>
              <w:rPr>
                <w:rFonts w:hint="eastAsia" w:ascii="宋体" w:hAnsi="宋体" w:eastAsia="宋体" w:cs="宋体"/>
                <w:color w:val="333333"/>
                <w:sz w:val="18"/>
              </w:rPr>
              <w:t>成长能力</w:t>
            </w:r>
          </w:p>
        </w:tc>
      </w:tr>
      <w:tr w14:paraId="575B4F01">
        <w:tblPrEx>
          <w:tblCellMar>
            <w:top w:w="0" w:type="dxa"/>
            <w:left w:w="108" w:type="dxa"/>
            <w:bottom w:w="0" w:type="dxa"/>
            <w:right w:w="108" w:type="dxa"/>
          </w:tblCellMar>
        </w:tblPrEx>
        <w:trPr>
          <w:jc w:val="center"/>
        </w:trPr>
        <w:tc>
          <w:tcPr>
            <w:tcW w:w="567" w:type="dxa"/>
          </w:tcPr>
          <w:p w14:paraId="4E82818B">
            <w:pPr>
              <w:jc w:val="left"/>
              <w:rPr>
                <w:rFonts w:hint="eastAsia" w:ascii="宋体" w:hAnsi="宋体" w:eastAsia="宋体" w:cs="宋体"/>
              </w:rPr>
            </w:pPr>
            <w:r>
              <w:rPr>
                <w:rFonts w:hint="eastAsia" w:ascii="宋体" w:hAnsi="宋体" w:eastAsia="宋体" w:cs="宋体"/>
                <w:color w:val="333333"/>
                <w:sz w:val="18"/>
              </w:rPr>
              <w:t>14</w:t>
            </w:r>
          </w:p>
        </w:tc>
        <w:tc>
          <w:tcPr>
            <w:tcW w:w="1701" w:type="dxa"/>
          </w:tcPr>
          <w:p w14:paraId="7F592F84">
            <w:pPr>
              <w:jc w:val="center"/>
              <w:rPr>
                <w:rFonts w:hint="eastAsia" w:ascii="宋体" w:hAnsi="宋体" w:eastAsia="宋体" w:cs="宋体"/>
              </w:rPr>
            </w:pPr>
            <w:r>
              <w:rPr>
                <w:rFonts w:hint="eastAsia" w:ascii="宋体" w:hAnsi="宋体" w:eastAsia="宋体" w:cs="宋体"/>
                <w:color w:val="333333"/>
                <w:sz w:val="18"/>
              </w:rPr>
              <w:t>净利润增长率</w:t>
            </w:r>
          </w:p>
        </w:tc>
        <w:tc>
          <w:tcPr>
            <w:tcW w:w="3969" w:type="dxa"/>
          </w:tcPr>
          <w:p w14:paraId="7F07D853">
            <w:pPr>
              <w:jc w:val="center"/>
              <w:rPr>
                <w:rFonts w:hint="eastAsia" w:ascii="宋体" w:hAnsi="宋体" w:eastAsia="宋体" w:cs="宋体"/>
              </w:rPr>
            </w:pPr>
            <w:r>
              <w:rPr>
                <w:rFonts w:hint="eastAsia" w:ascii="宋体" w:hAnsi="宋体" w:eastAsia="宋体" w:cs="宋体"/>
                <w:color w:val="333333"/>
                <w:sz w:val="18"/>
              </w:rPr>
              <w:t>净利润÷上期净利润−1</w:t>
            </w:r>
          </w:p>
        </w:tc>
        <w:tc>
          <w:tcPr>
            <w:tcW w:w="1417" w:type="dxa"/>
          </w:tcPr>
          <w:p w14:paraId="544EDDB0">
            <w:pPr>
              <w:jc w:val="center"/>
              <w:rPr>
                <w:rFonts w:hint="eastAsia" w:ascii="宋体" w:hAnsi="宋体" w:eastAsia="宋体" w:cs="宋体"/>
              </w:rPr>
            </w:pPr>
            <w:r>
              <w:rPr>
                <w:rFonts w:hint="eastAsia" w:ascii="宋体" w:hAnsi="宋体" w:eastAsia="宋体" w:cs="宋体"/>
                <w:color w:val="333333"/>
                <w:sz w:val="18"/>
              </w:rPr>
              <w:t>成长能力</w:t>
            </w:r>
          </w:p>
        </w:tc>
      </w:tr>
      <w:tr w14:paraId="2B8C8696">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7B5FE1BD">
            <w:pPr>
              <w:jc w:val="left"/>
              <w:rPr>
                <w:rFonts w:hint="eastAsia" w:ascii="宋体" w:hAnsi="宋体" w:eastAsia="宋体" w:cs="宋体"/>
              </w:rPr>
            </w:pPr>
            <w:r>
              <w:rPr>
                <w:rFonts w:hint="eastAsia" w:ascii="宋体" w:hAnsi="宋体" w:eastAsia="宋体" w:cs="宋体"/>
                <w:color w:val="333333"/>
                <w:sz w:val="18"/>
              </w:rPr>
              <w:t>15</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E7C6ADC">
            <w:pPr>
              <w:jc w:val="center"/>
              <w:rPr>
                <w:rFonts w:hint="eastAsia" w:ascii="宋体" w:hAnsi="宋体" w:eastAsia="宋体" w:cs="宋体"/>
              </w:rPr>
            </w:pPr>
            <w:r>
              <w:rPr>
                <w:rFonts w:hint="eastAsia" w:ascii="宋体" w:hAnsi="宋体" w:eastAsia="宋体" w:cs="宋体"/>
                <w:color w:val="333333"/>
                <w:sz w:val="18"/>
              </w:rPr>
              <w:t>有息负债率</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50B2541D">
            <w:pPr>
              <w:jc w:val="center"/>
              <w:rPr>
                <w:rFonts w:hint="eastAsia" w:ascii="宋体" w:hAnsi="宋体" w:eastAsia="宋体" w:cs="宋体"/>
              </w:rPr>
            </w:pPr>
            <w:r>
              <w:rPr>
                <w:rFonts w:hint="eastAsia" w:ascii="宋体" w:hAnsi="宋体" w:eastAsia="宋体" w:cs="宋体"/>
                <w:color w:val="333333"/>
                <w:sz w:val="18"/>
              </w:rPr>
              <w:t>(短期借款+长期借款+应付债券+一年内到期非流动负债)÷资产合计</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0B967B5">
            <w:pPr>
              <w:jc w:val="center"/>
              <w:rPr>
                <w:rFonts w:hint="eastAsia" w:ascii="宋体" w:hAnsi="宋体" w:eastAsia="宋体" w:cs="宋体"/>
              </w:rPr>
            </w:pPr>
            <w:r>
              <w:rPr>
                <w:rFonts w:hint="eastAsia" w:ascii="宋体" w:hAnsi="宋体" w:eastAsia="宋体" w:cs="宋体"/>
                <w:color w:val="333333"/>
                <w:sz w:val="18"/>
              </w:rPr>
              <w:t>补充指标</w:t>
            </w:r>
          </w:p>
        </w:tc>
      </w:tr>
      <w:tr w14:paraId="333666DF">
        <w:tblPrEx>
          <w:tblCellMar>
            <w:top w:w="0" w:type="dxa"/>
            <w:left w:w="108" w:type="dxa"/>
            <w:bottom w:w="0" w:type="dxa"/>
            <w:right w:w="108" w:type="dxa"/>
          </w:tblCellMar>
        </w:tblPrEx>
        <w:trPr>
          <w:jc w:val="center"/>
        </w:trPr>
        <w:tc>
          <w:tcPr>
            <w:tcW w:w="567" w:type="dxa"/>
          </w:tcPr>
          <w:p w14:paraId="7003F1BF">
            <w:pPr>
              <w:jc w:val="left"/>
              <w:rPr>
                <w:rFonts w:hint="eastAsia" w:ascii="宋体" w:hAnsi="宋体" w:eastAsia="宋体" w:cs="宋体"/>
              </w:rPr>
            </w:pPr>
            <w:r>
              <w:rPr>
                <w:rFonts w:hint="eastAsia" w:ascii="宋体" w:hAnsi="宋体" w:eastAsia="宋体" w:cs="宋体"/>
                <w:color w:val="333333"/>
                <w:sz w:val="18"/>
              </w:rPr>
              <w:t>16</w:t>
            </w:r>
          </w:p>
        </w:tc>
        <w:tc>
          <w:tcPr>
            <w:tcW w:w="1701" w:type="dxa"/>
          </w:tcPr>
          <w:p w14:paraId="3D56B29B">
            <w:pPr>
              <w:jc w:val="center"/>
              <w:rPr>
                <w:rFonts w:hint="eastAsia" w:ascii="宋体" w:hAnsi="宋体" w:eastAsia="宋体" w:cs="宋体"/>
              </w:rPr>
            </w:pPr>
            <w:r>
              <w:rPr>
                <w:rFonts w:hint="eastAsia" w:ascii="宋体" w:hAnsi="宋体" w:eastAsia="宋体" w:cs="宋体"/>
                <w:color w:val="333333"/>
                <w:sz w:val="18"/>
              </w:rPr>
              <w:t>经营现金净流量/营收</w:t>
            </w:r>
          </w:p>
        </w:tc>
        <w:tc>
          <w:tcPr>
            <w:tcW w:w="3969" w:type="dxa"/>
          </w:tcPr>
          <w:p w14:paraId="1CEA3611">
            <w:pPr>
              <w:jc w:val="center"/>
              <w:rPr>
                <w:rFonts w:hint="eastAsia" w:ascii="宋体" w:hAnsi="宋体" w:eastAsia="宋体" w:cs="宋体"/>
              </w:rPr>
            </w:pPr>
            <w:r>
              <w:rPr>
                <w:rFonts w:hint="eastAsia" w:ascii="宋体" w:hAnsi="宋体" w:eastAsia="宋体" w:cs="宋体"/>
                <w:color w:val="333333"/>
                <w:sz w:val="18"/>
              </w:rPr>
              <w:t>经营活动现金净流量÷营业收入</w:t>
            </w:r>
          </w:p>
        </w:tc>
        <w:tc>
          <w:tcPr>
            <w:tcW w:w="1417" w:type="dxa"/>
          </w:tcPr>
          <w:p w14:paraId="62FB5501">
            <w:pPr>
              <w:jc w:val="center"/>
              <w:rPr>
                <w:rFonts w:hint="eastAsia" w:ascii="宋体" w:hAnsi="宋体" w:eastAsia="宋体" w:cs="宋体"/>
              </w:rPr>
            </w:pPr>
            <w:r>
              <w:rPr>
                <w:rFonts w:hint="eastAsia" w:ascii="宋体" w:hAnsi="宋体" w:eastAsia="宋体" w:cs="宋体"/>
                <w:color w:val="333333"/>
                <w:sz w:val="18"/>
              </w:rPr>
              <w:t>补充指标</w:t>
            </w:r>
          </w:p>
        </w:tc>
      </w:tr>
      <w:tr w14:paraId="60BC88B5">
        <w:tblPrEx>
          <w:tblCellMar>
            <w:top w:w="0" w:type="dxa"/>
            <w:left w:w="108" w:type="dxa"/>
            <w:bottom w:w="0" w:type="dxa"/>
            <w:right w:w="108" w:type="dxa"/>
          </w:tblCellMar>
        </w:tblPrEx>
        <w:trPr>
          <w:jc w:val="center"/>
        </w:trPr>
        <w:tc>
          <w:tcPr>
            <w:tcW w:w="567" w:type="dxa"/>
            <w:tcBorders>
              <w:top w:val="single" w:color="CCCCCC" w:sz="4" w:space="0"/>
              <w:left w:val="single" w:color="CCCCCC" w:sz="4" w:space="0"/>
              <w:bottom w:val="single" w:color="CCCCCC" w:sz="4" w:space="0"/>
              <w:right w:val="single" w:color="CCCCCC" w:sz="4" w:space="0"/>
            </w:tcBorders>
            <w:shd w:val="clear" w:color="auto" w:fill="F8F9FA"/>
          </w:tcPr>
          <w:p w14:paraId="1D85DA39">
            <w:pPr>
              <w:jc w:val="left"/>
              <w:rPr>
                <w:rFonts w:hint="eastAsia" w:ascii="宋体" w:hAnsi="宋体" w:eastAsia="宋体" w:cs="宋体"/>
              </w:rPr>
            </w:pPr>
            <w:r>
              <w:rPr>
                <w:rFonts w:hint="eastAsia" w:ascii="宋体" w:hAnsi="宋体" w:eastAsia="宋体" w:cs="宋体"/>
                <w:color w:val="333333"/>
                <w:sz w:val="18"/>
              </w:rPr>
              <w:t>17</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3DF2B35D">
            <w:pPr>
              <w:jc w:val="center"/>
              <w:rPr>
                <w:rFonts w:hint="eastAsia" w:ascii="宋体" w:hAnsi="宋体" w:eastAsia="宋体" w:cs="宋体"/>
              </w:rPr>
            </w:pPr>
            <w:r>
              <w:rPr>
                <w:rFonts w:hint="eastAsia" w:ascii="宋体" w:hAnsi="宋体" w:eastAsia="宋体" w:cs="宋体"/>
                <w:color w:val="333333"/>
                <w:sz w:val="18"/>
              </w:rPr>
              <w:t>权益乘数</w:t>
            </w:r>
          </w:p>
        </w:tc>
        <w:tc>
          <w:tcPr>
            <w:tcW w:w="3969" w:type="dxa"/>
            <w:tcBorders>
              <w:top w:val="single" w:color="CCCCCC" w:sz="4" w:space="0"/>
              <w:left w:val="single" w:color="CCCCCC" w:sz="4" w:space="0"/>
              <w:bottom w:val="single" w:color="CCCCCC" w:sz="4" w:space="0"/>
              <w:right w:val="single" w:color="CCCCCC" w:sz="4" w:space="0"/>
            </w:tcBorders>
            <w:shd w:val="clear" w:color="auto" w:fill="F8F9FA"/>
          </w:tcPr>
          <w:p w14:paraId="20052B5E">
            <w:pPr>
              <w:jc w:val="center"/>
              <w:rPr>
                <w:rFonts w:hint="eastAsia" w:ascii="宋体" w:hAnsi="宋体" w:eastAsia="宋体" w:cs="宋体"/>
              </w:rPr>
            </w:pPr>
            <w:r>
              <w:rPr>
                <w:rFonts w:hint="eastAsia" w:ascii="宋体" w:hAnsi="宋体" w:eastAsia="宋体" w:cs="宋体"/>
                <w:color w:val="333333"/>
                <w:sz w:val="18"/>
              </w:rPr>
              <w:t>资产合计÷归属母公司所有者权益</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3AF562B1">
            <w:pPr>
              <w:jc w:val="center"/>
              <w:rPr>
                <w:rFonts w:hint="eastAsia" w:ascii="宋体" w:hAnsi="宋体" w:eastAsia="宋体" w:cs="宋体"/>
              </w:rPr>
            </w:pPr>
            <w:r>
              <w:rPr>
                <w:rFonts w:hint="eastAsia" w:ascii="宋体" w:hAnsi="宋体" w:eastAsia="宋体" w:cs="宋体"/>
                <w:color w:val="333333"/>
                <w:sz w:val="18"/>
              </w:rPr>
              <w:t>补充指标</w:t>
            </w:r>
          </w:p>
        </w:tc>
      </w:tr>
      <w:tr w14:paraId="2F5DE461">
        <w:tblPrEx>
          <w:tblCellMar>
            <w:top w:w="0" w:type="dxa"/>
            <w:left w:w="108" w:type="dxa"/>
            <w:bottom w:w="0" w:type="dxa"/>
            <w:right w:w="108" w:type="dxa"/>
          </w:tblCellMar>
        </w:tblPrEx>
        <w:trPr>
          <w:jc w:val="center"/>
        </w:trPr>
        <w:tc>
          <w:tcPr>
            <w:tcW w:w="567" w:type="dxa"/>
          </w:tcPr>
          <w:p w14:paraId="482FCC6D">
            <w:pPr>
              <w:jc w:val="left"/>
              <w:rPr>
                <w:rFonts w:hint="eastAsia" w:ascii="宋体" w:hAnsi="宋体" w:eastAsia="宋体" w:cs="宋体"/>
              </w:rPr>
            </w:pPr>
            <w:r>
              <w:rPr>
                <w:rFonts w:hint="eastAsia" w:ascii="宋体" w:hAnsi="宋体" w:eastAsia="宋体" w:cs="宋体"/>
                <w:color w:val="333333"/>
                <w:sz w:val="18"/>
              </w:rPr>
              <w:t>18</w:t>
            </w:r>
          </w:p>
        </w:tc>
        <w:tc>
          <w:tcPr>
            <w:tcW w:w="1701" w:type="dxa"/>
          </w:tcPr>
          <w:p w14:paraId="353176C5">
            <w:pPr>
              <w:jc w:val="center"/>
              <w:rPr>
                <w:rFonts w:hint="eastAsia" w:ascii="宋体" w:hAnsi="宋体" w:eastAsia="宋体" w:cs="宋体"/>
              </w:rPr>
            </w:pPr>
            <w:r>
              <w:rPr>
                <w:rFonts w:hint="eastAsia" w:ascii="宋体" w:hAnsi="宋体" w:eastAsia="宋体" w:cs="宋体"/>
                <w:color w:val="333333"/>
                <w:sz w:val="18"/>
              </w:rPr>
              <w:t>货币资金占比</w:t>
            </w:r>
          </w:p>
        </w:tc>
        <w:tc>
          <w:tcPr>
            <w:tcW w:w="3969" w:type="dxa"/>
          </w:tcPr>
          <w:p w14:paraId="4939E78C">
            <w:pPr>
              <w:jc w:val="center"/>
              <w:rPr>
                <w:rFonts w:hint="eastAsia" w:ascii="宋体" w:hAnsi="宋体" w:eastAsia="宋体" w:cs="宋体"/>
              </w:rPr>
            </w:pPr>
            <w:r>
              <w:rPr>
                <w:rFonts w:hint="eastAsia" w:ascii="宋体" w:hAnsi="宋体" w:eastAsia="宋体" w:cs="宋体"/>
                <w:color w:val="333333"/>
                <w:sz w:val="18"/>
              </w:rPr>
              <w:t>货币资金÷资产合计</w:t>
            </w:r>
          </w:p>
        </w:tc>
        <w:tc>
          <w:tcPr>
            <w:tcW w:w="1417" w:type="dxa"/>
          </w:tcPr>
          <w:p w14:paraId="74FCD2D6">
            <w:pPr>
              <w:jc w:val="center"/>
              <w:rPr>
                <w:rFonts w:hint="eastAsia" w:ascii="宋体" w:hAnsi="宋体" w:eastAsia="宋体" w:cs="宋体"/>
              </w:rPr>
            </w:pPr>
            <w:r>
              <w:rPr>
                <w:rFonts w:hint="eastAsia" w:ascii="宋体" w:hAnsi="宋体" w:eastAsia="宋体" w:cs="宋体"/>
                <w:color w:val="333333"/>
                <w:sz w:val="18"/>
              </w:rPr>
              <w:t>补充指标</w:t>
            </w:r>
          </w:p>
        </w:tc>
      </w:tr>
    </w:tbl>
    <w:p w14:paraId="7AE682A3">
      <w:pPr>
        <w:spacing w:after="80"/>
        <w:rPr>
          <w:rFonts w:hint="eastAsia" w:ascii="宋体" w:hAnsi="宋体" w:eastAsia="宋体" w:cs="宋体"/>
        </w:rPr>
      </w:pPr>
    </w:p>
    <w:p w14:paraId="14C0D55F">
      <w:pPr>
        <w:rPr>
          <w:rFonts w:hint="eastAsia" w:ascii="宋体" w:hAnsi="宋体" w:eastAsia="宋体" w:cs="宋体"/>
        </w:rPr>
      </w:pPr>
      <w:r>
        <w:rPr>
          <w:rFonts w:hint="eastAsia" w:ascii="宋体" w:hAnsi="宋体" w:eastAsia="宋体" w:cs="宋体"/>
        </w:rPr>
        <w:br w:type="page"/>
      </w:r>
    </w:p>
    <w:p w14:paraId="0956C456">
      <w:pPr>
        <w:spacing w:before="360" w:after="240"/>
        <w:jc w:val="center"/>
        <w:outlineLvl w:val="0"/>
        <w:rPr>
          <w:rFonts w:hint="eastAsia" w:ascii="宋体" w:hAnsi="宋体" w:eastAsia="宋体" w:cs="宋体"/>
        </w:rPr>
      </w:pPr>
      <w:bookmarkStart w:id="63" w:name="_Toc2366"/>
      <w:bookmarkStart w:id="64" w:name="_Toc11505"/>
      <w:r>
        <w:rPr>
          <w:rFonts w:hint="eastAsia" w:ascii="宋体" w:hAnsi="宋体" w:eastAsia="宋体" w:cs="宋体"/>
          <w:b/>
          <w:color w:val="000000"/>
          <w:sz w:val="32"/>
        </w:rPr>
        <w:t>附录B  六种预测方法参数设置</w:t>
      </w:r>
      <w:bookmarkEnd w:id="63"/>
      <w:bookmarkEnd w:id="64"/>
    </w:p>
    <w:tbl>
      <w:tblPr>
        <w:tblStyle w:val="34"/>
        <w:tblW w:w="0" w:type="auto"/>
        <w:jc w:val="center"/>
        <w:tblLayout w:type="autofit"/>
        <w:tblCellMar>
          <w:top w:w="0" w:type="dxa"/>
          <w:left w:w="108" w:type="dxa"/>
          <w:bottom w:w="0" w:type="dxa"/>
          <w:right w:w="108" w:type="dxa"/>
        </w:tblCellMar>
      </w:tblPr>
      <w:tblGrid>
        <w:gridCol w:w="1417"/>
        <w:gridCol w:w="1746"/>
        <w:gridCol w:w="2736"/>
        <w:gridCol w:w="2835"/>
      </w:tblGrid>
      <w:tr w14:paraId="01C02AEB">
        <w:tblPrEx>
          <w:tblCellMar>
            <w:top w:w="0" w:type="dxa"/>
            <w:left w:w="108" w:type="dxa"/>
            <w:bottom w:w="0" w:type="dxa"/>
            <w:right w:w="108" w:type="dxa"/>
          </w:tblCellMar>
        </w:tblPrEx>
        <w:trPr>
          <w:jc w:val="center"/>
        </w:trPr>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673E09A2">
            <w:pPr>
              <w:jc w:val="center"/>
              <w:rPr>
                <w:rFonts w:hint="eastAsia" w:ascii="宋体" w:hAnsi="宋体" w:eastAsia="宋体" w:cs="宋体"/>
              </w:rPr>
            </w:pPr>
            <w:r>
              <w:rPr>
                <w:rFonts w:hint="eastAsia" w:ascii="宋体" w:hAnsi="宋体" w:eastAsia="宋体" w:cs="宋体"/>
                <w:b/>
                <w:color w:val="1A4789"/>
                <w:sz w:val="18"/>
              </w:rPr>
              <w:t>方法</w:t>
            </w:r>
          </w:p>
        </w:tc>
        <w:tc>
          <w:tcPr>
            <w:tcW w:w="1417" w:type="dxa"/>
            <w:tcBorders>
              <w:top w:val="single" w:color="2E75B6" w:sz="8" w:space="0"/>
              <w:left w:val="single" w:color="CCCCCC" w:sz="4" w:space="0"/>
              <w:bottom w:val="single" w:color="CCCCCC" w:sz="4" w:space="0"/>
              <w:right w:val="single" w:color="CCCCCC" w:sz="4" w:space="0"/>
            </w:tcBorders>
            <w:shd w:val="clear" w:color="auto" w:fill="D5E8F0"/>
          </w:tcPr>
          <w:p w14:paraId="41EA37B0">
            <w:pPr>
              <w:jc w:val="center"/>
              <w:rPr>
                <w:rFonts w:hint="eastAsia" w:ascii="宋体" w:hAnsi="宋体" w:eastAsia="宋体" w:cs="宋体"/>
              </w:rPr>
            </w:pPr>
            <w:r>
              <w:rPr>
                <w:rFonts w:hint="eastAsia" w:ascii="宋体" w:hAnsi="宋体" w:eastAsia="宋体" w:cs="宋体"/>
                <w:b/>
                <w:color w:val="1A4789"/>
                <w:sz w:val="18"/>
              </w:rPr>
              <w:t>实现库</w:t>
            </w:r>
          </w:p>
        </w:tc>
        <w:tc>
          <w:tcPr>
            <w:tcW w:w="1701" w:type="dxa"/>
            <w:tcBorders>
              <w:top w:val="single" w:color="2E75B6" w:sz="8" w:space="0"/>
              <w:left w:val="single" w:color="CCCCCC" w:sz="4" w:space="0"/>
              <w:bottom w:val="single" w:color="CCCCCC" w:sz="4" w:space="0"/>
              <w:right w:val="single" w:color="CCCCCC" w:sz="4" w:space="0"/>
            </w:tcBorders>
            <w:shd w:val="clear" w:color="auto" w:fill="D5E8F0"/>
          </w:tcPr>
          <w:p w14:paraId="70E6892C">
            <w:pPr>
              <w:jc w:val="center"/>
              <w:rPr>
                <w:rFonts w:hint="eastAsia" w:ascii="宋体" w:hAnsi="宋体" w:eastAsia="宋体" w:cs="宋体"/>
              </w:rPr>
            </w:pPr>
            <w:r>
              <w:rPr>
                <w:rFonts w:hint="eastAsia" w:ascii="宋体" w:hAnsi="宋体" w:eastAsia="宋体" w:cs="宋体"/>
                <w:b/>
                <w:color w:val="1A4789"/>
                <w:sz w:val="18"/>
              </w:rPr>
              <w:t>超参数</w:t>
            </w:r>
          </w:p>
        </w:tc>
        <w:tc>
          <w:tcPr>
            <w:tcW w:w="2835" w:type="dxa"/>
            <w:tcBorders>
              <w:top w:val="single" w:color="2E75B6" w:sz="8" w:space="0"/>
              <w:left w:val="single" w:color="CCCCCC" w:sz="4" w:space="0"/>
              <w:bottom w:val="single" w:color="CCCCCC" w:sz="4" w:space="0"/>
              <w:right w:val="single" w:color="CCCCCC" w:sz="4" w:space="0"/>
            </w:tcBorders>
            <w:shd w:val="clear" w:color="auto" w:fill="D5E8F0"/>
          </w:tcPr>
          <w:p w14:paraId="20021D35">
            <w:pPr>
              <w:jc w:val="center"/>
              <w:rPr>
                <w:rFonts w:hint="eastAsia" w:ascii="宋体" w:hAnsi="宋体" w:eastAsia="宋体" w:cs="宋体"/>
              </w:rPr>
            </w:pPr>
            <w:r>
              <w:rPr>
                <w:rFonts w:hint="eastAsia" w:ascii="宋体" w:hAnsi="宋体" w:eastAsia="宋体" w:cs="宋体"/>
                <w:b/>
                <w:color w:val="1A4789"/>
                <w:sz w:val="18"/>
              </w:rPr>
              <w:t>说明</w:t>
            </w:r>
          </w:p>
        </w:tc>
      </w:tr>
      <w:tr w14:paraId="11988FCF">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0D230C69">
            <w:pPr>
              <w:jc w:val="left"/>
              <w:rPr>
                <w:rFonts w:hint="eastAsia" w:ascii="宋体" w:hAnsi="宋体" w:eastAsia="宋体" w:cs="宋体"/>
              </w:rPr>
            </w:pPr>
            <w:r>
              <w:rPr>
                <w:rFonts w:hint="eastAsia" w:ascii="宋体" w:hAnsi="宋体" w:eastAsia="宋体" w:cs="宋体"/>
                <w:color w:val="333333"/>
                <w:sz w:val="18"/>
              </w:rPr>
              <w:t>Ridge回归</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43C2CAF3">
            <w:pPr>
              <w:jc w:val="center"/>
              <w:rPr>
                <w:rFonts w:hint="eastAsia" w:ascii="宋体" w:hAnsi="宋体" w:eastAsia="宋体" w:cs="宋体"/>
              </w:rPr>
            </w:pPr>
            <w:r>
              <w:rPr>
                <w:rFonts w:hint="eastAsia" w:ascii="宋体" w:hAnsi="宋体" w:eastAsia="宋体" w:cs="宋体"/>
                <w:color w:val="333333"/>
                <w:sz w:val="18"/>
              </w:rPr>
              <w:t>sklearn</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3196EA6">
            <w:pPr>
              <w:jc w:val="center"/>
              <w:rPr>
                <w:rFonts w:hint="eastAsia" w:ascii="宋体" w:hAnsi="宋体" w:eastAsia="宋体" w:cs="宋体"/>
              </w:rPr>
            </w:pPr>
            <w:r>
              <w:rPr>
                <w:rFonts w:hint="eastAsia" w:ascii="宋体" w:hAnsi="宋体" w:eastAsia="宋体" w:cs="宋体"/>
                <w:color w:val="333333"/>
                <w:sz w:val="18"/>
              </w:rPr>
              <w:t>degree=2, alpha=1.0, include_seasonality=True</w:t>
            </w:r>
          </w:p>
        </w:tc>
        <w:tc>
          <w:tcPr>
            <w:tcW w:w="2835" w:type="dxa"/>
            <w:tcBorders>
              <w:top w:val="single" w:color="CCCCCC" w:sz="4" w:space="0"/>
              <w:left w:val="single" w:color="CCCCCC" w:sz="4" w:space="0"/>
              <w:bottom w:val="single" w:color="CCCCCC" w:sz="4" w:space="0"/>
              <w:right w:val="single" w:color="CCCCCC" w:sz="4" w:space="0"/>
            </w:tcBorders>
            <w:shd w:val="clear" w:color="auto" w:fill="F8F9FA"/>
          </w:tcPr>
          <w:p w14:paraId="597320AE">
            <w:pPr>
              <w:jc w:val="center"/>
              <w:rPr>
                <w:rFonts w:hint="eastAsia" w:ascii="宋体" w:hAnsi="宋体" w:eastAsia="宋体" w:cs="宋体"/>
              </w:rPr>
            </w:pPr>
            <w:r>
              <w:rPr>
                <w:rFonts w:hint="eastAsia" w:ascii="宋体" w:hAnsi="宋体" w:eastAsia="宋体" w:cs="宋体"/>
                <w:color w:val="333333"/>
                <w:sz w:val="18"/>
              </w:rPr>
              <w:t>L2正则化+二次多项式+季度季节性哑变量</w:t>
            </w:r>
          </w:p>
        </w:tc>
      </w:tr>
      <w:tr w14:paraId="49FF40F2">
        <w:tblPrEx>
          <w:tblCellMar>
            <w:top w:w="0" w:type="dxa"/>
            <w:left w:w="108" w:type="dxa"/>
            <w:bottom w:w="0" w:type="dxa"/>
            <w:right w:w="108" w:type="dxa"/>
          </w:tblCellMar>
        </w:tblPrEx>
        <w:trPr>
          <w:jc w:val="center"/>
        </w:trPr>
        <w:tc>
          <w:tcPr>
            <w:tcW w:w="1417" w:type="dxa"/>
          </w:tcPr>
          <w:p w14:paraId="7A063070">
            <w:pPr>
              <w:jc w:val="left"/>
              <w:rPr>
                <w:rFonts w:hint="eastAsia" w:ascii="宋体" w:hAnsi="宋体" w:eastAsia="宋体" w:cs="宋体"/>
              </w:rPr>
            </w:pPr>
            <w:r>
              <w:rPr>
                <w:rFonts w:hint="eastAsia" w:ascii="宋体" w:hAnsi="宋体" w:eastAsia="宋体" w:cs="宋体"/>
                <w:color w:val="333333"/>
                <w:sz w:val="18"/>
              </w:rPr>
              <w:t>Prophet</w:t>
            </w:r>
          </w:p>
        </w:tc>
        <w:tc>
          <w:tcPr>
            <w:tcW w:w="1417" w:type="dxa"/>
          </w:tcPr>
          <w:p w14:paraId="0A17EE78">
            <w:pPr>
              <w:jc w:val="center"/>
              <w:rPr>
                <w:rFonts w:hint="eastAsia" w:ascii="宋体" w:hAnsi="宋体" w:eastAsia="宋体" w:cs="宋体"/>
              </w:rPr>
            </w:pPr>
            <w:r>
              <w:rPr>
                <w:rFonts w:hint="eastAsia" w:ascii="宋体" w:hAnsi="宋体" w:eastAsia="宋体" w:cs="宋体"/>
                <w:color w:val="333333"/>
                <w:sz w:val="18"/>
              </w:rPr>
              <w:t>prophet</w:t>
            </w:r>
          </w:p>
        </w:tc>
        <w:tc>
          <w:tcPr>
            <w:tcW w:w="1701" w:type="dxa"/>
          </w:tcPr>
          <w:p w14:paraId="38F8767D">
            <w:pPr>
              <w:jc w:val="center"/>
              <w:rPr>
                <w:rFonts w:hint="eastAsia" w:ascii="宋体" w:hAnsi="宋体" w:eastAsia="宋体" w:cs="宋体"/>
              </w:rPr>
            </w:pPr>
            <w:r>
              <w:rPr>
                <w:rFonts w:hint="eastAsia" w:ascii="宋体" w:hAnsi="宋体" w:eastAsia="宋体" w:cs="宋体"/>
                <w:color w:val="333333"/>
                <w:sz w:val="18"/>
              </w:rPr>
              <w:t>yearly_seasonality=False, changepoint_prior_scale=0.01</w:t>
            </w:r>
          </w:p>
        </w:tc>
        <w:tc>
          <w:tcPr>
            <w:tcW w:w="2835" w:type="dxa"/>
          </w:tcPr>
          <w:p w14:paraId="627E34F4">
            <w:pPr>
              <w:jc w:val="center"/>
              <w:rPr>
                <w:rFonts w:hint="eastAsia" w:ascii="宋体" w:hAnsi="宋体" w:eastAsia="宋体" w:cs="宋体"/>
              </w:rPr>
            </w:pPr>
            <w:r>
              <w:rPr>
                <w:rFonts w:hint="eastAsia" w:ascii="宋体" w:hAnsi="宋体" w:eastAsia="宋体" w:cs="宋体"/>
                <w:color w:val="333333"/>
                <w:sz w:val="18"/>
              </w:rPr>
              <w:t>关闭年度季节性（样本不足），毛利率cap/floor=[0,1]</w:t>
            </w:r>
          </w:p>
        </w:tc>
      </w:tr>
      <w:tr w14:paraId="7C69D574">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185DD257">
            <w:pPr>
              <w:jc w:val="left"/>
              <w:rPr>
                <w:rFonts w:hint="eastAsia" w:ascii="宋体" w:hAnsi="宋体" w:eastAsia="宋体" w:cs="宋体"/>
              </w:rPr>
            </w:pPr>
            <w:r>
              <w:rPr>
                <w:rFonts w:hint="eastAsia" w:ascii="宋体" w:hAnsi="宋体" w:eastAsia="宋体" w:cs="宋体"/>
                <w:color w:val="333333"/>
                <w:sz w:val="18"/>
              </w:rPr>
              <w:t>LSTM</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56411DB8">
            <w:pPr>
              <w:jc w:val="center"/>
              <w:rPr>
                <w:rFonts w:hint="eastAsia" w:ascii="宋体" w:hAnsi="宋体" w:eastAsia="宋体" w:cs="宋体"/>
              </w:rPr>
            </w:pPr>
            <w:r>
              <w:rPr>
                <w:rFonts w:hint="eastAsia" w:ascii="宋体" w:hAnsi="宋体" w:eastAsia="宋体" w:cs="宋体"/>
                <w:color w:val="333333"/>
                <w:sz w:val="18"/>
              </w:rPr>
              <w:t>PyTorch/numpy</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5B39C88E">
            <w:pPr>
              <w:jc w:val="center"/>
              <w:rPr>
                <w:rFonts w:hint="eastAsia" w:ascii="宋体" w:hAnsi="宋体" w:eastAsia="宋体" w:cs="宋体"/>
              </w:rPr>
            </w:pPr>
            <w:r>
              <w:rPr>
                <w:rFonts w:hint="eastAsia" w:ascii="宋体" w:hAnsi="宋体" w:eastAsia="宋体" w:cs="宋体"/>
                <w:color w:val="333333"/>
                <w:sz w:val="18"/>
              </w:rPr>
              <w:t>window=3, hidden_size=16, epochs=min(200,n×5)</w:t>
            </w:r>
          </w:p>
        </w:tc>
        <w:tc>
          <w:tcPr>
            <w:tcW w:w="2835" w:type="dxa"/>
            <w:tcBorders>
              <w:top w:val="single" w:color="CCCCCC" w:sz="4" w:space="0"/>
              <w:left w:val="single" w:color="CCCCCC" w:sz="4" w:space="0"/>
              <w:bottom w:val="single" w:color="CCCCCC" w:sz="4" w:space="0"/>
              <w:right w:val="single" w:color="CCCCCC" w:sz="4" w:space="0"/>
            </w:tcBorders>
            <w:shd w:val="clear" w:color="auto" w:fill="F8F9FA"/>
          </w:tcPr>
          <w:p w14:paraId="46D0E60A">
            <w:pPr>
              <w:jc w:val="center"/>
              <w:rPr>
                <w:rFonts w:hint="eastAsia" w:ascii="宋体" w:hAnsi="宋体" w:eastAsia="宋体" w:cs="宋体"/>
              </w:rPr>
            </w:pPr>
            <w:r>
              <w:rPr>
                <w:rFonts w:hint="eastAsia" w:ascii="宋体" w:hAnsi="宋体" w:eastAsia="宋体" w:cs="宋体"/>
                <w:color w:val="333333"/>
                <w:sz w:val="18"/>
              </w:rPr>
              <w:t>小样本下调低epochs。无PyTorch时回退到Ridge模拟门控</w:t>
            </w:r>
          </w:p>
        </w:tc>
      </w:tr>
      <w:tr w14:paraId="2649E5C7">
        <w:tblPrEx>
          <w:tblCellMar>
            <w:top w:w="0" w:type="dxa"/>
            <w:left w:w="108" w:type="dxa"/>
            <w:bottom w:w="0" w:type="dxa"/>
            <w:right w:w="108" w:type="dxa"/>
          </w:tblCellMar>
        </w:tblPrEx>
        <w:trPr>
          <w:jc w:val="center"/>
        </w:trPr>
        <w:tc>
          <w:tcPr>
            <w:tcW w:w="1417" w:type="dxa"/>
          </w:tcPr>
          <w:p w14:paraId="12BE979B">
            <w:pPr>
              <w:jc w:val="left"/>
              <w:rPr>
                <w:rFonts w:hint="eastAsia" w:ascii="宋体" w:hAnsi="宋体" w:eastAsia="宋体" w:cs="宋体"/>
              </w:rPr>
            </w:pPr>
            <w:r>
              <w:rPr>
                <w:rFonts w:hint="eastAsia" w:ascii="宋体" w:hAnsi="宋体" w:eastAsia="宋体" w:cs="宋体"/>
                <w:color w:val="333333"/>
                <w:sz w:val="18"/>
              </w:rPr>
              <w:t>三次指数平滑</w:t>
            </w:r>
          </w:p>
        </w:tc>
        <w:tc>
          <w:tcPr>
            <w:tcW w:w="1417" w:type="dxa"/>
          </w:tcPr>
          <w:p w14:paraId="0528A68E">
            <w:pPr>
              <w:jc w:val="center"/>
              <w:rPr>
                <w:rFonts w:hint="eastAsia" w:ascii="宋体" w:hAnsi="宋体" w:eastAsia="宋体" w:cs="宋体"/>
              </w:rPr>
            </w:pPr>
            <w:r>
              <w:rPr>
                <w:rFonts w:hint="eastAsia" w:ascii="宋体" w:hAnsi="宋体" w:eastAsia="宋体" w:cs="宋体"/>
                <w:color w:val="333333"/>
                <w:sz w:val="18"/>
              </w:rPr>
              <w:t>statsmodels/numpy</w:t>
            </w:r>
          </w:p>
        </w:tc>
        <w:tc>
          <w:tcPr>
            <w:tcW w:w="1701" w:type="dxa"/>
          </w:tcPr>
          <w:p w14:paraId="37693F03">
            <w:pPr>
              <w:jc w:val="center"/>
              <w:rPr>
                <w:rFonts w:hint="eastAsia" w:ascii="宋体" w:hAnsi="宋体" w:eastAsia="宋体" w:cs="宋体"/>
              </w:rPr>
            </w:pPr>
            <w:r>
              <w:rPr>
                <w:rFonts w:hint="eastAsia" w:ascii="宋体" w:hAnsi="宋体" w:eastAsia="宋体" w:cs="宋体"/>
                <w:color w:val="333333"/>
                <w:sz w:val="18"/>
              </w:rPr>
              <w:t>trend=add, seasonal=add, seasonal_periods=4</w:t>
            </w:r>
          </w:p>
        </w:tc>
        <w:tc>
          <w:tcPr>
            <w:tcW w:w="2835" w:type="dxa"/>
          </w:tcPr>
          <w:p w14:paraId="383CAC37">
            <w:pPr>
              <w:jc w:val="center"/>
              <w:rPr>
                <w:rFonts w:hint="eastAsia" w:ascii="宋体" w:hAnsi="宋体" w:eastAsia="宋体" w:cs="宋体"/>
              </w:rPr>
            </w:pPr>
            <w:r>
              <w:rPr>
                <w:rFonts w:hint="eastAsia" w:ascii="宋体" w:hAnsi="宋体" w:eastAsia="宋体" w:cs="宋体"/>
                <w:color w:val="333333"/>
                <w:sz w:val="18"/>
              </w:rPr>
              <w:t>无statsmodels时纯NumPy简化(α=0.3,β=0.05,γ=0.3)</w:t>
            </w:r>
          </w:p>
        </w:tc>
      </w:tr>
      <w:tr w14:paraId="0AF0BD13">
        <w:tblPrEx>
          <w:tblCellMar>
            <w:top w:w="0" w:type="dxa"/>
            <w:left w:w="108" w:type="dxa"/>
            <w:bottom w:w="0" w:type="dxa"/>
            <w:right w:w="108" w:type="dxa"/>
          </w:tblCellMar>
        </w:tblPrEx>
        <w:trPr>
          <w:jc w:val="center"/>
        </w:trPr>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6F074D29">
            <w:pPr>
              <w:jc w:val="left"/>
              <w:rPr>
                <w:rFonts w:hint="eastAsia" w:ascii="宋体" w:hAnsi="宋体" w:eastAsia="宋体" w:cs="宋体"/>
              </w:rPr>
            </w:pPr>
            <w:r>
              <w:rPr>
                <w:rFonts w:hint="eastAsia" w:ascii="宋体" w:hAnsi="宋体" w:eastAsia="宋体" w:cs="宋体"/>
                <w:color w:val="333333"/>
                <w:sz w:val="18"/>
              </w:rPr>
              <w:t>ARIMA</w:t>
            </w:r>
          </w:p>
        </w:tc>
        <w:tc>
          <w:tcPr>
            <w:tcW w:w="1417" w:type="dxa"/>
            <w:tcBorders>
              <w:top w:val="single" w:color="CCCCCC" w:sz="4" w:space="0"/>
              <w:left w:val="single" w:color="CCCCCC" w:sz="4" w:space="0"/>
              <w:bottom w:val="single" w:color="CCCCCC" w:sz="4" w:space="0"/>
              <w:right w:val="single" w:color="CCCCCC" w:sz="4" w:space="0"/>
            </w:tcBorders>
            <w:shd w:val="clear" w:color="auto" w:fill="F8F9FA"/>
          </w:tcPr>
          <w:p w14:paraId="773F1119">
            <w:pPr>
              <w:jc w:val="center"/>
              <w:rPr>
                <w:rFonts w:hint="eastAsia" w:ascii="宋体" w:hAnsi="宋体" w:eastAsia="宋体" w:cs="宋体"/>
              </w:rPr>
            </w:pPr>
            <w:r>
              <w:rPr>
                <w:rFonts w:hint="eastAsia" w:ascii="宋体" w:hAnsi="宋体" w:eastAsia="宋体" w:cs="宋体"/>
                <w:color w:val="333333"/>
                <w:sz w:val="18"/>
              </w:rPr>
              <w:t>statsmodels/numpy</w:t>
            </w:r>
          </w:p>
        </w:tc>
        <w:tc>
          <w:tcPr>
            <w:tcW w:w="1701" w:type="dxa"/>
            <w:tcBorders>
              <w:top w:val="single" w:color="CCCCCC" w:sz="4" w:space="0"/>
              <w:left w:val="single" w:color="CCCCCC" w:sz="4" w:space="0"/>
              <w:bottom w:val="single" w:color="CCCCCC" w:sz="4" w:space="0"/>
              <w:right w:val="single" w:color="CCCCCC" w:sz="4" w:space="0"/>
            </w:tcBorders>
            <w:shd w:val="clear" w:color="auto" w:fill="F8F9FA"/>
          </w:tcPr>
          <w:p w14:paraId="1A44FAB5">
            <w:pPr>
              <w:jc w:val="center"/>
              <w:rPr>
                <w:rFonts w:hint="eastAsia" w:ascii="宋体" w:hAnsi="宋体" w:eastAsia="宋体" w:cs="宋体"/>
              </w:rPr>
            </w:pPr>
            <w:r>
              <w:rPr>
                <w:rFonts w:hint="eastAsia" w:ascii="宋体" w:hAnsi="宋体" w:eastAsia="宋体" w:cs="宋体"/>
                <w:color w:val="333333"/>
                <w:sz w:val="18"/>
              </w:rPr>
              <w:t>order=(2,1,2), fallback=(1,1,0)</w:t>
            </w:r>
          </w:p>
        </w:tc>
        <w:tc>
          <w:tcPr>
            <w:tcW w:w="2835" w:type="dxa"/>
            <w:tcBorders>
              <w:top w:val="single" w:color="CCCCCC" w:sz="4" w:space="0"/>
              <w:left w:val="single" w:color="CCCCCC" w:sz="4" w:space="0"/>
              <w:bottom w:val="single" w:color="CCCCCC" w:sz="4" w:space="0"/>
              <w:right w:val="single" w:color="CCCCCC" w:sz="4" w:space="0"/>
            </w:tcBorders>
            <w:shd w:val="clear" w:color="auto" w:fill="F8F9FA"/>
          </w:tcPr>
          <w:p w14:paraId="53CB0265">
            <w:pPr>
              <w:jc w:val="center"/>
              <w:rPr>
                <w:rFonts w:hint="eastAsia" w:ascii="宋体" w:hAnsi="宋体" w:eastAsia="宋体" w:cs="宋体"/>
              </w:rPr>
            </w:pPr>
            <w:r>
              <w:rPr>
                <w:rFonts w:hint="eastAsia" w:ascii="宋体" w:hAnsi="宋体" w:eastAsia="宋体" w:cs="宋体"/>
                <w:color w:val="333333"/>
                <w:sz w:val="18"/>
              </w:rPr>
              <w:t>先尝试ARIMA(2,1,2)，失败降为(1,1,0)。无库时简化AR(1)回退</w:t>
            </w:r>
          </w:p>
        </w:tc>
      </w:tr>
      <w:tr w14:paraId="4097330C">
        <w:tblPrEx>
          <w:tblCellMar>
            <w:top w:w="0" w:type="dxa"/>
            <w:left w:w="108" w:type="dxa"/>
            <w:bottom w:w="0" w:type="dxa"/>
            <w:right w:w="108" w:type="dxa"/>
          </w:tblCellMar>
        </w:tblPrEx>
        <w:trPr>
          <w:jc w:val="center"/>
        </w:trPr>
        <w:tc>
          <w:tcPr>
            <w:tcW w:w="1417" w:type="dxa"/>
          </w:tcPr>
          <w:p w14:paraId="77CD7217">
            <w:pPr>
              <w:jc w:val="left"/>
              <w:rPr>
                <w:rFonts w:hint="eastAsia" w:ascii="宋体" w:hAnsi="宋体" w:eastAsia="宋体" w:cs="宋体"/>
              </w:rPr>
            </w:pPr>
            <w:r>
              <w:rPr>
                <w:rFonts w:hint="eastAsia" w:ascii="宋体" w:hAnsi="宋体" w:eastAsia="宋体" w:cs="宋体"/>
                <w:color w:val="333333"/>
                <w:sz w:val="18"/>
              </w:rPr>
              <w:t>线性回归</w:t>
            </w:r>
          </w:p>
        </w:tc>
        <w:tc>
          <w:tcPr>
            <w:tcW w:w="1417" w:type="dxa"/>
          </w:tcPr>
          <w:p w14:paraId="69A87805">
            <w:pPr>
              <w:jc w:val="center"/>
              <w:rPr>
                <w:rFonts w:hint="eastAsia" w:ascii="宋体" w:hAnsi="宋体" w:eastAsia="宋体" w:cs="宋体"/>
              </w:rPr>
            </w:pPr>
            <w:r>
              <w:rPr>
                <w:rFonts w:hint="eastAsia" w:ascii="宋体" w:hAnsi="宋体" w:eastAsia="宋体" w:cs="宋体"/>
                <w:color w:val="333333"/>
                <w:sz w:val="18"/>
              </w:rPr>
              <w:t>sklearn</w:t>
            </w:r>
          </w:p>
        </w:tc>
        <w:tc>
          <w:tcPr>
            <w:tcW w:w="1701" w:type="dxa"/>
          </w:tcPr>
          <w:p w14:paraId="24878D26">
            <w:pPr>
              <w:jc w:val="center"/>
              <w:rPr>
                <w:rFonts w:hint="eastAsia" w:ascii="宋体" w:hAnsi="宋体" w:eastAsia="宋体" w:cs="宋体"/>
              </w:rPr>
            </w:pPr>
            <w:r>
              <w:rPr>
                <w:rFonts w:hint="eastAsia" w:ascii="宋体" w:hAnsi="宋体" w:eastAsia="宋体" w:cs="宋体"/>
                <w:color w:val="333333"/>
                <w:sz w:val="18"/>
              </w:rPr>
              <w:t>默认参数</w:t>
            </w:r>
          </w:p>
        </w:tc>
        <w:tc>
          <w:tcPr>
            <w:tcW w:w="2835" w:type="dxa"/>
          </w:tcPr>
          <w:p w14:paraId="6A3BC08A">
            <w:pPr>
              <w:jc w:val="center"/>
              <w:rPr>
                <w:rFonts w:hint="eastAsia" w:ascii="宋体" w:hAnsi="宋体" w:eastAsia="宋体" w:cs="宋体"/>
              </w:rPr>
            </w:pPr>
            <w:r>
              <w:rPr>
                <w:rFonts w:hint="eastAsia" w:ascii="宋体" w:hAnsi="宋体" w:eastAsia="宋体" w:cs="宋体"/>
                <w:color w:val="333333"/>
                <w:sz w:val="18"/>
              </w:rPr>
              <w:t>无正则化、无季节性的简单线性回归，作为基线方法</w:t>
            </w:r>
          </w:p>
        </w:tc>
      </w:tr>
    </w:tbl>
    <w:p w14:paraId="0547213E">
      <w:pPr>
        <w:spacing w:after="80"/>
        <w:rPr>
          <w:rFonts w:hint="eastAsia" w:ascii="宋体" w:hAnsi="宋体" w:eastAsia="宋体" w:cs="宋体"/>
        </w:rPr>
      </w:pPr>
    </w:p>
    <w:p w14:paraId="6D63BEB8">
      <w:pPr>
        <w:rPr>
          <w:rFonts w:hint="eastAsia" w:ascii="宋体" w:hAnsi="宋体" w:eastAsia="宋体" w:cs="宋体"/>
        </w:rPr>
      </w:pPr>
    </w:p>
    <w:p w14:paraId="36C6312A">
      <w:pPr>
        <w:jc w:val="center"/>
        <w:outlineLvl w:val="9"/>
        <w:rPr>
          <w:rFonts w:hint="eastAsia" w:ascii="宋体" w:hAnsi="宋体" w:eastAsia="宋体" w:cs="宋体"/>
        </w:rPr>
      </w:pPr>
      <w:bookmarkStart w:id="65" w:name="_Toc27361"/>
      <w:r>
        <w:rPr>
          <w:rFonts w:hint="eastAsia" w:ascii="宋体" w:hAnsi="宋体" w:eastAsia="宋体" w:cs="宋体"/>
          <w:b/>
          <w:sz w:val="28"/>
        </w:rPr>
        <w:t>— 报告结束 —</w:t>
      </w:r>
      <w:bookmarkEnd w:id="65"/>
    </w:p>
    <w:sectPr>
      <w:pgSz w:w="12240" w:h="15840"/>
      <w:pgMar w:top="1417" w:right="1134" w:bottom="141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6A43"/>
    <w:rsid w:val="00AA1D8D"/>
    <w:rsid w:val="00B47730"/>
    <w:rsid w:val="00CB0664"/>
    <w:rsid w:val="00FC693F"/>
    <w:rsid w:val="7EDA25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WPSOffice手动目录 1"/>
    <w:uiPriority w:val="0"/>
    <w:pPr>
      <w:ind w:leftChars="0"/>
    </w:pPr>
    <w:rPr>
      <w:sz w:val="20"/>
      <w:szCs w:val="20"/>
    </w:rPr>
  </w:style>
  <w:style w:type="paragraph" w:customStyle="1" w:styleId="167">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1198</Words>
  <Characters>1362</Characters>
  <Lines>0</Lines>
  <Paragraphs>0</Paragraphs>
  <TotalTime>1</TotalTime>
  <ScaleCrop>false</ScaleCrop>
  <LinksUpToDate>false</LinksUpToDate>
  <CharactersWithSpaces>1411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cp:lastModifiedBy>
  <dcterms:modified xsi:type="dcterms:W3CDTF">2026-07-30T17:13:48Z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eyJoZGlkIjoiNjRmZGI5ZDg5YTZjM2E4Y2NlNGQ2YWEzNGYzMmJmZjMiLCJ1c2VySWQiOiIxMzQ2MTU5NzM3In0=</vt:lpwstr>
  </property>
  <property fmtid="{D5CDD505-2E9C-101B-9397-08002B2CF9AE}" pid="3" name="KSOProductBuildVer">
    <vt:lpwstr>2052-12.1.0.19770</vt:lpwstr>
  </property>
  <property fmtid="{D5CDD505-2E9C-101B-9397-08002B2CF9AE}" pid="4" name="ICV">
    <vt:lpwstr>E05BE903E00644A39646A881FF7D499C_12</vt:lpwstr>
  </property>
</Properties>
</file>