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1C501">
      <w:pPr>
        <w:rPr>
          <w:rFonts w:hint="eastAsia" w:ascii="宋体" w:hAnsi="宋体" w:eastAsia="宋体" w:cs="宋体"/>
        </w:rPr>
      </w:pPr>
    </w:p>
    <w:p w14:paraId="0B982C00">
      <w:pPr>
        <w:jc w:val="center"/>
        <w:outlineLvl w:val="0"/>
        <w:rPr>
          <w:rFonts w:hint="eastAsia" w:ascii="宋体" w:hAnsi="宋体" w:eastAsia="宋体" w:cs="宋体"/>
        </w:rPr>
      </w:pPr>
      <w:r>
        <w:rPr>
          <w:rFonts w:hint="eastAsia" w:ascii="宋体" w:hAnsi="宋体" w:eastAsia="宋体" w:cs="宋体"/>
          <w:b/>
          <w:sz w:val="44"/>
        </w:rPr>
        <w:t>重庆师范大学</w:t>
      </w:r>
    </w:p>
    <w:p w14:paraId="21C4A779">
      <w:pPr>
        <w:jc w:val="center"/>
        <w:rPr>
          <w:rFonts w:hint="eastAsia" w:ascii="宋体" w:hAnsi="宋体" w:eastAsia="宋体" w:cs="宋体"/>
        </w:rPr>
      </w:pPr>
      <w:r>
        <w:rPr>
          <w:rFonts w:hint="eastAsia" w:ascii="宋体" w:hAnsi="宋体" w:eastAsia="宋体" w:cs="宋体"/>
          <w:b/>
          <w:sz w:val="36"/>
        </w:rPr>
        <w:t>经济与管理学院</w:t>
      </w:r>
    </w:p>
    <w:p w14:paraId="582ED61D">
      <w:pPr>
        <w:rPr>
          <w:rFonts w:hint="eastAsia" w:ascii="宋体" w:hAnsi="宋体" w:eastAsia="宋体" w:cs="宋体"/>
        </w:rPr>
      </w:pPr>
    </w:p>
    <w:p w14:paraId="25B1B70C">
      <w:pPr>
        <w:rPr>
          <w:rFonts w:hint="eastAsia" w:ascii="宋体" w:hAnsi="宋体" w:eastAsia="宋体" w:cs="宋体"/>
        </w:rPr>
      </w:pPr>
    </w:p>
    <w:p w14:paraId="0DC6866B">
      <w:pPr>
        <w:jc w:val="center"/>
        <w:outlineLvl w:val="0"/>
        <w:rPr>
          <w:rFonts w:hint="eastAsia" w:ascii="宋体" w:hAnsi="宋体" w:eastAsia="宋体" w:cs="宋体"/>
        </w:rPr>
      </w:pPr>
      <w:r>
        <w:rPr>
          <w:rFonts w:hint="eastAsia" w:ascii="宋体" w:hAnsi="宋体" w:eastAsia="宋体" w:cs="宋体"/>
          <w:b/>
          <w:sz w:val="44"/>
        </w:rPr>
        <w:t>基于K-Means聚类与Prophet时序预测的</w:t>
      </w:r>
    </w:p>
    <w:p w14:paraId="2B4DB103">
      <w:pPr>
        <w:jc w:val="center"/>
        <w:outlineLvl w:val="0"/>
        <w:rPr>
          <w:rFonts w:hint="eastAsia" w:ascii="宋体" w:hAnsi="宋体" w:eastAsia="宋体" w:cs="宋体"/>
        </w:rPr>
      </w:pPr>
      <w:r>
        <w:rPr>
          <w:rFonts w:hint="eastAsia" w:ascii="宋体" w:hAnsi="宋体" w:eastAsia="宋体" w:cs="宋体"/>
          <w:b/>
          <w:sz w:val="44"/>
        </w:rPr>
        <w:t>重庆上市车企财务智能预警研究</w:t>
      </w:r>
    </w:p>
    <w:p w14:paraId="19A8A788">
      <w:pPr>
        <w:jc w:val="center"/>
        <w:outlineLvl w:val="0"/>
        <w:rPr>
          <w:rFonts w:hint="eastAsia" w:ascii="宋体" w:hAnsi="宋体" w:eastAsia="宋体" w:cs="宋体"/>
        </w:rPr>
      </w:pPr>
      <w:r>
        <w:rPr>
          <w:rFonts w:hint="eastAsia" w:ascii="宋体" w:hAnsi="宋体" w:eastAsia="宋体" w:cs="宋体"/>
          <w:sz w:val="28"/>
        </w:rPr>
        <w:t>——赛力斯外部协同经营模式对标长安自主研发模式</w:t>
      </w:r>
    </w:p>
    <w:p w14:paraId="3EF54CD1">
      <w:pPr>
        <w:rPr>
          <w:rFonts w:hint="eastAsia" w:ascii="宋体" w:hAnsi="宋体" w:eastAsia="宋体" w:cs="宋体"/>
        </w:rPr>
      </w:pPr>
    </w:p>
    <w:p w14:paraId="6072F1E6">
      <w:pPr>
        <w:rPr>
          <w:rFonts w:hint="eastAsia" w:ascii="宋体" w:hAnsi="宋体" w:eastAsia="宋体" w:cs="宋体"/>
        </w:rPr>
      </w:pPr>
    </w:p>
    <w:p w14:paraId="6B4CEEBC">
      <w:pPr>
        <w:rPr>
          <w:rFonts w:hint="eastAsia" w:ascii="宋体" w:hAnsi="宋体" w:eastAsia="宋体" w:cs="宋体"/>
        </w:rPr>
      </w:pPr>
    </w:p>
    <w:tbl>
      <w:tblPr>
        <w:tblStyle w:val="32"/>
        <w:tblW w:w="0" w:type="auto"/>
        <w:jc w:val="center"/>
        <w:tblLayout w:type="autofit"/>
        <w:tblCellMar>
          <w:top w:w="0" w:type="dxa"/>
          <w:left w:w="108" w:type="dxa"/>
          <w:bottom w:w="0" w:type="dxa"/>
          <w:right w:w="108" w:type="dxa"/>
        </w:tblCellMar>
      </w:tblPr>
      <w:tblGrid>
        <w:gridCol w:w="4986"/>
        <w:gridCol w:w="4986"/>
      </w:tblGrid>
      <w:tr w14:paraId="19FBB24B">
        <w:tblPrEx>
          <w:tblCellMar>
            <w:top w:w="0" w:type="dxa"/>
            <w:left w:w="108" w:type="dxa"/>
            <w:bottom w:w="0" w:type="dxa"/>
            <w:right w:w="108" w:type="dxa"/>
          </w:tblCellMar>
        </w:tblPrEx>
        <w:trPr>
          <w:jc w:val="center"/>
        </w:trPr>
        <w:tc>
          <w:tcPr>
            <w:tcW w:w="4986" w:type="dxa"/>
          </w:tcPr>
          <w:p w14:paraId="67979C81">
            <w:pPr>
              <w:jc w:val="right"/>
              <w:rPr>
                <w:rFonts w:hint="eastAsia" w:ascii="宋体" w:hAnsi="宋体" w:eastAsia="宋体" w:cs="宋体"/>
              </w:rPr>
            </w:pPr>
            <w:r>
              <w:rPr>
                <w:rFonts w:hint="eastAsia" w:ascii="宋体" w:hAnsi="宋体" w:eastAsia="宋体" w:cs="宋体"/>
                <w:b/>
                <w:sz w:val="28"/>
              </w:rPr>
              <w:t>参赛组别</w:t>
            </w:r>
          </w:p>
        </w:tc>
        <w:tc>
          <w:tcPr>
            <w:tcW w:w="4986" w:type="dxa"/>
          </w:tcPr>
          <w:p w14:paraId="53B8EC77">
            <w:pPr>
              <w:jc w:val="center"/>
              <w:rPr>
                <w:rFonts w:hint="eastAsia" w:ascii="宋体" w:hAnsi="宋体" w:eastAsia="宋体" w:cs="宋体"/>
              </w:rPr>
            </w:pPr>
            <w:r>
              <w:rPr>
                <w:rFonts w:hint="eastAsia" w:ascii="宋体" w:hAnsi="宋体" w:eastAsia="宋体" w:cs="宋体"/>
                <w:b w:val="0"/>
                <w:sz w:val="28"/>
              </w:rPr>
              <w:t>财务大数据智能决策应用</w:t>
            </w:r>
          </w:p>
        </w:tc>
      </w:tr>
      <w:tr w14:paraId="1D4DF9ED">
        <w:tblPrEx>
          <w:tblCellMar>
            <w:top w:w="0" w:type="dxa"/>
            <w:left w:w="108" w:type="dxa"/>
            <w:bottom w:w="0" w:type="dxa"/>
            <w:right w:w="108" w:type="dxa"/>
          </w:tblCellMar>
        </w:tblPrEx>
        <w:trPr>
          <w:jc w:val="center"/>
        </w:trPr>
        <w:tc>
          <w:tcPr>
            <w:tcW w:w="4986" w:type="dxa"/>
          </w:tcPr>
          <w:p w14:paraId="111CA400">
            <w:pPr>
              <w:jc w:val="right"/>
              <w:rPr>
                <w:rFonts w:hint="eastAsia" w:ascii="宋体" w:hAnsi="宋体" w:eastAsia="宋体" w:cs="宋体"/>
              </w:rPr>
            </w:pPr>
            <w:r>
              <w:rPr>
                <w:rFonts w:hint="eastAsia" w:ascii="宋体" w:hAnsi="宋体" w:eastAsia="宋体" w:cs="宋体"/>
                <w:b/>
                <w:sz w:val="28"/>
              </w:rPr>
              <w:t>团队成员</w:t>
            </w:r>
          </w:p>
        </w:tc>
        <w:tc>
          <w:tcPr>
            <w:tcW w:w="4986" w:type="dxa"/>
          </w:tcPr>
          <w:p w14:paraId="1F66A81D">
            <w:pPr>
              <w:jc w:val="center"/>
              <w:rPr>
                <w:rFonts w:hint="eastAsia" w:ascii="宋体" w:hAnsi="宋体" w:eastAsia="宋体" w:cs="宋体"/>
              </w:rPr>
            </w:pPr>
            <w:r>
              <w:rPr>
                <w:rFonts w:hint="eastAsia" w:ascii="宋体" w:hAnsi="宋体" w:eastAsia="宋体" w:cs="宋体"/>
                <w:b w:val="0"/>
                <w:sz w:val="28"/>
              </w:rPr>
              <w:t>（待填写）</w:t>
            </w:r>
          </w:p>
        </w:tc>
      </w:tr>
      <w:tr w14:paraId="0731F4FC">
        <w:tblPrEx>
          <w:tblCellMar>
            <w:top w:w="0" w:type="dxa"/>
            <w:left w:w="108" w:type="dxa"/>
            <w:bottom w:w="0" w:type="dxa"/>
            <w:right w:w="108" w:type="dxa"/>
          </w:tblCellMar>
        </w:tblPrEx>
        <w:trPr>
          <w:jc w:val="center"/>
        </w:trPr>
        <w:tc>
          <w:tcPr>
            <w:tcW w:w="4986" w:type="dxa"/>
          </w:tcPr>
          <w:p w14:paraId="30FE7BD4">
            <w:pPr>
              <w:jc w:val="right"/>
              <w:rPr>
                <w:rFonts w:hint="eastAsia" w:ascii="宋体" w:hAnsi="宋体" w:eastAsia="宋体" w:cs="宋体"/>
              </w:rPr>
            </w:pPr>
            <w:r>
              <w:rPr>
                <w:rFonts w:hint="eastAsia" w:ascii="宋体" w:hAnsi="宋体" w:eastAsia="宋体" w:cs="宋体"/>
                <w:b/>
                <w:sz w:val="28"/>
              </w:rPr>
              <w:t>指导教师</w:t>
            </w:r>
          </w:p>
        </w:tc>
        <w:tc>
          <w:tcPr>
            <w:tcW w:w="4986" w:type="dxa"/>
          </w:tcPr>
          <w:p w14:paraId="1E69F18A">
            <w:pPr>
              <w:jc w:val="center"/>
              <w:rPr>
                <w:rFonts w:hint="eastAsia" w:ascii="宋体" w:hAnsi="宋体" w:eastAsia="宋体" w:cs="宋体"/>
              </w:rPr>
            </w:pPr>
            <w:r>
              <w:rPr>
                <w:rFonts w:hint="eastAsia" w:ascii="宋体" w:hAnsi="宋体" w:eastAsia="宋体" w:cs="宋体"/>
                <w:b w:val="0"/>
                <w:sz w:val="28"/>
              </w:rPr>
              <w:t>（待填写）</w:t>
            </w:r>
          </w:p>
        </w:tc>
      </w:tr>
      <w:tr w14:paraId="3E6842C0">
        <w:tblPrEx>
          <w:tblCellMar>
            <w:top w:w="0" w:type="dxa"/>
            <w:left w:w="108" w:type="dxa"/>
            <w:bottom w:w="0" w:type="dxa"/>
            <w:right w:w="108" w:type="dxa"/>
          </w:tblCellMar>
        </w:tblPrEx>
        <w:trPr>
          <w:jc w:val="center"/>
        </w:trPr>
        <w:tc>
          <w:tcPr>
            <w:tcW w:w="4986" w:type="dxa"/>
          </w:tcPr>
          <w:p w14:paraId="3EEF719F">
            <w:pPr>
              <w:jc w:val="right"/>
              <w:rPr>
                <w:rFonts w:hint="eastAsia" w:ascii="宋体" w:hAnsi="宋体" w:eastAsia="宋体" w:cs="宋体"/>
              </w:rPr>
            </w:pPr>
            <w:r>
              <w:rPr>
                <w:rFonts w:hint="eastAsia" w:ascii="宋体" w:hAnsi="宋体" w:eastAsia="宋体" w:cs="宋体"/>
                <w:b/>
                <w:sz w:val="28"/>
              </w:rPr>
              <w:t>所属学校</w:t>
            </w:r>
          </w:p>
        </w:tc>
        <w:tc>
          <w:tcPr>
            <w:tcW w:w="4986" w:type="dxa"/>
          </w:tcPr>
          <w:p w14:paraId="7D0F7A59">
            <w:pPr>
              <w:jc w:val="center"/>
              <w:rPr>
                <w:rFonts w:hint="eastAsia" w:ascii="宋体" w:hAnsi="宋体" w:eastAsia="宋体" w:cs="宋体"/>
              </w:rPr>
            </w:pPr>
            <w:r>
              <w:rPr>
                <w:rFonts w:hint="eastAsia" w:ascii="宋体" w:hAnsi="宋体" w:eastAsia="宋体" w:cs="宋体"/>
                <w:b w:val="0"/>
                <w:sz w:val="28"/>
              </w:rPr>
              <w:t>重庆师范大学</w:t>
            </w:r>
          </w:p>
        </w:tc>
      </w:tr>
      <w:tr w14:paraId="3B82A89C">
        <w:tblPrEx>
          <w:tblCellMar>
            <w:top w:w="0" w:type="dxa"/>
            <w:left w:w="108" w:type="dxa"/>
            <w:bottom w:w="0" w:type="dxa"/>
            <w:right w:w="108" w:type="dxa"/>
          </w:tblCellMar>
        </w:tblPrEx>
        <w:trPr>
          <w:jc w:val="center"/>
        </w:trPr>
        <w:tc>
          <w:tcPr>
            <w:tcW w:w="4986" w:type="dxa"/>
          </w:tcPr>
          <w:p w14:paraId="2D77F3F6">
            <w:pPr>
              <w:jc w:val="right"/>
              <w:rPr>
                <w:rFonts w:hint="eastAsia" w:ascii="宋体" w:hAnsi="宋体" w:eastAsia="宋体" w:cs="宋体"/>
              </w:rPr>
            </w:pPr>
            <w:r>
              <w:rPr>
                <w:rFonts w:hint="eastAsia" w:ascii="宋体" w:hAnsi="宋体" w:eastAsia="宋体" w:cs="宋体"/>
                <w:b/>
                <w:sz w:val="28"/>
              </w:rPr>
              <w:t>完成日期</w:t>
            </w:r>
          </w:p>
        </w:tc>
        <w:tc>
          <w:tcPr>
            <w:tcW w:w="4986" w:type="dxa"/>
          </w:tcPr>
          <w:p w14:paraId="5FA6563C">
            <w:pPr>
              <w:jc w:val="center"/>
              <w:rPr>
                <w:rFonts w:hint="eastAsia" w:ascii="宋体" w:hAnsi="宋体" w:eastAsia="宋体" w:cs="宋体"/>
              </w:rPr>
            </w:pPr>
            <w:r>
              <w:rPr>
                <w:rFonts w:hint="eastAsia" w:ascii="宋体" w:hAnsi="宋体" w:eastAsia="宋体" w:cs="宋体"/>
                <w:b w:val="0"/>
                <w:sz w:val="28"/>
              </w:rPr>
              <w:t>2026年7月</w:t>
            </w:r>
          </w:p>
        </w:tc>
      </w:tr>
      <w:tr w14:paraId="60C5BC76">
        <w:tblPrEx>
          <w:tblCellMar>
            <w:top w:w="0" w:type="dxa"/>
            <w:left w:w="108" w:type="dxa"/>
            <w:bottom w:w="0" w:type="dxa"/>
            <w:right w:w="108" w:type="dxa"/>
          </w:tblCellMar>
        </w:tblPrEx>
        <w:trPr>
          <w:jc w:val="center"/>
        </w:trPr>
        <w:tc>
          <w:tcPr>
            <w:tcW w:w="4986" w:type="dxa"/>
          </w:tcPr>
          <w:p w14:paraId="5A7E5462">
            <w:pPr>
              <w:jc w:val="right"/>
              <w:rPr>
                <w:rFonts w:hint="eastAsia" w:ascii="宋体" w:hAnsi="宋体" w:eastAsia="宋体" w:cs="宋体"/>
              </w:rPr>
            </w:pPr>
            <w:r>
              <w:rPr>
                <w:rFonts w:hint="eastAsia" w:ascii="宋体" w:hAnsi="宋体" w:eastAsia="宋体" w:cs="宋体"/>
                <w:b/>
                <w:sz w:val="28"/>
              </w:rPr>
              <w:t>联系方式</w:t>
            </w:r>
          </w:p>
        </w:tc>
        <w:tc>
          <w:tcPr>
            <w:tcW w:w="4986" w:type="dxa"/>
          </w:tcPr>
          <w:p w14:paraId="421565F0">
            <w:pPr>
              <w:jc w:val="center"/>
              <w:rPr>
                <w:rFonts w:hint="eastAsia" w:ascii="宋体" w:hAnsi="宋体" w:eastAsia="宋体" w:cs="宋体"/>
              </w:rPr>
            </w:pPr>
            <w:r>
              <w:rPr>
                <w:rFonts w:hint="eastAsia" w:ascii="宋体" w:hAnsi="宋体" w:eastAsia="宋体" w:cs="宋体"/>
                <w:b w:val="0"/>
                <w:sz w:val="28"/>
              </w:rPr>
              <w:t>（待填写）</w:t>
            </w:r>
          </w:p>
        </w:tc>
      </w:tr>
    </w:tbl>
    <w:p w14:paraId="525025E9">
      <w:pPr>
        <w:rPr>
          <w:rFonts w:hint="eastAsia" w:ascii="宋体" w:hAnsi="宋体" w:eastAsia="宋体" w:cs="宋体"/>
        </w:rPr>
      </w:pPr>
      <w:r>
        <w:rPr>
          <w:rFonts w:hint="eastAsia" w:ascii="宋体" w:hAnsi="宋体" w:eastAsia="宋体" w:cs="宋体"/>
        </w:rPr>
        <w:br w:type="page"/>
      </w:r>
    </w:p>
    <w:p w14:paraId="2835FAE4">
      <w:pPr>
        <w:spacing w:before="360" w:after="240"/>
        <w:jc w:val="center"/>
        <w:outlineLvl w:val="0"/>
        <w:rPr>
          <w:rFonts w:hint="eastAsia" w:ascii="宋体" w:hAnsi="宋体" w:eastAsia="宋体" w:cs="宋体"/>
        </w:rPr>
      </w:pPr>
      <w:r>
        <w:rPr>
          <w:rFonts w:hint="eastAsia" w:ascii="宋体" w:hAnsi="宋体" w:eastAsia="宋体" w:cs="宋体"/>
          <w:b/>
          <w:color w:val="000000"/>
          <w:sz w:val="32"/>
        </w:rPr>
        <w:t>一、研究背景与问题</w:t>
      </w:r>
    </w:p>
    <w:p w14:paraId="561C19B1">
      <w:pPr>
        <w:spacing w:before="240" w:after="120"/>
        <w:outlineLvl w:val="1"/>
        <w:rPr>
          <w:rFonts w:hint="eastAsia" w:ascii="宋体" w:hAnsi="宋体" w:eastAsia="宋体" w:cs="宋体"/>
        </w:rPr>
      </w:pPr>
      <w:r>
        <w:rPr>
          <w:rFonts w:hint="eastAsia" w:ascii="宋体" w:hAnsi="宋体" w:eastAsia="宋体" w:cs="宋体"/>
          <w:b/>
          <w:color w:val="000000"/>
          <w:sz w:val="28"/>
        </w:rPr>
        <w:t>（一）行业背景</w:t>
      </w:r>
    </w:p>
    <w:p w14:paraId="2ABF63B7">
      <w:pPr>
        <w:spacing w:after="40" w:line="360" w:lineRule="auto"/>
        <w:ind w:firstLine="420"/>
        <w:rPr>
          <w:rFonts w:hint="eastAsia" w:ascii="宋体" w:hAnsi="宋体" w:eastAsia="宋体" w:cs="宋体"/>
        </w:rPr>
      </w:pPr>
      <w:r>
        <w:rPr>
          <w:rFonts w:hint="eastAsia" w:ascii="宋体" w:hAnsi="宋体" w:eastAsia="宋体" w:cs="宋体"/>
          <w:b w:val="0"/>
          <w:sz w:val="24"/>
        </w:rPr>
        <w:t>重庆是中国西部汽车工业重镇，拥有长安汽车（000625）和赛力斯（601127）两家上市车企。2020年至2025年，中国新能源汽车渗透率从5.4%升至</w:t>
      </w:r>
      <w:bookmarkStart w:id="0" w:name="_GoBack"/>
      <w:bookmarkEnd w:id="0"/>
      <w:r>
        <w:rPr>
          <w:rFonts w:hint="eastAsia" w:ascii="宋体" w:hAnsi="宋体" w:eastAsia="宋体" w:cs="宋体"/>
          <w:b w:val="0"/>
          <w:sz w:val="24"/>
        </w:rPr>
        <w:t>超过50%，传统车企和新进入者面临不同的转型路径选择。赛力斯2021年起与华为深度合作推出AITO问界系列（M5/M7/M9），2023-2024年销量快速增长。长安汽车坚持自主研发，先后推出深蓝、阿维塔、启源三个新能源品牌，覆盖不同价格区间。</w:t>
      </w:r>
    </w:p>
    <w:p w14:paraId="74E054A7">
      <w:pPr>
        <w:spacing w:before="240" w:after="120"/>
        <w:outlineLvl w:val="1"/>
        <w:rPr>
          <w:rFonts w:hint="eastAsia" w:ascii="宋体" w:hAnsi="宋体" w:eastAsia="宋体" w:cs="宋体"/>
        </w:rPr>
      </w:pPr>
      <w:r>
        <w:rPr>
          <w:rFonts w:hint="eastAsia" w:ascii="宋体" w:hAnsi="宋体" w:eastAsia="宋体" w:cs="宋体"/>
          <w:b/>
          <w:color w:val="000000"/>
          <w:sz w:val="28"/>
        </w:rPr>
        <w:t>（二）研究问题</w:t>
      </w:r>
    </w:p>
    <w:p w14:paraId="37D2FE24">
      <w:pPr>
        <w:spacing w:after="40" w:line="360" w:lineRule="auto"/>
        <w:ind w:firstLine="420"/>
        <w:rPr>
          <w:rFonts w:hint="eastAsia" w:ascii="宋体" w:hAnsi="宋体" w:eastAsia="宋体" w:cs="宋体"/>
        </w:rPr>
      </w:pPr>
      <w:r>
        <w:rPr>
          <w:rFonts w:hint="eastAsia" w:ascii="宋体" w:hAnsi="宋体" w:eastAsia="宋体" w:cs="宋体"/>
          <w:b w:val="0"/>
          <w:sz w:val="24"/>
        </w:rPr>
        <w:t>研究要回答的问题是：两种模式下，谁的财务风险更高、财务稳定性更差？</w:t>
      </w:r>
    </w:p>
    <w:tbl>
      <w:tblPr>
        <w:tblStyle w:val="32"/>
        <w:tblW w:w="0" w:type="auto"/>
        <w:jc w:val="center"/>
        <w:tblLayout w:type="autofit"/>
        <w:tblCellMar>
          <w:top w:w="0" w:type="dxa"/>
          <w:left w:w="108" w:type="dxa"/>
          <w:bottom w:w="0" w:type="dxa"/>
          <w:right w:w="108" w:type="dxa"/>
        </w:tblCellMar>
      </w:tblPr>
      <w:tblGrid>
        <w:gridCol w:w="1701"/>
        <w:gridCol w:w="3402"/>
        <w:gridCol w:w="3402"/>
      </w:tblGrid>
      <w:tr w14:paraId="6598DDE4">
        <w:tblPrEx>
          <w:tblCellMar>
            <w:top w:w="0" w:type="dxa"/>
            <w:left w:w="108" w:type="dxa"/>
            <w:bottom w:w="0" w:type="dxa"/>
            <w:right w:w="108" w:type="dxa"/>
          </w:tblCellMar>
        </w:tblPrEx>
        <w:trPr>
          <w:jc w:val="center"/>
        </w:trPr>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10952CB8">
            <w:pPr>
              <w:jc w:val="center"/>
              <w:rPr>
                <w:rFonts w:hint="eastAsia" w:ascii="宋体" w:hAnsi="宋体" w:eastAsia="宋体" w:cs="宋体"/>
              </w:rPr>
            </w:pPr>
            <w:r>
              <w:rPr>
                <w:rFonts w:hint="eastAsia" w:ascii="宋体" w:hAnsi="宋体" w:eastAsia="宋体" w:cs="宋体"/>
                <w:b/>
                <w:color w:val="1A4789"/>
                <w:sz w:val="18"/>
              </w:rPr>
              <w:t>维度</w:t>
            </w:r>
          </w:p>
        </w:tc>
        <w:tc>
          <w:tcPr>
            <w:tcW w:w="3402" w:type="dxa"/>
            <w:tcBorders>
              <w:top w:val="single" w:color="2E75B6" w:sz="8" w:space="0"/>
              <w:left w:val="single" w:color="CCCCCC" w:sz="4" w:space="0"/>
              <w:bottom w:val="single" w:color="CCCCCC" w:sz="4" w:space="0"/>
              <w:right w:val="single" w:color="CCCCCC" w:sz="4" w:space="0"/>
            </w:tcBorders>
            <w:shd w:val="clear" w:color="auto" w:fill="D5E8F0"/>
          </w:tcPr>
          <w:p w14:paraId="0DD3E54D">
            <w:pPr>
              <w:jc w:val="center"/>
              <w:rPr>
                <w:rFonts w:hint="eastAsia" w:ascii="宋体" w:hAnsi="宋体" w:eastAsia="宋体" w:cs="宋体"/>
              </w:rPr>
            </w:pPr>
            <w:r>
              <w:rPr>
                <w:rFonts w:hint="eastAsia" w:ascii="宋体" w:hAnsi="宋体" w:eastAsia="宋体" w:cs="宋体"/>
                <w:b/>
                <w:color w:val="1A4789"/>
                <w:sz w:val="18"/>
              </w:rPr>
              <w:t>赛力斯(601127)</w:t>
            </w:r>
          </w:p>
        </w:tc>
        <w:tc>
          <w:tcPr>
            <w:tcW w:w="3402" w:type="dxa"/>
            <w:tcBorders>
              <w:top w:val="single" w:color="2E75B6" w:sz="8" w:space="0"/>
              <w:left w:val="single" w:color="CCCCCC" w:sz="4" w:space="0"/>
              <w:bottom w:val="single" w:color="CCCCCC" w:sz="4" w:space="0"/>
              <w:right w:val="single" w:color="CCCCCC" w:sz="4" w:space="0"/>
            </w:tcBorders>
            <w:shd w:val="clear" w:color="auto" w:fill="D5E8F0"/>
          </w:tcPr>
          <w:p w14:paraId="3A479813">
            <w:pPr>
              <w:jc w:val="center"/>
              <w:rPr>
                <w:rFonts w:hint="eastAsia" w:ascii="宋体" w:hAnsi="宋体" w:eastAsia="宋体" w:cs="宋体"/>
              </w:rPr>
            </w:pPr>
            <w:r>
              <w:rPr>
                <w:rFonts w:hint="eastAsia" w:ascii="宋体" w:hAnsi="宋体" w:eastAsia="宋体" w:cs="宋体"/>
                <w:b/>
                <w:color w:val="1A4789"/>
                <w:sz w:val="18"/>
              </w:rPr>
              <w:t>长安汽车(000625)</w:t>
            </w:r>
          </w:p>
        </w:tc>
      </w:tr>
      <w:tr w14:paraId="46B86074">
        <w:tblPrEx>
          <w:tblCellMar>
            <w:top w:w="0" w:type="dxa"/>
            <w:left w:w="108" w:type="dxa"/>
            <w:bottom w:w="0" w:type="dxa"/>
            <w:right w:w="108" w:type="dxa"/>
          </w:tblCellMar>
        </w:tblPrEx>
        <w:trPr>
          <w:jc w:val="center"/>
        </w:trPr>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5BD3EF87">
            <w:pPr>
              <w:jc w:val="left"/>
              <w:rPr>
                <w:rFonts w:hint="eastAsia" w:ascii="宋体" w:hAnsi="宋体" w:eastAsia="宋体" w:cs="宋体"/>
              </w:rPr>
            </w:pPr>
            <w:r>
              <w:rPr>
                <w:rFonts w:hint="eastAsia" w:ascii="宋体" w:hAnsi="宋体" w:eastAsia="宋体" w:cs="宋体"/>
                <w:color w:val="333333"/>
                <w:sz w:val="18"/>
              </w:rPr>
              <w:t>经营模式</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50D1874D">
            <w:pPr>
              <w:jc w:val="center"/>
              <w:rPr>
                <w:rFonts w:hint="eastAsia" w:ascii="宋体" w:hAnsi="宋体" w:eastAsia="宋体" w:cs="宋体"/>
              </w:rPr>
            </w:pPr>
            <w:r>
              <w:rPr>
                <w:rFonts w:hint="eastAsia" w:ascii="宋体" w:hAnsi="宋体" w:eastAsia="宋体" w:cs="宋体"/>
                <w:color w:val="333333"/>
                <w:sz w:val="18"/>
              </w:rPr>
              <w:t>华为智选（外部协同）</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40573574">
            <w:pPr>
              <w:jc w:val="center"/>
              <w:rPr>
                <w:rFonts w:hint="eastAsia" w:ascii="宋体" w:hAnsi="宋体" w:eastAsia="宋体" w:cs="宋体"/>
              </w:rPr>
            </w:pPr>
            <w:r>
              <w:rPr>
                <w:rFonts w:hint="eastAsia" w:ascii="宋体" w:hAnsi="宋体" w:eastAsia="宋体" w:cs="宋体"/>
                <w:color w:val="333333"/>
                <w:sz w:val="18"/>
              </w:rPr>
              <w:t>自主品牌矩阵（自主研发）</w:t>
            </w:r>
          </w:p>
        </w:tc>
      </w:tr>
      <w:tr w14:paraId="52897892">
        <w:tblPrEx>
          <w:tblCellMar>
            <w:top w:w="0" w:type="dxa"/>
            <w:left w:w="108" w:type="dxa"/>
            <w:bottom w:w="0" w:type="dxa"/>
            <w:right w:w="108" w:type="dxa"/>
          </w:tblCellMar>
        </w:tblPrEx>
        <w:trPr>
          <w:jc w:val="center"/>
        </w:trPr>
        <w:tc>
          <w:tcPr>
            <w:tcW w:w="1701" w:type="dxa"/>
          </w:tcPr>
          <w:p w14:paraId="286701C6">
            <w:pPr>
              <w:jc w:val="left"/>
              <w:rPr>
                <w:rFonts w:hint="eastAsia" w:ascii="宋体" w:hAnsi="宋体" w:eastAsia="宋体" w:cs="宋体"/>
              </w:rPr>
            </w:pPr>
            <w:r>
              <w:rPr>
                <w:rFonts w:hint="eastAsia" w:ascii="宋体" w:hAnsi="宋体" w:eastAsia="宋体" w:cs="宋体"/>
                <w:color w:val="333333"/>
                <w:sz w:val="18"/>
              </w:rPr>
              <w:t>核心产品</w:t>
            </w:r>
          </w:p>
        </w:tc>
        <w:tc>
          <w:tcPr>
            <w:tcW w:w="3402" w:type="dxa"/>
          </w:tcPr>
          <w:p w14:paraId="356E1E92">
            <w:pPr>
              <w:jc w:val="center"/>
              <w:rPr>
                <w:rFonts w:hint="eastAsia" w:ascii="宋体" w:hAnsi="宋体" w:eastAsia="宋体" w:cs="宋体"/>
              </w:rPr>
            </w:pPr>
            <w:r>
              <w:rPr>
                <w:rFonts w:hint="eastAsia" w:ascii="宋体" w:hAnsi="宋体" w:eastAsia="宋体" w:cs="宋体"/>
                <w:color w:val="333333"/>
                <w:sz w:val="18"/>
              </w:rPr>
              <w:t>AITO问界M5/M7/M9</w:t>
            </w:r>
          </w:p>
        </w:tc>
        <w:tc>
          <w:tcPr>
            <w:tcW w:w="3402" w:type="dxa"/>
          </w:tcPr>
          <w:p w14:paraId="07BAD966">
            <w:pPr>
              <w:jc w:val="center"/>
              <w:rPr>
                <w:rFonts w:hint="eastAsia" w:ascii="宋体" w:hAnsi="宋体" w:eastAsia="宋体" w:cs="宋体"/>
              </w:rPr>
            </w:pPr>
            <w:r>
              <w:rPr>
                <w:rFonts w:hint="eastAsia" w:ascii="宋体" w:hAnsi="宋体" w:eastAsia="宋体" w:cs="宋体"/>
                <w:color w:val="333333"/>
                <w:sz w:val="18"/>
              </w:rPr>
              <w:t>深蓝SL03/L07 阿维塔11/12 启源A05/A07</w:t>
            </w:r>
          </w:p>
        </w:tc>
      </w:tr>
      <w:tr w14:paraId="125523C6">
        <w:tblPrEx>
          <w:tblCellMar>
            <w:top w:w="0" w:type="dxa"/>
            <w:left w:w="108" w:type="dxa"/>
            <w:bottom w:w="0" w:type="dxa"/>
            <w:right w:w="108" w:type="dxa"/>
          </w:tblCellMar>
        </w:tblPrEx>
        <w:trPr>
          <w:jc w:val="center"/>
        </w:trPr>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386BF7A8">
            <w:pPr>
              <w:jc w:val="left"/>
              <w:rPr>
                <w:rFonts w:hint="eastAsia" w:ascii="宋体" w:hAnsi="宋体" w:eastAsia="宋体" w:cs="宋体"/>
              </w:rPr>
            </w:pPr>
            <w:r>
              <w:rPr>
                <w:rFonts w:hint="eastAsia" w:ascii="宋体" w:hAnsi="宋体" w:eastAsia="宋体" w:cs="宋体"/>
                <w:color w:val="333333"/>
                <w:sz w:val="18"/>
              </w:rPr>
              <w:t>技术来源</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318E0B16">
            <w:pPr>
              <w:jc w:val="center"/>
              <w:rPr>
                <w:rFonts w:hint="eastAsia" w:ascii="宋体" w:hAnsi="宋体" w:eastAsia="宋体" w:cs="宋体"/>
              </w:rPr>
            </w:pPr>
            <w:r>
              <w:rPr>
                <w:rFonts w:hint="eastAsia" w:ascii="宋体" w:hAnsi="宋体" w:eastAsia="宋体" w:cs="宋体"/>
                <w:color w:val="333333"/>
                <w:sz w:val="18"/>
              </w:rPr>
              <w:t>华为提供智驾/座舱/电驱</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73A07F65">
            <w:pPr>
              <w:jc w:val="center"/>
              <w:rPr>
                <w:rFonts w:hint="eastAsia" w:ascii="宋体" w:hAnsi="宋体" w:eastAsia="宋体" w:cs="宋体"/>
              </w:rPr>
            </w:pPr>
            <w:r>
              <w:rPr>
                <w:rFonts w:hint="eastAsia" w:ascii="宋体" w:hAnsi="宋体" w:eastAsia="宋体" w:cs="宋体"/>
                <w:color w:val="333333"/>
                <w:sz w:val="18"/>
              </w:rPr>
              <w:t>SDA/EPA/CHN自研平台</w:t>
            </w:r>
          </w:p>
        </w:tc>
      </w:tr>
      <w:tr w14:paraId="633E7549">
        <w:tblPrEx>
          <w:tblCellMar>
            <w:top w:w="0" w:type="dxa"/>
            <w:left w:w="108" w:type="dxa"/>
            <w:bottom w:w="0" w:type="dxa"/>
            <w:right w:w="108" w:type="dxa"/>
          </w:tblCellMar>
        </w:tblPrEx>
        <w:trPr>
          <w:jc w:val="center"/>
        </w:trPr>
        <w:tc>
          <w:tcPr>
            <w:tcW w:w="1701" w:type="dxa"/>
          </w:tcPr>
          <w:p w14:paraId="3AD4A209">
            <w:pPr>
              <w:jc w:val="left"/>
              <w:rPr>
                <w:rFonts w:hint="eastAsia" w:ascii="宋体" w:hAnsi="宋体" w:eastAsia="宋体" w:cs="宋体"/>
              </w:rPr>
            </w:pPr>
            <w:r>
              <w:rPr>
                <w:rFonts w:hint="eastAsia" w:ascii="宋体" w:hAnsi="宋体" w:eastAsia="宋体" w:cs="宋体"/>
                <w:color w:val="333333"/>
                <w:sz w:val="18"/>
              </w:rPr>
              <w:t>资本特征</w:t>
            </w:r>
          </w:p>
        </w:tc>
        <w:tc>
          <w:tcPr>
            <w:tcW w:w="3402" w:type="dxa"/>
          </w:tcPr>
          <w:p w14:paraId="549B0831">
            <w:pPr>
              <w:jc w:val="center"/>
              <w:rPr>
                <w:rFonts w:hint="eastAsia" w:ascii="宋体" w:hAnsi="宋体" w:eastAsia="宋体" w:cs="宋体"/>
              </w:rPr>
            </w:pPr>
            <w:r>
              <w:rPr>
                <w:rFonts w:hint="eastAsia" w:ascii="宋体" w:hAnsi="宋体" w:eastAsia="宋体" w:cs="宋体"/>
                <w:color w:val="333333"/>
                <w:sz w:val="18"/>
              </w:rPr>
              <w:t>轻资产、高周转、高杠杆</w:t>
            </w:r>
          </w:p>
        </w:tc>
        <w:tc>
          <w:tcPr>
            <w:tcW w:w="3402" w:type="dxa"/>
          </w:tcPr>
          <w:p w14:paraId="5EF65A79">
            <w:pPr>
              <w:jc w:val="center"/>
              <w:rPr>
                <w:rFonts w:hint="eastAsia" w:ascii="宋体" w:hAnsi="宋体" w:eastAsia="宋体" w:cs="宋体"/>
              </w:rPr>
            </w:pPr>
            <w:r>
              <w:rPr>
                <w:rFonts w:hint="eastAsia" w:ascii="宋体" w:hAnsi="宋体" w:eastAsia="宋体" w:cs="宋体"/>
                <w:color w:val="333333"/>
                <w:sz w:val="18"/>
              </w:rPr>
              <w:t>重资产、稳投入、低杠杆</w:t>
            </w:r>
          </w:p>
        </w:tc>
      </w:tr>
    </w:tbl>
    <w:p w14:paraId="486B39F8">
      <w:pPr>
        <w:spacing w:after="80"/>
        <w:rPr>
          <w:rFonts w:hint="eastAsia" w:ascii="宋体" w:hAnsi="宋体" w:eastAsia="宋体" w:cs="宋体"/>
        </w:rPr>
      </w:pPr>
    </w:p>
    <w:p w14:paraId="560C3442">
      <w:pPr>
        <w:rPr>
          <w:rFonts w:hint="eastAsia" w:ascii="宋体" w:hAnsi="宋体" w:eastAsia="宋体" w:cs="宋体"/>
        </w:rPr>
      </w:pPr>
    </w:p>
    <w:p w14:paraId="67986381">
      <w:pPr>
        <w:spacing w:before="360" w:after="240"/>
        <w:jc w:val="center"/>
        <w:outlineLvl w:val="0"/>
        <w:rPr>
          <w:rFonts w:hint="eastAsia" w:ascii="宋体" w:hAnsi="宋体" w:eastAsia="宋体" w:cs="宋体"/>
        </w:rPr>
      </w:pPr>
      <w:r>
        <w:rPr>
          <w:rFonts w:hint="eastAsia" w:ascii="宋体" w:hAnsi="宋体" w:eastAsia="宋体" w:cs="宋体"/>
          <w:b/>
          <w:color w:val="000000"/>
          <w:sz w:val="32"/>
        </w:rPr>
        <w:t>二、数据来源与分析方法</w:t>
      </w:r>
    </w:p>
    <w:p w14:paraId="4A9337B3">
      <w:pPr>
        <w:spacing w:after="40" w:line="360" w:lineRule="auto"/>
        <w:ind w:firstLine="420"/>
        <w:rPr>
          <w:rFonts w:hint="eastAsia" w:ascii="宋体" w:hAnsi="宋体" w:eastAsia="宋体" w:cs="宋体"/>
        </w:rPr>
      </w:pPr>
      <w:r>
        <w:rPr>
          <w:rFonts w:hint="eastAsia" w:ascii="宋体" w:hAnsi="宋体" w:eastAsia="宋体" w:cs="宋体"/>
          <w:b w:val="0"/>
          <w:sz w:val="24"/>
        </w:rPr>
        <w:t>财务数据来自AkShare接口，覆盖2016年第一季至2025年第四季。8家A股乘用车整车企业共314个有效季度观测，包含资产负债表、利润表、现金流量表三张主表。行业NEV销量数据来自CAAM（中国汽车工业协会）月度发布及《中国汽车行业多维销量数据库》。18项财务比率分四组（见附录A）。分析模型包括：K-Means聚类（K=3,5维特征）、孤立森林异常检测（异常比例0.10）、六种时序预测方法（Ridge/Prophet/LSTM/三次指数平滑/ARIMA/线性回归，参数见附录B）、杜邦连环替代法、Altman Z-score、沃尔评分、经营现金净流量三组合分析、NEV行业景气度与财务指标联动分析。</w:t>
      </w:r>
    </w:p>
    <w:p w14:paraId="6BC51889">
      <w:pPr>
        <w:spacing w:before="360" w:after="240"/>
        <w:jc w:val="center"/>
        <w:outlineLvl w:val="0"/>
        <w:rPr>
          <w:rFonts w:hint="eastAsia" w:ascii="宋体" w:hAnsi="宋体" w:eastAsia="宋体" w:cs="宋体"/>
        </w:rPr>
      </w:pPr>
      <w:r>
        <w:rPr>
          <w:rFonts w:hint="eastAsia" w:ascii="宋体" w:hAnsi="宋体" w:eastAsia="宋体" w:cs="宋体"/>
          <w:b/>
          <w:color w:val="000000"/>
          <w:sz w:val="32"/>
        </w:rPr>
        <w:t>三、财务指标分析</w:t>
      </w:r>
    </w:p>
    <w:p w14:paraId="44069966">
      <w:pPr>
        <w:spacing w:before="240" w:after="120"/>
        <w:outlineLvl w:val="1"/>
        <w:rPr>
          <w:rFonts w:hint="eastAsia" w:ascii="宋体" w:hAnsi="宋体" w:eastAsia="宋体" w:cs="宋体"/>
        </w:rPr>
      </w:pPr>
      <w:r>
        <w:rPr>
          <w:rFonts w:hint="eastAsia" w:ascii="宋体" w:hAnsi="宋体" w:eastAsia="宋体" w:cs="宋体"/>
          <w:b/>
          <w:color w:val="000000"/>
          <w:sz w:val="28"/>
        </w:rPr>
        <w:t>（一）核心指标对比</w:t>
      </w:r>
    </w:p>
    <w:tbl>
      <w:tblPr>
        <w:tblStyle w:val="32"/>
        <w:tblW w:w="0" w:type="auto"/>
        <w:jc w:val="center"/>
        <w:tblLayout w:type="autofit"/>
        <w:tblCellMar>
          <w:top w:w="0" w:type="dxa"/>
          <w:left w:w="108" w:type="dxa"/>
          <w:bottom w:w="0" w:type="dxa"/>
          <w:right w:w="108" w:type="dxa"/>
        </w:tblCellMar>
      </w:tblPr>
      <w:tblGrid>
        <w:gridCol w:w="1701"/>
        <w:gridCol w:w="1247"/>
        <w:gridCol w:w="1247"/>
        <w:gridCol w:w="1587"/>
        <w:gridCol w:w="1587"/>
        <w:gridCol w:w="1247"/>
      </w:tblGrid>
      <w:tr w14:paraId="401CC0C9">
        <w:tblPrEx>
          <w:tblCellMar>
            <w:top w:w="0" w:type="dxa"/>
            <w:left w:w="108" w:type="dxa"/>
            <w:bottom w:w="0" w:type="dxa"/>
            <w:right w:w="108" w:type="dxa"/>
          </w:tblCellMar>
        </w:tblPrEx>
        <w:trPr>
          <w:jc w:val="center"/>
        </w:trPr>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77F8C026">
            <w:pPr>
              <w:jc w:val="center"/>
              <w:rPr>
                <w:rFonts w:hint="eastAsia" w:ascii="宋体" w:hAnsi="宋体" w:eastAsia="宋体" w:cs="宋体"/>
              </w:rPr>
            </w:pPr>
            <w:r>
              <w:rPr>
                <w:rFonts w:hint="eastAsia" w:ascii="宋体" w:hAnsi="宋体" w:eastAsia="宋体" w:cs="宋体"/>
                <w:b/>
                <w:color w:val="1A4789"/>
                <w:sz w:val="18"/>
              </w:rPr>
              <w:t>公司</w:t>
            </w:r>
          </w:p>
        </w:tc>
        <w:tc>
          <w:tcPr>
            <w:tcW w:w="1247" w:type="dxa"/>
            <w:tcBorders>
              <w:top w:val="single" w:color="2E75B6" w:sz="8" w:space="0"/>
              <w:left w:val="single" w:color="CCCCCC" w:sz="4" w:space="0"/>
              <w:bottom w:val="single" w:color="CCCCCC" w:sz="4" w:space="0"/>
              <w:right w:val="single" w:color="CCCCCC" w:sz="4" w:space="0"/>
            </w:tcBorders>
            <w:shd w:val="clear" w:color="auto" w:fill="D5E8F0"/>
          </w:tcPr>
          <w:p w14:paraId="54F4A381">
            <w:pPr>
              <w:jc w:val="center"/>
              <w:rPr>
                <w:rFonts w:hint="eastAsia" w:ascii="宋体" w:hAnsi="宋体" w:eastAsia="宋体" w:cs="宋体"/>
              </w:rPr>
            </w:pPr>
            <w:r>
              <w:rPr>
                <w:rFonts w:hint="eastAsia" w:ascii="宋体" w:hAnsi="宋体" w:eastAsia="宋体" w:cs="宋体"/>
                <w:b/>
                <w:color w:val="1A4789"/>
                <w:sz w:val="18"/>
              </w:rPr>
              <w:t>毛利率</w:t>
            </w:r>
          </w:p>
        </w:tc>
        <w:tc>
          <w:tcPr>
            <w:tcW w:w="1247" w:type="dxa"/>
            <w:tcBorders>
              <w:top w:val="single" w:color="2E75B6" w:sz="8" w:space="0"/>
              <w:left w:val="single" w:color="CCCCCC" w:sz="4" w:space="0"/>
              <w:bottom w:val="single" w:color="CCCCCC" w:sz="4" w:space="0"/>
              <w:right w:val="single" w:color="CCCCCC" w:sz="4" w:space="0"/>
            </w:tcBorders>
            <w:shd w:val="clear" w:color="auto" w:fill="D5E8F0"/>
          </w:tcPr>
          <w:p w14:paraId="162C0353">
            <w:pPr>
              <w:jc w:val="center"/>
              <w:rPr>
                <w:rFonts w:hint="eastAsia" w:ascii="宋体" w:hAnsi="宋体" w:eastAsia="宋体" w:cs="宋体"/>
              </w:rPr>
            </w:pPr>
            <w:r>
              <w:rPr>
                <w:rFonts w:hint="eastAsia" w:ascii="宋体" w:hAnsi="宋体" w:eastAsia="宋体" w:cs="宋体"/>
                <w:b/>
                <w:color w:val="1A4789"/>
                <w:sz w:val="18"/>
              </w:rPr>
              <w:t>净利润率</w:t>
            </w:r>
          </w:p>
        </w:tc>
        <w:tc>
          <w:tcPr>
            <w:tcW w:w="1587" w:type="dxa"/>
            <w:tcBorders>
              <w:top w:val="single" w:color="2E75B6" w:sz="8" w:space="0"/>
              <w:left w:val="single" w:color="CCCCCC" w:sz="4" w:space="0"/>
              <w:bottom w:val="single" w:color="CCCCCC" w:sz="4" w:space="0"/>
              <w:right w:val="single" w:color="CCCCCC" w:sz="4" w:space="0"/>
            </w:tcBorders>
            <w:shd w:val="clear" w:color="auto" w:fill="D5E8F0"/>
          </w:tcPr>
          <w:p w14:paraId="26A05DB0">
            <w:pPr>
              <w:jc w:val="center"/>
              <w:rPr>
                <w:rFonts w:hint="eastAsia" w:ascii="宋体" w:hAnsi="宋体" w:eastAsia="宋体" w:cs="宋体"/>
              </w:rPr>
            </w:pPr>
            <w:r>
              <w:rPr>
                <w:rFonts w:hint="eastAsia" w:ascii="宋体" w:hAnsi="宋体" w:eastAsia="宋体" w:cs="宋体"/>
                <w:b/>
                <w:color w:val="1A4789"/>
                <w:sz w:val="18"/>
              </w:rPr>
              <w:t>净资产收益率</w:t>
            </w:r>
          </w:p>
        </w:tc>
        <w:tc>
          <w:tcPr>
            <w:tcW w:w="1587" w:type="dxa"/>
            <w:tcBorders>
              <w:top w:val="single" w:color="2E75B6" w:sz="8" w:space="0"/>
              <w:left w:val="single" w:color="CCCCCC" w:sz="4" w:space="0"/>
              <w:bottom w:val="single" w:color="CCCCCC" w:sz="4" w:space="0"/>
              <w:right w:val="single" w:color="CCCCCC" w:sz="4" w:space="0"/>
            </w:tcBorders>
            <w:shd w:val="clear" w:color="auto" w:fill="D5E8F0"/>
          </w:tcPr>
          <w:p w14:paraId="596A76BB">
            <w:pPr>
              <w:jc w:val="center"/>
              <w:rPr>
                <w:rFonts w:hint="eastAsia" w:ascii="宋体" w:hAnsi="宋体" w:eastAsia="宋体" w:cs="宋体"/>
              </w:rPr>
            </w:pPr>
            <w:r>
              <w:rPr>
                <w:rFonts w:hint="eastAsia" w:ascii="宋体" w:hAnsi="宋体" w:eastAsia="宋体" w:cs="宋体"/>
                <w:b/>
                <w:color w:val="1A4789"/>
                <w:sz w:val="18"/>
              </w:rPr>
              <w:t>资产负债率</w:t>
            </w:r>
          </w:p>
        </w:tc>
        <w:tc>
          <w:tcPr>
            <w:tcW w:w="1247" w:type="dxa"/>
            <w:tcBorders>
              <w:top w:val="single" w:color="2E75B6" w:sz="8" w:space="0"/>
              <w:left w:val="single" w:color="CCCCCC" w:sz="4" w:space="0"/>
              <w:bottom w:val="single" w:color="CCCCCC" w:sz="4" w:space="0"/>
              <w:right w:val="single" w:color="CCCCCC" w:sz="4" w:space="0"/>
            </w:tcBorders>
            <w:shd w:val="clear" w:color="auto" w:fill="D5E8F0"/>
          </w:tcPr>
          <w:p w14:paraId="1F78AB19">
            <w:pPr>
              <w:jc w:val="center"/>
              <w:rPr>
                <w:rFonts w:hint="eastAsia" w:ascii="宋体" w:hAnsi="宋体" w:eastAsia="宋体" w:cs="宋体"/>
              </w:rPr>
            </w:pPr>
            <w:r>
              <w:rPr>
                <w:rFonts w:hint="eastAsia" w:ascii="宋体" w:hAnsi="宋体" w:eastAsia="宋体" w:cs="宋体"/>
                <w:b/>
                <w:color w:val="1A4789"/>
                <w:sz w:val="18"/>
              </w:rPr>
              <w:t>流动比率</w:t>
            </w:r>
          </w:p>
        </w:tc>
      </w:tr>
      <w:tr w14:paraId="049C065B">
        <w:tblPrEx>
          <w:tblCellMar>
            <w:top w:w="0" w:type="dxa"/>
            <w:left w:w="108" w:type="dxa"/>
            <w:bottom w:w="0" w:type="dxa"/>
            <w:right w:w="108" w:type="dxa"/>
          </w:tblCellMar>
        </w:tblPrEx>
        <w:trPr>
          <w:jc w:val="center"/>
        </w:trPr>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0FC3D40E">
            <w:pPr>
              <w:jc w:val="left"/>
              <w:rPr>
                <w:rFonts w:hint="eastAsia" w:ascii="宋体" w:hAnsi="宋体" w:eastAsia="宋体" w:cs="宋体"/>
              </w:rPr>
            </w:pPr>
            <w:r>
              <w:rPr>
                <w:rFonts w:hint="eastAsia" w:ascii="宋体" w:hAnsi="宋体" w:eastAsia="宋体" w:cs="宋体"/>
                <w:color w:val="333333"/>
                <w:sz w:val="18"/>
              </w:rPr>
              <w:t>赛力斯</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42650B33">
            <w:pPr>
              <w:jc w:val="center"/>
              <w:rPr>
                <w:rFonts w:hint="eastAsia" w:ascii="宋体" w:hAnsi="宋体" w:eastAsia="宋体" w:cs="宋体"/>
              </w:rPr>
            </w:pPr>
            <w:r>
              <w:rPr>
                <w:rFonts w:hint="eastAsia" w:ascii="宋体" w:hAnsi="宋体" w:eastAsia="宋体" w:cs="宋体"/>
                <w:color w:val="333333"/>
                <w:sz w:val="18"/>
              </w:rPr>
              <w:t>4.36%</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3BD0EC21">
            <w:pPr>
              <w:jc w:val="center"/>
              <w:rPr>
                <w:rFonts w:hint="eastAsia" w:ascii="宋体" w:hAnsi="宋体" w:eastAsia="宋体" w:cs="宋体"/>
              </w:rPr>
            </w:pPr>
            <w:r>
              <w:rPr>
                <w:rFonts w:hint="eastAsia" w:ascii="宋体" w:hAnsi="宋体" w:eastAsia="宋体" w:cs="宋体"/>
                <w:color w:val="333333"/>
                <w:sz w:val="18"/>
              </w:rPr>
              <w:t>3.72%</w:t>
            </w:r>
          </w:p>
        </w:tc>
        <w:tc>
          <w:tcPr>
            <w:tcW w:w="1587" w:type="dxa"/>
            <w:tcBorders>
              <w:top w:val="single" w:color="CCCCCC" w:sz="4" w:space="0"/>
              <w:left w:val="single" w:color="CCCCCC" w:sz="4" w:space="0"/>
              <w:bottom w:val="single" w:color="CCCCCC" w:sz="4" w:space="0"/>
              <w:right w:val="single" w:color="CCCCCC" w:sz="4" w:space="0"/>
            </w:tcBorders>
            <w:shd w:val="clear" w:color="auto" w:fill="F8F9FA"/>
          </w:tcPr>
          <w:p w14:paraId="0EA2795B">
            <w:pPr>
              <w:jc w:val="center"/>
              <w:rPr>
                <w:rFonts w:hint="eastAsia" w:ascii="宋体" w:hAnsi="宋体" w:eastAsia="宋体" w:cs="宋体"/>
              </w:rPr>
            </w:pPr>
            <w:r>
              <w:rPr>
                <w:rFonts w:hint="eastAsia" w:ascii="宋体" w:hAnsi="宋体" w:eastAsia="宋体" w:cs="宋体"/>
                <w:color w:val="333333"/>
                <w:sz w:val="18"/>
              </w:rPr>
              <w:t>21.90%</w:t>
            </w:r>
          </w:p>
        </w:tc>
        <w:tc>
          <w:tcPr>
            <w:tcW w:w="1587" w:type="dxa"/>
            <w:tcBorders>
              <w:top w:val="single" w:color="CCCCCC" w:sz="4" w:space="0"/>
              <w:left w:val="single" w:color="CCCCCC" w:sz="4" w:space="0"/>
              <w:bottom w:val="single" w:color="CCCCCC" w:sz="4" w:space="0"/>
              <w:right w:val="single" w:color="CCCCCC" w:sz="4" w:space="0"/>
            </w:tcBorders>
            <w:shd w:val="clear" w:color="auto" w:fill="F8F9FA"/>
          </w:tcPr>
          <w:p w14:paraId="7B046EF8">
            <w:pPr>
              <w:jc w:val="center"/>
              <w:rPr>
                <w:rFonts w:hint="eastAsia" w:ascii="宋体" w:hAnsi="宋体" w:eastAsia="宋体" w:cs="宋体"/>
              </w:rPr>
            </w:pPr>
            <w:r>
              <w:rPr>
                <w:rFonts w:hint="eastAsia" w:ascii="宋体" w:hAnsi="宋体" w:eastAsia="宋体" w:cs="宋体"/>
                <w:color w:val="333333"/>
                <w:sz w:val="18"/>
              </w:rPr>
              <w:t>70.91%</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3A94B119">
            <w:pPr>
              <w:jc w:val="center"/>
              <w:rPr>
                <w:rFonts w:hint="eastAsia" w:ascii="宋体" w:hAnsi="宋体" w:eastAsia="宋体" w:cs="宋体"/>
              </w:rPr>
            </w:pPr>
            <w:r>
              <w:rPr>
                <w:rFonts w:hint="eastAsia" w:ascii="宋体" w:hAnsi="宋体" w:eastAsia="宋体" w:cs="宋体"/>
                <w:color w:val="333333"/>
                <w:sz w:val="18"/>
              </w:rPr>
              <w:t>1.05</w:t>
            </w:r>
          </w:p>
        </w:tc>
      </w:tr>
      <w:tr w14:paraId="225F884F">
        <w:tblPrEx>
          <w:tblCellMar>
            <w:top w:w="0" w:type="dxa"/>
            <w:left w:w="108" w:type="dxa"/>
            <w:bottom w:w="0" w:type="dxa"/>
            <w:right w:w="108" w:type="dxa"/>
          </w:tblCellMar>
        </w:tblPrEx>
        <w:trPr>
          <w:jc w:val="center"/>
        </w:trPr>
        <w:tc>
          <w:tcPr>
            <w:tcW w:w="1701" w:type="dxa"/>
          </w:tcPr>
          <w:p w14:paraId="63B42E8A">
            <w:pPr>
              <w:jc w:val="left"/>
              <w:rPr>
                <w:rFonts w:hint="eastAsia" w:ascii="宋体" w:hAnsi="宋体" w:eastAsia="宋体" w:cs="宋体"/>
              </w:rPr>
            </w:pPr>
            <w:r>
              <w:rPr>
                <w:rFonts w:hint="eastAsia" w:ascii="宋体" w:hAnsi="宋体" w:eastAsia="宋体" w:cs="宋体"/>
                <w:color w:val="333333"/>
                <w:sz w:val="18"/>
              </w:rPr>
              <w:t>长安汽车</w:t>
            </w:r>
          </w:p>
        </w:tc>
        <w:tc>
          <w:tcPr>
            <w:tcW w:w="1247" w:type="dxa"/>
          </w:tcPr>
          <w:p w14:paraId="27656C72">
            <w:pPr>
              <w:jc w:val="center"/>
              <w:rPr>
                <w:rFonts w:hint="eastAsia" w:ascii="宋体" w:hAnsi="宋体" w:eastAsia="宋体" w:cs="宋体"/>
              </w:rPr>
            </w:pPr>
            <w:r>
              <w:rPr>
                <w:rFonts w:hint="eastAsia" w:ascii="宋体" w:hAnsi="宋体" w:eastAsia="宋体" w:cs="宋体"/>
                <w:color w:val="333333"/>
                <w:sz w:val="18"/>
              </w:rPr>
              <w:t>1.61%</w:t>
            </w:r>
          </w:p>
        </w:tc>
        <w:tc>
          <w:tcPr>
            <w:tcW w:w="1247" w:type="dxa"/>
          </w:tcPr>
          <w:p w14:paraId="7BB573B2">
            <w:pPr>
              <w:jc w:val="center"/>
              <w:rPr>
                <w:rFonts w:hint="eastAsia" w:ascii="宋体" w:hAnsi="宋体" w:eastAsia="宋体" w:cs="宋体"/>
              </w:rPr>
            </w:pPr>
            <w:r>
              <w:rPr>
                <w:rFonts w:hint="eastAsia" w:ascii="宋体" w:hAnsi="宋体" w:eastAsia="宋体" w:cs="宋体"/>
                <w:color w:val="333333"/>
                <w:sz w:val="18"/>
              </w:rPr>
              <w:t>1.93%</w:t>
            </w:r>
          </w:p>
        </w:tc>
        <w:tc>
          <w:tcPr>
            <w:tcW w:w="1587" w:type="dxa"/>
          </w:tcPr>
          <w:p w14:paraId="2F71C0A3">
            <w:pPr>
              <w:jc w:val="center"/>
              <w:rPr>
                <w:rFonts w:hint="eastAsia" w:ascii="宋体" w:hAnsi="宋体" w:eastAsia="宋体" w:cs="宋体"/>
              </w:rPr>
            </w:pPr>
            <w:r>
              <w:rPr>
                <w:rFonts w:hint="eastAsia" w:ascii="宋体" w:hAnsi="宋体" w:eastAsia="宋体" w:cs="宋体"/>
                <w:color w:val="333333"/>
                <w:sz w:val="18"/>
              </w:rPr>
              <w:t>5.43%</w:t>
            </w:r>
          </w:p>
        </w:tc>
        <w:tc>
          <w:tcPr>
            <w:tcW w:w="1587" w:type="dxa"/>
          </w:tcPr>
          <w:p w14:paraId="7287F4D4">
            <w:pPr>
              <w:jc w:val="center"/>
              <w:rPr>
                <w:rFonts w:hint="eastAsia" w:ascii="宋体" w:hAnsi="宋体" w:eastAsia="宋体" w:cs="宋体"/>
              </w:rPr>
            </w:pPr>
            <w:r>
              <w:rPr>
                <w:rFonts w:hint="eastAsia" w:ascii="宋体" w:hAnsi="宋体" w:eastAsia="宋体" w:cs="宋体"/>
                <w:color w:val="333333"/>
                <w:sz w:val="18"/>
              </w:rPr>
              <w:t>59.61%</w:t>
            </w:r>
          </w:p>
        </w:tc>
        <w:tc>
          <w:tcPr>
            <w:tcW w:w="1247" w:type="dxa"/>
          </w:tcPr>
          <w:p w14:paraId="41BDB1EB">
            <w:pPr>
              <w:jc w:val="center"/>
              <w:rPr>
                <w:rFonts w:hint="eastAsia" w:ascii="宋体" w:hAnsi="宋体" w:eastAsia="宋体" w:cs="宋体"/>
              </w:rPr>
            </w:pPr>
            <w:r>
              <w:rPr>
                <w:rFonts w:hint="eastAsia" w:ascii="宋体" w:hAnsi="宋体" w:eastAsia="宋体" w:cs="宋体"/>
                <w:color w:val="333333"/>
                <w:sz w:val="18"/>
              </w:rPr>
              <w:t>1.21</w:t>
            </w:r>
          </w:p>
        </w:tc>
      </w:tr>
      <w:tr w14:paraId="5424D790">
        <w:tblPrEx>
          <w:tblCellMar>
            <w:top w:w="0" w:type="dxa"/>
            <w:left w:w="108" w:type="dxa"/>
            <w:bottom w:w="0" w:type="dxa"/>
            <w:right w:w="108" w:type="dxa"/>
          </w:tblCellMar>
        </w:tblPrEx>
        <w:trPr>
          <w:jc w:val="center"/>
        </w:trPr>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4C7D7A8E">
            <w:pPr>
              <w:jc w:val="left"/>
              <w:rPr>
                <w:rFonts w:hint="eastAsia" w:ascii="宋体" w:hAnsi="宋体" w:eastAsia="宋体" w:cs="宋体"/>
              </w:rPr>
            </w:pPr>
            <w:r>
              <w:rPr>
                <w:rFonts w:hint="eastAsia" w:ascii="宋体" w:hAnsi="宋体" w:eastAsia="宋体" w:cs="宋体"/>
                <w:color w:val="333333"/>
                <w:sz w:val="18"/>
              </w:rPr>
              <w:t>比亚迪</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460595B5">
            <w:pPr>
              <w:jc w:val="center"/>
              <w:rPr>
                <w:rFonts w:hint="eastAsia" w:ascii="宋体" w:hAnsi="宋体" w:eastAsia="宋体" w:cs="宋体"/>
              </w:rPr>
            </w:pPr>
            <w:r>
              <w:rPr>
                <w:rFonts w:hint="eastAsia" w:ascii="宋体" w:hAnsi="宋体" w:eastAsia="宋体" w:cs="宋体"/>
                <w:color w:val="333333"/>
                <w:sz w:val="18"/>
              </w:rPr>
              <w:t>3.16%</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3E4CA741">
            <w:pPr>
              <w:jc w:val="center"/>
              <w:rPr>
                <w:rFonts w:hint="eastAsia" w:ascii="宋体" w:hAnsi="宋体" w:eastAsia="宋体" w:cs="宋体"/>
              </w:rPr>
            </w:pPr>
            <w:r>
              <w:rPr>
                <w:rFonts w:hint="eastAsia" w:ascii="宋体" w:hAnsi="宋体" w:eastAsia="宋体" w:cs="宋体"/>
                <w:color w:val="333333"/>
                <w:sz w:val="18"/>
              </w:rPr>
              <w:t>4.20%</w:t>
            </w:r>
          </w:p>
        </w:tc>
        <w:tc>
          <w:tcPr>
            <w:tcW w:w="1587" w:type="dxa"/>
            <w:tcBorders>
              <w:top w:val="single" w:color="CCCCCC" w:sz="4" w:space="0"/>
              <w:left w:val="single" w:color="CCCCCC" w:sz="4" w:space="0"/>
              <w:bottom w:val="single" w:color="CCCCCC" w:sz="4" w:space="0"/>
              <w:right w:val="single" w:color="CCCCCC" w:sz="4" w:space="0"/>
            </w:tcBorders>
            <w:shd w:val="clear" w:color="auto" w:fill="F8F9FA"/>
          </w:tcPr>
          <w:p w14:paraId="40BD0A46">
            <w:pPr>
              <w:jc w:val="center"/>
              <w:rPr>
                <w:rFonts w:hint="eastAsia" w:ascii="宋体" w:hAnsi="宋体" w:eastAsia="宋体" w:cs="宋体"/>
              </w:rPr>
            </w:pPr>
            <w:r>
              <w:rPr>
                <w:rFonts w:hint="eastAsia" w:ascii="宋体" w:hAnsi="宋体" w:eastAsia="宋体" w:cs="宋体"/>
                <w:color w:val="333333"/>
                <w:sz w:val="18"/>
              </w:rPr>
              <w:t>16.24%</w:t>
            </w:r>
          </w:p>
        </w:tc>
        <w:tc>
          <w:tcPr>
            <w:tcW w:w="1587" w:type="dxa"/>
            <w:tcBorders>
              <w:top w:val="single" w:color="CCCCCC" w:sz="4" w:space="0"/>
              <w:left w:val="single" w:color="CCCCCC" w:sz="4" w:space="0"/>
              <w:bottom w:val="single" w:color="CCCCCC" w:sz="4" w:space="0"/>
              <w:right w:val="single" w:color="CCCCCC" w:sz="4" w:space="0"/>
            </w:tcBorders>
            <w:shd w:val="clear" w:color="auto" w:fill="F8F9FA"/>
          </w:tcPr>
          <w:p w14:paraId="2FD66592">
            <w:pPr>
              <w:jc w:val="center"/>
              <w:rPr>
                <w:rFonts w:hint="eastAsia" w:ascii="宋体" w:hAnsi="宋体" w:eastAsia="宋体" w:cs="宋体"/>
              </w:rPr>
            </w:pPr>
            <w:r>
              <w:rPr>
                <w:rFonts w:hint="eastAsia" w:ascii="宋体" w:hAnsi="宋体" w:eastAsia="宋体" w:cs="宋体"/>
                <w:color w:val="333333"/>
                <w:sz w:val="18"/>
              </w:rPr>
              <w:t>70.74%</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634C6A95">
            <w:pPr>
              <w:jc w:val="center"/>
              <w:rPr>
                <w:rFonts w:hint="eastAsia" w:ascii="宋体" w:hAnsi="宋体" w:eastAsia="宋体" w:cs="宋体"/>
              </w:rPr>
            </w:pPr>
            <w:r>
              <w:rPr>
                <w:rFonts w:hint="eastAsia" w:ascii="宋体" w:hAnsi="宋体" w:eastAsia="宋体" w:cs="宋体"/>
                <w:color w:val="333333"/>
                <w:sz w:val="18"/>
              </w:rPr>
              <w:t>0.79</w:t>
            </w:r>
          </w:p>
        </w:tc>
      </w:tr>
      <w:tr w14:paraId="7F1B7E3C">
        <w:tblPrEx>
          <w:tblCellMar>
            <w:top w:w="0" w:type="dxa"/>
            <w:left w:w="108" w:type="dxa"/>
            <w:bottom w:w="0" w:type="dxa"/>
            <w:right w:w="108" w:type="dxa"/>
          </w:tblCellMar>
        </w:tblPrEx>
        <w:trPr>
          <w:jc w:val="center"/>
        </w:trPr>
        <w:tc>
          <w:tcPr>
            <w:tcW w:w="1701" w:type="dxa"/>
          </w:tcPr>
          <w:p w14:paraId="217A6876">
            <w:pPr>
              <w:jc w:val="left"/>
              <w:rPr>
                <w:rFonts w:hint="eastAsia" w:ascii="宋体" w:hAnsi="宋体" w:eastAsia="宋体" w:cs="宋体"/>
              </w:rPr>
            </w:pPr>
            <w:r>
              <w:rPr>
                <w:rFonts w:hint="eastAsia" w:ascii="宋体" w:hAnsi="宋体" w:eastAsia="宋体" w:cs="宋体"/>
                <w:color w:val="333333"/>
                <w:sz w:val="18"/>
              </w:rPr>
              <w:t>长城汽车</w:t>
            </w:r>
          </w:p>
        </w:tc>
        <w:tc>
          <w:tcPr>
            <w:tcW w:w="1247" w:type="dxa"/>
          </w:tcPr>
          <w:p w14:paraId="663426F0">
            <w:pPr>
              <w:jc w:val="center"/>
              <w:rPr>
                <w:rFonts w:hint="eastAsia" w:ascii="宋体" w:hAnsi="宋体" w:eastAsia="宋体" w:cs="宋体"/>
              </w:rPr>
            </w:pPr>
            <w:r>
              <w:rPr>
                <w:rFonts w:hint="eastAsia" w:ascii="宋体" w:hAnsi="宋体" w:eastAsia="宋体" w:cs="宋体"/>
                <w:color w:val="333333"/>
                <w:sz w:val="18"/>
              </w:rPr>
              <w:t>3.25%</w:t>
            </w:r>
          </w:p>
        </w:tc>
        <w:tc>
          <w:tcPr>
            <w:tcW w:w="1247" w:type="dxa"/>
          </w:tcPr>
          <w:p w14:paraId="55D73CA9">
            <w:pPr>
              <w:jc w:val="center"/>
              <w:rPr>
                <w:rFonts w:hint="eastAsia" w:ascii="宋体" w:hAnsi="宋体" w:eastAsia="宋体" w:cs="宋体"/>
              </w:rPr>
            </w:pPr>
            <w:r>
              <w:rPr>
                <w:rFonts w:hint="eastAsia" w:ascii="宋体" w:hAnsi="宋体" w:eastAsia="宋体" w:cs="宋体"/>
                <w:color w:val="333333"/>
                <w:sz w:val="18"/>
              </w:rPr>
              <w:t>4.43%</w:t>
            </w:r>
          </w:p>
        </w:tc>
        <w:tc>
          <w:tcPr>
            <w:tcW w:w="1587" w:type="dxa"/>
          </w:tcPr>
          <w:p w14:paraId="71E6558D">
            <w:pPr>
              <w:jc w:val="center"/>
              <w:rPr>
                <w:rFonts w:hint="eastAsia" w:ascii="宋体" w:hAnsi="宋体" w:eastAsia="宋体" w:cs="宋体"/>
              </w:rPr>
            </w:pPr>
            <w:r>
              <w:rPr>
                <w:rFonts w:hint="eastAsia" w:ascii="宋体" w:hAnsi="宋体" w:eastAsia="宋体" w:cs="宋体"/>
                <w:color w:val="333333"/>
                <w:sz w:val="18"/>
              </w:rPr>
              <w:t>11.94%</w:t>
            </w:r>
          </w:p>
        </w:tc>
        <w:tc>
          <w:tcPr>
            <w:tcW w:w="1587" w:type="dxa"/>
          </w:tcPr>
          <w:p w14:paraId="584E48D7">
            <w:pPr>
              <w:jc w:val="center"/>
              <w:rPr>
                <w:rFonts w:hint="eastAsia" w:ascii="宋体" w:hAnsi="宋体" w:eastAsia="宋体" w:cs="宋体"/>
              </w:rPr>
            </w:pPr>
            <w:r>
              <w:rPr>
                <w:rFonts w:hint="eastAsia" w:ascii="宋体" w:hAnsi="宋体" w:eastAsia="宋体" w:cs="宋体"/>
                <w:color w:val="333333"/>
                <w:sz w:val="18"/>
              </w:rPr>
              <w:t>60.99%</w:t>
            </w:r>
          </w:p>
        </w:tc>
        <w:tc>
          <w:tcPr>
            <w:tcW w:w="1247" w:type="dxa"/>
          </w:tcPr>
          <w:p w14:paraId="502E813E">
            <w:pPr>
              <w:jc w:val="center"/>
              <w:rPr>
                <w:rFonts w:hint="eastAsia" w:ascii="宋体" w:hAnsi="宋体" w:eastAsia="宋体" w:cs="宋体"/>
              </w:rPr>
            </w:pPr>
            <w:r>
              <w:rPr>
                <w:rFonts w:hint="eastAsia" w:ascii="宋体" w:hAnsi="宋体" w:eastAsia="宋体" w:cs="宋体"/>
                <w:color w:val="333333"/>
                <w:sz w:val="18"/>
              </w:rPr>
              <w:t>1.09</w:t>
            </w:r>
          </w:p>
        </w:tc>
      </w:tr>
      <w:tr w14:paraId="6CE9C041">
        <w:tblPrEx>
          <w:tblCellMar>
            <w:top w:w="0" w:type="dxa"/>
            <w:left w:w="108" w:type="dxa"/>
            <w:bottom w:w="0" w:type="dxa"/>
            <w:right w:w="108" w:type="dxa"/>
          </w:tblCellMar>
        </w:tblPrEx>
        <w:trPr>
          <w:jc w:val="center"/>
        </w:trPr>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022FFFE6">
            <w:pPr>
              <w:jc w:val="left"/>
              <w:rPr>
                <w:rFonts w:hint="eastAsia" w:ascii="宋体" w:hAnsi="宋体" w:eastAsia="宋体" w:cs="宋体"/>
              </w:rPr>
            </w:pPr>
            <w:r>
              <w:rPr>
                <w:rFonts w:hint="eastAsia" w:ascii="宋体" w:hAnsi="宋体" w:eastAsia="宋体" w:cs="宋体"/>
                <w:color w:val="333333"/>
                <w:sz w:val="18"/>
              </w:rPr>
              <w:t>上汽集团</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05B09C5B">
            <w:pPr>
              <w:jc w:val="center"/>
              <w:rPr>
                <w:rFonts w:hint="eastAsia" w:ascii="宋体" w:hAnsi="宋体" w:eastAsia="宋体" w:cs="宋体"/>
              </w:rPr>
            </w:pPr>
            <w:r>
              <w:rPr>
                <w:rFonts w:hint="eastAsia" w:ascii="宋体" w:hAnsi="宋体" w:eastAsia="宋体" w:cs="宋体"/>
                <w:color w:val="333333"/>
                <w:sz w:val="18"/>
              </w:rPr>
              <w:t>-0.43%</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20B3D6C2">
            <w:pPr>
              <w:jc w:val="center"/>
              <w:rPr>
                <w:rFonts w:hint="eastAsia" w:ascii="宋体" w:hAnsi="宋体" w:eastAsia="宋体" w:cs="宋体"/>
              </w:rPr>
            </w:pPr>
            <w:r>
              <w:rPr>
                <w:rFonts w:hint="eastAsia" w:ascii="宋体" w:hAnsi="宋体" w:eastAsia="宋体" w:cs="宋体"/>
                <w:color w:val="333333"/>
                <w:sz w:val="18"/>
              </w:rPr>
              <w:t>2.70%</w:t>
            </w:r>
          </w:p>
        </w:tc>
        <w:tc>
          <w:tcPr>
            <w:tcW w:w="1587" w:type="dxa"/>
            <w:tcBorders>
              <w:top w:val="single" w:color="CCCCCC" w:sz="4" w:space="0"/>
              <w:left w:val="single" w:color="CCCCCC" w:sz="4" w:space="0"/>
              <w:bottom w:val="single" w:color="CCCCCC" w:sz="4" w:space="0"/>
              <w:right w:val="single" w:color="CCCCCC" w:sz="4" w:space="0"/>
            </w:tcBorders>
            <w:shd w:val="clear" w:color="auto" w:fill="F8F9FA"/>
          </w:tcPr>
          <w:p w14:paraId="283EB733">
            <w:pPr>
              <w:jc w:val="center"/>
              <w:rPr>
                <w:rFonts w:hint="eastAsia" w:ascii="宋体" w:hAnsi="宋体" w:eastAsia="宋体" w:cs="宋体"/>
              </w:rPr>
            </w:pPr>
            <w:r>
              <w:rPr>
                <w:rFonts w:hint="eastAsia" w:ascii="宋体" w:hAnsi="宋体" w:eastAsia="宋体" w:cs="宋体"/>
                <w:color w:val="333333"/>
                <w:sz w:val="18"/>
              </w:rPr>
              <w:t>3.42%</w:t>
            </w:r>
          </w:p>
        </w:tc>
        <w:tc>
          <w:tcPr>
            <w:tcW w:w="1587" w:type="dxa"/>
            <w:tcBorders>
              <w:top w:val="single" w:color="CCCCCC" w:sz="4" w:space="0"/>
              <w:left w:val="single" w:color="CCCCCC" w:sz="4" w:space="0"/>
              <w:bottom w:val="single" w:color="CCCCCC" w:sz="4" w:space="0"/>
              <w:right w:val="single" w:color="CCCCCC" w:sz="4" w:space="0"/>
            </w:tcBorders>
            <w:shd w:val="clear" w:color="auto" w:fill="F8F9FA"/>
          </w:tcPr>
          <w:p w14:paraId="31317896">
            <w:pPr>
              <w:jc w:val="center"/>
              <w:rPr>
                <w:rFonts w:hint="eastAsia" w:ascii="宋体" w:hAnsi="宋体" w:eastAsia="宋体" w:cs="宋体"/>
              </w:rPr>
            </w:pPr>
            <w:r>
              <w:rPr>
                <w:rFonts w:hint="eastAsia" w:ascii="宋体" w:hAnsi="宋体" w:eastAsia="宋体" w:cs="宋体"/>
                <w:color w:val="333333"/>
                <w:sz w:val="18"/>
              </w:rPr>
              <w:t>62.37%</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6D17EA6C">
            <w:pPr>
              <w:jc w:val="center"/>
              <w:rPr>
                <w:rFonts w:hint="eastAsia" w:ascii="宋体" w:hAnsi="宋体" w:eastAsia="宋体" w:cs="宋体"/>
              </w:rPr>
            </w:pPr>
            <w:r>
              <w:rPr>
                <w:rFonts w:hint="eastAsia" w:ascii="宋体" w:hAnsi="宋体" w:eastAsia="宋体" w:cs="宋体"/>
                <w:color w:val="333333"/>
                <w:sz w:val="18"/>
              </w:rPr>
              <w:t>1.20</w:t>
            </w:r>
          </w:p>
        </w:tc>
      </w:tr>
      <w:tr w14:paraId="21143C50">
        <w:tblPrEx>
          <w:tblCellMar>
            <w:top w:w="0" w:type="dxa"/>
            <w:left w:w="108" w:type="dxa"/>
            <w:bottom w:w="0" w:type="dxa"/>
            <w:right w:w="108" w:type="dxa"/>
          </w:tblCellMar>
        </w:tblPrEx>
        <w:trPr>
          <w:jc w:val="center"/>
        </w:trPr>
        <w:tc>
          <w:tcPr>
            <w:tcW w:w="1701" w:type="dxa"/>
          </w:tcPr>
          <w:p w14:paraId="0291FA25">
            <w:pPr>
              <w:jc w:val="left"/>
              <w:rPr>
                <w:rFonts w:hint="eastAsia" w:ascii="宋体" w:hAnsi="宋体" w:eastAsia="宋体" w:cs="宋体"/>
              </w:rPr>
            </w:pPr>
            <w:r>
              <w:rPr>
                <w:rFonts w:hint="eastAsia" w:ascii="宋体" w:hAnsi="宋体" w:eastAsia="宋体" w:cs="宋体"/>
                <w:color w:val="333333"/>
                <w:sz w:val="18"/>
              </w:rPr>
              <w:t>广汽集团</w:t>
            </w:r>
          </w:p>
        </w:tc>
        <w:tc>
          <w:tcPr>
            <w:tcW w:w="1247" w:type="dxa"/>
          </w:tcPr>
          <w:p w14:paraId="6A292506">
            <w:pPr>
              <w:jc w:val="center"/>
              <w:rPr>
                <w:rFonts w:hint="eastAsia" w:ascii="宋体" w:hAnsi="宋体" w:eastAsia="宋体" w:cs="宋体"/>
              </w:rPr>
            </w:pPr>
            <w:r>
              <w:rPr>
                <w:rFonts w:hint="eastAsia" w:ascii="宋体" w:hAnsi="宋体" w:eastAsia="宋体" w:cs="宋体"/>
                <w:color w:val="333333"/>
                <w:sz w:val="18"/>
              </w:rPr>
              <w:t>-15.68%</w:t>
            </w:r>
          </w:p>
        </w:tc>
        <w:tc>
          <w:tcPr>
            <w:tcW w:w="1247" w:type="dxa"/>
          </w:tcPr>
          <w:p w14:paraId="79E0FAE3">
            <w:pPr>
              <w:jc w:val="center"/>
              <w:rPr>
                <w:rFonts w:hint="eastAsia" w:ascii="宋体" w:hAnsi="宋体" w:eastAsia="宋体" w:cs="宋体"/>
              </w:rPr>
            </w:pPr>
            <w:r>
              <w:rPr>
                <w:rFonts w:hint="eastAsia" w:ascii="宋体" w:hAnsi="宋体" w:eastAsia="宋体" w:cs="宋体"/>
                <w:color w:val="333333"/>
                <w:sz w:val="18"/>
              </w:rPr>
              <w:t>-12.00%</w:t>
            </w:r>
          </w:p>
        </w:tc>
        <w:tc>
          <w:tcPr>
            <w:tcW w:w="1587" w:type="dxa"/>
          </w:tcPr>
          <w:p w14:paraId="25ED45DB">
            <w:pPr>
              <w:jc w:val="center"/>
              <w:rPr>
                <w:rFonts w:hint="eastAsia" w:ascii="宋体" w:hAnsi="宋体" w:eastAsia="宋体" w:cs="宋体"/>
              </w:rPr>
            </w:pPr>
            <w:r>
              <w:rPr>
                <w:rFonts w:hint="eastAsia" w:ascii="宋体" w:hAnsi="宋体" w:eastAsia="宋体" w:cs="宋体"/>
                <w:color w:val="333333"/>
                <w:sz w:val="18"/>
              </w:rPr>
              <w:t>-8.02%</w:t>
            </w:r>
          </w:p>
        </w:tc>
        <w:tc>
          <w:tcPr>
            <w:tcW w:w="1587" w:type="dxa"/>
          </w:tcPr>
          <w:p w14:paraId="2C9E4CC1">
            <w:pPr>
              <w:jc w:val="center"/>
              <w:rPr>
                <w:rFonts w:hint="eastAsia" w:ascii="宋体" w:hAnsi="宋体" w:eastAsia="宋体" w:cs="宋体"/>
              </w:rPr>
            </w:pPr>
            <w:r>
              <w:rPr>
                <w:rFonts w:hint="eastAsia" w:ascii="宋体" w:hAnsi="宋体" w:eastAsia="宋体" w:cs="宋体"/>
                <w:color w:val="333333"/>
                <w:sz w:val="18"/>
              </w:rPr>
              <w:t>48.97%</w:t>
            </w:r>
          </w:p>
        </w:tc>
        <w:tc>
          <w:tcPr>
            <w:tcW w:w="1247" w:type="dxa"/>
          </w:tcPr>
          <w:p w14:paraId="64045D3C">
            <w:pPr>
              <w:jc w:val="center"/>
              <w:rPr>
                <w:rFonts w:hint="eastAsia" w:ascii="宋体" w:hAnsi="宋体" w:eastAsia="宋体" w:cs="宋体"/>
              </w:rPr>
            </w:pPr>
            <w:r>
              <w:rPr>
                <w:rFonts w:hint="eastAsia" w:ascii="宋体" w:hAnsi="宋体" w:eastAsia="宋体" w:cs="宋体"/>
                <w:color w:val="333333"/>
                <w:sz w:val="18"/>
              </w:rPr>
              <w:t>1.14</w:t>
            </w:r>
          </w:p>
        </w:tc>
      </w:tr>
      <w:tr w14:paraId="35F95BA3">
        <w:tblPrEx>
          <w:tblCellMar>
            <w:top w:w="0" w:type="dxa"/>
            <w:left w:w="108" w:type="dxa"/>
            <w:bottom w:w="0" w:type="dxa"/>
            <w:right w:w="108" w:type="dxa"/>
          </w:tblCellMar>
        </w:tblPrEx>
        <w:trPr>
          <w:jc w:val="center"/>
        </w:trPr>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3C081A41">
            <w:pPr>
              <w:jc w:val="left"/>
              <w:rPr>
                <w:rFonts w:hint="eastAsia" w:ascii="宋体" w:hAnsi="宋体" w:eastAsia="宋体" w:cs="宋体"/>
              </w:rPr>
            </w:pPr>
            <w:r>
              <w:rPr>
                <w:rFonts w:hint="eastAsia" w:ascii="宋体" w:hAnsi="宋体" w:eastAsia="宋体" w:cs="宋体"/>
                <w:color w:val="333333"/>
                <w:sz w:val="18"/>
              </w:rPr>
              <w:t>江淮汽车</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4F5751CB">
            <w:pPr>
              <w:jc w:val="center"/>
              <w:rPr>
                <w:rFonts w:hint="eastAsia" w:ascii="宋体" w:hAnsi="宋体" w:eastAsia="宋体" w:cs="宋体"/>
              </w:rPr>
            </w:pPr>
            <w:r>
              <w:rPr>
                <w:rFonts w:hint="eastAsia" w:ascii="宋体" w:hAnsi="宋体" w:eastAsia="宋体" w:cs="宋体"/>
                <w:color w:val="333333"/>
                <w:sz w:val="18"/>
              </w:rPr>
              <w:t>-3.50%</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02853A04">
            <w:pPr>
              <w:jc w:val="center"/>
              <w:rPr>
                <w:rFonts w:hint="eastAsia" w:ascii="宋体" w:hAnsi="宋体" w:eastAsia="宋体" w:cs="宋体"/>
              </w:rPr>
            </w:pPr>
            <w:r>
              <w:rPr>
                <w:rFonts w:hint="eastAsia" w:ascii="宋体" w:hAnsi="宋体" w:eastAsia="宋体" w:cs="宋体"/>
                <w:color w:val="333333"/>
                <w:sz w:val="18"/>
              </w:rPr>
              <w:t>-3.81%</w:t>
            </w:r>
          </w:p>
        </w:tc>
        <w:tc>
          <w:tcPr>
            <w:tcW w:w="1587" w:type="dxa"/>
            <w:tcBorders>
              <w:top w:val="single" w:color="CCCCCC" w:sz="4" w:space="0"/>
              <w:left w:val="single" w:color="CCCCCC" w:sz="4" w:space="0"/>
              <w:bottom w:val="single" w:color="CCCCCC" w:sz="4" w:space="0"/>
              <w:right w:val="single" w:color="CCCCCC" w:sz="4" w:space="0"/>
            </w:tcBorders>
            <w:shd w:val="clear" w:color="auto" w:fill="F8F9FA"/>
          </w:tcPr>
          <w:p w14:paraId="29A98A9A">
            <w:pPr>
              <w:jc w:val="center"/>
              <w:rPr>
                <w:rFonts w:hint="eastAsia" w:ascii="宋体" w:hAnsi="宋体" w:eastAsia="宋体" w:cs="宋体"/>
              </w:rPr>
            </w:pPr>
            <w:r>
              <w:rPr>
                <w:rFonts w:hint="eastAsia" w:ascii="宋体" w:hAnsi="宋体" w:eastAsia="宋体" w:cs="宋体"/>
                <w:color w:val="333333"/>
                <w:sz w:val="18"/>
              </w:rPr>
              <w:t>-14.53%</w:t>
            </w:r>
          </w:p>
        </w:tc>
        <w:tc>
          <w:tcPr>
            <w:tcW w:w="1587" w:type="dxa"/>
            <w:tcBorders>
              <w:top w:val="single" w:color="CCCCCC" w:sz="4" w:space="0"/>
              <w:left w:val="single" w:color="CCCCCC" w:sz="4" w:space="0"/>
              <w:bottom w:val="single" w:color="CCCCCC" w:sz="4" w:space="0"/>
              <w:right w:val="single" w:color="CCCCCC" w:sz="4" w:space="0"/>
            </w:tcBorders>
            <w:shd w:val="clear" w:color="auto" w:fill="F8F9FA"/>
          </w:tcPr>
          <w:p w14:paraId="3D913DB3">
            <w:pPr>
              <w:jc w:val="center"/>
              <w:rPr>
                <w:rFonts w:hint="eastAsia" w:ascii="宋体" w:hAnsi="宋体" w:eastAsia="宋体" w:cs="宋体"/>
              </w:rPr>
            </w:pPr>
            <w:r>
              <w:rPr>
                <w:rFonts w:hint="eastAsia" w:ascii="宋体" w:hAnsi="宋体" w:eastAsia="宋体" w:cs="宋体"/>
                <w:color w:val="333333"/>
                <w:sz w:val="18"/>
              </w:rPr>
              <w:t>79.07%</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5B51B371">
            <w:pPr>
              <w:jc w:val="center"/>
              <w:rPr>
                <w:rFonts w:hint="eastAsia" w:ascii="宋体" w:hAnsi="宋体" w:eastAsia="宋体" w:cs="宋体"/>
              </w:rPr>
            </w:pPr>
            <w:r>
              <w:rPr>
                <w:rFonts w:hint="eastAsia" w:ascii="宋体" w:hAnsi="宋体" w:eastAsia="宋体" w:cs="宋体"/>
                <w:color w:val="333333"/>
                <w:sz w:val="18"/>
              </w:rPr>
              <w:t>0.80</w:t>
            </w:r>
          </w:p>
        </w:tc>
      </w:tr>
      <w:tr w14:paraId="3A1085F8">
        <w:tblPrEx>
          <w:tblCellMar>
            <w:top w:w="0" w:type="dxa"/>
            <w:left w:w="108" w:type="dxa"/>
            <w:bottom w:w="0" w:type="dxa"/>
            <w:right w:w="108" w:type="dxa"/>
          </w:tblCellMar>
        </w:tblPrEx>
        <w:trPr>
          <w:jc w:val="center"/>
        </w:trPr>
        <w:tc>
          <w:tcPr>
            <w:tcW w:w="1701" w:type="dxa"/>
          </w:tcPr>
          <w:p w14:paraId="469627F5">
            <w:pPr>
              <w:jc w:val="left"/>
              <w:rPr>
                <w:rFonts w:hint="eastAsia" w:ascii="宋体" w:hAnsi="宋体" w:eastAsia="宋体" w:cs="宋体"/>
              </w:rPr>
            </w:pPr>
            <w:r>
              <w:rPr>
                <w:rFonts w:hint="eastAsia" w:ascii="宋体" w:hAnsi="宋体" w:eastAsia="宋体" w:cs="宋体"/>
                <w:color w:val="333333"/>
                <w:sz w:val="18"/>
              </w:rPr>
              <w:t>北汽蓝谷</w:t>
            </w:r>
          </w:p>
        </w:tc>
        <w:tc>
          <w:tcPr>
            <w:tcW w:w="1247" w:type="dxa"/>
          </w:tcPr>
          <w:p w14:paraId="28DA0437">
            <w:pPr>
              <w:jc w:val="center"/>
              <w:rPr>
                <w:rFonts w:hint="eastAsia" w:ascii="宋体" w:hAnsi="宋体" w:eastAsia="宋体" w:cs="宋体"/>
              </w:rPr>
            </w:pPr>
            <w:r>
              <w:rPr>
                <w:rFonts w:hint="eastAsia" w:ascii="宋体" w:hAnsi="宋体" w:eastAsia="宋体" w:cs="宋体"/>
                <w:color w:val="333333"/>
                <w:sz w:val="18"/>
              </w:rPr>
              <w:t>-21.55%</w:t>
            </w:r>
          </w:p>
        </w:tc>
        <w:tc>
          <w:tcPr>
            <w:tcW w:w="1247" w:type="dxa"/>
          </w:tcPr>
          <w:p w14:paraId="03112554">
            <w:pPr>
              <w:jc w:val="center"/>
              <w:rPr>
                <w:rFonts w:hint="eastAsia" w:ascii="宋体" w:hAnsi="宋体" w:eastAsia="宋体" w:cs="宋体"/>
              </w:rPr>
            </w:pPr>
            <w:r>
              <w:rPr>
                <w:rFonts w:hint="eastAsia" w:ascii="宋体" w:hAnsi="宋体" w:eastAsia="宋体" w:cs="宋体"/>
                <w:color w:val="333333"/>
                <w:sz w:val="18"/>
              </w:rPr>
              <w:t>-22.84%</w:t>
            </w:r>
          </w:p>
        </w:tc>
        <w:tc>
          <w:tcPr>
            <w:tcW w:w="1587" w:type="dxa"/>
          </w:tcPr>
          <w:p w14:paraId="732EA630">
            <w:pPr>
              <w:jc w:val="center"/>
              <w:rPr>
                <w:rFonts w:hint="eastAsia" w:ascii="宋体" w:hAnsi="宋体" w:eastAsia="宋体" w:cs="宋体"/>
              </w:rPr>
            </w:pPr>
            <w:r>
              <w:rPr>
                <w:rFonts w:hint="eastAsia" w:ascii="宋体" w:hAnsi="宋体" w:eastAsia="宋体" w:cs="宋体"/>
                <w:color w:val="333333"/>
                <w:sz w:val="18"/>
              </w:rPr>
              <w:t>-332.24%</w:t>
            </w:r>
          </w:p>
        </w:tc>
        <w:tc>
          <w:tcPr>
            <w:tcW w:w="1587" w:type="dxa"/>
          </w:tcPr>
          <w:p w14:paraId="55124D69">
            <w:pPr>
              <w:jc w:val="center"/>
              <w:rPr>
                <w:rFonts w:hint="eastAsia" w:ascii="宋体" w:hAnsi="宋体" w:eastAsia="宋体" w:cs="宋体"/>
              </w:rPr>
            </w:pPr>
            <w:r>
              <w:rPr>
                <w:rFonts w:hint="eastAsia" w:ascii="宋体" w:hAnsi="宋体" w:eastAsia="宋体" w:cs="宋体"/>
                <w:color w:val="333333"/>
                <w:sz w:val="18"/>
              </w:rPr>
              <w:t>88.47%</w:t>
            </w:r>
          </w:p>
        </w:tc>
        <w:tc>
          <w:tcPr>
            <w:tcW w:w="1247" w:type="dxa"/>
          </w:tcPr>
          <w:p w14:paraId="0F6F9C39">
            <w:pPr>
              <w:jc w:val="center"/>
              <w:rPr>
                <w:rFonts w:hint="eastAsia" w:ascii="宋体" w:hAnsi="宋体" w:eastAsia="宋体" w:cs="宋体"/>
              </w:rPr>
            </w:pPr>
            <w:r>
              <w:rPr>
                <w:rFonts w:hint="eastAsia" w:ascii="宋体" w:hAnsi="宋体" w:eastAsia="宋体" w:cs="宋体"/>
                <w:color w:val="333333"/>
                <w:sz w:val="18"/>
              </w:rPr>
              <w:t>0.65</w:t>
            </w:r>
          </w:p>
        </w:tc>
      </w:tr>
    </w:tbl>
    <w:p w14:paraId="7FC62DAB">
      <w:pPr>
        <w:spacing w:after="80"/>
        <w:rPr>
          <w:rFonts w:hint="eastAsia" w:ascii="宋体" w:hAnsi="宋体" w:eastAsia="宋体" w:cs="宋体"/>
        </w:rPr>
      </w:pPr>
    </w:p>
    <w:p w14:paraId="6331C2DD">
      <w:pPr>
        <w:rPr>
          <w:rFonts w:hint="eastAsia" w:ascii="宋体" w:hAnsi="宋体" w:eastAsia="宋体" w:cs="宋体"/>
        </w:rPr>
      </w:pPr>
    </w:p>
    <w:p w14:paraId="17750914">
      <w:pPr>
        <w:jc w:val="center"/>
        <w:rPr>
          <w:rFonts w:hint="eastAsia" w:ascii="宋体" w:hAnsi="宋体" w:eastAsia="宋体" w:cs="宋体"/>
        </w:rPr>
      </w:pPr>
      <w:r>
        <w:rPr>
          <w:rFonts w:hint="eastAsia" w:ascii="宋体" w:hAnsi="宋体" w:eastAsia="宋体" w:cs="宋体"/>
        </w:rPr>
        <w:drawing>
          <wp:inline distT="0" distB="0" distL="114300" distR="114300">
            <wp:extent cx="5399405" cy="2560320"/>
            <wp:effectExtent l="0" t="0" r="1079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00000" cy="2560787"/>
                    </a:xfrm>
                    <a:prstGeom prst="rect">
                      <a:avLst/>
                    </a:prstGeom>
                  </pic:spPr>
                </pic:pic>
              </a:graphicData>
            </a:graphic>
          </wp:inline>
        </w:drawing>
      </w:r>
    </w:p>
    <w:p w14:paraId="6D97C8FD">
      <w:pPr>
        <w:spacing w:after="120"/>
        <w:jc w:val="center"/>
        <w:rPr>
          <w:rFonts w:hint="eastAsia" w:ascii="宋体" w:hAnsi="宋体" w:eastAsia="宋体" w:cs="宋体"/>
        </w:rPr>
      </w:pPr>
      <w:r>
        <w:rPr>
          <w:rFonts w:hint="eastAsia" w:ascii="宋体" w:hAnsi="宋体" w:eastAsia="宋体" w:cs="宋体"/>
          <w:sz w:val="18"/>
        </w:rPr>
        <w:t>图3-1  8家车企核心财务指标热力图</w:t>
      </w:r>
    </w:p>
    <w:p w14:paraId="29183C44">
      <w:pPr>
        <w:spacing w:after="40" w:line="360" w:lineRule="auto"/>
        <w:ind w:firstLine="420"/>
        <w:rPr>
          <w:rFonts w:hint="eastAsia" w:ascii="宋体" w:hAnsi="宋体" w:eastAsia="宋体" w:cs="宋体"/>
        </w:rPr>
      </w:pPr>
      <w:r>
        <w:rPr>
          <w:rFonts w:hint="eastAsia" w:ascii="宋体" w:hAnsi="宋体" w:eastAsia="宋体" w:cs="宋体"/>
          <w:b w:val="0"/>
          <w:sz w:val="24"/>
        </w:rPr>
        <w:t>8家企业中有4家毛利率为负，行业整体盈利空间承压。赛力斯净资产收益率最高（21.90%）但资产负债率也位居前列（70.91%），其高净资产收益率需结合权益乘数来理解——权益乘数从7.69降至3.52本身就解释了净资产收益率大幅回落的大部分原因（详见第六节）。北汽蓝谷四项指标均异常，长城汽车各项指标最为均衡。</w:t>
      </w:r>
    </w:p>
    <w:p w14:paraId="54007473">
      <w:pPr>
        <w:spacing w:before="240" w:after="120"/>
        <w:outlineLvl w:val="1"/>
        <w:rPr>
          <w:rFonts w:hint="eastAsia" w:ascii="宋体" w:hAnsi="宋体" w:eastAsia="宋体" w:cs="宋体"/>
        </w:rPr>
      </w:pPr>
      <w:r>
        <w:rPr>
          <w:rFonts w:hint="eastAsia" w:ascii="宋体" w:hAnsi="宋体" w:eastAsia="宋体" w:cs="宋体"/>
          <w:b/>
          <w:color w:val="000000"/>
          <w:sz w:val="28"/>
        </w:rPr>
        <w:t>（二）研发投入对比</w:t>
      </w:r>
    </w:p>
    <w:p w14:paraId="134329DA">
      <w:pPr>
        <w:jc w:val="center"/>
        <w:rPr>
          <w:rFonts w:hint="eastAsia" w:ascii="宋体" w:hAnsi="宋体" w:eastAsia="宋体" w:cs="宋体"/>
        </w:rPr>
      </w:pPr>
      <w:r>
        <w:rPr>
          <w:rFonts w:hint="eastAsia" w:ascii="宋体" w:hAnsi="宋体" w:eastAsia="宋体" w:cs="宋体"/>
        </w:rPr>
        <w:drawing>
          <wp:inline distT="0" distB="0" distL="114300" distR="114300">
            <wp:extent cx="5039995" cy="1657350"/>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40000" cy="1657450"/>
                    </a:xfrm>
                    <a:prstGeom prst="rect">
                      <a:avLst/>
                    </a:prstGeom>
                  </pic:spPr>
                </pic:pic>
              </a:graphicData>
            </a:graphic>
          </wp:inline>
        </w:drawing>
      </w:r>
    </w:p>
    <w:p w14:paraId="2B7A91C3">
      <w:pPr>
        <w:spacing w:after="120"/>
        <w:jc w:val="center"/>
        <w:rPr>
          <w:rFonts w:hint="eastAsia" w:ascii="宋体" w:hAnsi="宋体" w:eastAsia="宋体" w:cs="宋体"/>
        </w:rPr>
      </w:pPr>
      <w:r>
        <w:rPr>
          <w:rFonts w:hint="eastAsia" w:ascii="宋体" w:hAnsi="宋体" w:eastAsia="宋体" w:cs="宋体"/>
          <w:sz w:val="18"/>
        </w:rPr>
        <w:t>图3-2  赛力斯vs长安研发投入趋势</w:t>
      </w:r>
    </w:p>
    <w:p w14:paraId="5723698C">
      <w:pPr>
        <w:spacing w:after="40" w:line="360" w:lineRule="auto"/>
        <w:ind w:firstLine="420"/>
        <w:rPr>
          <w:rFonts w:hint="eastAsia" w:ascii="宋体" w:hAnsi="宋体" w:eastAsia="宋体" w:cs="宋体"/>
        </w:rPr>
      </w:pPr>
      <w:r>
        <w:rPr>
          <w:rFonts w:hint="eastAsia" w:ascii="宋体" w:hAnsi="宋体" w:eastAsia="宋体" w:cs="宋体"/>
          <w:b w:val="0"/>
          <w:sz w:val="24"/>
        </w:rPr>
        <w:t>赛力斯2025年研发费用79.5亿元，研发费用率4.82%，首次在研发率上超过长安汽车（71.6亿元/4.36%）。华为合作推动研发投入快速增长，合作并未减少赛力斯的研发支出。</w:t>
      </w:r>
    </w:p>
    <w:p w14:paraId="6E59D55A">
      <w:pPr>
        <w:spacing w:before="360" w:after="240"/>
        <w:jc w:val="center"/>
        <w:outlineLvl w:val="0"/>
        <w:rPr>
          <w:rFonts w:hint="eastAsia" w:ascii="宋体" w:hAnsi="宋体" w:eastAsia="宋体" w:cs="宋体"/>
        </w:rPr>
      </w:pPr>
      <w:r>
        <w:rPr>
          <w:rFonts w:hint="eastAsia" w:ascii="宋体" w:hAnsi="宋体" w:eastAsia="宋体" w:cs="宋体"/>
          <w:b/>
          <w:color w:val="000000"/>
          <w:sz w:val="32"/>
        </w:rPr>
        <w:t>四、K-Means聚类与孤立森林分析</w:t>
      </w:r>
    </w:p>
    <w:p w14:paraId="63A7C933">
      <w:pPr>
        <w:spacing w:before="240" w:after="120"/>
        <w:outlineLvl w:val="1"/>
        <w:rPr>
          <w:rFonts w:hint="eastAsia" w:ascii="宋体" w:hAnsi="宋体" w:eastAsia="宋体" w:cs="宋体"/>
        </w:rPr>
      </w:pPr>
      <w:r>
        <w:rPr>
          <w:rFonts w:hint="eastAsia" w:ascii="宋体" w:hAnsi="宋体" w:eastAsia="宋体" w:cs="宋体"/>
          <w:b/>
          <w:color w:val="000000"/>
          <w:sz w:val="28"/>
        </w:rPr>
        <w:t>（一）K-Means聚类结果</w:t>
      </w:r>
    </w:p>
    <w:p w14:paraId="09A07F40">
      <w:pPr>
        <w:spacing w:after="40" w:line="360" w:lineRule="auto"/>
        <w:ind w:firstLine="420"/>
        <w:rPr>
          <w:rFonts w:hint="eastAsia" w:ascii="宋体" w:hAnsi="宋体" w:eastAsia="宋体" w:cs="宋体"/>
        </w:rPr>
      </w:pPr>
      <w:r>
        <w:rPr>
          <w:rFonts w:hint="eastAsia" w:ascii="宋体" w:hAnsi="宋体" w:eastAsia="宋体" w:cs="宋体"/>
          <w:b w:val="0"/>
          <w:sz w:val="24"/>
        </w:rPr>
        <w:t>聚类使用5个特征：毛利率、经营现金净流量/营收、有息负债率、存货周转率、权益乘数。标准化后肘部法则确定K=3，轮廓系数0.609，群间分离度良好。</w:t>
      </w:r>
    </w:p>
    <w:p w14:paraId="3DB1EB4A">
      <w:pPr>
        <w:jc w:val="center"/>
        <w:rPr>
          <w:rFonts w:hint="eastAsia" w:ascii="宋体" w:hAnsi="宋体" w:eastAsia="宋体" w:cs="宋体"/>
        </w:rPr>
      </w:pPr>
      <w:r>
        <w:rPr>
          <w:rFonts w:hint="eastAsia" w:ascii="宋体" w:hAnsi="宋体" w:eastAsia="宋体" w:cs="宋体"/>
        </w:rPr>
        <w:drawing>
          <wp:inline distT="0" distB="0" distL="114300" distR="114300">
            <wp:extent cx="3599815" cy="2030730"/>
            <wp:effectExtent l="0" t="0" r="1206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3600000" cy="2030858"/>
                    </a:xfrm>
                    <a:prstGeom prst="rect">
                      <a:avLst/>
                    </a:prstGeom>
                  </pic:spPr>
                </pic:pic>
              </a:graphicData>
            </a:graphic>
          </wp:inline>
        </w:drawing>
      </w:r>
    </w:p>
    <w:p w14:paraId="1ABABC8A">
      <w:pPr>
        <w:spacing w:after="120"/>
        <w:jc w:val="center"/>
        <w:rPr>
          <w:rFonts w:hint="eastAsia" w:ascii="宋体" w:hAnsi="宋体" w:eastAsia="宋体" w:cs="宋体"/>
        </w:rPr>
      </w:pPr>
      <w:r>
        <w:rPr>
          <w:rFonts w:hint="eastAsia" w:ascii="宋体" w:hAnsi="宋体" w:eastAsia="宋体" w:cs="宋体"/>
          <w:sz w:val="18"/>
        </w:rPr>
        <w:t>图4-1  肘部法则确定K=3</w:t>
      </w:r>
    </w:p>
    <w:p w14:paraId="56BC0EFE">
      <w:pPr>
        <w:rPr>
          <w:rFonts w:hint="eastAsia" w:ascii="宋体" w:hAnsi="宋体" w:eastAsia="宋体" w:cs="宋体"/>
        </w:rPr>
      </w:pPr>
    </w:p>
    <w:tbl>
      <w:tblPr>
        <w:tblStyle w:val="32"/>
        <w:tblW w:w="0" w:type="auto"/>
        <w:jc w:val="center"/>
        <w:tblLayout w:type="autofit"/>
        <w:tblCellMar>
          <w:top w:w="0" w:type="dxa"/>
          <w:left w:w="108" w:type="dxa"/>
          <w:bottom w:w="0" w:type="dxa"/>
          <w:right w:w="108" w:type="dxa"/>
        </w:tblCellMar>
      </w:tblPr>
      <w:tblGrid>
        <w:gridCol w:w="850"/>
        <w:gridCol w:w="1417"/>
        <w:gridCol w:w="1134"/>
        <w:gridCol w:w="1417"/>
        <w:gridCol w:w="1417"/>
        <w:gridCol w:w="1134"/>
      </w:tblGrid>
      <w:tr w14:paraId="4D0FCFD5">
        <w:tblPrEx>
          <w:tblCellMar>
            <w:top w:w="0" w:type="dxa"/>
            <w:left w:w="108" w:type="dxa"/>
            <w:bottom w:w="0" w:type="dxa"/>
            <w:right w:w="108" w:type="dxa"/>
          </w:tblCellMar>
        </w:tblPrEx>
        <w:trPr>
          <w:jc w:val="center"/>
        </w:trPr>
        <w:tc>
          <w:tcPr>
            <w:tcW w:w="850" w:type="dxa"/>
            <w:tcBorders>
              <w:top w:val="single" w:color="2E75B6" w:sz="8" w:space="0"/>
              <w:left w:val="single" w:color="CCCCCC" w:sz="4" w:space="0"/>
              <w:bottom w:val="single" w:color="CCCCCC" w:sz="4" w:space="0"/>
              <w:right w:val="single" w:color="CCCCCC" w:sz="4" w:space="0"/>
            </w:tcBorders>
            <w:shd w:val="clear" w:color="auto" w:fill="D5E8F0"/>
          </w:tcPr>
          <w:p w14:paraId="1EC7BC30">
            <w:pPr>
              <w:jc w:val="center"/>
              <w:rPr>
                <w:rFonts w:hint="eastAsia" w:ascii="宋体" w:hAnsi="宋体" w:eastAsia="宋体" w:cs="宋体"/>
              </w:rPr>
            </w:pPr>
            <w:r>
              <w:rPr>
                <w:rFonts w:hint="eastAsia" w:ascii="宋体" w:hAnsi="宋体" w:eastAsia="宋体" w:cs="宋体"/>
                <w:b/>
                <w:color w:val="1A4789"/>
                <w:sz w:val="18"/>
              </w:rPr>
              <w:t>群组</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1FA74AB2">
            <w:pPr>
              <w:jc w:val="center"/>
              <w:rPr>
                <w:rFonts w:hint="eastAsia" w:ascii="宋体" w:hAnsi="宋体" w:eastAsia="宋体" w:cs="宋体"/>
              </w:rPr>
            </w:pPr>
            <w:r>
              <w:rPr>
                <w:rFonts w:hint="eastAsia" w:ascii="宋体" w:hAnsi="宋体" w:eastAsia="宋体" w:cs="宋体"/>
                <w:b/>
                <w:color w:val="1A4789"/>
                <w:sz w:val="18"/>
              </w:rPr>
              <w:t>所含企业</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5934F628">
            <w:pPr>
              <w:jc w:val="center"/>
              <w:rPr>
                <w:rFonts w:hint="eastAsia" w:ascii="宋体" w:hAnsi="宋体" w:eastAsia="宋体" w:cs="宋体"/>
              </w:rPr>
            </w:pPr>
            <w:r>
              <w:rPr>
                <w:rFonts w:hint="eastAsia" w:ascii="宋体" w:hAnsi="宋体" w:eastAsia="宋体" w:cs="宋体"/>
                <w:b/>
                <w:color w:val="1A4789"/>
                <w:sz w:val="18"/>
              </w:rPr>
              <w:t>季度数</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0B80A9F9">
            <w:pPr>
              <w:jc w:val="center"/>
              <w:rPr>
                <w:rFonts w:hint="eastAsia" w:ascii="宋体" w:hAnsi="宋体" w:eastAsia="宋体" w:cs="宋体"/>
              </w:rPr>
            </w:pPr>
            <w:r>
              <w:rPr>
                <w:rFonts w:hint="eastAsia" w:ascii="宋体" w:hAnsi="宋体" w:eastAsia="宋体" w:cs="宋体"/>
                <w:b/>
                <w:color w:val="1A4789"/>
                <w:sz w:val="18"/>
              </w:rPr>
              <w:t>毛利率均值</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3BBB200F">
            <w:pPr>
              <w:jc w:val="center"/>
              <w:rPr>
                <w:rFonts w:hint="eastAsia" w:ascii="宋体" w:hAnsi="宋体" w:eastAsia="宋体" w:cs="宋体"/>
              </w:rPr>
            </w:pPr>
            <w:r>
              <w:rPr>
                <w:rFonts w:hint="eastAsia" w:ascii="宋体" w:hAnsi="宋体" w:eastAsia="宋体" w:cs="宋体"/>
                <w:b/>
                <w:color w:val="1A4789"/>
                <w:sz w:val="18"/>
              </w:rPr>
              <w:t>经营现金/营收</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7B5E3C39">
            <w:pPr>
              <w:jc w:val="center"/>
              <w:rPr>
                <w:rFonts w:hint="eastAsia" w:ascii="宋体" w:hAnsi="宋体" w:eastAsia="宋体" w:cs="宋体"/>
              </w:rPr>
            </w:pPr>
            <w:r>
              <w:rPr>
                <w:rFonts w:hint="eastAsia" w:ascii="宋体" w:hAnsi="宋体" w:eastAsia="宋体" w:cs="宋体"/>
                <w:b/>
                <w:color w:val="1A4789"/>
                <w:sz w:val="18"/>
              </w:rPr>
              <w:t>有息负债率</w:t>
            </w:r>
          </w:p>
        </w:tc>
      </w:tr>
      <w:tr w14:paraId="193EFFDD">
        <w:tblPrEx>
          <w:tblCellMar>
            <w:top w:w="0" w:type="dxa"/>
            <w:left w:w="108" w:type="dxa"/>
            <w:bottom w:w="0" w:type="dxa"/>
            <w:right w:w="108" w:type="dxa"/>
          </w:tblCellMar>
        </w:tblPrEx>
        <w:trPr>
          <w:jc w:val="center"/>
        </w:trPr>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43F17317">
            <w:pPr>
              <w:jc w:val="left"/>
              <w:rPr>
                <w:rFonts w:hint="eastAsia" w:ascii="宋体" w:hAnsi="宋体" w:eastAsia="宋体" w:cs="宋体"/>
              </w:rPr>
            </w:pPr>
            <w:r>
              <w:rPr>
                <w:rFonts w:hint="eastAsia" w:ascii="宋体" w:hAnsi="宋体" w:eastAsia="宋体" w:cs="宋体"/>
                <w:color w:val="333333"/>
                <w:sz w:val="18"/>
              </w:rPr>
              <w:t>群0</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4D9FCD78">
            <w:pPr>
              <w:jc w:val="center"/>
              <w:rPr>
                <w:rFonts w:hint="eastAsia" w:ascii="宋体" w:hAnsi="宋体" w:eastAsia="宋体" w:cs="宋体"/>
              </w:rPr>
            </w:pPr>
            <w:r>
              <w:rPr>
                <w:rFonts w:hint="eastAsia" w:ascii="宋体" w:hAnsi="宋体" w:eastAsia="宋体" w:cs="宋体"/>
                <w:color w:val="333333"/>
                <w:sz w:val="18"/>
              </w:rPr>
              <w:t>全部8家</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5596FF9E">
            <w:pPr>
              <w:jc w:val="center"/>
              <w:rPr>
                <w:rFonts w:hint="eastAsia" w:ascii="宋体" w:hAnsi="宋体" w:eastAsia="宋体" w:cs="宋体"/>
              </w:rPr>
            </w:pPr>
            <w:r>
              <w:rPr>
                <w:rFonts w:hint="eastAsia" w:ascii="宋体" w:hAnsi="宋体" w:eastAsia="宋体" w:cs="宋体"/>
                <w:color w:val="333333"/>
                <w:sz w:val="18"/>
              </w:rPr>
              <w:t>287</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411587B">
            <w:pPr>
              <w:jc w:val="center"/>
              <w:rPr>
                <w:rFonts w:hint="eastAsia" w:ascii="宋体" w:hAnsi="宋体" w:eastAsia="宋体" w:cs="宋体"/>
              </w:rPr>
            </w:pPr>
            <w:r>
              <w:rPr>
                <w:rFonts w:hint="eastAsia" w:ascii="宋体" w:hAnsi="宋体" w:eastAsia="宋体" w:cs="宋体"/>
                <w:color w:val="333333"/>
                <w:sz w:val="18"/>
              </w:rPr>
              <w:t>-0.011</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4387B664">
            <w:pPr>
              <w:jc w:val="center"/>
              <w:rPr>
                <w:rFonts w:hint="eastAsia" w:ascii="宋体" w:hAnsi="宋体" w:eastAsia="宋体" w:cs="宋体"/>
              </w:rPr>
            </w:pPr>
            <w:r>
              <w:rPr>
                <w:rFonts w:hint="eastAsia" w:ascii="宋体" w:hAnsi="宋体" w:eastAsia="宋体" w:cs="宋体"/>
                <w:color w:val="333333"/>
                <w:sz w:val="18"/>
              </w:rPr>
              <w:t>-0.020</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2525512">
            <w:pPr>
              <w:jc w:val="center"/>
              <w:rPr>
                <w:rFonts w:hint="eastAsia" w:ascii="宋体" w:hAnsi="宋体" w:eastAsia="宋体" w:cs="宋体"/>
              </w:rPr>
            </w:pPr>
            <w:r>
              <w:rPr>
                <w:rFonts w:hint="eastAsia" w:ascii="宋体" w:hAnsi="宋体" w:eastAsia="宋体" w:cs="宋体"/>
                <w:color w:val="333333"/>
                <w:sz w:val="18"/>
              </w:rPr>
              <w:t>0.124</w:t>
            </w:r>
          </w:p>
        </w:tc>
      </w:tr>
      <w:tr w14:paraId="0638FAC3">
        <w:tblPrEx>
          <w:tblCellMar>
            <w:top w:w="0" w:type="dxa"/>
            <w:left w:w="108" w:type="dxa"/>
            <w:bottom w:w="0" w:type="dxa"/>
            <w:right w:w="108" w:type="dxa"/>
          </w:tblCellMar>
        </w:tblPrEx>
        <w:trPr>
          <w:jc w:val="center"/>
        </w:trPr>
        <w:tc>
          <w:tcPr>
            <w:tcW w:w="850" w:type="dxa"/>
          </w:tcPr>
          <w:p w14:paraId="65978F3B">
            <w:pPr>
              <w:jc w:val="left"/>
              <w:rPr>
                <w:rFonts w:hint="eastAsia" w:ascii="宋体" w:hAnsi="宋体" w:eastAsia="宋体" w:cs="宋体"/>
              </w:rPr>
            </w:pPr>
            <w:r>
              <w:rPr>
                <w:rFonts w:hint="eastAsia" w:ascii="宋体" w:hAnsi="宋体" w:eastAsia="宋体" w:cs="宋体"/>
                <w:color w:val="333333"/>
                <w:sz w:val="18"/>
              </w:rPr>
              <w:t>群1</w:t>
            </w:r>
          </w:p>
        </w:tc>
        <w:tc>
          <w:tcPr>
            <w:tcW w:w="1417" w:type="dxa"/>
          </w:tcPr>
          <w:p w14:paraId="3B645BE0">
            <w:pPr>
              <w:jc w:val="center"/>
              <w:rPr>
                <w:rFonts w:hint="eastAsia" w:ascii="宋体" w:hAnsi="宋体" w:eastAsia="宋体" w:cs="宋体"/>
              </w:rPr>
            </w:pPr>
            <w:r>
              <w:rPr>
                <w:rFonts w:hint="eastAsia" w:ascii="宋体" w:hAnsi="宋体" w:eastAsia="宋体" w:cs="宋体"/>
                <w:color w:val="333333"/>
                <w:sz w:val="18"/>
              </w:rPr>
              <w:t>北汽蓝谷</w:t>
            </w:r>
          </w:p>
        </w:tc>
        <w:tc>
          <w:tcPr>
            <w:tcW w:w="1134" w:type="dxa"/>
          </w:tcPr>
          <w:p w14:paraId="7618CAFF">
            <w:pPr>
              <w:jc w:val="center"/>
              <w:rPr>
                <w:rFonts w:hint="eastAsia" w:ascii="宋体" w:hAnsi="宋体" w:eastAsia="宋体" w:cs="宋体"/>
              </w:rPr>
            </w:pPr>
            <w:r>
              <w:rPr>
                <w:rFonts w:hint="eastAsia" w:ascii="宋体" w:hAnsi="宋体" w:eastAsia="宋体" w:cs="宋体"/>
                <w:color w:val="333333"/>
                <w:sz w:val="18"/>
              </w:rPr>
              <w:t>3</w:t>
            </w:r>
          </w:p>
        </w:tc>
        <w:tc>
          <w:tcPr>
            <w:tcW w:w="1417" w:type="dxa"/>
          </w:tcPr>
          <w:p w14:paraId="3B6CA719">
            <w:pPr>
              <w:jc w:val="center"/>
              <w:rPr>
                <w:rFonts w:hint="eastAsia" w:ascii="宋体" w:hAnsi="宋体" w:eastAsia="宋体" w:cs="宋体"/>
              </w:rPr>
            </w:pPr>
            <w:r>
              <w:rPr>
                <w:rFonts w:hint="eastAsia" w:ascii="宋体" w:hAnsi="宋体" w:eastAsia="宋体" w:cs="宋体"/>
                <w:color w:val="333333"/>
                <w:sz w:val="18"/>
              </w:rPr>
              <w:t>-1.075</w:t>
            </w:r>
          </w:p>
        </w:tc>
        <w:tc>
          <w:tcPr>
            <w:tcW w:w="1417" w:type="dxa"/>
          </w:tcPr>
          <w:p w14:paraId="5BE1C10D">
            <w:pPr>
              <w:jc w:val="center"/>
              <w:rPr>
                <w:rFonts w:hint="eastAsia" w:ascii="宋体" w:hAnsi="宋体" w:eastAsia="宋体" w:cs="宋体"/>
              </w:rPr>
            </w:pPr>
            <w:r>
              <w:rPr>
                <w:rFonts w:hint="eastAsia" w:ascii="宋体" w:hAnsi="宋体" w:eastAsia="宋体" w:cs="宋体"/>
                <w:color w:val="333333"/>
                <w:sz w:val="18"/>
              </w:rPr>
              <w:t>-8.312</w:t>
            </w:r>
          </w:p>
        </w:tc>
        <w:tc>
          <w:tcPr>
            <w:tcW w:w="1134" w:type="dxa"/>
          </w:tcPr>
          <w:p w14:paraId="68CE3057">
            <w:pPr>
              <w:jc w:val="center"/>
              <w:rPr>
                <w:rFonts w:hint="eastAsia" w:ascii="宋体" w:hAnsi="宋体" w:eastAsia="宋体" w:cs="宋体"/>
              </w:rPr>
            </w:pPr>
            <w:r>
              <w:rPr>
                <w:rFonts w:hint="eastAsia" w:ascii="宋体" w:hAnsi="宋体" w:eastAsia="宋体" w:cs="宋体"/>
                <w:color w:val="333333"/>
                <w:sz w:val="18"/>
              </w:rPr>
              <w:t>0.000</w:t>
            </w:r>
          </w:p>
        </w:tc>
      </w:tr>
      <w:tr w14:paraId="6C1AA8F9">
        <w:tblPrEx>
          <w:tblCellMar>
            <w:top w:w="0" w:type="dxa"/>
            <w:left w:w="108" w:type="dxa"/>
            <w:bottom w:w="0" w:type="dxa"/>
            <w:right w:w="108" w:type="dxa"/>
          </w:tblCellMar>
        </w:tblPrEx>
        <w:trPr>
          <w:jc w:val="center"/>
        </w:trPr>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3EF302B7">
            <w:pPr>
              <w:jc w:val="left"/>
              <w:rPr>
                <w:rFonts w:hint="eastAsia" w:ascii="宋体" w:hAnsi="宋体" w:eastAsia="宋体" w:cs="宋体"/>
              </w:rPr>
            </w:pPr>
            <w:r>
              <w:rPr>
                <w:rFonts w:hint="eastAsia" w:ascii="宋体" w:hAnsi="宋体" w:eastAsia="宋体" w:cs="宋体"/>
                <w:color w:val="333333"/>
                <w:sz w:val="18"/>
              </w:rPr>
              <w:t>群2</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6CAF6F2C">
            <w:pPr>
              <w:jc w:val="center"/>
              <w:rPr>
                <w:rFonts w:hint="eastAsia" w:ascii="宋体" w:hAnsi="宋体" w:eastAsia="宋体" w:cs="宋体"/>
              </w:rPr>
            </w:pPr>
            <w:r>
              <w:rPr>
                <w:rFonts w:hint="eastAsia" w:ascii="宋体" w:hAnsi="宋体" w:eastAsia="宋体" w:cs="宋体"/>
                <w:color w:val="333333"/>
                <w:sz w:val="18"/>
              </w:rPr>
              <w:t>北汽蓝谷</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33022531">
            <w:pPr>
              <w:jc w:val="center"/>
              <w:rPr>
                <w:rFonts w:hint="eastAsia" w:ascii="宋体" w:hAnsi="宋体" w:eastAsia="宋体" w:cs="宋体"/>
              </w:rPr>
            </w:pPr>
            <w:r>
              <w:rPr>
                <w:rFonts w:hint="eastAsia" w:ascii="宋体" w:hAnsi="宋体" w:eastAsia="宋体" w:cs="宋体"/>
                <w:color w:val="333333"/>
                <w:sz w:val="18"/>
              </w:rPr>
              <w:t>24</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5192E09">
            <w:pPr>
              <w:jc w:val="center"/>
              <w:rPr>
                <w:rFonts w:hint="eastAsia" w:ascii="宋体" w:hAnsi="宋体" w:eastAsia="宋体" w:cs="宋体"/>
              </w:rPr>
            </w:pPr>
            <w:r>
              <w:rPr>
                <w:rFonts w:hint="eastAsia" w:ascii="宋体" w:hAnsi="宋体" w:eastAsia="宋体" w:cs="宋体"/>
                <w:color w:val="333333"/>
                <w:sz w:val="18"/>
              </w:rPr>
              <w:t>-0.528</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730B0B2D">
            <w:pPr>
              <w:jc w:val="center"/>
              <w:rPr>
                <w:rFonts w:hint="eastAsia" w:ascii="宋体" w:hAnsi="宋体" w:eastAsia="宋体" w:cs="宋体"/>
              </w:rPr>
            </w:pPr>
            <w:r>
              <w:rPr>
                <w:rFonts w:hint="eastAsia" w:ascii="宋体" w:hAnsi="宋体" w:eastAsia="宋体" w:cs="宋体"/>
                <w:color w:val="333333"/>
                <w:sz w:val="18"/>
              </w:rPr>
              <w:t>-0.208</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50D16242">
            <w:pPr>
              <w:jc w:val="center"/>
              <w:rPr>
                <w:rFonts w:hint="eastAsia" w:ascii="宋体" w:hAnsi="宋体" w:eastAsia="宋体" w:cs="宋体"/>
              </w:rPr>
            </w:pPr>
            <w:r>
              <w:rPr>
                <w:rFonts w:hint="eastAsia" w:ascii="宋体" w:hAnsi="宋体" w:eastAsia="宋体" w:cs="宋体"/>
                <w:color w:val="333333"/>
                <w:sz w:val="18"/>
              </w:rPr>
              <w:t>0.382</w:t>
            </w:r>
          </w:p>
        </w:tc>
      </w:tr>
    </w:tbl>
    <w:p w14:paraId="1302979B">
      <w:pPr>
        <w:spacing w:after="80"/>
        <w:rPr>
          <w:rFonts w:hint="eastAsia" w:ascii="宋体" w:hAnsi="宋体" w:eastAsia="宋体" w:cs="宋体"/>
        </w:rPr>
      </w:pPr>
    </w:p>
    <w:p w14:paraId="648F2D75">
      <w:pPr>
        <w:rPr>
          <w:rFonts w:hint="eastAsia" w:ascii="宋体" w:hAnsi="宋体" w:eastAsia="宋体" w:cs="宋体"/>
        </w:rPr>
      </w:pPr>
    </w:p>
    <w:p w14:paraId="22DF6816">
      <w:pPr>
        <w:jc w:val="center"/>
        <w:rPr>
          <w:rFonts w:hint="eastAsia" w:ascii="宋体" w:hAnsi="宋体" w:eastAsia="宋体" w:cs="宋体"/>
        </w:rPr>
      </w:pPr>
      <w:r>
        <w:rPr>
          <w:rFonts w:hint="eastAsia" w:ascii="宋体" w:hAnsi="宋体" w:eastAsia="宋体" w:cs="宋体"/>
        </w:rPr>
        <w:drawing>
          <wp:inline distT="0" distB="0" distL="114300" distR="114300">
            <wp:extent cx="5039995" cy="3512185"/>
            <wp:effectExtent l="0" t="0" r="444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40000" cy="3512727"/>
                    </a:xfrm>
                    <a:prstGeom prst="rect">
                      <a:avLst/>
                    </a:prstGeom>
                  </pic:spPr>
                </pic:pic>
              </a:graphicData>
            </a:graphic>
          </wp:inline>
        </w:drawing>
      </w:r>
    </w:p>
    <w:p w14:paraId="14AFA94C">
      <w:pPr>
        <w:spacing w:after="120"/>
        <w:jc w:val="center"/>
        <w:rPr>
          <w:rFonts w:hint="eastAsia" w:ascii="宋体" w:hAnsi="宋体" w:eastAsia="宋体" w:cs="宋体"/>
        </w:rPr>
      </w:pPr>
      <w:r>
        <w:rPr>
          <w:rFonts w:hint="eastAsia" w:ascii="宋体" w:hAnsi="宋体" w:eastAsia="宋体" w:cs="宋体"/>
          <w:sz w:val="18"/>
        </w:rPr>
        <w:t>图4-2  K-Means聚类PCA可视化</w:t>
      </w:r>
    </w:p>
    <w:p w14:paraId="2090D323">
      <w:pPr>
        <w:spacing w:after="40" w:line="360" w:lineRule="auto"/>
        <w:ind w:firstLine="420"/>
        <w:rPr>
          <w:rFonts w:hint="eastAsia" w:ascii="宋体" w:hAnsi="宋体" w:eastAsia="宋体" w:cs="宋体"/>
        </w:rPr>
      </w:pPr>
      <w:r>
        <w:rPr>
          <w:rFonts w:hint="eastAsia" w:ascii="宋体" w:hAnsi="宋体" w:eastAsia="宋体" w:cs="宋体"/>
          <w:b w:val="0"/>
          <w:sz w:val="24"/>
        </w:rPr>
        <w:t>群1和群2均由北汽蓝谷极端季度构成，与其余7家显著不同。群0包含全部8家企业287个季度，是行业常态区域。赛力斯和长安均位于群0，仅从五维特征看二者同属"正常"区间，其差异不在统计聚类层面而在具体指标的波动模式和驱动力上。</w:t>
      </w:r>
    </w:p>
    <w:p w14:paraId="4C41671F">
      <w:pPr>
        <w:spacing w:before="240" w:after="120"/>
        <w:outlineLvl w:val="1"/>
        <w:rPr>
          <w:rFonts w:hint="eastAsia" w:ascii="宋体" w:hAnsi="宋体" w:eastAsia="宋体" w:cs="宋体"/>
        </w:rPr>
      </w:pPr>
      <w:r>
        <w:rPr>
          <w:rFonts w:hint="eastAsia" w:ascii="宋体" w:hAnsi="宋体" w:eastAsia="宋体" w:cs="宋体"/>
          <w:b/>
          <w:color w:val="000000"/>
          <w:sz w:val="28"/>
        </w:rPr>
        <w:t>（二）孤立森林异常检测</w:t>
      </w:r>
    </w:p>
    <w:p w14:paraId="4576B115">
      <w:pPr>
        <w:jc w:val="center"/>
        <w:rPr>
          <w:rFonts w:hint="eastAsia" w:ascii="宋体" w:hAnsi="宋体" w:eastAsia="宋体" w:cs="宋体"/>
        </w:rPr>
      </w:pPr>
      <w:r>
        <w:rPr>
          <w:rFonts w:hint="eastAsia" w:ascii="宋体" w:hAnsi="宋体" w:eastAsia="宋体" w:cs="宋体"/>
        </w:rPr>
        <w:drawing>
          <wp:inline distT="0" distB="0" distL="114300" distR="114300">
            <wp:extent cx="4319905" cy="1857375"/>
            <wp:effectExtent l="0" t="0" r="825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4320000" cy="1857673"/>
                    </a:xfrm>
                    <a:prstGeom prst="rect">
                      <a:avLst/>
                    </a:prstGeom>
                  </pic:spPr>
                </pic:pic>
              </a:graphicData>
            </a:graphic>
          </wp:inline>
        </w:drawing>
      </w:r>
    </w:p>
    <w:p w14:paraId="6C399482">
      <w:pPr>
        <w:spacing w:after="120"/>
        <w:jc w:val="center"/>
        <w:rPr>
          <w:rFonts w:hint="eastAsia" w:ascii="宋体" w:hAnsi="宋体" w:eastAsia="宋体" w:cs="宋体"/>
        </w:rPr>
      </w:pPr>
      <w:r>
        <w:rPr>
          <w:rFonts w:hint="eastAsia" w:ascii="宋体" w:hAnsi="宋体" w:eastAsia="宋体" w:cs="宋体"/>
          <w:sz w:val="18"/>
        </w:rPr>
        <w:t>图4-3  孤立森林异常检测结果</w:t>
      </w:r>
    </w:p>
    <w:tbl>
      <w:tblPr>
        <w:tblStyle w:val="32"/>
        <w:tblW w:w="0" w:type="auto"/>
        <w:jc w:val="center"/>
        <w:tblLayout w:type="autofit"/>
        <w:tblCellMar>
          <w:top w:w="0" w:type="dxa"/>
          <w:left w:w="108" w:type="dxa"/>
          <w:bottom w:w="0" w:type="dxa"/>
          <w:right w:w="108" w:type="dxa"/>
        </w:tblCellMar>
      </w:tblPr>
      <w:tblGrid>
        <w:gridCol w:w="1417"/>
        <w:gridCol w:w="1134"/>
        <w:gridCol w:w="1417"/>
        <w:gridCol w:w="1134"/>
      </w:tblGrid>
      <w:tr w14:paraId="18F44CC5">
        <w:tblPrEx>
          <w:tblCellMar>
            <w:top w:w="0" w:type="dxa"/>
            <w:left w:w="108" w:type="dxa"/>
            <w:bottom w:w="0" w:type="dxa"/>
            <w:right w:w="108" w:type="dxa"/>
          </w:tblCellMar>
        </w:tblPrEx>
        <w:trPr>
          <w:jc w:val="center"/>
        </w:trPr>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3F10D253">
            <w:pPr>
              <w:jc w:val="center"/>
              <w:rPr>
                <w:rFonts w:hint="eastAsia" w:ascii="宋体" w:hAnsi="宋体" w:eastAsia="宋体" w:cs="宋体"/>
              </w:rPr>
            </w:pPr>
            <w:r>
              <w:rPr>
                <w:rFonts w:hint="eastAsia" w:ascii="宋体" w:hAnsi="宋体" w:eastAsia="宋体" w:cs="宋体"/>
                <w:b/>
                <w:color w:val="1A4789"/>
                <w:sz w:val="18"/>
              </w:rPr>
              <w:t>公司</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6C0126CC">
            <w:pPr>
              <w:jc w:val="center"/>
              <w:rPr>
                <w:rFonts w:hint="eastAsia" w:ascii="宋体" w:hAnsi="宋体" w:eastAsia="宋体" w:cs="宋体"/>
              </w:rPr>
            </w:pPr>
            <w:r>
              <w:rPr>
                <w:rFonts w:hint="eastAsia" w:ascii="宋体" w:hAnsi="宋体" w:eastAsia="宋体" w:cs="宋体"/>
                <w:b/>
                <w:color w:val="1A4789"/>
                <w:sz w:val="18"/>
              </w:rPr>
              <w:t>异常率</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4FE31AE9">
            <w:pPr>
              <w:jc w:val="center"/>
              <w:rPr>
                <w:rFonts w:hint="eastAsia" w:ascii="宋体" w:hAnsi="宋体" w:eastAsia="宋体" w:cs="宋体"/>
              </w:rPr>
            </w:pPr>
            <w:r>
              <w:rPr>
                <w:rFonts w:hint="eastAsia" w:ascii="宋体" w:hAnsi="宋体" w:eastAsia="宋体" w:cs="宋体"/>
                <w:b/>
                <w:color w:val="1A4789"/>
                <w:sz w:val="18"/>
              </w:rPr>
              <w:t>异常得分均值</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1CB112B6">
            <w:pPr>
              <w:jc w:val="center"/>
              <w:rPr>
                <w:rFonts w:hint="eastAsia" w:ascii="宋体" w:hAnsi="宋体" w:eastAsia="宋体" w:cs="宋体"/>
              </w:rPr>
            </w:pPr>
            <w:r>
              <w:rPr>
                <w:rFonts w:hint="eastAsia" w:ascii="宋体" w:hAnsi="宋体" w:eastAsia="宋体" w:cs="宋体"/>
                <w:b/>
                <w:color w:val="1A4789"/>
                <w:sz w:val="18"/>
              </w:rPr>
              <w:t>季度数</w:t>
            </w:r>
          </w:p>
        </w:tc>
      </w:tr>
      <w:tr w14:paraId="4314D360">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6B0BC23">
            <w:pPr>
              <w:jc w:val="left"/>
              <w:rPr>
                <w:rFonts w:hint="eastAsia" w:ascii="宋体" w:hAnsi="宋体" w:eastAsia="宋体" w:cs="宋体"/>
              </w:rPr>
            </w:pPr>
            <w:r>
              <w:rPr>
                <w:rFonts w:hint="eastAsia" w:ascii="宋体" w:hAnsi="宋体" w:eastAsia="宋体" w:cs="宋体"/>
                <w:color w:val="333333"/>
                <w:sz w:val="18"/>
              </w:rPr>
              <w:t>北汽蓝谷</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7C89A11D">
            <w:pPr>
              <w:jc w:val="center"/>
              <w:rPr>
                <w:rFonts w:hint="eastAsia" w:ascii="宋体" w:hAnsi="宋体" w:eastAsia="宋体" w:cs="宋体"/>
              </w:rPr>
            </w:pPr>
            <w:r>
              <w:rPr>
                <w:rFonts w:hint="eastAsia" w:ascii="宋体" w:hAnsi="宋体" w:eastAsia="宋体" w:cs="宋体"/>
                <w:color w:val="333333"/>
                <w:sz w:val="18"/>
              </w:rPr>
              <w:t>74%</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25B33311">
            <w:pPr>
              <w:jc w:val="center"/>
              <w:rPr>
                <w:rFonts w:hint="eastAsia" w:ascii="宋体" w:hAnsi="宋体" w:eastAsia="宋体" w:cs="宋体"/>
              </w:rPr>
            </w:pPr>
            <w:r>
              <w:rPr>
                <w:rFonts w:hint="eastAsia" w:ascii="宋体" w:hAnsi="宋体" w:eastAsia="宋体" w:cs="宋体"/>
                <w:color w:val="333333"/>
                <w:sz w:val="18"/>
              </w:rPr>
              <w:t>-0.057</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09DD8830">
            <w:pPr>
              <w:jc w:val="center"/>
              <w:rPr>
                <w:rFonts w:hint="eastAsia" w:ascii="宋体" w:hAnsi="宋体" w:eastAsia="宋体" w:cs="宋体"/>
              </w:rPr>
            </w:pPr>
            <w:r>
              <w:rPr>
                <w:rFonts w:hint="eastAsia" w:ascii="宋体" w:hAnsi="宋体" w:eastAsia="宋体" w:cs="宋体"/>
                <w:color w:val="333333"/>
                <w:sz w:val="18"/>
              </w:rPr>
              <w:t>39</w:t>
            </w:r>
          </w:p>
        </w:tc>
      </w:tr>
      <w:tr w14:paraId="6B494A49">
        <w:tblPrEx>
          <w:tblCellMar>
            <w:top w:w="0" w:type="dxa"/>
            <w:left w:w="108" w:type="dxa"/>
            <w:bottom w:w="0" w:type="dxa"/>
            <w:right w:w="108" w:type="dxa"/>
          </w:tblCellMar>
        </w:tblPrEx>
        <w:trPr>
          <w:jc w:val="center"/>
        </w:trPr>
        <w:tc>
          <w:tcPr>
            <w:tcW w:w="1417" w:type="dxa"/>
          </w:tcPr>
          <w:p w14:paraId="3280DB45">
            <w:pPr>
              <w:jc w:val="left"/>
              <w:rPr>
                <w:rFonts w:hint="eastAsia" w:ascii="宋体" w:hAnsi="宋体" w:eastAsia="宋体" w:cs="宋体"/>
              </w:rPr>
            </w:pPr>
            <w:r>
              <w:rPr>
                <w:rFonts w:hint="eastAsia" w:ascii="宋体" w:hAnsi="宋体" w:eastAsia="宋体" w:cs="宋体"/>
                <w:color w:val="333333"/>
                <w:sz w:val="18"/>
              </w:rPr>
              <w:t>赛力斯</w:t>
            </w:r>
          </w:p>
        </w:tc>
        <w:tc>
          <w:tcPr>
            <w:tcW w:w="1134" w:type="dxa"/>
          </w:tcPr>
          <w:p w14:paraId="76E57B80">
            <w:pPr>
              <w:jc w:val="center"/>
              <w:rPr>
                <w:rFonts w:hint="eastAsia" w:ascii="宋体" w:hAnsi="宋体" w:eastAsia="宋体" w:cs="宋体"/>
              </w:rPr>
            </w:pPr>
            <w:r>
              <w:rPr>
                <w:rFonts w:hint="eastAsia" w:ascii="宋体" w:hAnsi="宋体" w:eastAsia="宋体" w:cs="宋体"/>
                <w:color w:val="333333"/>
                <w:sz w:val="18"/>
              </w:rPr>
              <w:t>7%</w:t>
            </w:r>
          </w:p>
        </w:tc>
        <w:tc>
          <w:tcPr>
            <w:tcW w:w="1417" w:type="dxa"/>
          </w:tcPr>
          <w:p w14:paraId="6C506981">
            <w:pPr>
              <w:jc w:val="center"/>
              <w:rPr>
                <w:rFonts w:hint="eastAsia" w:ascii="宋体" w:hAnsi="宋体" w:eastAsia="宋体" w:cs="宋体"/>
              </w:rPr>
            </w:pPr>
            <w:r>
              <w:rPr>
                <w:rFonts w:hint="eastAsia" w:ascii="宋体" w:hAnsi="宋体" w:eastAsia="宋体" w:cs="宋体"/>
                <w:color w:val="333333"/>
                <w:sz w:val="18"/>
              </w:rPr>
              <w:t>0.080</w:t>
            </w:r>
          </w:p>
        </w:tc>
        <w:tc>
          <w:tcPr>
            <w:tcW w:w="1134" w:type="dxa"/>
          </w:tcPr>
          <w:p w14:paraId="2DFFD952">
            <w:pPr>
              <w:jc w:val="center"/>
              <w:rPr>
                <w:rFonts w:hint="eastAsia" w:ascii="宋体" w:hAnsi="宋体" w:eastAsia="宋体" w:cs="宋体"/>
              </w:rPr>
            </w:pPr>
            <w:r>
              <w:rPr>
                <w:rFonts w:hint="eastAsia" w:ascii="宋体" w:hAnsi="宋体" w:eastAsia="宋体" w:cs="宋体"/>
                <w:color w:val="333333"/>
                <w:sz w:val="18"/>
              </w:rPr>
              <w:t>41</w:t>
            </w:r>
          </w:p>
        </w:tc>
      </w:tr>
      <w:tr w14:paraId="40FBDE70">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643697E">
            <w:pPr>
              <w:jc w:val="left"/>
              <w:rPr>
                <w:rFonts w:hint="eastAsia" w:ascii="宋体" w:hAnsi="宋体" w:eastAsia="宋体" w:cs="宋体"/>
              </w:rPr>
            </w:pPr>
            <w:r>
              <w:rPr>
                <w:rFonts w:hint="eastAsia" w:ascii="宋体" w:hAnsi="宋体" w:eastAsia="宋体" w:cs="宋体"/>
                <w:color w:val="333333"/>
                <w:sz w:val="18"/>
              </w:rPr>
              <w:t>比亚迪</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60EBAE47">
            <w:pPr>
              <w:jc w:val="center"/>
              <w:rPr>
                <w:rFonts w:hint="eastAsia" w:ascii="宋体" w:hAnsi="宋体" w:eastAsia="宋体" w:cs="宋体"/>
              </w:rPr>
            </w:pPr>
            <w:r>
              <w:rPr>
                <w:rFonts w:hint="eastAsia" w:ascii="宋体" w:hAnsi="宋体" w:eastAsia="宋体" w:cs="宋体"/>
                <w:color w:val="333333"/>
                <w:sz w:val="18"/>
              </w:rPr>
              <w:t>0%</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7980DFC4">
            <w:pPr>
              <w:jc w:val="center"/>
              <w:rPr>
                <w:rFonts w:hint="eastAsia" w:ascii="宋体" w:hAnsi="宋体" w:eastAsia="宋体" w:cs="宋体"/>
              </w:rPr>
            </w:pPr>
            <w:r>
              <w:rPr>
                <w:rFonts w:hint="eastAsia" w:ascii="宋体" w:hAnsi="宋体" w:eastAsia="宋体" w:cs="宋体"/>
                <w:color w:val="333333"/>
                <w:sz w:val="18"/>
              </w:rPr>
              <w:t>0.101</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117E6F3">
            <w:pPr>
              <w:jc w:val="center"/>
              <w:rPr>
                <w:rFonts w:hint="eastAsia" w:ascii="宋体" w:hAnsi="宋体" w:eastAsia="宋体" w:cs="宋体"/>
              </w:rPr>
            </w:pPr>
            <w:r>
              <w:rPr>
                <w:rFonts w:hint="eastAsia" w:ascii="宋体" w:hAnsi="宋体" w:eastAsia="宋体" w:cs="宋体"/>
                <w:color w:val="333333"/>
                <w:sz w:val="18"/>
              </w:rPr>
              <w:t>39</w:t>
            </w:r>
          </w:p>
        </w:tc>
      </w:tr>
      <w:tr w14:paraId="56A968EB">
        <w:tblPrEx>
          <w:tblCellMar>
            <w:top w:w="0" w:type="dxa"/>
            <w:left w:w="108" w:type="dxa"/>
            <w:bottom w:w="0" w:type="dxa"/>
            <w:right w:w="108" w:type="dxa"/>
          </w:tblCellMar>
        </w:tblPrEx>
        <w:trPr>
          <w:jc w:val="center"/>
        </w:trPr>
        <w:tc>
          <w:tcPr>
            <w:tcW w:w="1417" w:type="dxa"/>
          </w:tcPr>
          <w:p w14:paraId="7BD6BAC4">
            <w:pPr>
              <w:jc w:val="left"/>
              <w:rPr>
                <w:rFonts w:hint="eastAsia" w:ascii="宋体" w:hAnsi="宋体" w:eastAsia="宋体" w:cs="宋体"/>
              </w:rPr>
            </w:pPr>
            <w:r>
              <w:rPr>
                <w:rFonts w:hint="eastAsia" w:ascii="宋体" w:hAnsi="宋体" w:eastAsia="宋体" w:cs="宋体"/>
                <w:color w:val="333333"/>
                <w:sz w:val="18"/>
              </w:rPr>
              <w:t>广汽集团</w:t>
            </w:r>
          </w:p>
        </w:tc>
        <w:tc>
          <w:tcPr>
            <w:tcW w:w="1134" w:type="dxa"/>
          </w:tcPr>
          <w:p w14:paraId="70975A14">
            <w:pPr>
              <w:jc w:val="center"/>
              <w:rPr>
                <w:rFonts w:hint="eastAsia" w:ascii="宋体" w:hAnsi="宋体" w:eastAsia="宋体" w:cs="宋体"/>
              </w:rPr>
            </w:pPr>
            <w:r>
              <w:rPr>
                <w:rFonts w:hint="eastAsia" w:ascii="宋体" w:hAnsi="宋体" w:eastAsia="宋体" w:cs="宋体"/>
                <w:color w:val="333333"/>
                <w:sz w:val="18"/>
              </w:rPr>
              <w:t>0%</w:t>
            </w:r>
          </w:p>
        </w:tc>
        <w:tc>
          <w:tcPr>
            <w:tcW w:w="1417" w:type="dxa"/>
          </w:tcPr>
          <w:p w14:paraId="58B9452C">
            <w:pPr>
              <w:jc w:val="center"/>
              <w:rPr>
                <w:rFonts w:hint="eastAsia" w:ascii="宋体" w:hAnsi="宋体" w:eastAsia="宋体" w:cs="宋体"/>
              </w:rPr>
            </w:pPr>
            <w:r>
              <w:rPr>
                <w:rFonts w:hint="eastAsia" w:ascii="宋体" w:hAnsi="宋体" w:eastAsia="宋体" w:cs="宋体"/>
                <w:color w:val="333333"/>
                <w:sz w:val="18"/>
              </w:rPr>
              <w:t>0.113</w:t>
            </w:r>
          </w:p>
        </w:tc>
        <w:tc>
          <w:tcPr>
            <w:tcW w:w="1134" w:type="dxa"/>
          </w:tcPr>
          <w:p w14:paraId="49856692">
            <w:pPr>
              <w:jc w:val="center"/>
              <w:rPr>
                <w:rFonts w:hint="eastAsia" w:ascii="宋体" w:hAnsi="宋体" w:eastAsia="宋体" w:cs="宋体"/>
              </w:rPr>
            </w:pPr>
            <w:r>
              <w:rPr>
                <w:rFonts w:hint="eastAsia" w:ascii="宋体" w:hAnsi="宋体" w:eastAsia="宋体" w:cs="宋体"/>
                <w:color w:val="333333"/>
                <w:sz w:val="18"/>
              </w:rPr>
              <w:t>39</w:t>
            </w:r>
          </w:p>
        </w:tc>
      </w:tr>
      <w:tr w14:paraId="398CDB48">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63771CF8">
            <w:pPr>
              <w:jc w:val="left"/>
              <w:rPr>
                <w:rFonts w:hint="eastAsia" w:ascii="宋体" w:hAnsi="宋体" w:eastAsia="宋体" w:cs="宋体"/>
              </w:rPr>
            </w:pPr>
            <w:r>
              <w:rPr>
                <w:rFonts w:hint="eastAsia" w:ascii="宋体" w:hAnsi="宋体" w:eastAsia="宋体" w:cs="宋体"/>
                <w:color w:val="333333"/>
                <w:sz w:val="18"/>
              </w:rPr>
              <w:t>长安汽车</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6C5263D">
            <w:pPr>
              <w:jc w:val="center"/>
              <w:rPr>
                <w:rFonts w:hint="eastAsia" w:ascii="宋体" w:hAnsi="宋体" w:eastAsia="宋体" w:cs="宋体"/>
              </w:rPr>
            </w:pPr>
            <w:r>
              <w:rPr>
                <w:rFonts w:hint="eastAsia" w:ascii="宋体" w:hAnsi="宋体" w:eastAsia="宋体" w:cs="宋体"/>
                <w:color w:val="333333"/>
                <w:sz w:val="18"/>
              </w:rPr>
              <w:t>0%</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67064470">
            <w:pPr>
              <w:jc w:val="center"/>
              <w:rPr>
                <w:rFonts w:hint="eastAsia" w:ascii="宋体" w:hAnsi="宋体" w:eastAsia="宋体" w:cs="宋体"/>
              </w:rPr>
            </w:pPr>
            <w:r>
              <w:rPr>
                <w:rFonts w:hint="eastAsia" w:ascii="宋体" w:hAnsi="宋体" w:eastAsia="宋体" w:cs="宋体"/>
                <w:color w:val="333333"/>
                <w:sz w:val="18"/>
              </w:rPr>
              <w:t>0.114</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578FA67D">
            <w:pPr>
              <w:jc w:val="center"/>
              <w:rPr>
                <w:rFonts w:hint="eastAsia" w:ascii="宋体" w:hAnsi="宋体" w:eastAsia="宋体" w:cs="宋体"/>
              </w:rPr>
            </w:pPr>
            <w:r>
              <w:rPr>
                <w:rFonts w:hint="eastAsia" w:ascii="宋体" w:hAnsi="宋体" w:eastAsia="宋体" w:cs="宋体"/>
                <w:color w:val="333333"/>
                <w:sz w:val="18"/>
              </w:rPr>
              <w:t>40</w:t>
            </w:r>
          </w:p>
        </w:tc>
      </w:tr>
      <w:tr w14:paraId="32E71DDC">
        <w:tblPrEx>
          <w:tblCellMar>
            <w:top w:w="0" w:type="dxa"/>
            <w:left w:w="108" w:type="dxa"/>
            <w:bottom w:w="0" w:type="dxa"/>
            <w:right w:w="108" w:type="dxa"/>
          </w:tblCellMar>
        </w:tblPrEx>
        <w:trPr>
          <w:jc w:val="center"/>
        </w:trPr>
        <w:tc>
          <w:tcPr>
            <w:tcW w:w="1417" w:type="dxa"/>
          </w:tcPr>
          <w:p w14:paraId="132E2DCB">
            <w:pPr>
              <w:jc w:val="left"/>
              <w:rPr>
                <w:rFonts w:hint="eastAsia" w:ascii="宋体" w:hAnsi="宋体" w:eastAsia="宋体" w:cs="宋体"/>
              </w:rPr>
            </w:pPr>
            <w:r>
              <w:rPr>
                <w:rFonts w:hint="eastAsia" w:ascii="宋体" w:hAnsi="宋体" w:eastAsia="宋体" w:cs="宋体"/>
                <w:color w:val="333333"/>
                <w:sz w:val="18"/>
              </w:rPr>
              <w:t>江淮汽车</w:t>
            </w:r>
          </w:p>
        </w:tc>
        <w:tc>
          <w:tcPr>
            <w:tcW w:w="1134" w:type="dxa"/>
          </w:tcPr>
          <w:p w14:paraId="4CC79613">
            <w:pPr>
              <w:jc w:val="center"/>
              <w:rPr>
                <w:rFonts w:hint="eastAsia" w:ascii="宋体" w:hAnsi="宋体" w:eastAsia="宋体" w:cs="宋体"/>
              </w:rPr>
            </w:pPr>
            <w:r>
              <w:rPr>
                <w:rFonts w:hint="eastAsia" w:ascii="宋体" w:hAnsi="宋体" w:eastAsia="宋体" w:cs="宋体"/>
                <w:color w:val="333333"/>
                <w:sz w:val="18"/>
              </w:rPr>
              <w:t>0%</w:t>
            </w:r>
          </w:p>
        </w:tc>
        <w:tc>
          <w:tcPr>
            <w:tcW w:w="1417" w:type="dxa"/>
          </w:tcPr>
          <w:p w14:paraId="552313B1">
            <w:pPr>
              <w:jc w:val="center"/>
              <w:rPr>
                <w:rFonts w:hint="eastAsia" w:ascii="宋体" w:hAnsi="宋体" w:eastAsia="宋体" w:cs="宋体"/>
              </w:rPr>
            </w:pPr>
            <w:r>
              <w:rPr>
                <w:rFonts w:hint="eastAsia" w:ascii="宋体" w:hAnsi="宋体" w:eastAsia="宋体" w:cs="宋体"/>
                <w:color w:val="333333"/>
                <w:sz w:val="18"/>
              </w:rPr>
              <w:t>0.114</w:t>
            </w:r>
          </w:p>
        </w:tc>
        <w:tc>
          <w:tcPr>
            <w:tcW w:w="1134" w:type="dxa"/>
          </w:tcPr>
          <w:p w14:paraId="100042CB">
            <w:pPr>
              <w:jc w:val="center"/>
              <w:rPr>
                <w:rFonts w:hint="eastAsia" w:ascii="宋体" w:hAnsi="宋体" w:eastAsia="宋体" w:cs="宋体"/>
              </w:rPr>
            </w:pPr>
            <w:r>
              <w:rPr>
                <w:rFonts w:hint="eastAsia" w:ascii="宋体" w:hAnsi="宋体" w:eastAsia="宋体" w:cs="宋体"/>
                <w:color w:val="333333"/>
                <w:sz w:val="18"/>
              </w:rPr>
              <w:t>39</w:t>
            </w:r>
          </w:p>
        </w:tc>
      </w:tr>
      <w:tr w14:paraId="66A286CD">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58B2961">
            <w:pPr>
              <w:jc w:val="left"/>
              <w:rPr>
                <w:rFonts w:hint="eastAsia" w:ascii="宋体" w:hAnsi="宋体" w:eastAsia="宋体" w:cs="宋体"/>
              </w:rPr>
            </w:pPr>
            <w:r>
              <w:rPr>
                <w:rFonts w:hint="eastAsia" w:ascii="宋体" w:hAnsi="宋体" w:eastAsia="宋体" w:cs="宋体"/>
                <w:color w:val="333333"/>
                <w:sz w:val="18"/>
              </w:rPr>
              <w:t>长城汽车</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AB0D930">
            <w:pPr>
              <w:jc w:val="center"/>
              <w:rPr>
                <w:rFonts w:hint="eastAsia" w:ascii="宋体" w:hAnsi="宋体" w:eastAsia="宋体" w:cs="宋体"/>
              </w:rPr>
            </w:pPr>
            <w:r>
              <w:rPr>
                <w:rFonts w:hint="eastAsia" w:ascii="宋体" w:hAnsi="宋体" w:eastAsia="宋体" w:cs="宋体"/>
                <w:color w:val="333333"/>
                <w:sz w:val="18"/>
              </w:rPr>
              <w:t>0%</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FED7A58">
            <w:pPr>
              <w:jc w:val="center"/>
              <w:rPr>
                <w:rFonts w:hint="eastAsia" w:ascii="宋体" w:hAnsi="宋体" w:eastAsia="宋体" w:cs="宋体"/>
              </w:rPr>
            </w:pPr>
            <w:r>
              <w:rPr>
                <w:rFonts w:hint="eastAsia" w:ascii="宋体" w:hAnsi="宋体" w:eastAsia="宋体" w:cs="宋体"/>
                <w:color w:val="333333"/>
                <w:sz w:val="18"/>
              </w:rPr>
              <w:t>0.118</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0EAA3A01">
            <w:pPr>
              <w:jc w:val="center"/>
              <w:rPr>
                <w:rFonts w:hint="eastAsia" w:ascii="宋体" w:hAnsi="宋体" w:eastAsia="宋体" w:cs="宋体"/>
              </w:rPr>
            </w:pPr>
            <w:r>
              <w:rPr>
                <w:rFonts w:hint="eastAsia" w:ascii="宋体" w:hAnsi="宋体" w:eastAsia="宋体" w:cs="宋体"/>
                <w:color w:val="333333"/>
                <w:sz w:val="18"/>
              </w:rPr>
              <w:t>39</w:t>
            </w:r>
          </w:p>
        </w:tc>
      </w:tr>
      <w:tr w14:paraId="10D2E831">
        <w:tblPrEx>
          <w:tblCellMar>
            <w:top w:w="0" w:type="dxa"/>
            <w:left w:w="108" w:type="dxa"/>
            <w:bottom w:w="0" w:type="dxa"/>
            <w:right w:w="108" w:type="dxa"/>
          </w:tblCellMar>
        </w:tblPrEx>
        <w:trPr>
          <w:jc w:val="center"/>
        </w:trPr>
        <w:tc>
          <w:tcPr>
            <w:tcW w:w="1417" w:type="dxa"/>
          </w:tcPr>
          <w:p w14:paraId="580CBDF1">
            <w:pPr>
              <w:jc w:val="left"/>
              <w:rPr>
                <w:rFonts w:hint="eastAsia" w:ascii="宋体" w:hAnsi="宋体" w:eastAsia="宋体" w:cs="宋体"/>
              </w:rPr>
            </w:pPr>
            <w:r>
              <w:rPr>
                <w:rFonts w:hint="eastAsia" w:ascii="宋体" w:hAnsi="宋体" w:eastAsia="宋体" w:cs="宋体"/>
                <w:color w:val="333333"/>
                <w:sz w:val="18"/>
              </w:rPr>
              <w:t>上汽集团</w:t>
            </w:r>
          </w:p>
        </w:tc>
        <w:tc>
          <w:tcPr>
            <w:tcW w:w="1134" w:type="dxa"/>
          </w:tcPr>
          <w:p w14:paraId="470177C9">
            <w:pPr>
              <w:jc w:val="center"/>
              <w:rPr>
                <w:rFonts w:hint="eastAsia" w:ascii="宋体" w:hAnsi="宋体" w:eastAsia="宋体" w:cs="宋体"/>
              </w:rPr>
            </w:pPr>
            <w:r>
              <w:rPr>
                <w:rFonts w:hint="eastAsia" w:ascii="宋体" w:hAnsi="宋体" w:eastAsia="宋体" w:cs="宋体"/>
                <w:color w:val="333333"/>
                <w:sz w:val="18"/>
              </w:rPr>
              <w:t>0%</w:t>
            </w:r>
          </w:p>
        </w:tc>
        <w:tc>
          <w:tcPr>
            <w:tcW w:w="1417" w:type="dxa"/>
          </w:tcPr>
          <w:p w14:paraId="25DFF53D">
            <w:pPr>
              <w:jc w:val="center"/>
              <w:rPr>
                <w:rFonts w:hint="eastAsia" w:ascii="宋体" w:hAnsi="宋体" w:eastAsia="宋体" w:cs="宋体"/>
              </w:rPr>
            </w:pPr>
            <w:r>
              <w:rPr>
                <w:rFonts w:hint="eastAsia" w:ascii="宋体" w:hAnsi="宋体" w:eastAsia="宋体" w:cs="宋体"/>
                <w:color w:val="333333"/>
                <w:sz w:val="18"/>
              </w:rPr>
              <w:t>0.140</w:t>
            </w:r>
          </w:p>
        </w:tc>
        <w:tc>
          <w:tcPr>
            <w:tcW w:w="1134" w:type="dxa"/>
          </w:tcPr>
          <w:p w14:paraId="76E420B3">
            <w:pPr>
              <w:jc w:val="center"/>
              <w:rPr>
                <w:rFonts w:hint="eastAsia" w:ascii="宋体" w:hAnsi="宋体" w:eastAsia="宋体" w:cs="宋体"/>
              </w:rPr>
            </w:pPr>
            <w:r>
              <w:rPr>
                <w:rFonts w:hint="eastAsia" w:ascii="宋体" w:hAnsi="宋体" w:eastAsia="宋体" w:cs="宋体"/>
                <w:color w:val="333333"/>
                <w:sz w:val="18"/>
              </w:rPr>
              <w:t>38</w:t>
            </w:r>
          </w:p>
        </w:tc>
      </w:tr>
    </w:tbl>
    <w:p w14:paraId="369EAC8A">
      <w:pPr>
        <w:spacing w:after="80"/>
        <w:rPr>
          <w:rFonts w:hint="eastAsia" w:ascii="宋体" w:hAnsi="宋体" w:eastAsia="宋体" w:cs="宋体"/>
        </w:rPr>
      </w:pPr>
    </w:p>
    <w:p w14:paraId="6BEADE8C">
      <w:pPr>
        <w:spacing w:after="40" w:line="360" w:lineRule="auto"/>
        <w:ind w:firstLine="420"/>
        <w:rPr>
          <w:rFonts w:hint="eastAsia" w:ascii="宋体" w:hAnsi="宋体" w:eastAsia="宋体" w:cs="宋体"/>
        </w:rPr>
      </w:pPr>
      <w:r>
        <w:rPr>
          <w:rFonts w:hint="eastAsia" w:ascii="宋体" w:hAnsi="宋体" w:eastAsia="宋体" w:cs="宋体"/>
          <w:b w:val="0"/>
          <w:sz w:val="24"/>
        </w:rPr>
        <w:t>以异常率30%为预警线，北汽蓝谷74%远超线外。赛力斯异常率7%虽在正常范围但非零，长安汽车0%。赛力斯少量异常波动与其高增长高波动模式一致。</w:t>
      </w:r>
    </w:p>
    <w:p w14:paraId="12434DB7">
      <w:pPr>
        <w:spacing w:before="360" w:after="240"/>
        <w:jc w:val="center"/>
        <w:outlineLvl w:val="0"/>
        <w:rPr>
          <w:rFonts w:hint="eastAsia" w:ascii="宋体" w:hAnsi="宋体" w:eastAsia="宋体" w:cs="宋体"/>
        </w:rPr>
      </w:pPr>
      <w:r>
        <w:rPr>
          <w:rFonts w:hint="eastAsia" w:ascii="宋体" w:hAnsi="宋体" w:eastAsia="宋体" w:cs="宋体"/>
          <w:b/>
          <w:color w:val="000000"/>
          <w:sz w:val="32"/>
        </w:rPr>
        <w:t>五、六种预测方法对比</w:t>
      </w:r>
    </w:p>
    <w:p w14:paraId="6DDB73A5">
      <w:pPr>
        <w:spacing w:after="40" w:line="360" w:lineRule="auto"/>
        <w:ind w:firstLine="420"/>
        <w:rPr>
          <w:rFonts w:hint="eastAsia" w:ascii="宋体" w:hAnsi="宋体" w:eastAsia="宋体" w:cs="宋体"/>
        </w:rPr>
      </w:pPr>
      <w:r>
        <w:rPr>
          <w:rFonts w:hint="eastAsia" w:ascii="宋体" w:hAnsi="宋体" w:eastAsia="宋体" w:cs="宋体"/>
          <w:b w:val="0"/>
          <w:sz w:val="24"/>
        </w:rPr>
        <w:t>每家企业仅39至41个有效季度观测，属于小样本场景。综合分=R²排名百分位×0.4+(1-MAPE排名百分位)×0.4+(1-σ排名百分位)×0.2。</w:t>
      </w:r>
    </w:p>
    <w:p w14:paraId="65595A7B">
      <w:pPr>
        <w:spacing w:before="240" w:after="120"/>
        <w:outlineLvl w:val="1"/>
        <w:rPr>
          <w:rFonts w:hint="eastAsia" w:ascii="宋体" w:hAnsi="宋体" w:eastAsia="宋体" w:cs="宋体"/>
        </w:rPr>
      </w:pPr>
      <w:r>
        <w:rPr>
          <w:rFonts w:hint="eastAsia" w:ascii="宋体" w:hAnsi="宋体" w:eastAsia="宋体" w:cs="宋体"/>
          <w:b/>
          <w:color w:val="000000"/>
          <w:sz w:val="28"/>
        </w:rPr>
        <w:t>（一）赛力斯预测结果</w:t>
      </w:r>
    </w:p>
    <w:p w14:paraId="5FA0CAB3">
      <w:pPr>
        <w:jc w:val="center"/>
        <w:rPr>
          <w:rFonts w:hint="eastAsia" w:ascii="宋体" w:hAnsi="宋体" w:eastAsia="宋体" w:cs="宋体"/>
        </w:rPr>
      </w:pPr>
      <w:r>
        <w:rPr>
          <w:rFonts w:hint="eastAsia" w:ascii="宋体" w:hAnsi="宋体" w:eastAsia="宋体" w:cs="宋体"/>
        </w:rPr>
        <w:drawing>
          <wp:inline distT="0" distB="0" distL="114300" distR="114300">
            <wp:extent cx="5399405" cy="2605405"/>
            <wp:effectExtent l="0" t="0" r="1079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400000" cy="2605772"/>
                    </a:xfrm>
                    <a:prstGeom prst="rect">
                      <a:avLst/>
                    </a:prstGeom>
                  </pic:spPr>
                </pic:pic>
              </a:graphicData>
            </a:graphic>
          </wp:inline>
        </w:drawing>
      </w:r>
    </w:p>
    <w:p w14:paraId="600DD78F">
      <w:pPr>
        <w:spacing w:after="120"/>
        <w:jc w:val="center"/>
        <w:rPr>
          <w:rFonts w:hint="eastAsia" w:ascii="宋体" w:hAnsi="宋体" w:eastAsia="宋体" w:cs="宋体"/>
        </w:rPr>
      </w:pPr>
      <w:r>
        <w:rPr>
          <w:rFonts w:hint="eastAsia" w:ascii="宋体" w:hAnsi="宋体" w:eastAsia="宋体" w:cs="宋体"/>
          <w:sz w:val="18"/>
        </w:rPr>
        <w:t>图5-1  赛力斯毛利率六方法对比</w:t>
      </w:r>
    </w:p>
    <w:p w14:paraId="040CFF05">
      <w:pPr>
        <w:jc w:val="center"/>
        <w:rPr>
          <w:rFonts w:hint="eastAsia" w:ascii="宋体" w:hAnsi="宋体" w:eastAsia="宋体" w:cs="宋体"/>
        </w:rPr>
      </w:pPr>
      <w:r>
        <w:rPr>
          <w:rFonts w:hint="eastAsia" w:ascii="宋体" w:hAnsi="宋体" w:eastAsia="宋体" w:cs="宋体"/>
        </w:rPr>
        <w:drawing>
          <wp:inline distT="0" distB="0" distL="114300" distR="114300">
            <wp:extent cx="5399405" cy="2605405"/>
            <wp:effectExtent l="0" t="0" r="1079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400000" cy="2605772"/>
                    </a:xfrm>
                    <a:prstGeom prst="rect">
                      <a:avLst/>
                    </a:prstGeom>
                  </pic:spPr>
                </pic:pic>
              </a:graphicData>
            </a:graphic>
          </wp:inline>
        </w:drawing>
      </w:r>
    </w:p>
    <w:p w14:paraId="66CEBCAF">
      <w:pPr>
        <w:spacing w:after="120"/>
        <w:jc w:val="center"/>
        <w:rPr>
          <w:rFonts w:hint="eastAsia" w:ascii="宋体" w:hAnsi="宋体" w:eastAsia="宋体" w:cs="宋体"/>
        </w:rPr>
      </w:pPr>
      <w:r>
        <w:rPr>
          <w:rFonts w:hint="eastAsia" w:ascii="宋体" w:hAnsi="宋体" w:eastAsia="宋体" w:cs="宋体"/>
          <w:sz w:val="18"/>
        </w:rPr>
        <w:t>图5-2  赛力斯资产负债率六方法对比</w:t>
      </w:r>
    </w:p>
    <w:p w14:paraId="2CF4C4AA">
      <w:pPr>
        <w:spacing w:before="240" w:after="120"/>
        <w:outlineLvl w:val="1"/>
        <w:rPr>
          <w:rFonts w:hint="eastAsia" w:ascii="宋体" w:hAnsi="宋体" w:eastAsia="宋体" w:cs="宋体"/>
        </w:rPr>
      </w:pPr>
      <w:r>
        <w:rPr>
          <w:rFonts w:hint="eastAsia" w:ascii="宋体" w:hAnsi="宋体" w:eastAsia="宋体" w:cs="宋体"/>
          <w:b/>
          <w:color w:val="000000"/>
          <w:sz w:val="28"/>
        </w:rPr>
        <w:t>（二）长安汽车预测结果</w:t>
      </w:r>
    </w:p>
    <w:p w14:paraId="07AB736E">
      <w:pPr>
        <w:jc w:val="center"/>
        <w:rPr>
          <w:rFonts w:hint="eastAsia" w:ascii="宋体" w:hAnsi="宋体" w:eastAsia="宋体" w:cs="宋体"/>
        </w:rPr>
      </w:pPr>
      <w:r>
        <w:rPr>
          <w:rFonts w:hint="eastAsia" w:ascii="宋体" w:hAnsi="宋体" w:eastAsia="宋体" w:cs="宋体"/>
        </w:rPr>
        <w:drawing>
          <wp:inline distT="0" distB="0" distL="114300" distR="114300">
            <wp:extent cx="5399405" cy="2605405"/>
            <wp:effectExtent l="0" t="0" r="1079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400000" cy="2605772"/>
                    </a:xfrm>
                    <a:prstGeom prst="rect">
                      <a:avLst/>
                    </a:prstGeom>
                  </pic:spPr>
                </pic:pic>
              </a:graphicData>
            </a:graphic>
          </wp:inline>
        </w:drawing>
      </w:r>
    </w:p>
    <w:p w14:paraId="106DB98C">
      <w:pPr>
        <w:spacing w:after="120"/>
        <w:jc w:val="center"/>
        <w:rPr>
          <w:rFonts w:hint="eastAsia" w:ascii="宋体" w:hAnsi="宋体" w:eastAsia="宋体" w:cs="宋体"/>
        </w:rPr>
      </w:pPr>
      <w:r>
        <w:rPr>
          <w:rFonts w:hint="eastAsia" w:ascii="宋体" w:hAnsi="宋体" w:eastAsia="宋体" w:cs="宋体"/>
          <w:sz w:val="18"/>
        </w:rPr>
        <w:t>图5-3  长安汽车毛利率六方法对比</w:t>
      </w:r>
    </w:p>
    <w:p w14:paraId="732E02E4">
      <w:pPr>
        <w:jc w:val="center"/>
        <w:rPr>
          <w:rFonts w:hint="eastAsia" w:ascii="宋体" w:hAnsi="宋体" w:eastAsia="宋体" w:cs="宋体"/>
        </w:rPr>
      </w:pPr>
      <w:r>
        <w:rPr>
          <w:rFonts w:hint="eastAsia" w:ascii="宋体" w:hAnsi="宋体" w:eastAsia="宋体" w:cs="宋体"/>
        </w:rPr>
        <w:drawing>
          <wp:inline distT="0" distB="0" distL="114300" distR="114300">
            <wp:extent cx="5399405" cy="2605405"/>
            <wp:effectExtent l="0" t="0" r="1079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400000" cy="2605772"/>
                    </a:xfrm>
                    <a:prstGeom prst="rect">
                      <a:avLst/>
                    </a:prstGeom>
                  </pic:spPr>
                </pic:pic>
              </a:graphicData>
            </a:graphic>
          </wp:inline>
        </w:drawing>
      </w:r>
    </w:p>
    <w:p w14:paraId="0FC586C8">
      <w:pPr>
        <w:spacing w:after="120"/>
        <w:jc w:val="center"/>
        <w:rPr>
          <w:rFonts w:hint="eastAsia" w:ascii="宋体" w:hAnsi="宋体" w:eastAsia="宋体" w:cs="宋体"/>
        </w:rPr>
      </w:pPr>
      <w:r>
        <w:rPr>
          <w:rFonts w:hint="eastAsia" w:ascii="宋体" w:hAnsi="宋体" w:eastAsia="宋体" w:cs="宋体"/>
          <w:sz w:val="18"/>
        </w:rPr>
        <w:t>图5-4  长安汽车资产负债率六方法对比</w:t>
      </w:r>
    </w:p>
    <w:p w14:paraId="24F3363B">
      <w:pPr>
        <w:spacing w:before="240" w:after="120"/>
        <w:outlineLvl w:val="1"/>
        <w:rPr>
          <w:rFonts w:hint="eastAsia" w:ascii="宋体" w:hAnsi="宋体" w:eastAsia="宋体" w:cs="宋体"/>
        </w:rPr>
      </w:pPr>
      <w:r>
        <w:rPr>
          <w:rFonts w:hint="eastAsia" w:ascii="宋体" w:hAnsi="宋体" w:eastAsia="宋体" w:cs="宋体"/>
          <w:b/>
          <w:color w:val="000000"/>
          <w:sz w:val="28"/>
        </w:rPr>
        <w:t>（三）综合排名与回测验证</w:t>
      </w:r>
    </w:p>
    <w:p w14:paraId="06504A9D">
      <w:pPr>
        <w:jc w:val="center"/>
        <w:rPr>
          <w:rFonts w:hint="eastAsia" w:ascii="宋体" w:hAnsi="宋体" w:eastAsia="宋体" w:cs="宋体"/>
        </w:rPr>
      </w:pPr>
      <w:r>
        <w:rPr>
          <w:rFonts w:hint="eastAsia" w:ascii="宋体" w:hAnsi="宋体" w:eastAsia="宋体" w:cs="宋体"/>
        </w:rPr>
        <w:drawing>
          <wp:inline distT="0" distB="0" distL="114300" distR="114300">
            <wp:extent cx="5399405" cy="1750695"/>
            <wp:effectExtent l="0" t="0" r="10795"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400000" cy="1751259"/>
                    </a:xfrm>
                    <a:prstGeom prst="rect">
                      <a:avLst/>
                    </a:prstGeom>
                  </pic:spPr>
                </pic:pic>
              </a:graphicData>
            </a:graphic>
          </wp:inline>
        </w:drawing>
      </w:r>
    </w:p>
    <w:p w14:paraId="275A28B3">
      <w:pPr>
        <w:spacing w:after="120"/>
        <w:jc w:val="center"/>
        <w:rPr>
          <w:rFonts w:hint="eastAsia" w:ascii="宋体" w:hAnsi="宋体" w:eastAsia="宋体" w:cs="宋体"/>
        </w:rPr>
      </w:pPr>
      <w:r>
        <w:rPr>
          <w:rFonts w:hint="eastAsia" w:ascii="宋体" w:hAnsi="宋体" w:eastAsia="宋体" w:cs="宋体"/>
          <w:sz w:val="18"/>
        </w:rPr>
        <w:t>图5-5  六种方法综合性能对比</w:t>
      </w:r>
    </w:p>
    <w:p w14:paraId="4AAC8FC7">
      <w:pPr>
        <w:rPr>
          <w:rFonts w:hint="eastAsia" w:ascii="宋体" w:hAnsi="宋体" w:eastAsia="宋体" w:cs="宋体"/>
        </w:rPr>
      </w:pPr>
    </w:p>
    <w:tbl>
      <w:tblPr>
        <w:tblStyle w:val="32"/>
        <w:tblW w:w="0" w:type="auto"/>
        <w:jc w:val="center"/>
        <w:tblLayout w:type="autofit"/>
        <w:tblCellMar>
          <w:top w:w="0" w:type="dxa"/>
          <w:left w:w="108" w:type="dxa"/>
          <w:bottom w:w="0" w:type="dxa"/>
          <w:right w:w="108" w:type="dxa"/>
        </w:tblCellMar>
      </w:tblPr>
      <w:tblGrid>
        <w:gridCol w:w="850"/>
        <w:gridCol w:w="1984"/>
        <w:gridCol w:w="1417"/>
        <w:gridCol w:w="1417"/>
        <w:gridCol w:w="1417"/>
      </w:tblGrid>
      <w:tr w14:paraId="4B8EE723">
        <w:tblPrEx>
          <w:tblCellMar>
            <w:top w:w="0" w:type="dxa"/>
            <w:left w:w="108" w:type="dxa"/>
            <w:bottom w:w="0" w:type="dxa"/>
            <w:right w:w="108" w:type="dxa"/>
          </w:tblCellMar>
        </w:tblPrEx>
        <w:trPr>
          <w:jc w:val="center"/>
        </w:trPr>
        <w:tc>
          <w:tcPr>
            <w:tcW w:w="850" w:type="dxa"/>
            <w:tcBorders>
              <w:top w:val="single" w:color="2E75B6" w:sz="8" w:space="0"/>
              <w:left w:val="single" w:color="CCCCCC" w:sz="4" w:space="0"/>
              <w:bottom w:val="single" w:color="CCCCCC" w:sz="4" w:space="0"/>
              <w:right w:val="single" w:color="CCCCCC" w:sz="4" w:space="0"/>
            </w:tcBorders>
            <w:shd w:val="clear" w:color="auto" w:fill="D5E8F0"/>
          </w:tcPr>
          <w:p w14:paraId="466D30F1">
            <w:pPr>
              <w:jc w:val="center"/>
              <w:rPr>
                <w:rFonts w:hint="eastAsia" w:ascii="宋体" w:hAnsi="宋体" w:eastAsia="宋体" w:cs="宋体"/>
              </w:rPr>
            </w:pPr>
            <w:r>
              <w:rPr>
                <w:rFonts w:hint="eastAsia" w:ascii="宋体" w:hAnsi="宋体" w:eastAsia="宋体" w:cs="宋体"/>
                <w:b/>
                <w:color w:val="1A4789"/>
                <w:sz w:val="18"/>
              </w:rPr>
              <w:t>排名</w:t>
            </w:r>
          </w:p>
        </w:tc>
        <w:tc>
          <w:tcPr>
            <w:tcW w:w="1984" w:type="dxa"/>
            <w:tcBorders>
              <w:top w:val="single" w:color="2E75B6" w:sz="8" w:space="0"/>
              <w:left w:val="single" w:color="CCCCCC" w:sz="4" w:space="0"/>
              <w:bottom w:val="single" w:color="CCCCCC" w:sz="4" w:space="0"/>
              <w:right w:val="single" w:color="CCCCCC" w:sz="4" w:space="0"/>
            </w:tcBorders>
            <w:shd w:val="clear" w:color="auto" w:fill="D5E8F0"/>
          </w:tcPr>
          <w:p w14:paraId="52B149EA">
            <w:pPr>
              <w:jc w:val="center"/>
              <w:rPr>
                <w:rFonts w:hint="eastAsia" w:ascii="宋体" w:hAnsi="宋体" w:eastAsia="宋体" w:cs="宋体"/>
              </w:rPr>
            </w:pPr>
            <w:r>
              <w:rPr>
                <w:rFonts w:hint="eastAsia" w:ascii="宋体" w:hAnsi="宋体" w:eastAsia="宋体" w:cs="宋体"/>
                <w:b/>
                <w:color w:val="1A4789"/>
                <w:sz w:val="18"/>
              </w:rPr>
              <w:t>方法</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12207C43">
            <w:pPr>
              <w:jc w:val="center"/>
              <w:rPr>
                <w:rFonts w:hint="eastAsia" w:ascii="宋体" w:hAnsi="宋体" w:eastAsia="宋体" w:cs="宋体"/>
              </w:rPr>
            </w:pPr>
            <w:r>
              <w:rPr>
                <w:rFonts w:hint="eastAsia" w:ascii="宋体" w:hAnsi="宋体" w:eastAsia="宋体" w:cs="宋体"/>
                <w:b/>
                <w:color w:val="1A4789"/>
                <w:sz w:val="18"/>
              </w:rPr>
              <w:t>平均R²</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272206AF">
            <w:pPr>
              <w:jc w:val="center"/>
              <w:rPr>
                <w:rFonts w:hint="eastAsia" w:ascii="宋体" w:hAnsi="宋体" w:eastAsia="宋体" w:cs="宋体"/>
              </w:rPr>
            </w:pPr>
            <w:r>
              <w:rPr>
                <w:rFonts w:hint="eastAsia" w:ascii="宋体" w:hAnsi="宋体" w:eastAsia="宋体" w:cs="宋体"/>
                <w:b/>
                <w:color w:val="1A4789"/>
                <w:sz w:val="18"/>
              </w:rPr>
              <w:t>平均MAPE</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13BD7C51">
            <w:pPr>
              <w:jc w:val="center"/>
              <w:rPr>
                <w:rFonts w:hint="eastAsia" w:ascii="宋体" w:hAnsi="宋体" w:eastAsia="宋体" w:cs="宋体"/>
              </w:rPr>
            </w:pPr>
            <w:r>
              <w:rPr>
                <w:rFonts w:hint="eastAsia" w:ascii="宋体" w:hAnsi="宋体" w:eastAsia="宋体" w:cs="宋体"/>
                <w:b/>
                <w:color w:val="1A4789"/>
                <w:sz w:val="18"/>
              </w:rPr>
              <w:t>平均σ</w:t>
            </w:r>
          </w:p>
        </w:tc>
      </w:tr>
      <w:tr w14:paraId="39821BF4">
        <w:tblPrEx>
          <w:tblCellMar>
            <w:top w:w="0" w:type="dxa"/>
            <w:left w:w="108" w:type="dxa"/>
            <w:bottom w:w="0" w:type="dxa"/>
            <w:right w:w="108" w:type="dxa"/>
          </w:tblCellMar>
        </w:tblPrEx>
        <w:trPr>
          <w:jc w:val="center"/>
        </w:trPr>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6B185385">
            <w:pPr>
              <w:jc w:val="left"/>
              <w:rPr>
                <w:rFonts w:hint="eastAsia" w:ascii="宋体" w:hAnsi="宋体" w:eastAsia="宋体" w:cs="宋体"/>
              </w:rPr>
            </w:pPr>
            <w:r>
              <w:rPr>
                <w:rFonts w:hint="eastAsia" w:ascii="宋体" w:hAnsi="宋体" w:eastAsia="宋体" w:cs="宋体"/>
                <w:color w:val="333333"/>
                <w:sz w:val="18"/>
              </w:rPr>
              <w:t>1</w:t>
            </w:r>
          </w:p>
        </w:tc>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56DCC27F">
            <w:pPr>
              <w:jc w:val="center"/>
              <w:rPr>
                <w:rFonts w:hint="eastAsia" w:ascii="宋体" w:hAnsi="宋体" w:eastAsia="宋体" w:cs="宋体"/>
              </w:rPr>
            </w:pPr>
            <w:r>
              <w:rPr>
                <w:rFonts w:hint="eastAsia" w:ascii="宋体" w:hAnsi="宋体" w:eastAsia="宋体" w:cs="宋体"/>
                <w:color w:val="333333"/>
                <w:sz w:val="18"/>
              </w:rPr>
              <w:t>线性回归</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787F115D">
            <w:pPr>
              <w:jc w:val="center"/>
              <w:rPr>
                <w:rFonts w:hint="eastAsia" w:ascii="宋体" w:hAnsi="宋体" w:eastAsia="宋体" w:cs="宋体"/>
              </w:rPr>
            </w:pPr>
            <w:r>
              <w:rPr>
                <w:rFonts w:hint="eastAsia" w:ascii="宋体" w:hAnsi="宋体" w:eastAsia="宋体" w:cs="宋体"/>
                <w:color w:val="333333"/>
                <w:sz w:val="18"/>
              </w:rPr>
              <w:t>0.096</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58F8FBB3">
            <w:pPr>
              <w:jc w:val="center"/>
              <w:rPr>
                <w:rFonts w:hint="eastAsia" w:ascii="宋体" w:hAnsi="宋体" w:eastAsia="宋体" w:cs="宋体"/>
              </w:rPr>
            </w:pPr>
            <w:r>
              <w:rPr>
                <w:rFonts w:hint="eastAsia" w:ascii="宋体" w:hAnsi="宋体" w:eastAsia="宋体" w:cs="宋体"/>
                <w:color w:val="333333"/>
                <w:sz w:val="18"/>
              </w:rPr>
              <w:t>236.3%</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057DBAB0">
            <w:pPr>
              <w:jc w:val="center"/>
              <w:rPr>
                <w:rFonts w:hint="eastAsia" w:ascii="宋体" w:hAnsi="宋体" w:eastAsia="宋体" w:cs="宋体"/>
              </w:rPr>
            </w:pPr>
            <w:r>
              <w:rPr>
                <w:rFonts w:hint="eastAsia" w:ascii="宋体" w:hAnsi="宋体" w:eastAsia="宋体" w:cs="宋体"/>
                <w:color w:val="333333"/>
                <w:sz w:val="18"/>
              </w:rPr>
              <w:t>0.056</w:t>
            </w:r>
          </w:p>
        </w:tc>
      </w:tr>
      <w:tr w14:paraId="692C5116">
        <w:tblPrEx>
          <w:tblCellMar>
            <w:top w:w="0" w:type="dxa"/>
            <w:left w:w="108" w:type="dxa"/>
            <w:bottom w:w="0" w:type="dxa"/>
            <w:right w:w="108" w:type="dxa"/>
          </w:tblCellMar>
        </w:tblPrEx>
        <w:trPr>
          <w:jc w:val="center"/>
        </w:trPr>
        <w:tc>
          <w:tcPr>
            <w:tcW w:w="850" w:type="dxa"/>
          </w:tcPr>
          <w:p w14:paraId="5926402E">
            <w:pPr>
              <w:jc w:val="left"/>
              <w:rPr>
                <w:rFonts w:hint="eastAsia" w:ascii="宋体" w:hAnsi="宋体" w:eastAsia="宋体" w:cs="宋体"/>
              </w:rPr>
            </w:pPr>
            <w:r>
              <w:rPr>
                <w:rFonts w:hint="eastAsia" w:ascii="宋体" w:hAnsi="宋体" w:eastAsia="宋体" w:cs="宋体"/>
                <w:color w:val="333333"/>
                <w:sz w:val="18"/>
              </w:rPr>
              <w:t>2</w:t>
            </w:r>
          </w:p>
        </w:tc>
        <w:tc>
          <w:tcPr>
            <w:tcW w:w="1984" w:type="dxa"/>
          </w:tcPr>
          <w:p w14:paraId="54D5E87D">
            <w:pPr>
              <w:jc w:val="center"/>
              <w:rPr>
                <w:rFonts w:hint="eastAsia" w:ascii="宋体" w:hAnsi="宋体" w:eastAsia="宋体" w:cs="宋体"/>
              </w:rPr>
            </w:pPr>
            <w:r>
              <w:rPr>
                <w:rFonts w:hint="eastAsia" w:ascii="宋体" w:hAnsi="宋体" w:eastAsia="宋体" w:cs="宋体"/>
                <w:color w:val="333333"/>
                <w:sz w:val="18"/>
              </w:rPr>
              <w:t>Ridge回归</w:t>
            </w:r>
          </w:p>
        </w:tc>
        <w:tc>
          <w:tcPr>
            <w:tcW w:w="1417" w:type="dxa"/>
          </w:tcPr>
          <w:p w14:paraId="35158659">
            <w:pPr>
              <w:jc w:val="center"/>
              <w:rPr>
                <w:rFonts w:hint="eastAsia" w:ascii="宋体" w:hAnsi="宋体" w:eastAsia="宋体" w:cs="宋体"/>
              </w:rPr>
            </w:pPr>
            <w:r>
              <w:rPr>
                <w:rFonts w:hint="eastAsia" w:ascii="宋体" w:hAnsi="宋体" w:eastAsia="宋体" w:cs="宋体"/>
                <w:color w:val="333333"/>
                <w:sz w:val="18"/>
              </w:rPr>
              <w:t>0.288</w:t>
            </w:r>
          </w:p>
        </w:tc>
        <w:tc>
          <w:tcPr>
            <w:tcW w:w="1417" w:type="dxa"/>
          </w:tcPr>
          <w:p w14:paraId="6F31B8AF">
            <w:pPr>
              <w:jc w:val="center"/>
              <w:rPr>
                <w:rFonts w:hint="eastAsia" w:ascii="宋体" w:hAnsi="宋体" w:eastAsia="宋体" w:cs="宋体"/>
              </w:rPr>
            </w:pPr>
            <w:r>
              <w:rPr>
                <w:rFonts w:hint="eastAsia" w:ascii="宋体" w:hAnsi="宋体" w:eastAsia="宋体" w:cs="宋体"/>
                <w:color w:val="333333"/>
                <w:sz w:val="18"/>
              </w:rPr>
              <w:t>237.8%</w:t>
            </w:r>
          </w:p>
        </w:tc>
        <w:tc>
          <w:tcPr>
            <w:tcW w:w="1417" w:type="dxa"/>
          </w:tcPr>
          <w:p w14:paraId="62F4E538">
            <w:pPr>
              <w:jc w:val="center"/>
              <w:rPr>
                <w:rFonts w:hint="eastAsia" w:ascii="宋体" w:hAnsi="宋体" w:eastAsia="宋体" w:cs="宋体"/>
              </w:rPr>
            </w:pPr>
            <w:r>
              <w:rPr>
                <w:rFonts w:hint="eastAsia" w:ascii="宋体" w:hAnsi="宋体" w:eastAsia="宋体" w:cs="宋体"/>
                <w:color w:val="333333"/>
                <w:sz w:val="18"/>
              </w:rPr>
              <w:t>0.046</w:t>
            </w:r>
          </w:p>
        </w:tc>
      </w:tr>
      <w:tr w14:paraId="54507AFC">
        <w:tblPrEx>
          <w:tblCellMar>
            <w:top w:w="0" w:type="dxa"/>
            <w:left w:w="108" w:type="dxa"/>
            <w:bottom w:w="0" w:type="dxa"/>
            <w:right w:w="108" w:type="dxa"/>
          </w:tblCellMar>
        </w:tblPrEx>
        <w:trPr>
          <w:jc w:val="center"/>
        </w:trPr>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16E8CF10">
            <w:pPr>
              <w:jc w:val="left"/>
              <w:rPr>
                <w:rFonts w:hint="eastAsia" w:ascii="宋体" w:hAnsi="宋体" w:eastAsia="宋体" w:cs="宋体"/>
              </w:rPr>
            </w:pPr>
            <w:r>
              <w:rPr>
                <w:rFonts w:hint="eastAsia" w:ascii="宋体" w:hAnsi="宋体" w:eastAsia="宋体" w:cs="宋体"/>
                <w:color w:val="333333"/>
                <w:sz w:val="18"/>
              </w:rPr>
              <w:t>3</w:t>
            </w:r>
          </w:p>
        </w:tc>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0BF3E7E4">
            <w:pPr>
              <w:jc w:val="center"/>
              <w:rPr>
                <w:rFonts w:hint="eastAsia" w:ascii="宋体" w:hAnsi="宋体" w:eastAsia="宋体" w:cs="宋体"/>
              </w:rPr>
            </w:pPr>
            <w:r>
              <w:rPr>
                <w:rFonts w:hint="eastAsia" w:ascii="宋体" w:hAnsi="宋体" w:eastAsia="宋体" w:cs="宋体"/>
                <w:color w:val="333333"/>
                <w:sz w:val="18"/>
              </w:rPr>
              <w:t>ARIMA</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1E6445D8">
            <w:pPr>
              <w:jc w:val="center"/>
              <w:rPr>
                <w:rFonts w:hint="eastAsia" w:ascii="宋体" w:hAnsi="宋体" w:eastAsia="宋体" w:cs="宋体"/>
              </w:rPr>
            </w:pPr>
            <w:r>
              <w:rPr>
                <w:rFonts w:hint="eastAsia" w:ascii="宋体" w:hAnsi="宋体" w:eastAsia="宋体" w:cs="宋体"/>
                <w:color w:val="333333"/>
                <w:sz w:val="18"/>
              </w:rPr>
              <w:t>-2.393</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4E138616">
            <w:pPr>
              <w:jc w:val="center"/>
              <w:rPr>
                <w:rFonts w:hint="eastAsia" w:ascii="宋体" w:hAnsi="宋体" w:eastAsia="宋体" w:cs="宋体"/>
              </w:rPr>
            </w:pPr>
            <w:r>
              <w:rPr>
                <w:rFonts w:hint="eastAsia" w:ascii="宋体" w:hAnsi="宋体" w:eastAsia="宋体" w:cs="宋体"/>
                <w:color w:val="333333"/>
                <w:sz w:val="18"/>
              </w:rPr>
              <w:t>97.5%</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0F0A68EB">
            <w:pPr>
              <w:jc w:val="center"/>
              <w:rPr>
                <w:rFonts w:hint="eastAsia" w:ascii="宋体" w:hAnsi="宋体" w:eastAsia="宋体" w:cs="宋体"/>
              </w:rPr>
            </w:pPr>
            <w:r>
              <w:rPr>
                <w:rFonts w:hint="eastAsia" w:ascii="宋体" w:hAnsi="宋体" w:eastAsia="宋体" w:cs="宋体"/>
                <w:color w:val="333333"/>
                <w:sz w:val="18"/>
              </w:rPr>
              <w:t>0.081</w:t>
            </w:r>
          </w:p>
        </w:tc>
      </w:tr>
      <w:tr w14:paraId="565F5F5E">
        <w:tblPrEx>
          <w:tblCellMar>
            <w:top w:w="0" w:type="dxa"/>
            <w:left w:w="108" w:type="dxa"/>
            <w:bottom w:w="0" w:type="dxa"/>
            <w:right w:w="108" w:type="dxa"/>
          </w:tblCellMar>
        </w:tblPrEx>
        <w:trPr>
          <w:jc w:val="center"/>
        </w:trPr>
        <w:tc>
          <w:tcPr>
            <w:tcW w:w="850" w:type="dxa"/>
          </w:tcPr>
          <w:p w14:paraId="15B56692">
            <w:pPr>
              <w:jc w:val="left"/>
              <w:rPr>
                <w:rFonts w:hint="eastAsia" w:ascii="宋体" w:hAnsi="宋体" w:eastAsia="宋体" w:cs="宋体"/>
              </w:rPr>
            </w:pPr>
            <w:r>
              <w:rPr>
                <w:rFonts w:hint="eastAsia" w:ascii="宋体" w:hAnsi="宋体" w:eastAsia="宋体" w:cs="宋体"/>
                <w:color w:val="333333"/>
                <w:sz w:val="18"/>
              </w:rPr>
              <w:t>4</w:t>
            </w:r>
          </w:p>
        </w:tc>
        <w:tc>
          <w:tcPr>
            <w:tcW w:w="1984" w:type="dxa"/>
          </w:tcPr>
          <w:p w14:paraId="66DB9BA0">
            <w:pPr>
              <w:jc w:val="center"/>
              <w:rPr>
                <w:rFonts w:hint="eastAsia" w:ascii="宋体" w:hAnsi="宋体" w:eastAsia="宋体" w:cs="宋体"/>
              </w:rPr>
            </w:pPr>
            <w:r>
              <w:rPr>
                <w:rFonts w:hint="eastAsia" w:ascii="宋体" w:hAnsi="宋体" w:eastAsia="宋体" w:cs="宋体"/>
                <w:color w:val="333333"/>
                <w:sz w:val="18"/>
              </w:rPr>
              <w:t>Prophet</w:t>
            </w:r>
          </w:p>
        </w:tc>
        <w:tc>
          <w:tcPr>
            <w:tcW w:w="1417" w:type="dxa"/>
          </w:tcPr>
          <w:p w14:paraId="42646583">
            <w:pPr>
              <w:jc w:val="center"/>
              <w:rPr>
                <w:rFonts w:hint="eastAsia" w:ascii="宋体" w:hAnsi="宋体" w:eastAsia="宋体" w:cs="宋体"/>
              </w:rPr>
            </w:pPr>
            <w:r>
              <w:rPr>
                <w:rFonts w:hint="eastAsia" w:ascii="宋体" w:hAnsi="宋体" w:eastAsia="宋体" w:cs="宋体"/>
                <w:color w:val="333333"/>
                <w:sz w:val="18"/>
              </w:rPr>
              <w:t>-0.016</w:t>
            </w:r>
          </w:p>
        </w:tc>
        <w:tc>
          <w:tcPr>
            <w:tcW w:w="1417" w:type="dxa"/>
          </w:tcPr>
          <w:p w14:paraId="43E44319">
            <w:pPr>
              <w:jc w:val="center"/>
              <w:rPr>
                <w:rFonts w:hint="eastAsia" w:ascii="宋体" w:hAnsi="宋体" w:eastAsia="宋体" w:cs="宋体"/>
              </w:rPr>
            </w:pPr>
            <w:r>
              <w:rPr>
                <w:rFonts w:hint="eastAsia" w:ascii="宋体" w:hAnsi="宋体" w:eastAsia="宋体" w:cs="宋体"/>
                <w:color w:val="333333"/>
                <w:sz w:val="18"/>
              </w:rPr>
              <w:t>236.5%</w:t>
            </w:r>
          </w:p>
        </w:tc>
        <w:tc>
          <w:tcPr>
            <w:tcW w:w="1417" w:type="dxa"/>
          </w:tcPr>
          <w:p w14:paraId="4FE9B073">
            <w:pPr>
              <w:jc w:val="center"/>
              <w:rPr>
                <w:rFonts w:hint="eastAsia" w:ascii="宋体" w:hAnsi="宋体" w:eastAsia="宋体" w:cs="宋体"/>
              </w:rPr>
            </w:pPr>
            <w:r>
              <w:rPr>
                <w:rFonts w:hint="eastAsia" w:ascii="宋体" w:hAnsi="宋体" w:eastAsia="宋体" w:cs="宋体"/>
                <w:color w:val="333333"/>
                <w:sz w:val="18"/>
              </w:rPr>
              <w:t>0.058</w:t>
            </w:r>
          </w:p>
        </w:tc>
      </w:tr>
      <w:tr w14:paraId="0BFAD6B9">
        <w:tblPrEx>
          <w:tblCellMar>
            <w:top w:w="0" w:type="dxa"/>
            <w:left w:w="108" w:type="dxa"/>
            <w:bottom w:w="0" w:type="dxa"/>
            <w:right w:w="108" w:type="dxa"/>
          </w:tblCellMar>
        </w:tblPrEx>
        <w:trPr>
          <w:jc w:val="center"/>
        </w:trPr>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4703B654">
            <w:pPr>
              <w:jc w:val="left"/>
              <w:rPr>
                <w:rFonts w:hint="eastAsia" w:ascii="宋体" w:hAnsi="宋体" w:eastAsia="宋体" w:cs="宋体"/>
              </w:rPr>
            </w:pPr>
            <w:r>
              <w:rPr>
                <w:rFonts w:hint="eastAsia" w:ascii="宋体" w:hAnsi="宋体" w:eastAsia="宋体" w:cs="宋体"/>
                <w:color w:val="333333"/>
                <w:sz w:val="18"/>
              </w:rPr>
              <w:t>5</w:t>
            </w:r>
          </w:p>
        </w:tc>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2F0E3091">
            <w:pPr>
              <w:jc w:val="center"/>
              <w:rPr>
                <w:rFonts w:hint="eastAsia" w:ascii="宋体" w:hAnsi="宋体" w:eastAsia="宋体" w:cs="宋体"/>
              </w:rPr>
            </w:pPr>
            <w:r>
              <w:rPr>
                <w:rFonts w:hint="eastAsia" w:ascii="宋体" w:hAnsi="宋体" w:eastAsia="宋体" w:cs="宋体"/>
                <w:color w:val="333333"/>
                <w:sz w:val="18"/>
              </w:rPr>
              <w:t>LSTM</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656BAA19">
            <w:pPr>
              <w:jc w:val="center"/>
              <w:rPr>
                <w:rFonts w:hint="eastAsia" w:ascii="宋体" w:hAnsi="宋体" w:eastAsia="宋体" w:cs="宋体"/>
              </w:rPr>
            </w:pPr>
            <w:r>
              <w:rPr>
                <w:rFonts w:hint="eastAsia" w:ascii="宋体" w:hAnsi="宋体" w:eastAsia="宋体" w:cs="宋体"/>
                <w:color w:val="333333"/>
                <w:sz w:val="18"/>
              </w:rPr>
              <w:t>-392.46</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59DD55F3">
            <w:pPr>
              <w:jc w:val="center"/>
              <w:rPr>
                <w:rFonts w:hint="eastAsia" w:ascii="宋体" w:hAnsi="宋体" w:eastAsia="宋体" w:cs="宋体"/>
              </w:rPr>
            </w:pPr>
            <w:r>
              <w:rPr>
                <w:rFonts w:hint="eastAsia" w:ascii="宋体" w:hAnsi="宋体" w:eastAsia="宋体" w:cs="宋体"/>
                <w:color w:val="333333"/>
                <w:sz w:val="18"/>
              </w:rPr>
              <w:t>1339.9%</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4A5BF324">
            <w:pPr>
              <w:jc w:val="center"/>
              <w:rPr>
                <w:rFonts w:hint="eastAsia" w:ascii="宋体" w:hAnsi="宋体" w:eastAsia="宋体" w:cs="宋体"/>
              </w:rPr>
            </w:pPr>
            <w:r>
              <w:rPr>
                <w:rFonts w:hint="eastAsia" w:ascii="宋体" w:hAnsi="宋体" w:eastAsia="宋体" w:cs="宋体"/>
                <w:color w:val="333333"/>
                <w:sz w:val="18"/>
              </w:rPr>
              <w:t>0.037</w:t>
            </w:r>
          </w:p>
        </w:tc>
      </w:tr>
      <w:tr w14:paraId="67B2CBE8">
        <w:tblPrEx>
          <w:tblCellMar>
            <w:top w:w="0" w:type="dxa"/>
            <w:left w:w="108" w:type="dxa"/>
            <w:bottom w:w="0" w:type="dxa"/>
            <w:right w:w="108" w:type="dxa"/>
          </w:tblCellMar>
        </w:tblPrEx>
        <w:trPr>
          <w:jc w:val="center"/>
        </w:trPr>
        <w:tc>
          <w:tcPr>
            <w:tcW w:w="850" w:type="dxa"/>
          </w:tcPr>
          <w:p w14:paraId="4E79D2A1">
            <w:pPr>
              <w:jc w:val="left"/>
              <w:rPr>
                <w:rFonts w:hint="eastAsia" w:ascii="宋体" w:hAnsi="宋体" w:eastAsia="宋体" w:cs="宋体"/>
              </w:rPr>
            </w:pPr>
            <w:r>
              <w:rPr>
                <w:rFonts w:hint="eastAsia" w:ascii="宋体" w:hAnsi="宋体" w:eastAsia="宋体" w:cs="宋体"/>
                <w:color w:val="333333"/>
                <w:sz w:val="18"/>
              </w:rPr>
              <w:t>6</w:t>
            </w:r>
          </w:p>
        </w:tc>
        <w:tc>
          <w:tcPr>
            <w:tcW w:w="1984" w:type="dxa"/>
          </w:tcPr>
          <w:p w14:paraId="61841224">
            <w:pPr>
              <w:jc w:val="center"/>
              <w:rPr>
                <w:rFonts w:hint="eastAsia" w:ascii="宋体" w:hAnsi="宋体" w:eastAsia="宋体" w:cs="宋体"/>
              </w:rPr>
            </w:pPr>
            <w:r>
              <w:rPr>
                <w:rFonts w:hint="eastAsia" w:ascii="宋体" w:hAnsi="宋体" w:eastAsia="宋体" w:cs="宋体"/>
                <w:color w:val="333333"/>
                <w:sz w:val="18"/>
              </w:rPr>
              <w:t>三次指数平滑</w:t>
            </w:r>
          </w:p>
        </w:tc>
        <w:tc>
          <w:tcPr>
            <w:tcW w:w="1417" w:type="dxa"/>
          </w:tcPr>
          <w:p w14:paraId="258D14CB">
            <w:pPr>
              <w:jc w:val="center"/>
              <w:rPr>
                <w:rFonts w:hint="eastAsia" w:ascii="宋体" w:hAnsi="宋体" w:eastAsia="宋体" w:cs="宋体"/>
              </w:rPr>
            </w:pPr>
            <w:r>
              <w:rPr>
                <w:rFonts w:hint="eastAsia" w:ascii="宋体" w:hAnsi="宋体" w:eastAsia="宋体" w:cs="宋体"/>
                <w:color w:val="333333"/>
                <w:sz w:val="18"/>
              </w:rPr>
              <w:t>-338.12</w:t>
            </w:r>
          </w:p>
        </w:tc>
        <w:tc>
          <w:tcPr>
            <w:tcW w:w="1417" w:type="dxa"/>
          </w:tcPr>
          <w:p w14:paraId="3A1BA26F">
            <w:pPr>
              <w:jc w:val="center"/>
              <w:rPr>
                <w:rFonts w:hint="eastAsia" w:ascii="宋体" w:hAnsi="宋体" w:eastAsia="宋体" w:cs="宋体"/>
              </w:rPr>
            </w:pPr>
            <w:r>
              <w:rPr>
                <w:rFonts w:hint="eastAsia" w:ascii="宋体" w:hAnsi="宋体" w:eastAsia="宋体" w:cs="宋体"/>
                <w:color w:val="333333"/>
                <w:sz w:val="18"/>
              </w:rPr>
              <w:t>2631.9%</w:t>
            </w:r>
          </w:p>
        </w:tc>
        <w:tc>
          <w:tcPr>
            <w:tcW w:w="1417" w:type="dxa"/>
          </w:tcPr>
          <w:p w14:paraId="589138D6">
            <w:pPr>
              <w:jc w:val="center"/>
              <w:rPr>
                <w:rFonts w:hint="eastAsia" w:ascii="宋体" w:hAnsi="宋体" w:eastAsia="宋体" w:cs="宋体"/>
              </w:rPr>
            </w:pPr>
            <w:r>
              <w:rPr>
                <w:rFonts w:hint="eastAsia" w:ascii="宋体" w:hAnsi="宋体" w:eastAsia="宋体" w:cs="宋体"/>
                <w:color w:val="333333"/>
                <w:sz w:val="18"/>
              </w:rPr>
              <w:t>0.696</w:t>
            </w:r>
          </w:p>
        </w:tc>
      </w:tr>
    </w:tbl>
    <w:p w14:paraId="6D44B6FE">
      <w:pPr>
        <w:spacing w:after="80"/>
        <w:rPr>
          <w:rFonts w:hint="eastAsia" w:ascii="宋体" w:hAnsi="宋体" w:eastAsia="宋体" w:cs="宋体"/>
        </w:rPr>
      </w:pPr>
    </w:p>
    <w:p w14:paraId="5762C576">
      <w:pPr>
        <w:spacing w:after="40" w:line="360" w:lineRule="auto"/>
        <w:ind w:firstLine="420"/>
        <w:rPr>
          <w:rFonts w:hint="eastAsia" w:ascii="宋体" w:hAnsi="宋体" w:eastAsia="宋体" w:cs="宋体"/>
        </w:rPr>
      </w:pPr>
      <w:r>
        <w:rPr>
          <w:rFonts w:hint="eastAsia" w:ascii="宋体" w:hAnsi="宋体" w:eastAsia="宋体" w:cs="宋体"/>
          <w:b w:val="0"/>
          <w:sz w:val="24"/>
        </w:rPr>
        <w:t>线性回归因MAPE相对稳定排名第一；Ridge回归拟合R²（0.288）明显高于线性回归（0.096）。LSTM和三次指数平滑R²为负——小样本不足以训练神经网络。在小样本财务预测中，正则化线性方法比深度学习更可靠。</w:t>
      </w:r>
    </w:p>
    <w:p w14:paraId="492E4E92">
      <w:pPr>
        <w:spacing w:after="40" w:line="360" w:lineRule="auto"/>
        <w:ind w:firstLine="420"/>
        <w:rPr>
          <w:rFonts w:hint="eastAsia" w:ascii="宋体" w:hAnsi="宋体" w:eastAsia="宋体" w:cs="宋体"/>
        </w:rPr>
      </w:pPr>
      <w:r>
        <w:rPr>
          <w:rFonts w:hint="eastAsia" w:ascii="宋体" w:hAnsi="宋体" w:eastAsia="宋体" w:cs="宋体"/>
          <w:b w:val="0"/>
          <w:sz w:val="24"/>
        </w:rPr>
        <w:t>2026年第一季度回测数据：</w:t>
      </w:r>
    </w:p>
    <w:tbl>
      <w:tblPr>
        <w:tblStyle w:val="32"/>
        <w:tblW w:w="0" w:type="auto"/>
        <w:jc w:val="center"/>
        <w:tblLayout w:type="autofit"/>
        <w:tblCellMar>
          <w:top w:w="0" w:type="dxa"/>
          <w:left w:w="108" w:type="dxa"/>
          <w:bottom w:w="0" w:type="dxa"/>
          <w:right w:w="108" w:type="dxa"/>
        </w:tblCellMar>
      </w:tblPr>
      <w:tblGrid>
        <w:gridCol w:w="1134"/>
        <w:gridCol w:w="1417"/>
        <w:gridCol w:w="1134"/>
        <w:gridCol w:w="1134"/>
        <w:gridCol w:w="1134"/>
        <w:gridCol w:w="1417"/>
      </w:tblGrid>
      <w:tr w14:paraId="29E63BC6">
        <w:tblPrEx>
          <w:tblCellMar>
            <w:top w:w="0" w:type="dxa"/>
            <w:left w:w="108" w:type="dxa"/>
            <w:bottom w:w="0" w:type="dxa"/>
            <w:right w:w="108" w:type="dxa"/>
          </w:tblCellMar>
        </w:tblPrEx>
        <w:trPr>
          <w:jc w:val="center"/>
        </w:trPr>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19DBA1E1">
            <w:pPr>
              <w:jc w:val="center"/>
              <w:rPr>
                <w:rFonts w:hint="eastAsia" w:ascii="宋体" w:hAnsi="宋体" w:eastAsia="宋体" w:cs="宋体"/>
              </w:rPr>
            </w:pPr>
            <w:r>
              <w:rPr>
                <w:rFonts w:hint="eastAsia" w:ascii="宋体" w:hAnsi="宋体" w:eastAsia="宋体" w:cs="宋体"/>
                <w:b/>
                <w:color w:val="1A4789"/>
                <w:sz w:val="18"/>
              </w:rPr>
              <w:t>企业</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31840DEB">
            <w:pPr>
              <w:jc w:val="center"/>
              <w:rPr>
                <w:rFonts w:hint="eastAsia" w:ascii="宋体" w:hAnsi="宋体" w:eastAsia="宋体" w:cs="宋体"/>
              </w:rPr>
            </w:pPr>
            <w:r>
              <w:rPr>
                <w:rFonts w:hint="eastAsia" w:ascii="宋体" w:hAnsi="宋体" w:eastAsia="宋体" w:cs="宋体"/>
                <w:b/>
                <w:color w:val="1A4789"/>
                <w:sz w:val="18"/>
              </w:rPr>
              <w:t>指标</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1347F231">
            <w:pPr>
              <w:jc w:val="center"/>
              <w:rPr>
                <w:rFonts w:hint="eastAsia" w:ascii="宋体" w:hAnsi="宋体" w:eastAsia="宋体" w:cs="宋体"/>
              </w:rPr>
            </w:pPr>
            <w:r>
              <w:rPr>
                <w:rFonts w:hint="eastAsia" w:ascii="宋体" w:hAnsi="宋体" w:eastAsia="宋体" w:cs="宋体"/>
                <w:b/>
                <w:color w:val="1A4789"/>
                <w:sz w:val="18"/>
              </w:rPr>
              <w:t>实际值</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0F6498F9">
            <w:pPr>
              <w:jc w:val="center"/>
              <w:rPr>
                <w:rFonts w:hint="eastAsia" w:ascii="宋体" w:hAnsi="宋体" w:eastAsia="宋体" w:cs="宋体"/>
              </w:rPr>
            </w:pPr>
            <w:r>
              <w:rPr>
                <w:rFonts w:hint="eastAsia" w:ascii="宋体" w:hAnsi="宋体" w:eastAsia="宋体" w:cs="宋体"/>
                <w:b/>
                <w:color w:val="1A4789"/>
                <w:sz w:val="18"/>
              </w:rPr>
              <w:t>预测值</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4A80A0C8">
            <w:pPr>
              <w:jc w:val="center"/>
              <w:rPr>
                <w:rFonts w:hint="eastAsia" w:ascii="宋体" w:hAnsi="宋体" w:eastAsia="宋体" w:cs="宋体"/>
              </w:rPr>
            </w:pPr>
            <w:r>
              <w:rPr>
                <w:rFonts w:hint="eastAsia" w:ascii="宋体" w:hAnsi="宋体" w:eastAsia="宋体" w:cs="宋体"/>
                <w:b/>
                <w:color w:val="1A4789"/>
                <w:sz w:val="18"/>
              </w:rPr>
              <w:t>MAPE</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5EC8A163">
            <w:pPr>
              <w:jc w:val="center"/>
              <w:rPr>
                <w:rFonts w:hint="eastAsia" w:ascii="宋体" w:hAnsi="宋体" w:eastAsia="宋体" w:cs="宋体"/>
              </w:rPr>
            </w:pPr>
            <w:r>
              <w:rPr>
                <w:rFonts w:hint="eastAsia" w:ascii="宋体" w:hAnsi="宋体" w:eastAsia="宋体" w:cs="宋体"/>
                <w:b/>
                <w:color w:val="1A4789"/>
                <w:sz w:val="18"/>
              </w:rPr>
              <w:t>评估</w:t>
            </w:r>
          </w:p>
        </w:tc>
      </w:tr>
      <w:tr w14:paraId="6FA1AE36">
        <w:tblPrEx>
          <w:tblCellMar>
            <w:top w:w="0" w:type="dxa"/>
            <w:left w:w="108" w:type="dxa"/>
            <w:bottom w:w="0" w:type="dxa"/>
            <w:right w:w="108" w:type="dxa"/>
          </w:tblCellMar>
        </w:tblPrEx>
        <w:trPr>
          <w:jc w:val="center"/>
        </w:trPr>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7D685E3">
            <w:pPr>
              <w:jc w:val="left"/>
              <w:rPr>
                <w:rFonts w:hint="eastAsia" w:ascii="宋体" w:hAnsi="宋体" w:eastAsia="宋体" w:cs="宋体"/>
              </w:rPr>
            </w:pPr>
            <w:r>
              <w:rPr>
                <w:rFonts w:hint="eastAsia" w:ascii="宋体" w:hAnsi="宋体" w:eastAsia="宋体" w:cs="宋体"/>
                <w:color w:val="333333"/>
                <w:sz w:val="18"/>
              </w:rPr>
              <w:t>赛力斯</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AEAF8D7">
            <w:pPr>
              <w:jc w:val="center"/>
              <w:rPr>
                <w:rFonts w:hint="eastAsia" w:ascii="宋体" w:hAnsi="宋体" w:eastAsia="宋体" w:cs="宋体"/>
              </w:rPr>
            </w:pPr>
            <w:r>
              <w:rPr>
                <w:rFonts w:hint="eastAsia" w:ascii="宋体" w:hAnsi="宋体" w:eastAsia="宋体" w:cs="宋体"/>
                <w:color w:val="333333"/>
                <w:sz w:val="18"/>
              </w:rPr>
              <w:t>毛利率</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07024FB6">
            <w:pPr>
              <w:jc w:val="center"/>
              <w:rPr>
                <w:rFonts w:hint="eastAsia" w:ascii="宋体" w:hAnsi="宋体" w:eastAsia="宋体" w:cs="宋体"/>
              </w:rPr>
            </w:pPr>
            <w:r>
              <w:rPr>
                <w:rFonts w:hint="eastAsia" w:ascii="宋体" w:hAnsi="宋体" w:eastAsia="宋体" w:cs="宋体"/>
                <w:color w:val="333333"/>
                <w:sz w:val="18"/>
              </w:rPr>
              <w:t>-0.0046</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33A87CED">
            <w:pPr>
              <w:jc w:val="center"/>
              <w:rPr>
                <w:rFonts w:hint="eastAsia" w:ascii="宋体" w:hAnsi="宋体" w:eastAsia="宋体" w:cs="宋体"/>
              </w:rPr>
            </w:pPr>
            <w:r>
              <w:rPr>
                <w:rFonts w:hint="eastAsia" w:ascii="宋体" w:hAnsi="宋体" w:eastAsia="宋体" w:cs="宋体"/>
                <w:color w:val="333333"/>
                <w:sz w:val="18"/>
              </w:rPr>
              <w:t>-0.1047</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716C2313">
            <w:pPr>
              <w:jc w:val="center"/>
              <w:rPr>
                <w:rFonts w:hint="eastAsia" w:ascii="宋体" w:hAnsi="宋体" w:eastAsia="宋体" w:cs="宋体"/>
              </w:rPr>
            </w:pPr>
            <w:r>
              <w:rPr>
                <w:rFonts w:hint="eastAsia" w:ascii="宋体" w:hAnsi="宋体" w:eastAsia="宋体" w:cs="宋体"/>
                <w:color w:val="333333"/>
                <w:sz w:val="18"/>
              </w:rPr>
              <w:t>2176.3%</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0B7D60DC">
            <w:pPr>
              <w:jc w:val="center"/>
              <w:rPr>
                <w:rFonts w:hint="eastAsia" w:ascii="宋体" w:hAnsi="宋体" w:eastAsia="宋体" w:cs="宋体"/>
              </w:rPr>
            </w:pPr>
            <w:r>
              <w:rPr>
                <w:rFonts w:hint="eastAsia" w:ascii="宋体" w:hAnsi="宋体" w:eastAsia="宋体" w:cs="宋体"/>
                <w:color w:val="333333"/>
                <w:sz w:val="18"/>
              </w:rPr>
              <w:t>偏差大</w:t>
            </w:r>
          </w:p>
        </w:tc>
      </w:tr>
      <w:tr w14:paraId="4AF17FDE">
        <w:tblPrEx>
          <w:tblCellMar>
            <w:top w:w="0" w:type="dxa"/>
            <w:left w:w="108" w:type="dxa"/>
            <w:bottom w:w="0" w:type="dxa"/>
            <w:right w:w="108" w:type="dxa"/>
          </w:tblCellMar>
        </w:tblPrEx>
        <w:trPr>
          <w:jc w:val="center"/>
        </w:trPr>
        <w:tc>
          <w:tcPr>
            <w:tcW w:w="1134" w:type="dxa"/>
          </w:tcPr>
          <w:p w14:paraId="64A88589">
            <w:pPr>
              <w:jc w:val="left"/>
              <w:rPr>
                <w:rFonts w:hint="eastAsia" w:ascii="宋体" w:hAnsi="宋体" w:eastAsia="宋体" w:cs="宋体"/>
              </w:rPr>
            </w:pPr>
            <w:r>
              <w:rPr>
                <w:rFonts w:hint="eastAsia" w:ascii="宋体" w:hAnsi="宋体" w:eastAsia="宋体" w:cs="宋体"/>
                <w:color w:val="333333"/>
                <w:sz w:val="18"/>
              </w:rPr>
              <w:t>赛力斯</w:t>
            </w:r>
          </w:p>
        </w:tc>
        <w:tc>
          <w:tcPr>
            <w:tcW w:w="1417" w:type="dxa"/>
          </w:tcPr>
          <w:p w14:paraId="3387DD48">
            <w:pPr>
              <w:jc w:val="center"/>
              <w:rPr>
                <w:rFonts w:hint="eastAsia" w:ascii="宋体" w:hAnsi="宋体" w:eastAsia="宋体" w:cs="宋体"/>
              </w:rPr>
            </w:pPr>
            <w:r>
              <w:rPr>
                <w:rFonts w:hint="eastAsia" w:ascii="宋体" w:hAnsi="宋体" w:eastAsia="宋体" w:cs="宋体"/>
                <w:color w:val="333333"/>
                <w:sz w:val="18"/>
              </w:rPr>
              <w:t>资产负债率</w:t>
            </w:r>
          </w:p>
        </w:tc>
        <w:tc>
          <w:tcPr>
            <w:tcW w:w="1134" w:type="dxa"/>
          </w:tcPr>
          <w:p w14:paraId="4C07F6B1">
            <w:pPr>
              <w:jc w:val="center"/>
              <w:rPr>
                <w:rFonts w:hint="eastAsia" w:ascii="宋体" w:hAnsi="宋体" w:eastAsia="宋体" w:cs="宋体"/>
              </w:rPr>
            </w:pPr>
            <w:r>
              <w:rPr>
                <w:rFonts w:hint="eastAsia" w:ascii="宋体" w:hAnsi="宋体" w:eastAsia="宋体" w:cs="宋体"/>
                <w:color w:val="333333"/>
                <w:sz w:val="18"/>
              </w:rPr>
              <w:t>0.6592</w:t>
            </w:r>
          </w:p>
        </w:tc>
        <w:tc>
          <w:tcPr>
            <w:tcW w:w="1134" w:type="dxa"/>
          </w:tcPr>
          <w:p w14:paraId="0AEA25DF">
            <w:pPr>
              <w:jc w:val="center"/>
              <w:rPr>
                <w:rFonts w:hint="eastAsia" w:ascii="宋体" w:hAnsi="宋体" w:eastAsia="宋体" w:cs="宋体"/>
              </w:rPr>
            </w:pPr>
            <w:r>
              <w:rPr>
                <w:rFonts w:hint="eastAsia" w:ascii="宋体" w:hAnsi="宋体" w:eastAsia="宋体" w:cs="宋体"/>
                <w:color w:val="333333"/>
                <w:sz w:val="18"/>
              </w:rPr>
              <w:t>0.7860</w:t>
            </w:r>
          </w:p>
        </w:tc>
        <w:tc>
          <w:tcPr>
            <w:tcW w:w="1134" w:type="dxa"/>
          </w:tcPr>
          <w:p w14:paraId="6F435284">
            <w:pPr>
              <w:jc w:val="center"/>
              <w:rPr>
                <w:rFonts w:hint="eastAsia" w:ascii="宋体" w:hAnsi="宋体" w:eastAsia="宋体" w:cs="宋体"/>
              </w:rPr>
            </w:pPr>
            <w:r>
              <w:rPr>
                <w:rFonts w:hint="eastAsia" w:ascii="宋体" w:hAnsi="宋体" w:eastAsia="宋体" w:cs="宋体"/>
                <w:color w:val="333333"/>
                <w:sz w:val="18"/>
              </w:rPr>
              <w:t>19.2%</w:t>
            </w:r>
          </w:p>
        </w:tc>
        <w:tc>
          <w:tcPr>
            <w:tcW w:w="1417" w:type="dxa"/>
          </w:tcPr>
          <w:p w14:paraId="65552538">
            <w:pPr>
              <w:jc w:val="center"/>
              <w:rPr>
                <w:rFonts w:hint="eastAsia" w:ascii="宋体" w:hAnsi="宋体" w:eastAsia="宋体" w:cs="宋体"/>
              </w:rPr>
            </w:pPr>
            <w:r>
              <w:rPr>
                <w:rFonts w:hint="eastAsia" w:ascii="宋体" w:hAnsi="宋体" w:eastAsia="宋体" w:cs="宋体"/>
                <w:color w:val="333333"/>
                <w:sz w:val="18"/>
              </w:rPr>
              <w:t>可接受</w:t>
            </w:r>
          </w:p>
        </w:tc>
      </w:tr>
      <w:tr w14:paraId="7369A07F">
        <w:tblPrEx>
          <w:tblCellMar>
            <w:top w:w="0" w:type="dxa"/>
            <w:left w:w="108" w:type="dxa"/>
            <w:bottom w:w="0" w:type="dxa"/>
            <w:right w:w="108" w:type="dxa"/>
          </w:tblCellMar>
        </w:tblPrEx>
        <w:trPr>
          <w:jc w:val="center"/>
        </w:trPr>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7CAA1E2A">
            <w:pPr>
              <w:jc w:val="left"/>
              <w:rPr>
                <w:rFonts w:hint="eastAsia" w:ascii="宋体" w:hAnsi="宋体" w:eastAsia="宋体" w:cs="宋体"/>
              </w:rPr>
            </w:pPr>
            <w:r>
              <w:rPr>
                <w:rFonts w:hint="eastAsia" w:ascii="宋体" w:hAnsi="宋体" w:eastAsia="宋体" w:cs="宋体"/>
                <w:color w:val="333333"/>
                <w:sz w:val="18"/>
              </w:rPr>
              <w:t>长安汽车</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25A92496">
            <w:pPr>
              <w:jc w:val="center"/>
              <w:rPr>
                <w:rFonts w:hint="eastAsia" w:ascii="宋体" w:hAnsi="宋体" w:eastAsia="宋体" w:cs="宋体"/>
              </w:rPr>
            </w:pPr>
            <w:r>
              <w:rPr>
                <w:rFonts w:hint="eastAsia" w:ascii="宋体" w:hAnsi="宋体" w:eastAsia="宋体" w:cs="宋体"/>
                <w:color w:val="333333"/>
                <w:sz w:val="18"/>
              </w:rPr>
              <w:t>毛利率</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08314B9C">
            <w:pPr>
              <w:jc w:val="center"/>
              <w:rPr>
                <w:rFonts w:hint="eastAsia" w:ascii="宋体" w:hAnsi="宋体" w:eastAsia="宋体" w:cs="宋体"/>
              </w:rPr>
            </w:pPr>
            <w:r>
              <w:rPr>
                <w:rFonts w:hint="eastAsia" w:ascii="宋体" w:hAnsi="宋体" w:eastAsia="宋体" w:cs="宋体"/>
                <w:color w:val="333333"/>
                <w:sz w:val="18"/>
              </w:rPr>
              <w:t>-0.0006</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77E30D62">
            <w:pPr>
              <w:jc w:val="center"/>
              <w:rPr>
                <w:rFonts w:hint="eastAsia" w:ascii="宋体" w:hAnsi="宋体" w:eastAsia="宋体" w:cs="宋体"/>
              </w:rPr>
            </w:pPr>
            <w:r>
              <w:rPr>
                <w:rFonts w:hint="eastAsia" w:ascii="宋体" w:hAnsi="宋体" w:eastAsia="宋体" w:cs="宋体"/>
                <w:color w:val="333333"/>
                <w:sz w:val="18"/>
              </w:rPr>
              <w:t>0.0248</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1DFBDABC">
            <w:pPr>
              <w:jc w:val="center"/>
              <w:rPr>
                <w:rFonts w:hint="eastAsia" w:ascii="宋体" w:hAnsi="宋体" w:eastAsia="宋体" w:cs="宋体"/>
              </w:rPr>
            </w:pPr>
            <w:r>
              <w:rPr>
                <w:rFonts w:hint="eastAsia" w:ascii="宋体" w:hAnsi="宋体" w:eastAsia="宋体" w:cs="宋体"/>
                <w:color w:val="333333"/>
                <w:sz w:val="18"/>
              </w:rPr>
              <w:t>4480.2%</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788A594D">
            <w:pPr>
              <w:jc w:val="center"/>
              <w:rPr>
                <w:rFonts w:hint="eastAsia" w:ascii="宋体" w:hAnsi="宋体" w:eastAsia="宋体" w:cs="宋体"/>
              </w:rPr>
            </w:pPr>
            <w:r>
              <w:rPr>
                <w:rFonts w:hint="eastAsia" w:ascii="宋体" w:hAnsi="宋体" w:eastAsia="宋体" w:cs="宋体"/>
                <w:color w:val="333333"/>
                <w:sz w:val="18"/>
              </w:rPr>
              <w:t>偏差大</w:t>
            </w:r>
          </w:p>
        </w:tc>
      </w:tr>
      <w:tr w14:paraId="748E9C05">
        <w:tblPrEx>
          <w:tblCellMar>
            <w:top w:w="0" w:type="dxa"/>
            <w:left w:w="108" w:type="dxa"/>
            <w:bottom w:w="0" w:type="dxa"/>
            <w:right w:w="108" w:type="dxa"/>
          </w:tblCellMar>
        </w:tblPrEx>
        <w:trPr>
          <w:jc w:val="center"/>
        </w:trPr>
        <w:tc>
          <w:tcPr>
            <w:tcW w:w="1134" w:type="dxa"/>
          </w:tcPr>
          <w:p w14:paraId="192EE0B9">
            <w:pPr>
              <w:jc w:val="left"/>
              <w:rPr>
                <w:rFonts w:hint="eastAsia" w:ascii="宋体" w:hAnsi="宋体" w:eastAsia="宋体" w:cs="宋体"/>
              </w:rPr>
            </w:pPr>
            <w:r>
              <w:rPr>
                <w:rFonts w:hint="eastAsia" w:ascii="宋体" w:hAnsi="宋体" w:eastAsia="宋体" w:cs="宋体"/>
                <w:color w:val="333333"/>
                <w:sz w:val="18"/>
              </w:rPr>
              <w:t>长安汽车</w:t>
            </w:r>
          </w:p>
        </w:tc>
        <w:tc>
          <w:tcPr>
            <w:tcW w:w="1417" w:type="dxa"/>
          </w:tcPr>
          <w:p w14:paraId="3442C6B0">
            <w:pPr>
              <w:jc w:val="center"/>
              <w:rPr>
                <w:rFonts w:hint="eastAsia" w:ascii="宋体" w:hAnsi="宋体" w:eastAsia="宋体" w:cs="宋体"/>
              </w:rPr>
            </w:pPr>
            <w:r>
              <w:rPr>
                <w:rFonts w:hint="eastAsia" w:ascii="宋体" w:hAnsi="宋体" w:eastAsia="宋体" w:cs="宋体"/>
                <w:color w:val="333333"/>
                <w:sz w:val="18"/>
              </w:rPr>
              <w:t>资产负债率</w:t>
            </w:r>
          </w:p>
        </w:tc>
        <w:tc>
          <w:tcPr>
            <w:tcW w:w="1134" w:type="dxa"/>
          </w:tcPr>
          <w:p w14:paraId="4A115EDD">
            <w:pPr>
              <w:jc w:val="center"/>
              <w:rPr>
                <w:rFonts w:hint="eastAsia" w:ascii="宋体" w:hAnsi="宋体" w:eastAsia="宋体" w:cs="宋体"/>
              </w:rPr>
            </w:pPr>
            <w:r>
              <w:rPr>
                <w:rFonts w:hint="eastAsia" w:ascii="宋体" w:hAnsi="宋体" w:eastAsia="宋体" w:cs="宋体"/>
                <w:color w:val="333333"/>
                <w:sz w:val="18"/>
              </w:rPr>
              <w:t>0.5715</w:t>
            </w:r>
          </w:p>
        </w:tc>
        <w:tc>
          <w:tcPr>
            <w:tcW w:w="1134" w:type="dxa"/>
          </w:tcPr>
          <w:p w14:paraId="6E0CFC19">
            <w:pPr>
              <w:jc w:val="center"/>
              <w:rPr>
                <w:rFonts w:hint="eastAsia" w:ascii="宋体" w:hAnsi="宋体" w:eastAsia="宋体" w:cs="宋体"/>
              </w:rPr>
            </w:pPr>
            <w:r>
              <w:rPr>
                <w:rFonts w:hint="eastAsia" w:ascii="宋体" w:hAnsi="宋体" w:eastAsia="宋体" w:cs="宋体"/>
                <w:color w:val="333333"/>
                <w:sz w:val="18"/>
              </w:rPr>
              <w:t>0.5853</w:t>
            </w:r>
          </w:p>
        </w:tc>
        <w:tc>
          <w:tcPr>
            <w:tcW w:w="1134" w:type="dxa"/>
          </w:tcPr>
          <w:p w14:paraId="4A9ECA54">
            <w:pPr>
              <w:jc w:val="center"/>
              <w:rPr>
                <w:rFonts w:hint="eastAsia" w:ascii="宋体" w:hAnsi="宋体" w:eastAsia="宋体" w:cs="宋体"/>
              </w:rPr>
            </w:pPr>
            <w:r>
              <w:rPr>
                <w:rFonts w:hint="eastAsia" w:ascii="宋体" w:hAnsi="宋体" w:eastAsia="宋体" w:cs="宋体"/>
                <w:color w:val="333333"/>
                <w:sz w:val="18"/>
              </w:rPr>
              <w:t>2.4%</w:t>
            </w:r>
          </w:p>
        </w:tc>
        <w:tc>
          <w:tcPr>
            <w:tcW w:w="1417" w:type="dxa"/>
          </w:tcPr>
          <w:p w14:paraId="76E9843F">
            <w:pPr>
              <w:jc w:val="center"/>
              <w:rPr>
                <w:rFonts w:hint="eastAsia" w:ascii="宋体" w:hAnsi="宋体" w:eastAsia="宋体" w:cs="宋体"/>
              </w:rPr>
            </w:pPr>
            <w:r>
              <w:rPr>
                <w:rFonts w:hint="eastAsia" w:ascii="宋体" w:hAnsi="宋体" w:eastAsia="宋体" w:cs="宋体"/>
                <w:color w:val="333333"/>
                <w:sz w:val="18"/>
              </w:rPr>
              <w:t>好</w:t>
            </w:r>
          </w:p>
        </w:tc>
      </w:tr>
    </w:tbl>
    <w:p w14:paraId="026DC3CB">
      <w:pPr>
        <w:spacing w:after="80"/>
        <w:rPr>
          <w:rFonts w:hint="eastAsia" w:ascii="宋体" w:hAnsi="宋体" w:eastAsia="宋体" w:cs="宋体"/>
        </w:rPr>
      </w:pPr>
    </w:p>
    <w:p w14:paraId="3C3620DB">
      <w:pPr>
        <w:spacing w:after="40" w:line="360" w:lineRule="auto"/>
        <w:ind w:firstLine="420"/>
        <w:rPr>
          <w:rFonts w:hint="eastAsia" w:ascii="宋体" w:hAnsi="宋体" w:eastAsia="宋体" w:cs="宋体"/>
        </w:rPr>
      </w:pPr>
      <w:r>
        <w:rPr>
          <w:rFonts w:hint="eastAsia" w:ascii="宋体" w:hAnsi="宋体" w:eastAsia="宋体" w:cs="宋体"/>
          <w:b w:val="0"/>
          <w:sz w:val="24"/>
        </w:rPr>
        <w:t>四组平均MAPE为1669.54%。毛利率偏差大是因为实际值接近零时相对误差被不合理放大。剔除毛利率后，资产负债率MAPE在2.4%至19.2%之间，预测效果可接受。</w:t>
      </w:r>
    </w:p>
    <w:p w14:paraId="61BF81CE">
      <w:pPr>
        <w:spacing w:before="360" w:after="240"/>
        <w:jc w:val="center"/>
        <w:outlineLvl w:val="0"/>
        <w:rPr>
          <w:rFonts w:hint="eastAsia" w:ascii="宋体" w:hAnsi="宋体" w:eastAsia="宋体" w:cs="宋体"/>
        </w:rPr>
      </w:pPr>
      <w:r>
        <w:rPr>
          <w:rFonts w:hint="eastAsia" w:ascii="宋体" w:hAnsi="宋体" w:eastAsia="宋体" w:cs="宋体"/>
          <w:b/>
          <w:color w:val="000000"/>
          <w:sz w:val="32"/>
        </w:rPr>
        <w:t>六、杜邦分析</w:t>
      </w:r>
    </w:p>
    <w:p w14:paraId="3C4C1F83">
      <w:pPr>
        <w:spacing w:after="40" w:line="360" w:lineRule="auto"/>
        <w:ind w:firstLine="420"/>
        <w:rPr>
          <w:rFonts w:hint="eastAsia" w:ascii="宋体" w:hAnsi="宋体" w:eastAsia="宋体" w:cs="宋体"/>
        </w:rPr>
      </w:pPr>
      <w:r>
        <w:rPr>
          <w:rFonts w:hint="eastAsia" w:ascii="宋体" w:hAnsi="宋体" w:eastAsia="宋体" w:cs="宋体"/>
          <w:b w:val="0"/>
          <w:sz w:val="24"/>
        </w:rPr>
        <w:t>杜邦分解将净资产收益率拆为销售净利率（盈利效率）、总资产周转率（资产使用效率）、权益乘数（杠杆水平）三个驱动因素，连环替代法量化各因素贡献。</w:t>
      </w:r>
    </w:p>
    <w:p w14:paraId="32EF2507">
      <w:pPr>
        <w:spacing w:before="240" w:after="120"/>
        <w:outlineLvl w:val="1"/>
        <w:rPr>
          <w:rFonts w:hint="eastAsia" w:ascii="宋体" w:hAnsi="宋体" w:eastAsia="宋体" w:cs="宋体"/>
        </w:rPr>
      </w:pPr>
      <w:r>
        <w:rPr>
          <w:rFonts w:hint="eastAsia" w:ascii="宋体" w:hAnsi="宋体" w:eastAsia="宋体" w:cs="宋体"/>
          <w:b/>
          <w:color w:val="000000"/>
          <w:sz w:val="28"/>
        </w:rPr>
        <w:t>（一）赛力斯</w:t>
      </w:r>
    </w:p>
    <w:tbl>
      <w:tblPr>
        <w:tblStyle w:val="32"/>
        <w:tblW w:w="0" w:type="auto"/>
        <w:jc w:val="center"/>
        <w:tblLayout w:type="autofit"/>
        <w:tblCellMar>
          <w:top w:w="0" w:type="dxa"/>
          <w:left w:w="108" w:type="dxa"/>
          <w:bottom w:w="0" w:type="dxa"/>
          <w:right w:w="108" w:type="dxa"/>
        </w:tblCellMar>
      </w:tblPr>
      <w:tblGrid>
        <w:gridCol w:w="2268"/>
        <w:gridCol w:w="1984"/>
        <w:gridCol w:w="1701"/>
        <w:gridCol w:w="1701"/>
        <w:gridCol w:w="1701"/>
      </w:tblGrid>
      <w:tr w14:paraId="447FCB93">
        <w:tblPrEx>
          <w:tblCellMar>
            <w:top w:w="0" w:type="dxa"/>
            <w:left w:w="108" w:type="dxa"/>
            <w:bottom w:w="0" w:type="dxa"/>
            <w:right w:w="108" w:type="dxa"/>
          </w:tblCellMar>
        </w:tblPrEx>
        <w:trPr>
          <w:jc w:val="center"/>
        </w:trPr>
        <w:tc>
          <w:tcPr>
            <w:tcW w:w="2268" w:type="dxa"/>
            <w:tcBorders>
              <w:top w:val="single" w:color="2E75B6" w:sz="8" w:space="0"/>
              <w:left w:val="single" w:color="CCCCCC" w:sz="4" w:space="0"/>
              <w:bottom w:val="single" w:color="CCCCCC" w:sz="4" w:space="0"/>
              <w:right w:val="single" w:color="CCCCCC" w:sz="4" w:space="0"/>
            </w:tcBorders>
            <w:shd w:val="clear" w:color="auto" w:fill="D5E8F0"/>
          </w:tcPr>
          <w:p w14:paraId="5FEEFA44">
            <w:pPr>
              <w:jc w:val="center"/>
              <w:rPr>
                <w:rFonts w:hint="eastAsia" w:ascii="宋体" w:hAnsi="宋体" w:eastAsia="宋体" w:cs="宋体"/>
              </w:rPr>
            </w:pPr>
            <w:r>
              <w:rPr>
                <w:rFonts w:hint="eastAsia" w:ascii="宋体" w:hAnsi="宋体" w:eastAsia="宋体" w:cs="宋体"/>
                <w:b/>
                <w:color w:val="1A4789"/>
                <w:sz w:val="18"/>
              </w:rPr>
              <w:t>期间</w:t>
            </w:r>
          </w:p>
        </w:tc>
        <w:tc>
          <w:tcPr>
            <w:tcW w:w="1984" w:type="dxa"/>
            <w:tcBorders>
              <w:top w:val="single" w:color="2E75B6" w:sz="8" w:space="0"/>
              <w:left w:val="single" w:color="CCCCCC" w:sz="4" w:space="0"/>
              <w:bottom w:val="single" w:color="CCCCCC" w:sz="4" w:space="0"/>
              <w:right w:val="single" w:color="CCCCCC" w:sz="4" w:space="0"/>
            </w:tcBorders>
            <w:shd w:val="clear" w:color="auto" w:fill="D5E8F0"/>
          </w:tcPr>
          <w:p w14:paraId="68588255">
            <w:pPr>
              <w:jc w:val="center"/>
              <w:rPr>
                <w:rFonts w:hint="eastAsia" w:ascii="宋体" w:hAnsi="宋体" w:eastAsia="宋体" w:cs="宋体"/>
              </w:rPr>
            </w:pPr>
            <w:r>
              <w:rPr>
                <w:rFonts w:hint="eastAsia" w:ascii="宋体" w:hAnsi="宋体" w:eastAsia="宋体" w:cs="宋体"/>
                <w:b/>
                <w:color w:val="1A4789"/>
                <w:sz w:val="18"/>
              </w:rPr>
              <w:t>净资产收益率变动</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0AED3AE8">
            <w:pPr>
              <w:jc w:val="center"/>
              <w:rPr>
                <w:rFonts w:hint="eastAsia" w:ascii="宋体" w:hAnsi="宋体" w:eastAsia="宋体" w:cs="宋体"/>
              </w:rPr>
            </w:pPr>
            <w:r>
              <w:rPr>
                <w:rFonts w:hint="eastAsia" w:ascii="宋体" w:hAnsi="宋体" w:eastAsia="宋体" w:cs="宋体"/>
                <w:b/>
                <w:color w:val="1A4789"/>
                <w:sz w:val="18"/>
              </w:rPr>
              <w:t>净利率贡献</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4B3079B0">
            <w:pPr>
              <w:jc w:val="center"/>
              <w:rPr>
                <w:rFonts w:hint="eastAsia" w:ascii="宋体" w:hAnsi="宋体" w:eastAsia="宋体" w:cs="宋体"/>
              </w:rPr>
            </w:pPr>
            <w:r>
              <w:rPr>
                <w:rFonts w:hint="eastAsia" w:ascii="宋体" w:hAnsi="宋体" w:eastAsia="宋体" w:cs="宋体"/>
                <w:b/>
                <w:color w:val="1A4789"/>
                <w:sz w:val="18"/>
              </w:rPr>
              <w:t>周转率贡献</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0F4547A7">
            <w:pPr>
              <w:jc w:val="center"/>
              <w:rPr>
                <w:rFonts w:hint="eastAsia" w:ascii="宋体" w:hAnsi="宋体" w:eastAsia="宋体" w:cs="宋体"/>
              </w:rPr>
            </w:pPr>
            <w:r>
              <w:rPr>
                <w:rFonts w:hint="eastAsia" w:ascii="宋体" w:hAnsi="宋体" w:eastAsia="宋体" w:cs="宋体"/>
                <w:b/>
                <w:color w:val="1A4789"/>
                <w:sz w:val="18"/>
              </w:rPr>
              <w:t>杠杆贡献</w:t>
            </w:r>
          </w:p>
        </w:tc>
      </w:tr>
      <w:tr w14:paraId="4171ADA4">
        <w:tblPrEx>
          <w:tblCellMar>
            <w:top w:w="0" w:type="dxa"/>
            <w:left w:w="108" w:type="dxa"/>
            <w:bottom w:w="0" w:type="dxa"/>
            <w:right w:w="108" w:type="dxa"/>
          </w:tblCellMar>
        </w:tblPrEx>
        <w:trPr>
          <w:jc w:val="center"/>
        </w:trPr>
        <w:tc>
          <w:tcPr>
            <w:tcW w:w="2268" w:type="dxa"/>
            <w:tcBorders>
              <w:top w:val="single" w:color="CCCCCC" w:sz="4" w:space="0"/>
              <w:left w:val="single" w:color="CCCCCC" w:sz="4" w:space="0"/>
              <w:bottom w:val="single" w:color="CCCCCC" w:sz="4" w:space="0"/>
              <w:right w:val="single" w:color="CCCCCC" w:sz="4" w:space="0"/>
            </w:tcBorders>
            <w:shd w:val="clear" w:color="auto" w:fill="F8F9FA"/>
          </w:tcPr>
          <w:p w14:paraId="49831257">
            <w:pPr>
              <w:jc w:val="left"/>
              <w:rPr>
                <w:rFonts w:hint="eastAsia" w:ascii="宋体" w:hAnsi="宋体" w:eastAsia="宋体" w:cs="宋体"/>
              </w:rPr>
            </w:pPr>
            <w:r>
              <w:rPr>
                <w:rFonts w:hint="eastAsia" w:ascii="宋体" w:hAnsi="宋体" w:eastAsia="宋体" w:cs="宋体"/>
                <w:color w:val="333333"/>
                <w:sz w:val="18"/>
              </w:rPr>
              <w:t>2022→2023</w:t>
            </w:r>
          </w:p>
        </w:tc>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6F289EA3">
            <w:pPr>
              <w:jc w:val="center"/>
              <w:rPr>
                <w:rFonts w:hint="eastAsia" w:ascii="宋体" w:hAnsi="宋体" w:eastAsia="宋体" w:cs="宋体"/>
              </w:rPr>
            </w:pPr>
            <w:r>
              <w:rPr>
                <w:rFonts w:hint="eastAsia" w:ascii="宋体" w:hAnsi="宋体" w:eastAsia="宋体" w:cs="宋体"/>
                <w:color w:val="333333"/>
                <w:sz w:val="18"/>
              </w:rPr>
              <w:t>+9.3pp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3A0FF7AB">
            <w:pPr>
              <w:jc w:val="center"/>
              <w:rPr>
                <w:rFonts w:hint="eastAsia" w:ascii="宋体" w:hAnsi="宋体" w:eastAsia="宋体" w:cs="宋体"/>
              </w:rPr>
            </w:pPr>
            <w:r>
              <w:rPr>
                <w:rFonts w:hint="eastAsia" w:ascii="宋体" w:hAnsi="宋体" w:eastAsia="宋体" w:cs="宋体"/>
                <w:color w:val="333333"/>
                <w:sz w:val="18"/>
              </w:rPr>
              <w:t>+11.1pp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22497643">
            <w:pPr>
              <w:jc w:val="center"/>
              <w:rPr>
                <w:rFonts w:hint="eastAsia" w:ascii="宋体" w:hAnsi="宋体" w:eastAsia="宋体" w:cs="宋体"/>
              </w:rPr>
            </w:pPr>
            <w:r>
              <w:rPr>
                <w:rFonts w:hint="eastAsia" w:ascii="宋体" w:hAnsi="宋体" w:eastAsia="宋体" w:cs="宋体"/>
                <w:color w:val="333333"/>
                <w:sz w:val="18"/>
              </w:rPr>
              <w:t>+1.2pp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6D49ACD2">
            <w:pPr>
              <w:jc w:val="center"/>
              <w:rPr>
                <w:rFonts w:hint="eastAsia" w:ascii="宋体" w:hAnsi="宋体" w:eastAsia="宋体" w:cs="宋体"/>
              </w:rPr>
            </w:pPr>
            <w:r>
              <w:rPr>
                <w:rFonts w:hint="eastAsia" w:ascii="宋体" w:hAnsi="宋体" w:eastAsia="宋体" w:cs="宋体"/>
                <w:color w:val="333333"/>
                <w:sz w:val="18"/>
              </w:rPr>
              <w:t>-3.0pp</w:t>
            </w:r>
          </w:p>
        </w:tc>
      </w:tr>
      <w:tr w14:paraId="0DAB2A8B">
        <w:tblPrEx>
          <w:tblCellMar>
            <w:top w:w="0" w:type="dxa"/>
            <w:left w:w="108" w:type="dxa"/>
            <w:bottom w:w="0" w:type="dxa"/>
            <w:right w:w="108" w:type="dxa"/>
          </w:tblCellMar>
        </w:tblPrEx>
        <w:trPr>
          <w:jc w:val="center"/>
        </w:trPr>
        <w:tc>
          <w:tcPr>
            <w:tcW w:w="2268" w:type="dxa"/>
          </w:tcPr>
          <w:p w14:paraId="3A062BFB">
            <w:pPr>
              <w:jc w:val="left"/>
              <w:rPr>
                <w:rFonts w:hint="eastAsia" w:ascii="宋体" w:hAnsi="宋体" w:eastAsia="宋体" w:cs="宋体"/>
              </w:rPr>
            </w:pPr>
            <w:r>
              <w:rPr>
                <w:rFonts w:hint="eastAsia" w:ascii="宋体" w:hAnsi="宋体" w:eastAsia="宋体" w:cs="宋体"/>
                <w:color w:val="333333"/>
                <w:sz w:val="18"/>
              </w:rPr>
              <w:t>2023→2024</w:t>
            </w:r>
          </w:p>
        </w:tc>
        <w:tc>
          <w:tcPr>
            <w:tcW w:w="1984" w:type="dxa"/>
          </w:tcPr>
          <w:p w14:paraId="2B679803">
            <w:pPr>
              <w:jc w:val="center"/>
              <w:rPr>
                <w:rFonts w:hint="eastAsia" w:ascii="宋体" w:hAnsi="宋体" w:eastAsia="宋体" w:cs="宋体"/>
              </w:rPr>
            </w:pPr>
            <w:r>
              <w:rPr>
                <w:rFonts w:hint="eastAsia" w:ascii="宋体" w:hAnsi="宋体" w:eastAsia="宋体" w:cs="宋体"/>
                <w:color w:val="333333"/>
                <w:sz w:val="18"/>
              </w:rPr>
              <w:t>+75.1pp</w:t>
            </w:r>
          </w:p>
        </w:tc>
        <w:tc>
          <w:tcPr>
            <w:tcW w:w="1701" w:type="dxa"/>
          </w:tcPr>
          <w:p w14:paraId="3A34C33C">
            <w:pPr>
              <w:jc w:val="center"/>
              <w:rPr>
                <w:rFonts w:hint="eastAsia" w:ascii="宋体" w:hAnsi="宋体" w:eastAsia="宋体" w:cs="宋体"/>
              </w:rPr>
            </w:pPr>
            <w:r>
              <w:rPr>
                <w:rFonts w:hint="eastAsia" w:ascii="宋体" w:hAnsi="宋体" w:eastAsia="宋体" w:cs="宋体"/>
                <w:color w:val="333333"/>
                <w:sz w:val="18"/>
              </w:rPr>
              <w:t>+46.7pp</w:t>
            </w:r>
          </w:p>
        </w:tc>
        <w:tc>
          <w:tcPr>
            <w:tcW w:w="1701" w:type="dxa"/>
          </w:tcPr>
          <w:p w14:paraId="0D1572E7">
            <w:pPr>
              <w:jc w:val="center"/>
              <w:rPr>
                <w:rFonts w:hint="eastAsia" w:ascii="宋体" w:hAnsi="宋体" w:eastAsia="宋体" w:cs="宋体"/>
              </w:rPr>
            </w:pPr>
            <w:r>
              <w:rPr>
                <w:rFonts w:hint="eastAsia" w:ascii="宋体" w:hAnsi="宋体" w:eastAsia="宋体" w:cs="宋体"/>
                <w:color w:val="333333"/>
                <w:sz w:val="18"/>
              </w:rPr>
              <w:t>+12.3pp</w:t>
            </w:r>
          </w:p>
        </w:tc>
        <w:tc>
          <w:tcPr>
            <w:tcW w:w="1701" w:type="dxa"/>
          </w:tcPr>
          <w:p w14:paraId="6224201E">
            <w:pPr>
              <w:jc w:val="center"/>
              <w:rPr>
                <w:rFonts w:hint="eastAsia" w:ascii="宋体" w:hAnsi="宋体" w:eastAsia="宋体" w:cs="宋体"/>
              </w:rPr>
            </w:pPr>
            <w:r>
              <w:rPr>
                <w:rFonts w:hint="eastAsia" w:ascii="宋体" w:hAnsi="宋体" w:eastAsia="宋体" w:cs="宋体"/>
                <w:color w:val="333333"/>
                <w:sz w:val="18"/>
              </w:rPr>
              <w:t>+16.1pp</w:t>
            </w:r>
          </w:p>
        </w:tc>
      </w:tr>
      <w:tr w14:paraId="1DDCE041">
        <w:tblPrEx>
          <w:tblCellMar>
            <w:top w:w="0" w:type="dxa"/>
            <w:left w:w="108" w:type="dxa"/>
            <w:bottom w:w="0" w:type="dxa"/>
            <w:right w:w="108" w:type="dxa"/>
          </w:tblCellMar>
        </w:tblPrEx>
        <w:trPr>
          <w:jc w:val="center"/>
        </w:trPr>
        <w:tc>
          <w:tcPr>
            <w:tcW w:w="2268" w:type="dxa"/>
            <w:tcBorders>
              <w:top w:val="single" w:color="CCCCCC" w:sz="4" w:space="0"/>
              <w:left w:val="single" w:color="CCCCCC" w:sz="4" w:space="0"/>
              <w:bottom w:val="single" w:color="CCCCCC" w:sz="4" w:space="0"/>
              <w:right w:val="single" w:color="CCCCCC" w:sz="4" w:space="0"/>
            </w:tcBorders>
            <w:shd w:val="clear" w:color="auto" w:fill="F8F9FA"/>
          </w:tcPr>
          <w:p w14:paraId="68569C69">
            <w:pPr>
              <w:jc w:val="left"/>
              <w:rPr>
                <w:rFonts w:hint="eastAsia" w:ascii="宋体" w:hAnsi="宋体" w:eastAsia="宋体" w:cs="宋体"/>
              </w:rPr>
            </w:pPr>
            <w:r>
              <w:rPr>
                <w:rFonts w:hint="eastAsia" w:ascii="宋体" w:hAnsi="宋体" w:eastAsia="宋体" w:cs="宋体"/>
                <w:color w:val="333333"/>
                <w:sz w:val="18"/>
              </w:rPr>
              <w:t>2024→2025</w:t>
            </w:r>
          </w:p>
        </w:tc>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50886598">
            <w:pPr>
              <w:jc w:val="center"/>
              <w:rPr>
                <w:rFonts w:hint="eastAsia" w:ascii="宋体" w:hAnsi="宋体" w:eastAsia="宋体" w:cs="宋体"/>
              </w:rPr>
            </w:pPr>
            <w:r>
              <w:rPr>
                <w:rFonts w:hint="eastAsia" w:ascii="宋体" w:hAnsi="宋体" w:eastAsia="宋体" w:cs="宋体"/>
                <w:color w:val="333333"/>
                <w:sz w:val="18"/>
              </w:rPr>
              <w:t>-23.6pp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2FE5B0F3">
            <w:pPr>
              <w:jc w:val="center"/>
              <w:rPr>
                <w:rFonts w:hint="eastAsia" w:ascii="宋体" w:hAnsi="宋体" w:eastAsia="宋体" w:cs="宋体"/>
              </w:rPr>
            </w:pPr>
            <w:r>
              <w:rPr>
                <w:rFonts w:hint="eastAsia" w:ascii="宋体" w:hAnsi="宋体" w:eastAsia="宋体" w:cs="宋体"/>
                <w:color w:val="333333"/>
                <w:sz w:val="18"/>
              </w:rPr>
              <w:t>+5.4pp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5406045F">
            <w:pPr>
              <w:jc w:val="center"/>
              <w:rPr>
                <w:rFonts w:hint="eastAsia" w:ascii="宋体" w:hAnsi="宋体" w:eastAsia="宋体" w:cs="宋体"/>
              </w:rPr>
            </w:pPr>
            <w:r>
              <w:rPr>
                <w:rFonts w:hint="eastAsia" w:ascii="宋体" w:hAnsi="宋体" w:eastAsia="宋体" w:cs="宋体"/>
                <w:color w:val="333333"/>
                <w:sz w:val="18"/>
              </w:rPr>
              <w:t>-11.2pp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1AA5D751">
            <w:pPr>
              <w:jc w:val="center"/>
              <w:rPr>
                <w:rFonts w:hint="eastAsia" w:ascii="宋体" w:hAnsi="宋体" w:eastAsia="宋体" w:cs="宋体"/>
              </w:rPr>
            </w:pPr>
            <w:r>
              <w:rPr>
                <w:rFonts w:hint="eastAsia" w:ascii="宋体" w:hAnsi="宋体" w:eastAsia="宋体" w:cs="宋体"/>
                <w:color w:val="333333"/>
                <w:sz w:val="18"/>
              </w:rPr>
              <w:t>-17.8pp</w:t>
            </w:r>
          </w:p>
        </w:tc>
      </w:tr>
    </w:tbl>
    <w:p w14:paraId="37B26163">
      <w:pPr>
        <w:spacing w:after="80"/>
        <w:rPr>
          <w:rFonts w:hint="eastAsia" w:ascii="宋体" w:hAnsi="宋体" w:eastAsia="宋体" w:cs="宋体"/>
        </w:rPr>
      </w:pPr>
    </w:p>
    <w:p w14:paraId="25D8184C">
      <w:pPr>
        <w:spacing w:after="40" w:line="360" w:lineRule="auto"/>
        <w:ind w:firstLine="420"/>
        <w:rPr>
          <w:rFonts w:hint="eastAsia" w:ascii="宋体" w:hAnsi="宋体" w:eastAsia="宋体" w:cs="宋体"/>
        </w:rPr>
      </w:pPr>
      <w:r>
        <w:rPr>
          <w:rFonts w:hint="eastAsia" w:ascii="宋体" w:hAnsi="宋体" w:eastAsia="宋体" w:cs="宋体"/>
          <w:b w:val="0"/>
          <w:sz w:val="24"/>
        </w:rPr>
        <w:t>2022至2023年为亏损收窄期，净利率从-15.3%回升至-11.6%。2023至2024年为爆发增长期：净利率转正至3.3%（贡献+46.7pp）、周转率翻倍（贡献+12.3pp）、权益乘数急升（贡献+16.1pp），三因素叠加推动净资产收益率从-36.4%飙升至38.7%。2024至2025年为回调期：去杠杆贡献-17.8pp（权益乘数7.69→3.52），周转率下降贡献-11.2pp（1.54→1.15），净利率改善贡献+5.4pp（3.3%→3.7%）部分抵消跌幅，净资产收益率回落至15.0%。</w:t>
      </w:r>
    </w:p>
    <w:p w14:paraId="71916227">
      <w:pPr>
        <w:spacing w:before="240" w:after="120"/>
        <w:outlineLvl w:val="1"/>
        <w:rPr>
          <w:rFonts w:hint="eastAsia" w:ascii="宋体" w:hAnsi="宋体" w:eastAsia="宋体" w:cs="宋体"/>
        </w:rPr>
      </w:pPr>
      <w:r>
        <w:rPr>
          <w:rFonts w:hint="eastAsia" w:ascii="宋体" w:hAnsi="宋体" w:eastAsia="宋体" w:cs="宋体"/>
          <w:b/>
          <w:color w:val="000000"/>
          <w:sz w:val="28"/>
        </w:rPr>
        <w:t>（二）长安汽车</w:t>
      </w:r>
    </w:p>
    <w:tbl>
      <w:tblPr>
        <w:tblStyle w:val="32"/>
        <w:tblW w:w="0" w:type="auto"/>
        <w:jc w:val="center"/>
        <w:tblLayout w:type="autofit"/>
        <w:tblCellMar>
          <w:top w:w="0" w:type="dxa"/>
          <w:left w:w="108" w:type="dxa"/>
          <w:bottom w:w="0" w:type="dxa"/>
          <w:right w:w="108" w:type="dxa"/>
        </w:tblCellMar>
      </w:tblPr>
      <w:tblGrid>
        <w:gridCol w:w="2268"/>
        <w:gridCol w:w="1984"/>
        <w:gridCol w:w="1701"/>
        <w:gridCol w:w="1701"/>
        <w:gridCol w:w="1701"/>
      </w:tblGrid>
      <w:tr w14:paraId="53909154">
        <w:tblPrEx>
          <w:tblCellMar>
            <w:top w:w="0" w:type="dxa"/>
            <w:left w:w="108" w:type="dxa"/>
            <w:bottom w:w="0" w:type="dxa"/>
            <w:right w:w="108" w:type="dxa"/>
          </w:tblCellMar>
        </w:tblPrEx>
        <w:trPr>
          <w:jc w:val="center"/>
        </w:trPr>
        <w:tc>
          <w:tcPr>
            <w:tcW w:w="2268" w:type="dxa"/>
            <w:tcBorders>
              <w:top w:val="single" w:color="2E75B6" w:sz="8" w:space="0"/>
              <w:left w:val="single" w:color="CCCCCC" w:sz="4" w:space="0"/>
              <w:bottom w:val="single" w:color="CCCCCC" w:sz="4" w:space="0"/>
              <w:right w:val="single" w:color="CCCCCC" w:sz="4" w:space="0"/>
            </w:tcBorders>
            <w:shd w:val="clear" w:color="auto" w:fill="D5E8F0"/>
          </w:tcPr>
          <w:p w14:paraId="33D01D09">
            <w:pPr>
              <w:jc w:val="center"/>
              <w:rPr>
                <w:rFonts w:hint="eastAsia" w:ascii="宋体" w:hAnsi="宋体" w:eastAsia="宋体" w:cs="宋体"/>
              </w:rPr>
            </w:pPr>
            <w:r>
              <w:rPr>
                <w:rFonts w:hint="eastAsia" w:ascii="宋体" w:hAnsi="宋体" w:eastAsia="宋体" w:cs="宋体"/>
                <w:b/>
                <w:color w:val="1A4789"/>
                <w:sz w:val="18"/>
              </w:rPr>
              <w:t>期间</w:t>
            </w:r>
          </w:p>
        </w:tc>
        <w:tc>
          <w:tcPr>
            <w:tcW w:w="1984" w:type="dxa"/>
            <w:tcBorders>
              <w:top w:val="single" w:color="2E75B6" w:sz="8" w:space="0"/>
              <w:left w:val="single" w:color="CCCCCC" w:sz="4" w:space="0"/>
              <w:bottom w:val="single" w:color="CCCCCC" w:sz="4" w:space="0"/>
              <w:right w:val="single" w:color="CCCCCC" w:sz="4" w:space="0"/>
            </w:tcBorders>
            <w:shd w:val="clear" w:color="auto" w:fill="D5E8F0"/>
          </w:tcPr>
          <w:p w14:paraId="6C0EBBC9">
            <w:pPr>
              <w:jc w:val="center"/>
              <w:rPr>
                <w:rFonts w:hint="eastAsia" w:ascii="宋体" w:hAnsi="宋体" w:eastAsia="宋体" w:cs="宋体"/>
              </w:rPr>
            </w:pPr>
            <w:r>
              <w:rPr>
                <w:rFonts w:hint="eastAsia" w:ascii="宋体" w:hAnsi="宋体" w:eastAsia="宋体" w:cs="宋体"/>
                <w:b/>
                <w:color w:val="1A4789"/>
                <w:sz w:val="18"/>
              </w:rPr>
              <w:t>净资产收益率变动</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40AB88FB">
            <w:pPr>
              <w:jc w:val="center"/>
              <w:rPr>
                <w:rFonts w:hint="eastAsia" w:ascii="宋体" w:hAnsi="宋体" w:eastAsia="宋体" w:cs="宋体"/>
              </w:rPr>
            </w:pPr>
            <w:r>
              <w:rPr>
                <w:rFonts w:hint="eastAsia" w:ascii="宋体" w:hAnsi="宋体" w:eastAsia="宋体" w:cs="宋体"/>
                <w:b/>
                <w:color w:val="1A4789"/>
                <w:sz w:val="18"/>
              </w:rPr>
              <w:t>净利率贡献</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469D34FF">
            <w:pPr>
              <w:jc w:val="center"/>
              <w:rPr>
                <w:rFonts w:hint="eastAsia" w:ascii="宋体" w:hAnsi="宋体" w:eastAsia="宋体" w:cs="宋体"/>
              </w:rPr>
            </w:pPr>
            <w:r>
              <w:rPr>
                <w:rFonts w:hint="eastAsia" w:ascii="宋体" w:hAnsi="宋体" w:eastAsia="宋体" w:cs="宋体"/>
                <w:b/>
                <w:color w:val="1A4789"/>
                <w:sz w:val="18"/>
              </w:rPr>
              <w:t>周转率贡献</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6C4D3E3A">
            <w:pPr>
              <w:jc w:val="center"/>
              <w:rPr>
                <w:rFonts w:hint="eastAsia" w:ascii="宋体" w:hAnsi="宋体" w:eastAsia="宋体" w:cs="宋体"/>
              </w:rPr>
            </w:pPr>
            <w:r>
              <w:rPr>
                <w:rFonts w:hint="eastAsia" w:ascii="宋体" w:hAnsi="宋体" w:eastAsia="宋体" w:cs="宋体"/>
                <w:b/>
                <w:color w:val="1A4789"/>
                <w:sz w:val="18"/>
              </w:rPr>
              <w:t>杠杆贡献</w:t>
            </w:r>
          </w:p>
        </w:tc>
      </w:tr>
      <w:tr w14:paraId="65E5EB3D">
        <w:tblPrEx>
          <w:tblCellMar>
            <w:top w:w="0" w:type="dxa"/>
            <w:left w:w="108" w:type="dxa"/>
            <w:bottom w:w="0" w:type="dxa"/>
            <w:right w:w="108" w:type="dxa"/>
          </w:tblCellMar>
        </w:tblPrEx>
        <w:trPr>
          <w:jc w:val="center"/>
        </w:trPr>
        <w:tc>
          <w:tcPr>
            <w:tcW w:w="2268" w:type="dxa"/>
            <w:tcBorders>
              <w:top w:val="single" w:color="CCCCCC" w:sz="4" w:space="0"/>
              <w:left w:val="single" w:color="CCCCCC" w:sz="4" w:space="0"/>
              <w:bottom w:val="single" w:color="CCCCCC" w:sz="4" w:space="0"/>
              <w:right w:val="single" w:color="CCCCCC" w:sz="4" w:space="0"/>
            </w:tcBorders>
            <w:shd w:val="clear" w:color="auto" w:fill="F8F9FA"/>
          </w:tcPr>
          <w:p w14:paraId="006F9B85">
            <w:pPr>
              <w:jc w:val="left"/>
              <w:rPr>
                <w:rFonts w:hint="eastAsia" w:ascii="宋体" w:hAnsi="宋体" w:eastAsia="宋体" w:cs="宋体"/>
              </w:rPr>
            </w:pPr>
            <w:r>
              <w:rPr>
                <w:rFonts w:hint="eastAsia" w:ascii="宋体" w:hAnsi="宋体" w:eastAsia="宋体" w:cs="宋体"/>
                <w:color w:val="333333"/>
                <w:sz w:val="18"/>
              </w:rPr>
              <w:t>2022→2023</w:t>
            </w:r>
          </w:p>
        </w:tc>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11394F3B">
            <w:pPr>
              <w:jc w:val="center"/>
              <w:rPr>
                <w:rFonts w:hint="eastAsia" w:ascii="宋体" w:hAnsi="宋体" w:eastAsia="宋体" w:cs="宋体"/>
              </w:rPr>
            </w:pPr>
            <w:r>
              <w:rPr>
                <w:rFonts w:hint="eastAsia" w:ascii="宋体" w:hAnsi="宋体" w:eastAsia="宋体" w:cs="宋体"/>
                <w:color w:val="333333"/>
                <w:sz w:val="18"/>
              </w:rPr>
              <w:t>+0.9pp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27C8B229">
            <w:pPr>
              <w:jc w:val="center"/>
              <w:rPr>
                <w:rFonts w:hint="eastAsia" w:ascii="宋体" w:hAnsi="宋体" w:eastAsia="宋体" w:cs="宋体"/>
              </w:rPr>
            </w:pPr>
            <w:r>
              <w:rPr>
                <w:rFonts w:hint="eastAsia" w:ascii="宋体" w:hAnsi="宋体" w:eastAsia="宋体" w:cs="宋体"/>
                <w:color w:val="333333"/>
                <w:sz w:val="18"/>
              </w:rPr>
              <w:t>-0.2pp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5CD0CD4A">
            <w:pPr>
              <w:jc w:val="center"/>
              <w:rPr>
                <w:rFonts w:hint="eastAsia" w:ascii="宋体" w:hAnsi="宋体" w:eastAsia="宋体" w:cs="宋体"/>
              </w:rPr>
            </w:pPr>
            <w:r>
              <w:rPr>
                <w:rFonts w:hint="eastAsia" w:ascii="宋体" w:hAnsi="宋体" w:eastAsia="宋体" w:cs="宋体"/>
                <w:color w:val="333333"/>
                <w:sz w:val="18"/>
              </w:rPr>
              <w:t>-0.5pp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0FC8DE01">
            <w:pPr>
              <w:jc w:val="center"/>
              <w:rPr>
                <w:rFonts w:hint="eastAsia" w:ascii="宋体" w:hAnsi="宋体" w:eastAsia="宋体" w:cs="宋体"/>
              </w:rPr>
            </w:pPr>
            <w:r>
              <w:rPr>
                <w:rFonts w:hint="eastAsia" w:ascii="宋体" w:hAnsi="宋体" w:eastAsia="宋体" w:cs="宋体"/>
                <w:color w:val="333333"/>
                <w:sz w:val="18"/>
              </w:rPr>
              <w:t>+1.6pp</w:t>
            </w:r>
          </w:p>
        </w:tc>
      </w:tr>
      <w:tr w14:paraId="5118E791">
        <w:tblPrEx>
          <w:tblCellMar>
            <w:top w:w="0" w:type="dxa"/>
            <w:left w:w="108" w:type="dxa"/>
            <w:bottom w:w="0" w:type="dxa"/>
            <w:right w:w="108" w:type="dxa"/>
          </w:tblCellMar>
        </w:tblPrEx>
        <w:trPr>
          <w:jc w:val="center"/>
        </w:trPr>
        <w:tc>
          <w:tcPr>
            <w:tcW w:w="2268" w:type="dxa"/>
          </w:tcPr>
          <w:p w14:paraId="41E3812B">
            <w:pPr>
              <w:jc w:val="left"/>
              <w:rPr>
                <w:rFonts w:hint="eastAsia" w:ascii="宋体" w:hAnsi="宋体" w:eastAsia="宋体" w:cs="宋体"/>
              </w:rPr>
            </w:pPr>
            <w:r>
              <w:rPr>
                <w:rFonts w:hint="eastAsia" w:ascii="宋体" w:hAnsi="宋体" w:eastAsia="宋体" w:cs="宋体"/>
                <w:color w:val="333333"/>
                <w:sz w:val="18"/>
              </w:rPr>
              <w:t>2023→2024</w:t>
            </w:r>
          </w:p>
        </w:tc>
        <w:tc>
          <w:tcPr>
            <w:tcW w:w="1984" w:type="dxa"/>
          </w:tcPr>
          <w:p w14:paraId="497D0A02">
            <w:pPr>
              <w:jc w:val="center"/>
              <w:rPr>
                <w:rFonts w:hint="eastAsia" w:ascii="宋体" w:hAnsi="宋体" w:eastAsia="宋体" w:cs="宋体"/>
              </w:rPr>
            </w:pPr>
            <w:r>
              <w:rPr>
                <w:rFonts w:hint="eastAsia" w:ascii="宋体" w:hAnsi="宋体" w:eastAsia="宋体" w:cs="宋体"/>
                <w:color w:val="333333"/>
                <w:sz w:val="18"/>
              </w:rPr>
              <w:t>-5.3pp</w:t>
            </w:r>
          </w:p>
        </w:tc>
        <w:tc>
          <w:tcPr>
            <w:tcW w:w="1701" w:type="dxa"/>
          </w:tcPr>
          <w:p w14:paraId="6691317F">
            <w:pPr>
              <w:jc w:val="center"/>
              <w:rPr>
                <w:rFonts w:hint="eastAsia" w:ascii="宋体" w:hAnsi="宋体" w:eastAsia="宋体" w:cs="宋体"/>
              </w:rPr>
            </w:pPr>
            <w:r>
              <w:rPr>
                <w:rFonts w:hint="eastAsia" w:ascii="宋体" w:hAnsi="宋体" w:eastAsia="宋体" w:cs="宋体"/>
                <w:color w:val="333333"/>
                <w:sz w:val="18"/>
              </w:rPr>
              <w:t>-5.2pp</w:t>
            </w:r>
          </w:p>
        </w:tc>
        <w:tc>
          <w:tcPr>
            <w:tcW w:w="1701" w:type="dxa"/>
          </w:tcPr>
          <w:p w14:paraId="65D166F3">
            <w:pPr>
              <w:jc w:val="center"/>
              <w:rPr>
                <w:rFonts w:hint="eastAsia" w:ascii="宋体" w:hAnsi="宋体" w:eastAsia="宋体" w:cs="宋体"/>
              </w:rPr>
            </w:pPr>
            <w:r>
              <w:rPr>
                <w:rFonts w:hint="eastAsia" w:ascii="宋体" w:hAnsi="宋体" w:eastAsia="宋体" w:cs="宋体"/>
                <w:color w:val="333333"/>
                <w:sz w:val="18"/>
              </w:rPr>
              <w:t>-0.3pp</w:t>
            </w:r>
          </w:p>
        </w:tc>
        <w:tc>
          <w:tcPr>
            <w:tcW w:w="1701" w:type="dxa"/>
          </w:tcPr>
          <w:p w14:paraId="2C468446">
            <w:pPr>
              <w:jc w:val="center"/>
              <w:rPr>
                <w:rFonts w:hint="eastAsia" w:ascii="宋体" w:hAnsi="宋体" w:eastAsia="宋体" w:cs="宋体"/>
              </w:rPr>
            </w:pPr>
            <w:r>
              <w:rPr>
                <w:rFonts w:hint="eastAsia" w:ascii="宋体" w:hAnsi="宋体" w:eastAsia="宋体" w:cs="宋体"/>
                <w:color w:val="333333"/>
                <w:sz w:val="18"/>
              </w:rPr>
              <w:t>+0.2pp</w:t>
            </w:r>
          </w:p>
        </w:tc>
      </w:tr>
      <w:tr w14:paraId="76C4B888">
        <w:tblPrEx>
          <w:tblCellMar>
            <w:top w:w="0" w:type="dxa"/>
            <w:left w:w="108" w:type="dxa"/>
            <w:bottom w:w="0" w:type="dxa"/>
            <w:right w:w="108" w:type="dxa"/>
          </w:tblCellMar>
        </w:tblPrEx>
        <w:trPr>
          <w:jc w:val="center"/>
        </w:trPr>
        <w:tc>
          <w:tcPr>
            <w:tcW w:w="2268" w:type="dxa"/>
            <w:tcBorders>
              <w:top w:val="single" w:color="CCCCCC" w:sz="4" w:space="0"/>
              <w:left w:val="single" w:color="CCCCCC" w:sz="4" w:space="0"/>
              <w:bottom w:val="single" w:color="CCCCCC" w:sz="4" w:space="0"/>
              <w:right w:val="single" w:color="CCCCCC" w:sz="4" w:space="0"/>
            </w:tcBorders>
            <w:shd w:val="clear" w:color="auto" w:fill="F8F9FA"/>
          </w:tcPr>
          <w:p w14:paraId="2D22C8E5">
            <w:pPr>
              <w:jc w:val="left"/>
              <w:rPr>
                <w:rFonts w:hint="eastAsia" w:ascii="宋体" w:hAnsi="宋体" w:eastAsia="宋体" w:cs="宋体"/>
              </w:rPr>
            </w:pPr>
            <w:r>
              <w:rPr>
                <w:rFonts w:hint="eastAsia" w:ascii="宋体" w:hAnsi="宋体" w:eastAsia="宋体" w:cs="宋体"/>
                <w:color w:val="333333"/>
                <w:sz w:val="18"/>
              </w:rPr>
              <w:t>2024→2025</w:t>
            </w:r>
          </w:p>
        </w:tc>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299DA772">
            <w:pPr>
              <w:jc w:val="center"/>
              <w:rPr>
                <w:rFonts w:hint="eastAsia" w:ascii="宋体" w:hAnsi="宋体" w:eastAsia="宋体" w:cs="宋体"/>
              </w:rPr>
            </w:pPr>
            <w:r>
              <w:rPr>
                <w:rFonts w:hint="eastAsia" w:ascii="宋体" w:hAnsi="宋体" w:eastAsia="宋体" w:cs="宋体"/>
                <w:color w:val="333333"/>
                <w:sz w:val="18"/>
              </w:rPr>
              <w:t>-3.9pp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5EE35638">
            <w:pPr>
              <w:jc w:val="center"/>
              <w:rPr>
                <w:rFonts w:hint="eastAsia" w:ascii="宋体" w:hAnsi="宋体" w:eastAsia="宋体" w:cs="宋体"/>
              </w:rPr>
            </w:pPr>
            <w:r>
              <w:rPr>
                <w:rFonts w:hint="eastAsia" w:ascii="宋体" w:hAnsi="宋体" w:eastAsia="宋体" w:cs="宋体"/>
                <w:color w:val="333333"/>
                <w:sz w:val="18"/>
              </w:rPr>
              <w:t>-3.9pp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5415671F">
            <w:pPr>
              <w:jc w:val="center"/>
              <w:rPr>
                <w:rFonts w:hint="eastAsia" w:ascii="宋体" w:hAnsi="宋体" w:eastAsia="宋体" w:cs="宋体"/>
              </w:rPr>
            </w:pPr>
            <w:r>
              <w:rPr>
                <w:rFonts w:hint="eastAsia" w:ascii="宋体" w:hAnsi="宋体" w:eastAsia="宋体" w:cs="宋体"/>
                <w:color w:val="333333"/>
                <w:sz w:val="18"/>
              </w:rPr>
              <w:t>+0.2pp</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47F5B0F1">
            <w:pPr>
              <w:jc w:val="center"/>
              <w:rPr>
                <w:rFonts w:hint="eastAsia" w:ascii="宋体" w:hAnsi="宋体" w:eastAsia="宋体" w:cs="宋体"/>
              </w:rPr>
            </w:pPr>
            <w:r>
              <w:rPr>
                <w:rFonts w:hint="eastAsia" w:ascii="宋体" w:hAnsi="宋体" w:eastAsia="宋体" w:cs="宋体"/>
                <w:color w:val="333333"/>
                <w:sz w:val="18"/>
              </w:rPr>
              <w:t>-0.1pp</w:t>
            </w:r>
          </w:p>
        </w:tc>
      </w:tr>
    </w:tbl>
    <w:p w14:paraId="5C03091F">
      <w:pPr>
        <w:spacing w:after="80"/>
        <w:rPr>
          <w:rFonts w:hint="eastAsia" w:ascii="宋体" w:hAnsi="宋体" w:eastAsia="宋体" w:cs="宋体"/>
        </w:rPr>
      </w:pPr>
    </w:p>
    <w:p w14:paraId="5333E3E6">
      <w:pPr>
        <w:spacing w:after="40" w:line="360" w:lineRule="auto"/>
        <w:ind w:firstLine="420"/>
        <w:rPr>
          <w:rFonts w:hint="eastAsia" w:ascii="宋体" w:hAnsi="宋体" w:eastAsia="宋体" w:cs="宋体"/>
        </w:rPr>
      </w:pPr>
      <w:r>
        <w:rPr>
          <w:rFonts w:hint="eastAsia" w:ascii="宋体" w:hAnsi="宋体" w:eastAsia="宋体" w:cs="宋体"/>
          <w:b w:val="0"/>
          <w:sz w:val="24"/>
        </w:rPr>
        <w:t>长安汽车净资产收益率路径为12.3%→13.2%→8.0%→4.1%，三年间最大年度变动仅5.3个百分点。净利率持续下滑（6.4%→6.3%→3.8%→1.9%）是净资产收益率下降的唯一主因，周转率和杠杆基本稳定。</w:t>
      </w:r>
    </w:p>
    <w:p w14:paraId="193F732A">
      <w:pPr>
        <w:jc w:val="center"/>
        <w:rPr>
          <w:rFonts w:hint="eastAsia" w:ascii="宋体" w:hAnsi="宋体" w:eastAsia="宋体" w:cs="宋体"/>
        </w:rPr>
      </w:pPr>
      <w:r>
        <w:rPr>
          <w:rFonts w:hint="eastAsia" w:ascii="宋体" w:hAnsi="宋体" w:eastAsia="宋体" w:cs="宋体"/>
        </w:rPr>
        <w:drawing>
          <wp:inline distT="0" distB="0" distL="114300" distR="114300">
            <wp:extent cx="5039995" cy="125857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040000" cy="1258868"/>
                    </a:xfrm>
                    <a:prstGeom prst="rect">
                      <a:avLst/>
                    </a:prstGeom>
                  </pic:spPr>
                </pic:pic>
              </a:graphicData>
            </a:graphic>
          </wp:inline>
        </w:drawing>
      </w:r>
    </w:p>
    <w:p w14:paraId="572E6803">
      <w:pPr>
        <w:spacing w:after="120"/>
        <w:jc w:val="center"/>
        <w:rPr>
          <w:rFonts w:hint="eastAsia" w:ascii="宋体" w:hAnsi="宋体" w:eastAsia="宋体" w:cs="宋体"/>
        </w:rPr>
      </w:pPr>
      <w:r>
        <w:rPr>
          <w:rFonts w:hint="eastAsia" w:ascii="宋体" w:hAnsi="宋体" w:eastAsia="宋体" w:cs="宋体"/>
          <w:sz w:val="18"/>
        </w:rPr>
        <w:t>图6-1  杜邦分析净资产收益率因素分解对比</w:t>
      </w:r>
    </w:p>
    <w:p w14:paraId="5AB1EA94">
      <w:pPr>
        <w:spacing w:after="40" w:line="360" w:lineRule="auto"/>
        <w:ind w:firstLine="420"/>
        <w:rPr>
          <w:rFonts w:hint="eastAsia" w:ascii="宋体" w:hAnsi="宋体" w:eastAsia="宋体" w:cs="宋体"/>
        </w:rPr>
      </w:pPr>
      <w:r>
        <w:rPr>
          <w:rFonts w:hint="eastAsia" w:ascii="宋体" w:hAnsi="宋体" w:eastAsia="宋体" w:cs="宋体"/>
          <w:b w:val="0"/>
          <w:sz w:val="24"/>
        </w:rPr>
        <w:t>长安汽车的净资产收益率下降是缓慢、单一因素驱动的过程（价格战挤压利润率），可控性较强。赛力斯的净资产收益率变动则是杠杆扩张和收缩推动的大幅摆动，财务波动风险更大。</w:t>
      </w:r>
    </w:p>
    <w:p w14:paraId="0D122A06">
      <w:pPr>
        <w:spacing w:before="360" w:after="240"/>
        <w:jc w:val="center"/>
        <w:outlineLvl w:val="0"/>
        <w:rPr>
          <w:rFonts w:hint="eastAsia" w:ascii="宋体" w:hAnsi="宋体" w:eastAsia="宋体" w:cs="宋体"/>
        </w:rPr>
      </w:pPr>
      <w:r>
        <w:rPr>
          <w:rFonts w:hint="eastAsia" w:ascii="宋体" w:hAnsi="宋体" w:eastAsia="宋体" w:cs="宋体"/>
          <w:b/>
          <w:color w:val="000000"/>
          <w:sz w:val="32"/>
        </w:rPr>
        <w:t>七、现金流量分析</w:t>
      </w:r>
    </w:p>
    <w:p w14:paraId="677193BB">
      <w:pPr>
        <w:spacing w:after="40" w:line="360" w:lineRule="auto"/>
        <w:ind w:firstLine="420"/>
        <w:rPr>
          <w:rFonts w:hint="eastAsia" w:ascii="宋体" w:hAnsi="宋体" w:eastAsia="宋体" w:cs="宋体"/>
        </w:rPr>
      </w:pPr>
      <w:r>
        <w:rPr>
          <w:rFonts w:hint="eastAsia" w:ascii="宋体" w:hAnsi="宋体" w:eastAsia="宋体" w:cs="宋体"/>
          <w:b w:val="0"/>
          <w:sz w:val="24"/>
        </w:rPr>
        <w:t>利润表以权责发生制为基础，收入确认不等于现金到账。现金流量表以收付实现制反映真实资金流动，是判断利润质量和经营安全性的重要依据。</w:t>
      </w:r>
    </w:p>
    <w:tbl>
      <w:tblPr>
        <w:tblStyle w:val="32"/>
        <w:tblW w:w="0" w:type="auto"/>
        <w:jc w:val="center"/>
        <w:tblLayout w:type="autofit"/>
        <w:tblCellMar>
          <w:top w:w="0" w:type="dxa"/>
          <w:left w:w="108" w:type="dxa"/>
          <w:bottom w:w="0" w:type="dxa"/>
          <w:right w:w="108" w:type="dxa"/>
        </w:tblCellMar>
      </w:tblPr>
      <w:tblGrid>
        <w:gridCol w:w="1417"/>
        <w:gridCol w:w="1417"/>
        <w:gridCol w:w="1417"/>
        <w:gridCol w:w="1417"/>
        <w:gridCol w:w="1701"/>
        <w:gridCol w:w="1701"/>
      </w:tblGrid>
      <w:tr w14:paraId="30EC944A">
        <w:tblPrEx>
          <w:tblCellMar>
            <w:top w:w="0" w:type="dxa"/>
            <w:left w:w="108" w:type="dxa"/>
            <w:bottom w:w="0" w:type="dxa"/>
            <w:right w:w="108" w:type="dxa"/>
          </w:tblCellMar>
        </w:tblPrEx>
        <w:trPr>
          <w:jc w:val="center"/>
        </w:trPr>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26C7A747">
            <w:pPr>
              <w:jc w:val="center"/>
              <w:rPr>
                <w:rFonts w:hint="eastAsia" w:ascii="宋体" w:hAnsi="宋体" w:eastAsia="宋体" w:cs="宋体"/>
              </w:rPr>
            </w:pPr>
            <w:r>
              <w:rPr>
                <w:rFonts w:hint="eastAsia" w:ascii="宋体" w:hAnsi="宋体" w:eastAsia="宋体" w:cs="宋体"/>
                <w:b/>
                <w:color w:val="1A4789"/>
                <w:sz w:val="18"/>
              </w:rPr>
              <w:t>公司</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22E8CDA7">
            <w:pPr>
              <w:jc w:val="center"/>
              <w:rPr>
                <w:rFonts w:hint="eastAsia" w:ascii="宋体" w:hAnsi="宋体" w:eastAsia="宋体" w:cs="宋体"/>
              </w:rPr>
            </w:pPr>
            <w:r>
              <w:rPr>
                <w:rFonts w:hint="eastAsia" w:ascii="宋体" w:hAnsi="宋体" w:eastAsia="宋体" w:cs="宋体"/>
                <w:b/>
                <w:color w:val="1A4789"/>
                <w:sz w:val="18"/>
              </w:rPr>
              <w:t>经营CF(亿)</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24B4A4AF">
            <w:pPr>
              <w:jc w:val="center"/>
              <w:rPr>
                <w:rFonts w:hint="eastAsia" w:ascii="宋体" w:hAnsi="宋体" w:eastAsia="宋体" w:cs="宋体"/>
              </w:rPr>
            </w:pPr>
            <w:r>
              <w:rPr>
                <w:rFonts w:hint="eastAsia" w:ascii="宋体" w:hAnsi="宋体" w:eastAsia="宋体" w:cs="宋体"/>
                <w:b/>
                <w:color w:val="1A4789"/>
                <w:sz w:val="18"/>
              </w:rPr>
              <w:t>投资CF(亿)</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64C1925A">
            <w:pPr>
              <w:jc w:val="center"/>
              <w:rPr>
                <w:rFonts w:hint="eastAsia" w:ascii="宋体" w:hAnsi="宋体" w:eastAsia="宋体" w:cs="宋体"/>
              </w:rPr>
            </w:pPr>
            <w:r>
              <w:rPr>
                <w:rFonts w:hint="eastAsia" w:ascii="宋体" w:hAnsi="宋体" w:eastAsia="宋体" w:cs="宋体"/>
                <w:b/>
                <w:color w:val="1A4789"/>
                <w:sz w:val="18"/>
              </w:rPr>
              <w:t>筹资CF(亿)</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59E79661">
            <w:pPr>
              <w:jc w:val="center"/>
              <w:rPr>
                <w:rFonts w:hint="eastAsia" w:ascii="宋体" w:hAnsi="宋体" w:eastAsia="宋体" w:cs="宋体"/>
              </w:rPr>
            </w:pPr>
            <w:r>
              <w:rPr>
                <w:rFonts w:hint="eastAsia" w:ascii="宋体" w:hAnsi="宋体" w:eastAsia="宋体" w:cs="宋体"/>
                <w:b/>
                <w:color w:val="1A4789"/>
                <w:sz w:val="18"/>
              </w:rPr>
              <w:t>组合模式</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188A2A23">
            <w:pPr>
              <w:jc w:val="center"/>
              <w:rPr>
                <w:rFonts w:hint="eastAsia" w:ascii="宋体" w:hAnsi="宋体" w:eastAsia="宋体" w:cs="宋体"/>
              </w:rPr>
            </w:pPr>
            <w:r>
              <w:rPr>
                <w:rFonts w:hint="eastAsia" w:ascii="宋体" w:hAnsi="宋体" w:eastAsia="宋体" w:cs="宋体"/>
                <w:b/>
                <w:color w:val="1A4789"/>
                <w:sz w:val="18"/>
              </w:rPr>
              <w:t>阶段判断</w:t>
            </w:r>
          </w:p>
        </w:tc>
      </w:tr>
      <w:tr w14:paraId="63F28ACA">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7D9262F4">
            <w:pPr>
              <w:jc w:val="left"/>
              <w:rPr>
                <w:rFonts w:hint="eastAsia" w:ascii="宋体" w:hAnsi="宋体" w:eastAsia="宋体" w:cs="宋体"/>
              </w:rPr>
            </w:pPr>
            <w:r>
              <w:rPr>
                <w:rFonts w:hint="eastAsia" w:ascii="宋体" w:hAnsi="宋体" w:eastAsia="宋体" w:cs="宋体"/>
                <w:color w:val="333333"/>
                <w:sz w:val="18"/>
              </w:rPr>
              <w:t>赛力斯</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1C091C5F">
            <w:pPr>
              <w:jc w:val="center"/>
              <w:rPr>
                <w:rFonts w:hint="eastAsia" w:ascii="宋体" w:hAnsi="宋体" w:eastAsia="宋体" w:cs="宋体"/>
              </w:rPr>
            </w:pPr>
            <w:r>
              <w:rPr>
                <w:rFonts w:hint="eastAsia" w:ascii="宋体" w:hAnsi="宋体" w:eastAsia="宋体" w:cs="宋体"/>
                <w:color w:val="333333"/>
                <w:sz w:val="18"/>
              </w:rPr>
              <w:t>289.1</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59C509EF">
            <w:pPr>
              <w:jc w:val="center"/>
              <w:rPr>
                <w:rFonts w:hint="eastAsia" w:ascii="宋体" w:hAnsi="宋体" w:eastAsia="宋体" w:cs="宋体"/>
              </w:rPr>
            </w:pPr>
            <w:r>
              <w:rPr>
                <w:rFonts w:hint="eastAsia" w:ascii="宋体" w:hAnsi="宋体" w:eastAsia="宋体" w:cs="宋体"/>
                <w:color w:val="333333"/>
                <w:sz w:val="18"/>
              </w:rPr>
              <w:t>-50.3</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4E1F4100">
            <w:pPr>
              <w:jc w:val="center"/>
              <w:rPr>
                <w:rFonts w:hint="eastAsia" w:ascii="宋体" w:hAnsi="宋体" w:eastAsia="宋体" w:cs="宋体"/>
              </w:rPr>
            </w:pPr>
            <w:r>
              <w:rPr>
                <w:rFonts w:hint="eastAsia" w:ascii="宋体" w:hAnsi="宋体" w:eastAsia="宋体" w:cs="宋体"/>
                <w:color w:val="333333"/>
                <w:sz w:val="18"/>
              </w:rPr>
              <w:t>182.8</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1CC61336">
            <w:pPr>
              <w:jc w:val="center"/>
              <w:rPr>
                <w:rFonts w:hint="eastAsia" w:ascii="宋体" w:hAnsi="宋体" w:eastAsia="宋体" w:cs="宋体"/>
              </w:rPr>
            </w:pPr>
            <w:r>
              <w:rPr>
                <w:rFonts w:hint="eastAsia" w:ascii="宋体" w:hAnsi="宋体" w:eastAsia="宋体" w:cs="宋体"/>
                <w:color w:val="333333"/>
                <w:sz w:val="18"/>
              </w:rPr>
              <w:t>经营+/投资-/筹资+</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56E3EF83">
            <w:pPr>
              <w:jc w:val="center"/>
              <w:rPr>
                <w:rFonts w:hint="eastAsia" w:ascii="宋体" w:hAnsi="宋体" w:eastAsia="宋体" w:cs="宋体"/>
              </w:rPr>
            </w:pPr>
            <w:r>
              <w:rPr>
                <w:rFonts w:hint="eastAsia" w:ascii="宋体" w:hAnsi="宋体" w:eastAsia="宋体" w:cs="宋体"/>
                <w:color w:val="333333"/>
                <w:sz w:val="18"/>
              </w:rPr>
              <w:t>成长期</w:t>
            </w:r>
          </w:p>
        </w:tc>
      </w:tr>
      <w:tr w14:paraId="72239299">
        <w:tblPrEx>
          <w:tblCellMar>
            <w:top w:w="0" w:type="dxa"/>
            <w:left w:w="108" w:type="dxa"/>
            <w:bottom w:w="0" w:type="dxa"/>
            <w:right w:w="108" w:type="dxa"/>
          </w:tblCellMar>
        </w:tblPrEx>
        <w:trPr>
          <w:jc w:val="center"/>
        </w:trPr>
        <w:tc>
          <w:tcPr>
            <w:tcW w:w="1417" w:type="dxa"/>
          </w:tcPr>
          <w:p w14:paraId="78A4C5C3">
            <w:pPr>
              <w:jc w:val="left"/>
              <w:rPr>
                <w:rFonts w:hint="eastAsia" w:ascii="宋体" w:hAnsi="宋体" w:eastAsia="宋体" w:cs="宋体"/>
              </w:rPr>
            </w:pPr>
            <w:r>
              <w:rPr>
                <w:rFonts w:hint="eastAsia" w:ascii="宋体" w:hAnsi="宋体" w:eastAsia="宋体" w:cs="宋体"/>
                <w:color w:val="333333"/>
                <w:sz w:val="18"/>
              </w:rPr>
              <w:t>比亚迪</w:t>
            </w:r>
          </w:p>
        </w:tc>
        <w:tc>
          <w:tcPr>
            <w:tcW w:w="1417" w:type="dxa"/>
          </w:tcPr>
          <w:p w14:paraId="6372B29B">
            <w:pPr>
              <w:jc w:val="center"/>
              <w:rPr>
                <w:rFonts w:hint="eastAsia" w:ascii="宋体" w:hAnsi="宋体" w:eastAsia="宋体" w:cs="宋体"/>
              </w:rPr>
            </w:pPr>
            <w:r>
              <w:rPr>
                <w:rFonts w:hint="eastAsia" w:ascii="宋体" w:hAnsi="宋体" w:eastAsia="宋体" w:cs="宋体"/>
                <w:color w:val="333333"/>
                <w:sz w:val="18"/>
              </w:rPr>
              <w:t>591.4</w:t>
            </w:r>
          </w:p>
        </w:tc>
        <w:tc>
          <w:tcPr>
            <w:tcW w:w="1417" w:type="dxa"/>
          </w:tcPr>
          <w:p w14:paraId="3BFE6106">
            <w:pPr>
              <w:jc w:val="center"/>
              <w:rPr>
                <w:rFonts w:hint="eastAsia" w:ascii="宋体" w:hAnsi="宋体" w:eastAsia="宋体" w:cs="宋体"/>
              </w:rPr>
            </w:pPr>
            <w:r>
              <w:rPr>
                <w:rFonts w:hint="eastAsia" w:ascii="宋体" w:hAnsi="宋体" w:eastAsia="宋体" w:cs="宋体"/>
                <w:color w:val="333333"/>
                <w:sz w:val="18"/>
              </w:rPr>
              <w:t>-1974.6</w:t>
            </w:r>
          </w:p>
        </w:tc>
        <w:tc>
          <w:tcPr>
            <w:tcW w:w="1417" w:type="dxa"/>
          </w:tcPr>
          <w:p w14:paraId="628C067A">
            <w:pPr>
              <w:jc w:val="center"/>
              <w:rPr>
                <w:rFonts w:hint="eastAsia" w:ascii="宋体" w:hAnsi="宋体" w:eastAsia="宋体" w:cs="宋体"/>
              </w:rPr>
            </w:pPr>
            <w:r>
              <w:rPr>
                <w:rFonts w:hint="eastAsia" w:ascii="宋体" w:hAnsi="宋体" w:eastAsia="宋体" w:cs="宋体"/>
                <w:color w:val="333333"/>
                <w:sz w:val="18"/>
              </w:rPr>
              <w:t>1046.1</w:t>
            </w:r>
          </w:p>
        </w:tc>
        <w:tc>
          <w:tcPr>
            <w:tcW w:w="1701" w:type="dxa"/>
          </w:tcPr>
          <w:p w14:paraId="76AAE8C7">
            <w:pPr>
              <w:jc w:val="center"/>
              <w:rPr>
                <w:rFonts w:hint="eastAsia" w:ascii="宋体" w:hAnsi="宋体" w:eastAsia="宋体" w:cs="宋体"/>
              </w:rPr>
            </w:pPr>
            <w:r>
              <w:rPr>
                <w:rFonts w:hint="eastAsia" w:ascii="宋体" w:hAnsi="宋体" w:eastAsia="宋体" w:cs="宋体"/>
                <w:color w:val="333333"/>
                <w:sz w:val="18"/>
              </w:rPr>
              <w:t>经营+/投资-/筹资+</w:t>
            </w:r>
          </w:p>
        </w:tc>
        <w:tc>
          <w:tcPr>
            <w:tcW w:w="1701" w:type="dxa"/>
          </w:tcPr>
          <w:p w14:paraId="54535F1E">
            <w:pPr>
              <w:jc w:val="center"/>
              <w:rPr>
                <w:rFonts w:hint="eastAsia" w:ascii="宋体" w:hAnsi="宋体" w:eastAsia="宋体" w:cs="宋体"/>
              </w:rPr>
            </w:pPr>
            <w:r>
              <w:rPr>
                <w:rFonts w:hint="eastAsia" w:ascii="宋体" w:hAnsi="宋体" w:eastAsia="宋体" w:cs="宋体"/>
                <w:color w:val="333333"/>
                <w:sz w:val="18"/>
              </w:rPr>
              <w:t>成长期（激进扩张）</w:t>
            </w:r>
          </w:p>
        </w:tc>
      </w:tr>
      <w:tr w14:paraId="6F95E03E">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68708EDE">
            <w:pPr>
              <w:jc w:val="left"/>
              <w:rPr>
                <w:rFonts w:hint="eastAsia" w:ascii="宋体" w:hAnsi="宋体" w:eastAsia="宋体" w:cs="宋体"/>
              </w:rPr>
            </w:pPr>
            <w:r>
              <w:rPr>
                <w:rFonts w:hint="eastAsia" w:ascii="宋体" w:hAnsi="宋体" w:eastAsia="宋体" w:cs="宋体"/>
                <w:color w:val="333333"/>
                <w:sz w:val="18"/>
              </w:rPr>
              <w:t>长城汽车</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7A18604D">
            <w:pPr>
              <w:jc w:val="center"/>
              <w:rPr>
                <w:rFonts w:hint="eastAsia" w:ascii="宋体" w:hAnsi="宋体" w:eastAsia="宋体" w:cs="宋体"/>
              </w:rPr>
            </w:pPr>
            <w:r>
              <w:rPr>
                <w:rFonts w:hint="eastAsia" w:ascii="宋体" w:hAnsi="宋体" w:eastAsia="宋体" w:cs="宋体"/>
                <w:color w:val="333333"/>
                <w:sz w:val="18"/>
              </w:rPr>
              <w:t>403.6</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6A5A0DA0">
            <w:pPr>
              <w:jc w:val="center"/>
              <w:rPr>
                <w:rFonts w:hint="eastAsia" w:ascii="宋体" w:hAnsi="宋体" w:eastAsia="宋体" w:cs="宋体"/>
              </w:rPr>
            </w:pPr>
            <w:r>
              <w:rPr>
                <w:rFonts w:hint="eastAsia" w:ascii="宋体" w:hAnsi="宋体" w:eastAsia="宋体" w:cs="宋体"/>
                <w:color w:val="333333"/>
                <w:sz w:val="18"/>
              </w:rPr>
              <w:t>-291.5</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9F5ACA6">
            <w:pPr>
              <w:jc w:val="center"/>
              <w:rPr>
                <w:rFonts w:hint="eastAsia" w:ascii="宋体" w:hAnsi="宋体" w:eastAsia="宋体" w:cs="宋体"/>
              </w:rPr>
            </w:pPr>
            <w:r>
              <w:rPr>
                <w:rFonts w:hint="eastAsia" w:ascii="宋体" w:hAnsi="宋体" w:eastAsia="宋体" w:cs="宋体"/>
                <w:color w:val="333333"/>
                <w:sz w:val="18"/>
              </w:rPr>
              <w:t>-134.4</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67D68D5F">
            <w:pPr>
              <w:jc w:val="center"/>
              <w:rPr>
                <w:rFonts w:hint="eastAsia" w:ascii="宋体" w:hAnsi="宋体" w:eastAsia="宋体" w:cs="宋体"/>
              </w:rPr>
            </w:pPr>
            <w:r>
              <w:rPr>
                <w:rFonts w:hint="eastAsia" w:ascii="宋体" w:hAnsi="宋体" w:eastAsia="宋体" w:cs="宋体"/>
                <w:color w:val="333333"/>
                <w:sz w:val="18"/>
              </w:rPr>
              <w:t>经营+/投资-/筹资-</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7F89C17A">
            <w:pPr>
              <w:jc w:val="center"/>
              <w:rPr>
                <w:rFonts w:hint="eastAsia" w:ascii="宋体" w:hAnsi="宋体" w:eastAsia="宋体" w:cs="宋体"/>
              </w:rPr>
            </w:pPr>
            <w:r>
              <w:rPr>
                <w:rFonts w:hint="eastAsia" w:ascii="宋体" w:hAnsi="宋体" w:eastAsia="宋体" w:cs="宋体"/>
                <w:color w:val="333333"/>
                <w:sz w:val="18"/>
              </w:rPr>
              <w:t>成熟期</w:t>
            </w:r>
          </w:p>
        </w:tc>
      </w:tr>
      <w:tr w14:paraId="2D5B0E0E">
        <w:tblPrEx>
          <w:tblCellMar>
            <w:top w:w="0" w:type="dxa"/>
            <w:left w:w="108" w:type="dxa"/>
            <w:bottom w:w="0" w:type="dxa"/>
            <w:right w:w="108" w:type="dxa"/>
          </w:tblCellMar>
        </w:tblPrEx>
        <w:trPr>
          <w:jc w:val="center"/>
        </w:trPr>
        <w:tc>
          <w:tcPr>
            <w:tcW w:w="1417" w:type="dxa"/>
          </w:tcPr>
          <w:p w14:paraId="009BA46F">
            <w:pPr>
              <w:jc w:val="left"/>
              <w:rPr>
                <w:rFonts w:hint="eastAsia" w:ascii="宋体" w:hAnsi="宋体" w:eastAsia="宋体" w:cs="宋体"/>
              </w:rPr>
            </w:pPr>
            <w:r>
              <w:rPr>
                <w:rFonts w:hint="eastAsia" w:ascii="宋体" w:hAnsi="宋体" w:eastAsia="宋体" w:cs="宋体"/>
                <w:color w:val="333333"/>
                <w:sz w:val="18"/>
              </w:rPr>
              <w:t>上汽集团</w:t>
            </w:r>
          </w:p>
        </w:tc>
        <w:tc>
          <w:tcPr>
            <w:tcW w:w="1417" w:type="dxa"/>
          </w:tcPr>
          <w:p w14:paraId="419319BA">
            <w:pPr>
              <w:jc w:val="center"/>
              <w:rPr>
                <w:rFonts w:hint="eastAsia" w:ascii="宋体" w:hAnsi="宋体" w:eastAsia="宋体" w:cs="宋体"/>
              </w:rPr>
            </w:pPr>
            <w:r>
              <w:rPr>
                <w:rFonts w:hint="eastAsia" w:ascii="宋体" w:hAnsi="宋体" w:eastAsia="宋体" w:cs="宋体"/>
                <w:color w:val="333333"/>
                <w:sz w:val="18"/>
              </w:rPr>
              <w:t>343.1</w:t>
            </w:r>
          </w:p>
        </w:tc>
        <w:tc>
          <w:tcPr>
            <w:tcW w:w="1417" w:type="dxa"/>
          </w:tcPr>
          <w:p w14:paraId="2ADF1299">
            <w:pPr>
              <w:jc w:val="center"/>
              <w:rPr>
                <w:rFonts w:hint="eastAsia" w:ascii="宋体" w:hAnsi="宋体" w:eastAsia="宋体" w:cs="宋体"/>
              </w:rPr>
            </w:pPr>
            <w:r>
              <w:rPr>
                <w:rFonts w:hint="eastAsia" w:ascii="宋体" w:hAnsi="宋体" w:eastAsia="宋体" w:cs="宋体"/>
                <w:color w:val="333333"/>
                <w:sz w:val="18"/>
              </w:rPr>
              <w:t>-275.6</w:t>
            </w:r>
          </w:p>
        </w:tc>
        <w:tc>
          <w:tcPr>
            <w:tcW w:w="1417" w:type="dxa"/>
          </w:tcPr>
          <w:p w14:paraId="029A53D6">
            <w:pPr>
              <w:jc w:val="center"/>
              <w:rPr>
                <w:rFonts w:hint="eastAsia" w:ascii="宋体" w:hAnsi="宋体" w:eastAsia="宋体" w:cs="宋体"/>
              </w:rPr>
            </w:pPr>
            <w:r>
              <w:rPr>
                <w:rFonts w:hint="eastAsia" w:ascii="宋体" w:hAnsi="宋体" w:eastAsia="宋体" w:cs="宋体"/>
                <w:color w:val="333333"/>
                <w:sz w:val="18"/>
              </w:rPr>
              <w:t>-532.2</w:t>
            </w:r>
          </w:p>
        </w:tc>
        <w:tc>
          <w:tcPr>
            <w:tcW w:w="1701" w:type="dxa"/>
          </w:tcPr>
          <w:p w14:paraId="5CCD0941">
            <w:pPr>
              <w:jc w:val="center"/>
              <w:rPr>
                <w:rFonts w:hint="eastAsia" w:ascii="宋体" w:hAnsi="宋体" w:eastAsia="宋体" w:cs="宋体"/>
              </w:rPr>
            </w:pPr>
            <w:r>
              <w:rPr>
                <w:rFonts w:hint="eastAsia" w:ascii="宋体" w:hAnsi="宋体" w:eastAsia="宋体" w:cs="宋体"/>
                <w:color w:val="333333"/>
                <w:sz w:val="18"/>
              </w:rPr>
              <w:t>经营+/投资-/筹资-</w:t>
            </w:r>
          </w:p>
        </w:tc>
        <w:tc>
          <w:tcPr>
            <w:tcW w:w="1701" w:type="dxa"/>
          </w:tcPr>
          <w:p w14:paraId="327FDBD0">
            <w:pPr>
              <w:jc w:val="center"/>
              <w:rPr>
                <w:rFonts w:hint="eastAsia" w:ascii="宋体" w:hAnsi="宋体" w:eastAsia="宋体" w:cs="宋体"/>
              </w:rPr>
            </w:pPr>
            <w:r>
              <w:rPr>
                <w:rFonts w:hint="eastAsia" w:ascii="宋体" w:hAnsi="宋体" w:eastAsia="宋体" w:cs="宋体"/>
                <w:color w:val="333333"/>
                <w:sz w:val="18"/>
              </w:rPr>
              <w:t>成熟期</w:t>
            </w:r>
          </w:p>
        </w:tc>
      </w:tr>
      <w:tr w14:paraId="2E125067">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402D080C">
            <w:pPr>
              <w:jc w:val="left"/>
              <w:rPr>
                <w:rFonts w:hint="eastAsia" w:ascii="宋体" w:hAnsi="宋体" w:eastAsia="宋体" w:cs="宋体"/>
              </w:rPr>
            </w:pPr>
            <w:r>
              <w:rPr>
                <w:rFonts w:hint="eastAsia" w:ascii="宋体" w:hAnsi="宋体" w:eastAsia="宋体" w:cs="宋体"/>
                <w:color w:val="333333"/>
                <w:sz w:val="18"/>
              </w:rPr>
              <w:t>长安汽车</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2D277476">
            <w:pPr>
              <w:jc w:val="center"/>
              <w:rPr>
                <w:rFonts w:hint="eastAsia" w:ascii="宋体" w:hAnsi="宋体" w:eastAsia="宋体" w:cs="宋体"/>
              </w:rPr>
            </w:pPr>
            <w:r>
              <w:rPr>
                <w:rFonts w:hint="eastAsia" w:ascii="宋体" w:hAnsi="宋体" w:eastAsia="宋体" w:cs="宋体"/>
                <w:color w:val="333333"/>
                <w:sz w:val="18"/>
              </w:rPr>
              <w:t>18.4</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8303BCD">
            <w:pPr>
              <w:jc w:val="center"/>
              <w:rPr>
                <w:rFonts w:hint="eastAsia" w:ascii="宋体" w:hAnsi="宋体" w:eastAsia="宋体" w:cs="宋体"/>
              </w:rPr>
            </w:pPr>
            <w:r>
              <w:rPr>
                <w:rFonts w:hint="eastAsia" w:ascii="宋体" w:hAnsi="宋体" w:eastAsia="宋体" w:cs="宋体"/>
                <w:color w:val="333333"/>
                <w:sz w:val="18"/>
              </w:rPr>
              <w:t>-122.2</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09A49C5B">
            <w:pPr>
              <w:jc w:val="center"/>
              <w:rPr>
                <w:rFonts w:hint="eastAsia" w:ascii="宋体" w:hAnsi="宋体" w:eastAsia="宋体" w:cs="宋体"/>
              </w:rPr>
            </w:pPr>
            <w:r>
              <w:rPr>
                <w:rFonts w:hint="eastAsia" w:ascii="宋体" w:hAnsi="宋体" w:eastAsia="宋体" w:cs="宋体"/>
                <w:color w:val="333333"/>
                <w:sz w:val="18"/>
              </w:rPr>
              <w:t>-1.9</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31D4DD29">
            <w:pPr>
              <w:jc w:val="center"/>
              <w:rPr>
                <w:rFonts w:hint="eastAsia" w:ascii="宋体" w:hAnsi="宋体" w:eastAsia="宋体" w:cs="宋体"/>
              </w:rPr>
            </w:pPr>
            <w:r>
              <w:rPr>
                <w:rFonts w:hint="eastAsia" w:ascii="宋体" w:hAnsi="宋体" w:eastAsia="宋体" w:cs="宋体"/>
                <w:color w:val="333333"/>
                <w:sz w:val="18"/>
              </w:rPr>
              <w:t>经营+/投资-/筹资-</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03859DBE">
            <w:pPr>
              <w:jc w:val="center"/>
              <w:rPr>
                <w:rFonts w:hint="eastAsia" w:ascii="宋体" w:hAnsi="宋体" w:eastAsia="宋体" w:cs="宋体"/>
              </w:rPr>
            </w:pPr>
            <w:r>
              <w:rPr>
                <w:rFonts w:hint="eastAsia" w:ascii="宋体" w:hAnsi="宋体" w:eastAsia="宋体" w:cs="宋体"/>
                <w:color w:val="333333"/>
                <w:sz w:val="18"/>
              </w:rPr>
              <w:t>成熟期（造血偏弱）</w:t>
            </w:r>
          </w:p>
        </w:tc>
      </w:tr>
      <w:tr w14:paraId="1F08E91F">
        <w:tblPrEx>
          <w:tblCellMar>
            <w:top w:w="0" w:type="dxa"/>
            <w:left w:w="108" w:type="dxa"/>
            <w:bottom w:w="0" w:type="dxa"/>
            <w:right w:w="108" w:type="dxa"/>
          </w:tblCellMar>
        </w:tblPrEx>
        <w:trPr>
          <w:jc w:val="center"/>
        </w:trPr>
        <w:tc>
          <w:tcPr>
            <w:tcW w:w="1417" w:type="dxa"/>
          </w:tcPr>
          <w:p w14:paraId="451079F4">
            <w:pPr>
              <w:jc w:val="left"/>
              <w:rPr>
                <w:rFonts w:hint="eastAsia" w:ascii="宋体" w:hAnsi="宋体" w:eastAsia="宋体" w:cs="宋体"/>
              </w:rPr>
            </w:pPr>
            <w:r>
              <w:rPr>
                <w:rFonts w:hint="eastAsia" w:ascii="宋体" w:hAnsi="宋体" w:eastAsia="宋体" w:cs="宋体"/>
                <w:color w:val="333333"/>
                <w:sz w:val="18"/>
              </w:rPr>
              <w:t>江淮汽车</w:t>
            </w:r>
          </w:p>
        </w:tc>
        <w:tc>
          <w:tcPr>
            <w:tcW w:w="1417" w:type="dxa"/>
          </w:tcPr>
          <w:p w14:paraId="6DC72800">
            <w:pPr>
              <w:jc w:val="center"/>
              <w:rPr>
                <w:rFonts w:hint="eastAsia" w:ascii="宋体" w:hAnsi="宋体" w:eastAsia="宋体" w:cs="宋体"/>
              </w:rPr>
            </w:pPr>
            <w:r>
              <w:rPr>
                <w:rFonts w:hint="eastAsia" w:ascii="宋体" w:hAnsi="宋体" w:eastAsia="宋体" w:cs="宋体"/>
                <w:color w:val="333333"/>
                <w:sz w:val="18"/>
              </w:rPr>
              <w:t>34.0</w:t>
            </w:r>
          </w:p>
        </w:tc>
        <w:tc>
          <w:tcPr>
            <w:tcW w:w="1417" w:type="dxa"/>
          </w:tcPr>
          <w:p w14:paraId="35559913">
            <w:pPr>
              <w:jc w:val="center"/>
              <w:rPr>
                <w:rFonts w:hint="eastAsia" w:ascii="宋体" w:hAnsi="宋体" w:eastAsia="宋体" w:cs="宋体"/>
              </w:rPr>
            </w:pPr>
            <w:r>
              <w:rPr>
                <w:rFonts w:hint="eastAsia" w:ascii="宋体" w:hAnsi="宋体" w:eastAsia="宋体" w:cs="宋体"/>
                <w:color w:val="333333"/>
                <w:sz w:val="18"/>
              </w:rPr>
              <w:t>10.6</w:t>
            </w:r>
          </w:p>
        </w:tc>
        <w:tc>
          <w:tcPr>
            <w:tcW w:w="1417" w:type="dxa"/>
          </w:tcPr>
          <w:p w14:paraId="197E3341">
            <w:pPr>
              <w:jc w:val="center"/>
              <w:rPr>
                <w:rFonts w:hint="eastAsia" w:ascii="宋体" w:hAnsi="宋体" w:eastAsia="宋体" w:cs="宋体"/>
              </w:rPr>
            </w:pPr>
            <w:r>
              <w:rPr>
                <w:rFonts w:hint="eastAsia" w:ascii="宋体" w:hAnsi="宋体" w:eastAsia="宋体" w:cs="宋体"/>
                <w:color w:val="333333"/>
                <w:sz w:val="18"/>
              </w:rPr>
              <w:t>-17.1</w:t>
            </w:r>
          </w:p>
        </w:tc>
        <w:tc>
          <w:tcPr>
            <w:tcW w:w="1701" w:type="dxa"/>
          </w:tcPr>
          <w:p w14:paraId="34B3A6E4">
            <w:pPr>
              <w:jc w:val="center"/>
              <w:rPr>
                <w:rFonts w:hint="eastAsia" w:ascii="宋体" w:hAnsi="宋体" w:eastAsia="宋体" w:cs="宋体"/>
              </w:rPr>
            </w:pPr>
            <w:r>
              <w:rPr>
                <w:rFonts w:hint="eastAsia" w:ascii="宋体" w:hAnsi="宋体" w:eastAsia="宋体" w:cs="宋体"/>
                <w:color w:val="333333"/>
                <w:sz w:val="18"/>
              </w:rPr>
              <w:t>经营+/投资+/筹资-</w:t>
            </w:r>
          </w:p>
        </w:tc>
        <w:tc>
          <w:tcPr>
            <w:tcW w:w="1701" w:type="dxa"/>
          </w:tcPr>
          <w:p w14:paraId="1DC9C986">
            <w:pPr>
              <w:jc w:val="center"/>
              <w:rPr>
                <w:rFonts w:hint="eastAsia" w:ascii="宋体" w:hAnsi="宋体" w:eastAsia="宋体" w:cs="宋体"/>
              </w:rPr>
            </w:pPr>
            <w:r>
              <w:rPr>
                <w:rFonts w:hint="eastAsia" w:ascii="宋体" w:hAnsi="宋体" w:eastAsia="宋体" w:cs="宋体"/>
                <w:color w:val="333333"/>
                <w:sz w:val="18"/>
              </w:rPr>
              <w:t>成熟期</w:t>
            </w:r>
          </w:p>
        </w:tc>
      </w:tr>
      <w:tr w14:paraId="36B44405">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2CF1580E">
            <w:pPr>
              <w:jc w:val="left"/>
              <w:rPr>
                <w:rFonts w:hint="eastAsia" w:ascii="宋体" w:hAnsi="宋体" w:eastAsia="宋体" w:cs="宋体"/>
              </w:rPr>
            </w:pPr>
            <w:r>
              <w:rPr>
                <w:rFonts w:hint="eastAsia" w:ascii="宋体" w:hAnsi="宋体" w:eastAsia="宋体" w:cs="宋体"/>
                <w:color w:val="333333"/>
                <w:sz w:val="18"/>
              </w:rPr>
              <w:t>广汽集团</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727040AB">
            <w:pPr>
              <w:jc w:val="center"/>
              <w:rPr>
                <w:rFonts w:hint="eastAsia" w:ascii="宋体" w:hAnsi="宋体" w:eastAsia="宋体" w:cs="宋体"/>
              </w:rPr>
            </w:pPr>
            <w:r>
              <w:rPr>
                <w:rFonts w:hint="eastAsia" w:ascii="宋体" w:hAnsi="宋体" w:eastAsia="宋体" w:cs="宋体"/>
                <w:color w:val="333333"/>
                <w:sz w:val="18"/>
              </w:rPr>
              <w:t>-150.3</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5884E401">
            <w:pPr>
              <w:jc w:val="center"/>
              <w:rPr>
                <w:rFonts w:hint="eastAsia" w:ascii="宋体" w:hAnsi="宋体" w:eastAsia="宋体" w:cs="宋体"/>
              </w:rPr>
            </w:pPr>
            <w:r>
              <w:rPr>
                <w:rFonts w:hint="eastAsia" w:ascii="宋体" w:hAnsi="宋体" w:eastAsia="宋体" w:cs="宋体"/>
                <w:color w:val="333333"/>
                <w:sz w:val="18"/>
              </w:rPr>
              <w:t>-56.4</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1BF2D07A">
            <w:pPr>
              <w:jc w:val="center"/>
              <w:rPr>
                <w:rFonts w:hint="eastAsia" w:ascii="宋体" w:hAnsi="宋体" w:eastAsia="宋体" w:cs="宋体"/>
              </w:rPr>
            </w:pPr>
            <w:r>
              <w:rPr>
                <w:rFonts w:hint="eastAsia" w:ascii="宋体" w:hAnsi="宋体" w:eastAsia="宋体" w:cs="宋体"/>
                <w:color w:val="333333"/>
                <w:sz w:val="18"/>
              </w:rPr>
              <w:t>55.1</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65B17FA3">
            <w:pPr>
              <w:jc w:val="center"/>
              <w:rPr>
                <w:rFonts w:hint="eastAsia" w:ascii="宋体" w:hAnsi="宋体" w:eastAsia="宋体" w:cs="宋体"/>
              </w:rPr>
            </w:pPr>
            <w:r>
              <w:rPr>
                <w:rFonts w:hint="eastAsia" w:ascii="宋体" w:hAnsi="宋体" w:eastAsia="宋体" w:cs="宋体"/>
                <w:color w:val="333333"/>
                <w:sz w:val="18"/>
              </w:rPr>
              <w:t>经营-/投资-/筹资+</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2DD9BF8D">
            <w:pPr>
              <w:jc w:val="center"/>
              <w:rPr>
                <w:rFonts w:hint="eastAsia" w:ascii="宋体" w:hAnsi="宋体" w:eastAsia="宋体" w:cs="宋体"/>
              </w:rPr>
            </w:pPr>
            <w:r>
              <w:rPr>
                <w:rFonts w:hint="eastAsia" w:ascii="宋体" w:hAnsi="宋体" w:eastAsia="宋体" w:cs="宋体"/>
                <w:color w:val="333333"/>
                <w:sz w:val="18"/>
              </w:rPr>
              <w:t>需关注</w:t>
            </w:r>
          </w:p>
        </w:tc>
      </w:tr>
      <w:tr w14:paraId="2489E747">
        <w:tblPrEx>
          <w:tblCellMar>
            <w:top w:w="0" w:type="dxa"/>
            <w:left w:w="108" w:type="dxa"/>
            <w:bottom w:w="0" w:type="dxa"/>
            <w:right w:w="108" w:type="dxa"/>
          </w:tblCellMar>
        </w:tblPrEx>
        <w:trPr>
          <w:jc w:val="center"/>
        </w:trPr>
        <w:tc>
          <w:tcPr>
            <w:tcW w:w="1417" w:type="dxa"/>
          </w:tcPr>
          <w:p w14:paraId="5CEB2670">
            <w:pPr>
              <w:jc w:val="left"/>
              <w:rPr>
                <w:rFonts w:hint="eastAsia" w:ascii="宋体" w:hAnsi="宋体" w:eastAsia="宋体" w:cs="宋体"/>
              </w:rPr>
            </w:pPr>
            <w:r>
              <w:rPr>
                <w:rFonts w:hint="eastAsia" w:ascii="宋体" w:hAnsi="宋体" w:eastAsia="宋体" w:cs="宋体"/>
                <w:color w:val="333333"/>
                <w:sz w:val="18"/>
              </w:rPr>
              <w:t>北汽蓝谷</w:t>
            </w:r>
          </w:p>
        </w:tc>
        <w:tc>
          <w:tcPr>
            <w:tcW w:w="1417" w:type="dxa"/>
          </w:tcPr>
          <w:p w14:paraId="083F303A">
            <w:pPr>
              <w:jc w:val="center"/>
              <w:rPr>
                <w:rFonts w:hint="eastAsia" w:ascii="宋体" w:hAnsi="宋体" w:eastAsia="宋体" w:cs="宋体"/>
              </w:rPr>
            </w:pPr>
            <w:r>
              <w:rPr>
                <w:rFonts w:hint="eastAsia" w:ascii="宋体" w:hAnsi="宋体" w:eastAsia="宋体" w:cs="宋体"/>
                <w:color w:val="333333"/>
                <w:sz w:val="18"/>
              </w:rPr>
              <w:t>19.3</w:t>
            </w:r>
          </w:p>
        </w:tc>
        <w:tc>
          <w:tcPr>
            <w:tcW w:w="1417" w:type="dxa"/>
          </w:tcPr>
          <w:p w14:paraId="5660E20B">
            <w:pPr>
              <w:jc w:val="center"/>
              <w:rPr>
                <w:rFonts w:hint="eastAsia" w:ascii="宋体" w:hAnsi="宋体" w:eastAsia="宋体" w:cs="宋体"/>
              </w:rPr>
            </w:pPr>
            <w:r>
              <w:rPr>
                <w:rFonts w:hint="eastAsia" w:ascii="宋体" w:hAnsi="宋体" w:eastAsia="宋体" w:cs="宋体"/>
                <w:color w:val="333333"/>
                <w:sz w:val="18"/>
              </w:rPr>
              <w:t>-29.7</w:t>
            </w:r>
          </w:p>
        </w:tc>
        <w:tc>
          <w:tcPr>
            <w:tcW w:w="1417" w:type="dxa"/>
          </w:tcPr>
          <w:p w14:paraId="56DC0A8F">
            <w:pPr>
              <w:jc w:val="center"/>
              <w:rPr>
                <w:rFonts w:hint="eastAsia" w:ascii="宋体" w:hAnsi="宋体" w:eastAsia="宋体" w:cs="宋体"/>
              </w:rPr>
            </w:pPr>
            <w:r>
              <w:rPr>
                <w:rFonts w:hint="eastAsia" w:ascii="宋体" w:hAnsi="宋体" w:eastAsia="宋体" w:cs="宋体"/>
                <w:color w:val="333333"/>
                <w:sz w:val="18"/>
              </w:rPr>
              <w:t>-26.1</w:t>
            </w:r>
          </w:p>
        </w:tc>
        <w:tc>
          <w:tcPr>
            <w:tcW w:w="1701" w:type="dxa"/>
          </w:tcPr>
          <w:p w14:paraId="3D594A28">
            <w:pPr>
              <w:jc w:val="center"/>
              <w:rPr>
                <w:rFonts w:hint="eastAsia" w:ascii="宋体" w:hAnsi="宋体" w:eastAsia="宋体" w:cs="宋体"/>
              </w:rPr>
            </w:pPr>
            <w:r>
              <w:rPr>
                <w:rFonts w:hint="eastAsia" w:ascii="宋体" w:hAnsi="宋体" w:eastAsia="宋体" w:cs="宋体"/>
                <w:color w:val="333333"/>
                <w:sz w:val="18"/>
              </w:rPr>
              <w:t>经营+/投资-/筹资-</w:t>
            </w:r>
          </w:p>
        </w:tc>
        <w:tc>
          <w:tcPr>
            <w:tcW w:w="1701" w:type="dxa"/>
          </w:tcPr>
          <w:p w14:paraId="575EA488">
            <w:pPr>
              <w:jc w:val="center"/>
              <w:rPr>
                <w:rFonts w:hint="eastAsia" w:ascii="宋体" w:hAnsi="宋体" w:eastAsia="宋体" w:cs="宋体"/>
              </w:rPr>
            </w:pPr>
            <w:r>
              <w:rPr>
                <w:rFonts w:hint="eastAsia" w:ascii="宋体" w:hAnsi="宋体" w:eastAsia="宋体" w:cs="宋体"/>
                <w:color w:val="333333"/>
                <w:sz w:val="18"/>
              </w:rPr>
              <w:t>需关注</w:t>
            </w:r>
          </w:p>
        </w:tc>
      </w:tr>
    </w:tbl>
    <w:p w14:paraId="20C0ABDE">
      <w:pPr>
        <w:spacing w:after="80"/>
        <w:rPr>
          <w:rFonts w:hint="eastAsia" w:ascii="宋体" w:hAnsi="宋体" w:eastAsia="宋体" w:cs="宋体"/>
        </w:rPr>
      </w:pPr>
    </w:p>
    <w:p w14:paraId="1FB4DA1B">
      <w:pPr>
        <w:spacing w:after="40" w:line="360" w:lineRule="auto"/>
        <w:ind w:firstLine="420"/>
        <w:rPr>
          <w:rFonts w:hint="eastAsia" w:ascii="宋体" w:hAnsi="宋体" w:eastAsia="宋体" w:cs="宋体"/>
        </w:rPr>
      </w:pPr>
      <w:r>
        <w:rPr>
          <w:rFonts w:hint="eastAsia" w:ascii="宋体" w:hAnsi="宋体" w:eastAsia="宋体" w:cs="宋体"/>
          <w:b w:val="0"/>
          <w:sz w:val="24"/>
        </w:rPr>
        <w:t>"经营+/投资-/筹资+"为成长期特征：经营活动净流入为正但不足以覆盖投资扩张，需外部融资。赛力斯（经营289亿，筹资183亿）和比亚迪（经营591亿，筹资1046亿）属于此模式。"经营+/投资-/筹资-"为成熟期特征：经营活动产生的现金可覆盖投资和偿债。长城汽车是典型——404亿元经营净流入同时覆盖292亿元投资支出和134亿元偿债。</w:t>
      </w:r>
    </w:p>
    <w:p w14:paraId="27D5CC58">
      <w:pPr>
        <w:spacing w:after="40" w:line="360" w:lineRule="auto"/>
        <w:ind w:firstLine="420"/>
        <w:rPr>
          <w:rFonts w:hint="eastAsia" w:ascii="宋体" w:hAnsi="宋体" w:eastAsia="宋体" w:cs="宋体"/>
        </w:rPr>
      </w:pPr>
      <w:r>
        <w:rPr>
          <w:rFonts w:hint="eastAsia" w:ascii="宋体" w:hAnsi="宋体" w:eastAsia="宋体" w:cs="宋体"/>
          <w:b w:val="0"/>
          <w:sz w:val="24"/>
        </w:rPr>
        <w:t>长安汽车经营活动净流入仅18.4亿元，虽为正但规模偏小，投资支出122.2亿元需消耗现金储备。广汽集团经营活动净流出-150.3亿元，是唯一经营现金流为负的企业，依赖筹资55.1亿元维持运营。</w:t>
      </w:r>
    </w:p>
    <w:p w14:paraId="42E795CA">
      <w:pPr>
        <w:spacing w:after="40" w:line="360" w:lineRule="auto"/>
        <w:ind w:firstLine="420"/>
        <w:rPr>
          <w:rFonts w:hint="eastAsia" w:ascii="宋体" w:hAnsi="宋体" w:eastAsia="宋体" w:cs="宋体"/>
        </w:rPr>
      </w:pPr>
      <w:r>
        <w:rPr>
          <w:rFonts w:hint="eastAsia" w:ascii="宋体" w:hAnsi="宋体" w:eastAsia="宋体" w:cs="宋体"/>
          <w:b w:val="0"/>
          <w:sz w:val="24"/>
        </w:rPr>
        <w:t>现金流组合比利润指标更能揭示经营模式本质差异：赛力斯的高净资产收益率伴随后续融资需求，长城汽车的高净资产收益率伴随自给自足的现金流——两者增长质量有根本区别。</w:t>
      </w:r>
    </w:p>
    <w:p w14:paraId="62535C42">
      <w:pPr>
        <w:spacing w:before="360" w:after="240"/>
        <w:jc w:val="center"/>
        <w:outlineLvl w:val="0"/>
        <w:rPr>
          <w:rFonts w:hint="eastAsia" w:ascii="宋体" w:hAnsi="宋体" w:eastAsia="宋体" w:cs="宋体"/>
        </w:rPr>
      </w:pPr>
      <w:r>
        <w:rPr>
          <w:rFonts w:hint="eastAsia" w:ascii="宋体" w:hAnsi="宋体" w:eastAsia="宋体" w:cs="宋体"/>
          <w:b/>
          <w:color w:val="000000"/>
          <w:sz w:val="32"/>
        </w:rPr>
        <w:t>八、行业NEV销量与公司财务联动分析</w:t>
      </w:r>
    </w:p>
    <w:p w14:paraId="7E7C7D38">
      <w:pPr>
        <w:spacing w:after="40" w:line="360" w:lineRule="auto"/>
        <w:ind w:firstLine="420"/>
        <w:rPr>
          <w:rFonts w:hint="eastAsia" w:ascii="宋体" w:hAnsi="宋体" w:eastAsia="宋体" w:cs="宋体"/>
        </w:rPr>
      </w:pPr>
      <w:r>
        <w:rPr>
          <w:rFonts w:hint="eastAsia" w:ascii="宋体" w:hAnsi="宋体" w:eastAsia="宋体" w:cs="宋体"/>
          <w:b w:val="0"/>
          <w:sz w:val="24"/>
        </w:rPr>
        <w:t>本章基于CAAM（中国汽车工业协会）月度销量数据及《中国汽车行业多维销量数据库》，从行业景气度、企业增速偏离、季度结构深度和月度季节性四个维度，分析NEV市场波动与赛力斯、长安汽车财务表现的联动关系。数据范围覆盖2016年至2025年。</w:t>
      </w:r>
    </w:p>
    <w:p w14:paraId="2B4D7B07">
      <w:pPr>
        <w:spacing w:before="240" w:after="120"/>
        <w:outlineLvl w:val="1"/>
        <w:rPr>
          <w:rFonts w:hint="eastAsia" w:ascii="宋体" w:hAnsi="宋体" w:eastAsia="宋体" w:cs="宋体"/>
        </w:rPr>
      </w:pPr>
      <w:r>
        <w:rPr>
          <w:rFonts w:hint="eastAsia" w:ascii="宋体" w:hAnsi="宋体" w:eastAsia="宋体" w:cs="宋体"/>
          <w:b/>
          <w:color w:val="000000"/>
          <w:sz w:val="28"/>
        </w:rPr>
        <w:t>（一）NEV市场行业景气度</w:t>
      </w:r>
    </w:p>
    <w:p w14:paraId="3FB39B0E">
      <w:pPr>
        <w:spacing w:after="40" w:line="360" w:lineRule="auto"/>
        <w:ind w:firstLine="420"/>
        <w:rPr>
          <w:rFonts w:hint="eastAsia" w:ascii="宋体" w:hAnsi="宋体" w:eastAsia="宋体" w:cs="宋体"/>
        </w:rPr>
      </w:pPr>
      <w:r>
        <w:rPr>
          <w:rFonts w:hint="eastAsia" w:ascii="宋体" w:hAnsi="宋体" w:eastAsia="宋体" w:cs="宋体"/>
          <w:b w:val="0"/>
          <w:sz w:val="24"/>
        </w:rPr>
        <w:t>中国新能源汽车市场经历了三个发展阶段。2016至2019年为补贴驱动期，年销量从53万辆增长至119万辆。2020至2021年为疫情复苏期，2021年突破350万辆。2022至2025年为爆发增长期，年销量从688万辆升至预计超过1500万辆，渗透率在2025年首次突破50%大关。当前行业处于高景气但增速放缓阶段——2025年月销量稳定在120至130万辆水平，同比增速从100%以上回落至20%-30%。</w:t>
      </w:r>
    </w:p>
    <w:p w14:paraId="128041A4">
      <w:pPr>
        <w:jc w:val="center"/>
        <w:rPr>
          <w:rFonts w:hint="eastAsia" w:ascii="宋体" w:hAnsi="宋体" w:eastAsia="宋体" w:cs="宋体"/>
        </w:rPr>
      </w:pPr>
      <w:r>
        <w:rPr>
          <w:rFonts w:hint="eastAsia" w:ascii="宋体" w:hAnsi="宋体" w:eastAsia="宋体" w:cs="宋体"/>
        </w:rPr>
        <w:drawing>
          <wp:inline distT="0" distB="0" distL="114300" distR="114300">
            <wp:extent cx="5399405" cy="2341880"/>
            <wp:effectExtent l="0" t="0" r="1079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400000" cy="2342114"/>
                    </a:xfrm>
                    <a:prstGeom prst="rect">
                      <a:avLst/>
                    </a:prstGeom>
                  </pic:spPr>
                </pic:pic>
              </a:graphicData>
            </a:graphic>
          </wp:inline>
        </w:drawing>
      </w:r>
    </w:p>
    <w:p w14:paraId="77B4FBA0">
      <w:pPr>
        <w:spacing w:after="120"/>
        <w:jc w:val="center"/>
        <w:rPr>
          <w:rFonts w:hint="eastAsia" w:ascii="宋体" w:hAnsi="宋体" w:eastAsia="宋体" w:cs="宋体"/>
        </w:rPr>
      </w:pPr>
      <w:r>
        <w:rPr>
          <w:rFonts w:hint="eastAsia" w:ascii="宋体" w:hAnsi="宋体" w:eastAsia="宋体" w:cs="宋体"/>
          <w:sz w:val="18"/>
        </w:rPr>
        <w:t>图8-1  中国新能源汽车月度产销量趋势（2016-2025）</w:t>
      </w:r>
    </w:p>
    <w:p w14:paraId="5A1B3308">
      <w:pPr>
        <w:jc w:val="center"/>
        <w:rPr>
          <w:rFonts w:hint="eastAsia" w:ascii="宋体" w:hAnsi="宋体" w:eastAsia="宋体" w:cs="宋体"/>
        </w:rPr>
      </w:pPr>
      <w:r>
        <w:rPr>
          <w:rFonts w:hint="eastAsia" w:ascii="宋体" w:hAnsi="宋体" w:eastAsia="宋体" w:cs="宋体"/>
        </w:rPr>
        <w:drawing>
          <wp:inline distT="0" distB="0" distL="114300" distR="114300">
            <wp:extent cx="5399405" cy="2292350"/>
            <wp:effectExtent l="0" t="0" r="10795"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5400000" cy="2292795"/>
                    </a:xfrm>
                    <a:prstGeom prst="rect">
                      <a:avLst/>
                    </a:prstGeom>
                  </pic:spPr>
                </pic:pic>
              </a:graphicData>
            </a:graphic>
          </wp:inline>
        </w:drawing>
      </w:r>
    </w:p>
    <w:p w14:paraId="0477D502">
      <w:pPr>
        <w:spacing w:after="120"/>
        <w:jc w:val="center"/>
        <w:rPr>
          <w:rFonts w:hint="eastAsia" w:ascii="宋体" w:hAnsi="宋体" w:eastAsia="宋体" w:cs="宋体"/>
        </w:rPr>
      </w:pPr>
      <w:r>
        <w:rPr>
          <w:rFonts w:hint="eastAsia" w:ascii="宋体" w:hAnsi="宋体" w:eastAsia="宋体" w:cs="宋体"/>
          <w:sz w:val="18"/>
        </w:rPr>
        <w:t>图8-2  NEV年度销量及同比增速</w:t>
      </w:r>
    </w:p>
    <w:p w14:paraId="1F123E90">
      <w:pPr>
        <w:jc w:val="center"/>
        <w:rPr>
          <w:rFonts w:hint="eastAsia" w:ascii="宋体" w:hAnsi="宋体" w:eastAsia="宋体" w:cs="宋体"/>
        </w:rPr>
      </w:pPr>
      <w:r>
        <w:rPr>
          <w:rFonts w:hint="eastAsia" w:ascii="宋体" w:hAnsi="宋体" w:eastAsia="宋体" w:cs="宋体"/>
        </w:rPr>
        <w:drawing>
          <wp:inline distT="0" distB="0" distL="114300" distR="114300">
            <wp:extent cx="5399405" cy="2002790"/>
            <wp:effectExtent l="0" t="0" r="1079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400000" cy="2003189"/>
                    </a:xfrm>
                    <a:prstGeom prst="rect">
                      <a:avLst/>
                    </a:prstGeom>
                  </pic:spPr>
                </pic:pic>
              </a:graphicData>
            </a:graphic>
          </wp:inline>
        </w:drawing>
      </w:r>
    </w:p>
    <w:p w14:paraId="07327156">
      <w:pPr>
        <w:spacing w:after="120"/>
        <w:jc w:val="center"/>
        <w:rPr>
          <w:rFonts w:hint="eastAsia" w:ascii="宋体" w:hAnsi="宋体" w:eastAsia="宋体" w:cs="宋体"/>
        </w:rPr>
      </w:pPr>
      <w:r>
        <w:rPr>
          <w:rFonts w:hint="eastAsia" w:ascii="宋体" w:hAnsi="宋体" w:eastAsia="宋体" w:cs="宋体"/>
          <w:sz w:val="18"/>
        </w:rPr>
        <w:t>图8-3  NEV月度渗透率趋势</w:t>
      </w:r>
    </w:p>
    <w:p w14:paraId="5DB46E23">
      <w:pPr>
        <w:spacing w:after="40" w:line="360" w:lineRule="auto"/>
        <w:ind w:firstLine="420"/>
        <w:rPr>
          <w:rFonts w:hint="eastAsia" w:ascii="宋体" w:hAnsi="宋体" w:eastAsia="宋体" w:cs="宋体"/>
        </w:rPr>
      </w:pPr>
      <w:r>
        <w:rPr>
          <w:rFonts w:hint="eastAsia" w:ascii="宋体" w:hAnsi="宋体" w:eastAsia="宋体" w:cs="宋体"/>
          <w:b w:val="0"/>
          <w:sz w:val="24"/>
        </w:rPr>
        <w:t>渗透率从2016年约2%持续攀升至2025年突破50%，标志着新能源汽车从"小众市场"进入"主流市场"。过半渗透率意味着增换购需求逐步取代首购成为主要驱动力，这一结构性变化对传统燃油车企（如上汽、广汽）形成了直接的转型压力。</w:t>
      </w:r>
    </w:p>
    <w:p w14:paraId="0CCF0C34">
      <w:pPr>
        <w:spacing w:before="240" w:after="120"/>
        <w:outlineLvl w:val="1"/>
        <w:rPr>
          <w:rFonts w:hint="eastAsia" w:ascii="宋体" w:hAnsi="宋体" w:eastAsia="宋体" w:cs="宋体"/>
        </w:rPr>
      </w:pPr>
      <w:r>
        <w:rPr>
          <w:rFonts w:hint="eastAsia" w:ascii="宋体" w:hAnsi="宋体" w:eastAsia="宋体" w:cs="宋体"/>
          <w:b/>
          <w:color w:val="000000"/>
          <w:sz w:val="28"/>
        </w:rPr>
        <w:t>（二）企业增速与行业偏离度</w:t>
      </w:r>
    </w:p>
    <w:p w14:paraId="19C0DD12">
      <w:pPr>
        <w:spacing w:after="40" w:line="360" w:lineRule="auto"/>
        <w:ind w:firstLine="420"/>
        <w:rPr>
          <w:rFonts w:hint="eastAsia" w:ascii="宋体" w:hAnsi="宋体" w:eastAsia="宋体" w:cs="宋体"/>
        </w:rPr>
      </w:pPr>
      <w:r>
        <w:rPr>
          <w:rFonts w:hint="eastAsia" w:ascii="宋体" w:hAnsi="宋体" w:eastAsia="宋体" w:cs="宋体"/>
          <w:b w:val="0"/>
          <w:sz w:val="24"/>
        </w:rPr>
        <w:t>偏离度定义为公司年销量增速减去行业NEV年销量增速。正值表示企业增速跑赢行业NEV大盘，负值则相反。</w:t>
      </w:r>
    </w:p>
    <w:p w14:paraId="18DB2E91">
      <w:pPr>
        <w:jc w:val="center"/>
        <w:rPr>
          <w:rFonts w:hint="eastAsia" w:ascii="宋体" w:hAnsi="宋体" w:eastAsia="宋体" w:cs="宋体"/>
        </w:rPr>
      </w:pPr>
      <w:r>
        <w:rPr>
          <w:rFonts w:hint="eastAsia" w:ascii="宋体" w:hAnsi="宋体" w:eastAsia="宋体" w:cs="宋体"/>
        </w:rPr>
        <w:drawing>
          <wp:inline distT="0" distB="0" distL="114300" distR="114300">
            <wp:extent cx="5399405" cy="2345055"/>
            <wp:effectExtent l="0" t="0" r="10795"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
                    <a:stretch>
                      <a:fillRect/>
                    </a:stretch>
                  </pic:blipFill>
                  <pic:spPr>
                    <a:xfrm>
                      <a:off x="0" y="0"/>
                      <a:ext cx="5400000" cy="2345363"/>
                    </a:xfrm>
                    <a:prstGeom prst="rect">
                      <a:avLst/>
                    </a:prstGeom>
                  </pic:spPr>
                </pic:pic>
              </a:graphicData>
            </a:graphic>
          </wp:inline>
        </w:drawing>
      </w:r>
    </w:p>
    <w:p w14:paraId="2B00B6A3">
      <w:pPr>
        <w:spacing w:after="120"/>
        <w:jc w:val="center"/>
        <w:rPr>
          <w:rFonts w:hint="eastAsia" w:ascii="宋体" w:hAnsi="宋体" w:eastAsia="宋体" w:cs="宋体"/>
        </w:rPr>
      </w:pPr>
      <w:r>
        <w:rPr>
          <w:rFonts w:hint="eastAsia" w:ascii="宋体" w:hAnsi="宋体" w:eastAsia="宋体" w:cs="宋体"/>
          <w:sz w:val="18"/>
        </w:rPr>
        <w:t>图8-4  赛力斯·长安汽车年度销量与行业NEV增速对标</w:t>
      </w:r>
    </w:p>
    <w:p w14:paraId="76C97B93">
      <w:pPr>
        <w:spacing w:after="40" w:line="360" w:lineRule="auto"/>
        <w:ind w:firstLine="420"/>
        <w:rPr>
          <w:rFonts w:hint="eastAsia" w:ascii="宋体" w:hAnsi="宋体" w:eastAsia="宋体" w:cs="宋体"/>
        </w:rPr>
      </w:pPr>
      <w:r>
        <w:rPr>
          <w:rFonts w:hint="eastAsia" w:ascii="宋体" w:hAnsi="宋体" w:eastAsia="宋体" w:cs="宋体"/>
          <w:b w:val="0"/>
          <w:sz w:val="24"/>
        </w:rPr>
        <w:t>赛力斯在2022至2024年期间增速远超行业大盘，受益于问界M9放量。但2025年赛力斯增速回落至行业均值附近，偏离度显著收窄，高增长阶段可能见顶。长安汽车在2021至2025年期间增速持续低于行业NEV增速，偏离度为负。燃油车基本盘拖累总增速，新能源加速但尚未完成任务切换。偏离度数据揭示了两种模式的成长性差异：赛力斯前期超涨后临均值回归，长安长期跑输行业。</w:t>
      </w:r>
    </w:p>
    <w:p w14:paraId="6793CF99">
      <w:pPr>
        <w:spacing w:before="240" w:after="120"/>
        <w:outlineLvl w:val="1"/>
        <w:rPr>
          <w:rFonts w:hint="eastAsia" w:ascii="宋体" w:hAnsi="宋体" w:eastAsia="宋体" w:cs="宋体"/>
        </w:rPr>
      </w:pPr>
      <w:r>
        <w:rPr>
          <w:rFonts w:hint="eastAsia" w:ascii="宋体" w:hAnsi="宋体" w:eastAsia="宋体" w:cs="宋体"/>
          <w:b/>
          <w:color w:val="000000"/>
          <w:sz w:val="28"/>
        </w:rPr>
        <w:t>（三）季度销量结构深度分析</w:t>
      </w:r>
    </w:p>
    <w:p w14:paraId="3A3E0D10">
      <w:pPr>
        <w:jc w:val="center"/>
        <w:rPr>
          <w:rFonts w:hint="eastAsia" w:ascii="宋体" w:hAnsi="宋体" w:eastAsia="宋体" w:cs="宋体"/>
        </w:rPr>
      </w:pPr>
      <w:r>
        <w:rPr>
          <w:rFonts w:hint="eastAsia" w:ascii="宋体" w:hAnsi="宋体" w:eastAsia="宋体" w:cs="宋体"/>
        </w:rPr>
        <w:drawing>
          <wp:inline distT="0" distB="0" distL="114300" distR="114300">
            <wp:extent cx="5399405" cy="3787140"/>
            <wp:effectExtent l="0" t="0" r="1079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1"/>
                    <a:stretch>
                      <a:fillRect/>
                    </a:stretch>
                  </pic:blipFill>
                  <pic:spPr>
                    <a:xfrm>
                      <a:off x="0" y="0"/>
                      <a:ext cx="5400000" cy="3787248"/>
                    </a:xfrm>
                    <a:prstGeom prst="rect">
                      <a:avLst/>
                    </a:prstGeom>
                  </pic:spPr>
                </pic:pic>
              </a:graphicData>
            </a:graphic>
          </wp:inline>
        </w:drawing>
      </w:r>
    </w:p>
    <w:p w14:paraId="485C690A">
      <w:pPr>
        <w:spacing w:after="120"/>
        <w:jc w:val="center"/>
        <w:rPr>
          <w:rFonts w:hint="eastAsia" w:ascii="宋体" w:hAnsi="宋体" w:eastAsia="宋体" w:cs="宋体"/>
        </w:rPr>
      </w:pPr>
      <w:r>
        <w:rPr>
          <w:rFonts w:hint="eastAsia" w:ascii="宋体" w:hAnsi="宋体" w:eastAsia="宋体" w:cs="宋体"/>
          <w:sz w:val="18"/>
        </w:rPr>
        <w:t>图8-5  长安汽车季度销量结构（新能源vs燃油+三品牌走势）</w:t>
      </w:r>
    </w:p>
    <w:p w14:paraId="4643CCC0">
      <w:pPr>
        <w:spacing w:after="40" w:line="360" w:lineRule="auto"/>
        <w:ind w:firstLine="420"/>
        <w:rPr>
          <w:rFonts w:hint="eastAsia" w:ascii="宋体" w:hAnsi="宋体" w:eastAsia="宋体" w:cs="宋体"/>
        </w:rPr>
      </w:pPr>
      <w:r>
        <w:rPr>
          <w:rFonts w:hint="eastAsia" w:ascii="宋体" w:hAnsi="宋体" w:eastAsia="宋体" w:cs="宋体"/>
          <w:b w:val="0"/>
          <w:sz w:val="24"/>
        </w:rPr>
        <w:t>长安汽车新能源占比从2023年第一季度的5.8%稳步提升至2025年第四季度的27.3%，累计提升21.5个百分点。深蓝品牌2024至2025年增长最为显著，单季度从约3万辆攀升至约12万辆。阿维塔和启源从2024年下半年开始发力，三品牌形成梯度互补。但燃油及合资品牌仍占约73%，增速趋零对整体财务构成压力。</w:t>
      </w:r>
    </w:p>
    <w:p w14:paraId="5BB1B399">
      <w:pPr>
        <w:jc w:val="center"/>
        <w:rPr>
          <w:rFonts w:hint="eastAsia" w:ascii="宋体" w:hAnsi="宋体" w:eastAsia="宋体" w:cs="宋体"/>
        </w:rPr>
      </w:pPr>
      <w:r>
        <w:rPr>
          <w:rFonts w:hint="eastAsia" w:ascii="宋体" w:hAnsi="宋体" w:eastAsia="宋体" w:cs="宋体"/>
        </w:rPr>
        <w:drawing>
          <wp:inline distT="0" distB="0" distL="114300" distR="114300">
            <wp:extent cx="5399405" cy="3444875"/>
            <wp:effectExtent l="0" t="0" r="10795" b="146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2"/>
                    <a:stretch>
                      <a:fillRect/>
                    </a:stretch>
                  </pic:blipFill>
                  <pic:spPr>
                    <a:xfrm>
                      <a:off x="0" y="0"/>
                      <a:ext cx="5400000" cy="3445218"/>
                    </a:xfrm>
                    <a:prstGeom prst="rect">
                      <a:avLst/>
                    </a:prstGeom>
                  </pic:spPr>
                </pic:pic>
              </a:graphicData>
            </a:graphic>
          </wp:inline>
        </w:drawing>
      </w:r>
    </w:p>
    <w:p w14:paraId="76F579E7">
      <w:pPr>
        <w:spacing w:after="120"/>
        <w:jc w:val="center"/>
        <w:rPr>
          <w:rFonts w:hint="eastAsia" w:ascii="宋体" w:hAnsi="宋体" w:eastAsia="宋体" w:cs="宋体"/>
        </w:rPr>
      </w:pPr>
      <w:r>
        <w:rPr>
          <w:rFonts w:hint="eastAsia" w:ascii="宋体" w:hAnsi="宋体" w:eastAsia="宋体" w:cs="宋体"/>
          <w:sz w:val="18"/>
        </w:rPr>
        <w:t>图8-6  赛力斯季度销量结构（问界vs其他+问界占比走势）</w:t>
      </w:r>
    </w:p>
    <w:p w14:paraId="0104C5F7">
      <w:pPr>
        <w:spacing w:after="40" w:line="360" w:lineRule="auto"/>
        <w:ind w:firstLine="420"/>
        <w:rPr>
          <w:rFonts w:hint="eastAsia" w:ascii="宋体" w:hAnsi="宋体" w:eastAsia="宋体" w:cs="宋体"/>
        </w:rPr>
      </w:pPr>
      <w:r>
        <w:rPr>
          <w:rFonts w:hint="eastAsia" w:ascii="宋体" w:hAnsi="宋体" w:eastAsia="宋体" w:cs="宋体"/>
          <w:b w:val="0"/>
          <w:sz w:val="24"/>
        </w:rPr>
        <w:t>赛力斯问界季度占比从2022年第一季度的30.4%飙升至2025年第四季度的93.8%，增幅超过63个百分点。2023年第四季度新M7上市后占比突破70%，2024年第一季度M9放量推动占比突破90%。第四季度冲量效应极其显著——2024年第四季度总销量14.5万辆，其中问界13.6万辆，为全年峰值。</w:t>
      </w:r>
    </w:p>
    <w:p w14:paraId="7D3D3CC0">
      <w:pPr>
        <w:jc w:val="center"/>
        <w:rPr>
          <w:rFonts w:hint="eastAsia" w:ascii="宋体" w:hAnsi="宋体" w:eastAsia="宋体" w:cs="宋体"/>
        </w:rPr>
      </w:pPr>
      <w:r>
        <w:rPr>
          <w:rFonts w:hint="eastAsia" w:ascii="宋体" w:hAnsi="宋体" w:eastAsia="宋体" w:cs="宋体"/>
        </w:rPr>
        <w:drawing>
          <wp:inline distT="0" distB="0" distL="114300" distR="114300">
            <wp:extent cx="5399405" cy="3785235"/>
            <wp:effectExtent l="0" t="0" r="1079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3"/>
                    <a:stretch>
                      <a:fillRect/>
                    </a:stretch>
                  </pic:blipFill>
                  <pic:spPr>
                    <a:xfrm>
                      <a:off x="0" y="0"/>
                      <a:ext cx="5400000" cy="3785660"/>
                    </a:xfrm>
                    <a:prstGeom prst="rect">
                      <a:avLst/>
                    </a:prstGeom>
                  </pic:spPr>
                </pic:pic>
              </a:graphicData>
            </a:graphic>
          </wp:inline>
        </w:drawing>
      </w:r>
    </w:p>
    <w:p w14:paraId="10A0EAD5">
      <w:pPr>
        <w:spacing w:after="120"/>
        <w:jc w:val="center"/>
        <w:rPr>
          <w:rFonts w:hint="eastAsia" w:ascii="宋体" w:hAnsi="宋体" w:eastAsia="宋体" w:cs="宋体"/>
        </w:rPr>
      </w:pPr>
      <w:r>
        <w:rPr>
          <w:rFonts w:hint="eastAsia" w:ascii="宋体" w:hAnsi="宋体" w:eastAsia="宋体" w:cs="宋体"/>
          <w:sz w:val="18"/>
        </w:rPr>
        <w:t>图8-7  长安vs赛力斯季度全面对标</w:t>
      </w:r>
    </w:p>
    <w:p w14:paraId="244AADA2">
      <w:pPr>
        <w:spacing w:after="40" w:line="360" w:lineRule="auto"/>
        <w:ind w:firstLine="420"/>
        <w:rPr>
          <w:rFonts w:hint="eastAsia" w:ascii="宋体" w:hAnsi="宋体" w:eastAsia="宋体" w:cs="宋体"/>
        </w:rPr>
      </w:pPr>
      <w:r>
        <w:rPr>
          <w:rFonts w:hint="eastAsia" w:ascii="宋体" w:hAnsi="宋体" w:eastAsia="宋体" w:cs="宋体"/>
          <w:b w:val="0"/>
          <w:sz w:val="24"/>
        </w:rPr>
        <w:t>季度对标显示，长安汽车总销量规模远超赛力斯（季度60-70万辆vs10-15万辆），但新能源占比远低于赛力斯的问界占比。两种模式在"量"和"质"上各有所长：长安有规模优势但转型渗透不足，赛力斯有先发优势但整体规模偏小且品牌高度集中。</w:t>
      </w:r>
    </w:p>
    <w:p w14:paraId="61ED37E4">
      <w:pPr>
        <w:spacing w:before="240" w:after="120"/>
        <w:outlineLvl w:val="1"/>
        <w:rPr>
          <w:rFonts w:hint="eastAsia" w:ascii="宋体" w:hAnsi="宋体" w:eastAsia="宋体" w:cs="宋体"/>
        </w:rPr>
      </w:pPr>
      <w:r>
        <w:rPr>
          <w:rFonts w:hint="eastAsia" w:ascii="宋体" w:hAnsi="宋体" w:eastAsia="宋体" w:cs="宋体"/>
          <w:b/>
          <w:color w:val="000000"/>
          <w:sz w:val="28"/>
        </w:rPr>
        <w:t>（四）月度季节性模式与同比增速</w:t>
      </w:r>
    </w:p>
    <w:p w14:paraId="77F89F62">
      <w:pPr>
        <w:jc w:val="center"/>
        <w:rPr>
          <w:rFonts w:hint="eastAsia" w:ascii="宋体" w:hAnsi="宋体" w:eastAsia="宋体" w:cs="宋体"/>
        </w:rPr>
      </w:pPr>
      <w:r>
        <w:rPr>
          <w:rFonts w:hint="eastAsia" w:ascii="宋体" w:hAnsi="宋体" w:eastAsia="宋体" w:cs="宋体"/>
        </w:rPr>
        <w:drawing>
          <wp:inline distT="0" distB="0" distL="114300" distR="114300">
            <wp:extent cx="5399405" cy="3362325"/>
            <wp:effectExtent l="0" t="0" r="10795"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400000" cy="3362585"/>
                    </a:xfrm>
                    <a:prstGeom prst="rect">
                      <a:avLst/>
                    </a:prstGeom>
                  </pic:spPr>
                </pic:pic>
              </a:graphicData>
            </a:graphic>
          </wp:inline>
        </w:drawing>
      </w:r>
    </w:p>
    <w:p w14:paraId="0B6B2AC9">
      <w:pPr>
        <w:spacing w:after="120"/>
        <w:jc w:val="center"/>
        <w:rPr>
          <w:rFonts w:hint="eastAsia" w:ascii="宋体" w:hAnsi="宋体" w:eastAsia="宋体" w:cs="宋体"/>
        </w:rPr>
      </w:pPr>
      <w:r>
        <w:rPr>
          <w:rFonts w:hint="eastAsia" w:ascii="宋体" w:hAnsi="宋体" w:eastAsia="宋体" w:cs="宋体"/>
          <w:sz w:val="18"/>
        </w:rPr>
        <w:t>图8-8  NEV月度销量季节性热力图</w:t>
      </w:r>
    </w:p>
    <w:p w14:paraId="5CBAC4B2">
      <w:pPr>
        <w:spacing w:after="40" w:line="360" w:lineRule="auto"/>
        <w:ind w:firstLine="420"/>
        <w:rPr>
          <w:rFonts w:hint="eastAsia" w:ascii="宋体" w:hAnsi="宋体" w:eastAsia="宋体" w:cs="宋体"/>
        </w:rPr>
      </w:pPr>
      <w:r>
        <w:rPr>
          <w:rFonts w:hint="eastAsia" w:ascii="宋体" w:hAnsi="宋体" w:eastAsia="宋体" w:cs="宋体"/>
          <w:b w:val="0"/>
          <w:sz w:val="24"/>
        </w:rPr>
        <w:t>NEV销量呈现显著的年末冲量效应。12月为全年销量峰值，与车企第四季度财务报表中的营收峰值高度一致。2月为全年最低谷（春节假期影响产销节奏）。这一季节性波动在财务指标上表现为：第四季度毛利率和净资产收益率通常偏高（高销量摊薄固定成本），第一季度偏低（开工率不足）。赛力斯的第四季度冲量幅度远大于行业均值——2024年第四季度环比增长超过40%——季度间的剧烈波动是毛利率和净资产收益率大幅摆动的重要外部驱动因素。</w:t>
      </w:r>
    </w:p>
    <w:p w14:paraId="4F68B29A">
      <w:pPr>
        <w:jc w:val="center"/>
        <w:rPr>
          <w:rFonts w:hint="eastAsia" w:ascii="宋体" w:hAnsi="宋体" w:eastAsia="宋体" w:cs="宋体"/>
        </w:rPr>
      </w:pPr>
      <w:r>
        <w:rPr>
          <w:rFonts w:hint="eastAsia" w:ascii="宋体" w:hAnsi="宋体" w:eastAsia="宋体" w:cs="宋体"/>
        </w:rPr>
        <w:drawing>
          <wp:inline distT="0" distB="0" distL="114300" distR="114300">
            <wp:extent cx="5399405" cy="2011045"/>
            <wp:effectExtent l="0" t="0" r="10795"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400000" cy="2011364"/>
                    </a:xfrm>
                    <a:prstGeom prst="rect">
                      <a:avLst/>
                    </a:prstGeom>
                  </pic:spPr>
                </pic:pic>
              </a:graphicData>
            </a:graphic>
          </wp:inline>
        </w:drawing>
      </w:r>
    </w:p>
    <w:p w14:paraId="0D008D05">
      <w:pPr>
        <w:spacing w:after="120"/>
        <w:jc w:val="center"/>
        <w:rPr>
          <w:rFonts w:hint="eastAsia" w:ascii="宋体" w:hAnsi="宋体" w:eastAsia="宋体" w:cs="宋体"/>
        </w:rPr>
      </w:pPr>
      <w:r>
        <w:rPr>
          <w:rFonts w:hint="eastAsia" w:ascii="宋体" w:hAnsi="宋体" w:eastAsia="宋体" w:cs="宋体"/>
          <w:sz w:val="18"/>
        </w:rPr>
        <w:t>图8-9  NEV月度销量同比增速曲线（2017-2025）</w:t>
      </w:r>
    </w:p>
    <w:p w14:paraId="1E7F8C02">
      <w:pPr>
        <w:spacing w:after="40" w:line="360" w:lineRule="auto"/>
        <w:ind w:firstLine="420"/>
        <w:rPr>
          <w:rFonts w:hint="eastAsia" w:ascii="宋体" w:hAnsi="宋体" w:eastAsia="宋体" w:cs="宋体"/>
        </w:rPr>
      </w:pPr>
      <w:r>
        <w:rPr>
          <w:rFonts w:hint="eastAsia" w:ascii="宋体" w:hAnsi="宋体" w:eastAsia="宋体" w:cs="宋体"/>
          <w:b w:val="0"/>
          <w:sz w:val="24"/>
        </w:rPr>
        <w:t>同比增速曲线显示了清晰的增速换挡趋势。2020年疫情冲击后出现V型反弹，2022至2023年增速中枢从100%以上回落至30%-50%，2024至2025年进一步降至20%-30%。增速中枢的持续下移意味着行业正在从"高增长"向"稳增长"过渡，企业的成长性将更多依赖于份额争夺而非行业β。这一趋势对赛力斯的影响更大——其高估值和高净资产收益率建立在超高速增长预期之上，增速回归意味着财务指标面临回调压力。</w:t>
      </w:r>
    </w:p>
    <w:p w14:paraId="170419ED">
      <w:pPr>
        <w:spacing w:before="240" w:after="120"/>
        <w:outlineLvl w:val="1"/>
        <w:rPr>
          <w:rFonts w:hint="eastAsia" w:ascii="宋体" w:hAnsi="宋体" w:eastAsia="宋体" w:cs="宋体"/>
        </w:rPr>
      </w:pPr>
      <w:r>
        <w:rPr>
          <w:rFonts w:hint="eastAsia" w:ascii="宋体" w:hAnsi="宋体" w:eastAsia="宋体" w:cs="宋体"/>
          <w:b/>
          <w:color w:val="000000"/>
          <w:sz w:val="28"/>
        </w:rPr>
        <w:t>（五）行业景气与财务联动小结</w:t>
      </w:r>
    </w:p>
    <w:p w14:paraId="62599962">
      <w:pPr>
        <w:spacing w:after="40" w:line="360" w:lineRule="auto"/>
        <w:ind w:firstLine="420"/>
        <w:rPr>
          <w:rFonts w:hint="eastAsia" w:ascii="宋体" w:hAnsi="宋体" w:eastAsia="宋体" w:cs="宋体"/>
        </w:rPr>
      </w:pPr>
      <w:r>
        <w:rPr>
          <w:rFonts w:hint="eastAsia" w:ascii="宋体" w:hAnsi="宋体" w:eastAsia="宋体" w:cs="宋体"/>
          <w:b w:val="0"/>
          <w:sz w:val="24"/>
        </w:rPr>
        <w:t>综合四个维度分析，NEV行业景气度与赛力斯、长安汽车的财务表现存在以下联动关系：第一，赛力斯前期严重超涨（增速大幅超越行业）后，2025年偏离度收窄至行业均值附近，先发优势正在弱化，高净资产收益率和高毛利率的可持续性面临行业增速放缓的考验。第二，长安汽车长期跑输行业NEV增速，新能源转型偏慢（~26%），但多品牌均衡布局和较低的业务集中度提供了抗风险缓冲。第三，第四季度冲量效应拉高了赛力斯毛利率和净资产收益率的年末值，但这一季节性虚增在年初会快速消退，构成财务报表阅读中的重要关注点。第四，行业增速换挡至20%-30%意味着两种模式都面临从"跑马圈地"到"精耕细作"的范式转换，财务分析的焦点应从增长性指标（营收增长率）逐步转向效率性指标（净资产收益率、经营现金净流量）。</w:t>
      </w:r>
    </w:p>
    <w:p w14:paraId="4EDA25C1">
      <w:pPr>
        <w:spacing w:before="360" w:after="240"/>
        <w:jc w:val="center"/>
        <w:outlineLvl w:val="0"/>
        <w:rPr>
          <w:rFonts w:hint="eastAsia" w:ascii="宋体" w:hAnsi="宋体" w:eastAsia="宋体" w:cs="宋体"/>
        </w:rPr>
      </w:pPr>
      <w:r>
        <w:rPr>
          <w:rFonts w:hint="eastAsia" w:ascii="宋体" w:hAnsi="宋体" w:eastAsia="宋体" w:cs="宋体"/>
          <w:b/>
          <w:color w:val="000000"/>
          <w:sz w:val="32"/>
        </w:rPr>
        <w:t>九、Z-score与沃尔评分</w:t>
      </w:r>
    </w:p>
    <w:p w14:paraId="3D842FA8">
      <w:pPr>
        <w:spacing w:before="240" w:after="120"/>
        <w:outlineLvl w:val="1"/>
        <w:rPr>
          <w:rFonts w:hint="eastAsia" w:ascii="宋体" w:hAnsi="宋体" w:eastAsia="宋体" w:cs="宋体"/>
        </w:rPr>
      </w:pPr>
      <w:r>
        <w:rPr>
          <w:rFonts w:hint="eastAsia" w:ascii="宋体" w:hAnsi="宋体" w:eastAsia="宋体" w:cs="宋体"/>
          <w:b/>
          <w:color w:val="000000"/>
          <w:sz w:val="28"/>
        </w:rPr>
        <w:t>（一）Altman Z-score</w:t>
      </w:r>
    </w:p>
    <w:p w14:paraId="5545FA6B">
      <w:pPr>
        <w:spacing w:after="40" w:line="360" w:lineRule="auto"/>
        <w:ind w:firstLine="420"/>
        <w:rPr>
          <w:rFonts w:hint="eastAsia" w:ascii="宋体" w:hAnsi="宋体" w:eastAsia="宋体" w:cs="宋体"/>
        </w:rPr>
      </w:pPr>
      <w:r>
        <w:rPr>
          <w:rFonts w:hint="eastAsia" w:ascii="宋体" w:hAnsi="宋体" w:eastAsia="宋体" w:cs="宋体"/>
          <w:b w:val="0"/>
          <w:sz w:val="24"/>
        </w:rPr>
        <w:t>采用Altman(1968)制造业Z-score公式。传统判定阈值：Z&lt;1.81为危险区，1.81≤Z≤2.99为灰色区，Z&gt;2.99为安全区。需注意该模型基于美国制造业数据构建，对中国新能源车企的适用性有局限。</w:t>
      </w:r>
    </w:p>
    <w:tbl>
      <w:tblPr>
        <w:tblStyle w:val="32"/>
        <w:tblW w:w="0" w:type="auto"/>
        <w:jc w:val="center"/>
        <w:tblLayout w:type="autofit"/>
        <w:tblCellMar>
          <w:top w:w="0" w:type="dxa"/>
          <w:left w:w="108" w:type="dxa"/>
          <w:bottom w:w="0" w:type="dxa"/>
          <w:right w:w="108" w:type="dxa"/>
        </w:tblCellMar>
      </w:tblPr>
      <w:tblGrid>
        <w:gridCol w:w="1417"/>
        <w:gridCol w:w="1134"/>
        <w:gridCol w:w="1417"/>
        <w:gridCol w:w="1134"/>
      </w:tblGrid>
      <w:tr w14:paraId="422D80CD">
        <w:tblPrEx>
          <w:tblCellMar>
            <w:top w:w="0" w:type="dxa"/>
            <w:left w:w="108" w:type="dxa"/>
            <w:bottom w:w="0" w:type="dxa"/>
            <w:right w:w="108" w:type="dxa"/>
          </w:tblCellMar>
        </w:tblPrEx>
        <w:trPr>
          <w:jc w:val="center"/>
        </w:trPr>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26325DC2">
            <w:pPr>
              <w:jc w:val="center"/>
              <w:rPr>
                <w:rFonts w:hint="eastAsia" w:ascii="宋体" w:hAnsi="宋体" w:eastAsia="宋体" w:cs="宋体"/>
              </w:rPr>
            </w:pPr>
            <w:r>
              <w:rPr>
                <w:rFonts w:hint="eastAsia" w:ascii="宋体" w:hAnsi="宋体" w:eastAsia="宋体" w:cs="宋体"/>
                <w:b/>
                <w:color w:val="1A4789"/>
                <w:sz w:val="18"/>
              </w:rPr>
              <w:t>公司</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152C05BA">
            <w:pPr>
              <w:jc w:val="center"/>
              <w:rPr>
                <w:rFonts w:hint="eastAsia" w:ascii="宋体" w:hAnsi="宋体" w:eastAsia="宋体" w:cs="宋体"/>
              </w:rPr>
            </w:pPr>
            <w:r>
              <w:rPr>
                <w:rFonts w:hint="eastAsia" w:ascii="宋体" w:hAnsi="宋体" w:eastAsia="宋体" w:cs="宋体"/>
                <w:b/>
                <w:color w:val="1A4789"/>
                <w:sz w:val="18"/>
              </w:rPr>
              <w:t>Z-score</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47A860BC">
            <w:pPr>
              <w:jc w:val="center"/>
              <w:rPr>
                <w:rFonts w:hint="eastAsia" w:ascii="宋体" w:hAnsi="宋体" w:eastAsia="宋体" w:cs="宋体"/>
              </w:rPr>
            </w:pPr>
            <w:r>
              <w:rPr>
                <w:rFonts w:hint="eastAsia" w:ascii="宋体" w:hAnsi="宋体" w:eastAsia="宋体" w:cs="宋体"/>
                <w:b/>
                <w:color w:val="1A4789"/>
                <w:sz w:val="18"/>
              </w:rPr>
              <w:t>传统判定</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6C6E0541">
            <w:pPr>
              <w:jc w:val="center"/>
              <w:rPr>
                <w:rFonts w:hint="eastAsia" w:ascii="宋体" w:hAnsi="宋体" w:eastAsia="宋体" w:cs="宋体"/>
              </w:rPr>
            </w:pPr>
            <w:r>
              <w:rPr>
                <w:rFonts w:hint="eastAsia" w:ascii="宋体" w:hAnsi="宋体" w:eastAsia="宋体" w:cs="宋体"/>
                <w:b/>
                <w:color w:val="1A4789"/>
                <w:sz w:val="18"/>
              </w:rPr>
              <w:t>排名</w:t>
            </w:r>
          </w:p>
        </w:tc>
      </w:tr>
      <w:tr w14:paraId="41DB3E2D">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4B97E9B5">
            <w:pPr>
              <w:jc w:val="left"/>
              <w:rPr>
                <w:rFonts w:hint="eastAsia" w:ascii="宋体" w:hAnsi="宋体" w:eastAsia="宋体" w:cs="宋体"/>
              </w:rPr>
            </w:pPr>
            <w:r>
              <w:rPr>
                <w:rFonts w:hint="eastAsia" w:ascii="宋体" w:hAnsi="宋体" w:eastAsia="宋体" w:cs="宋体"/>
                <w:color w:val="333333"/>
                <w:sz w:val="18"/>
              </w:rPr>
              <w:t>长城汽车</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69A6315C">
            <w:pPr>
              <w:jc w:val="center"/>
              <w:rPr>
                <w:rFonts w:hint="eastAsia" w:ascii="宋体" w:hAnsi="宋体" w:eastAsia="宋体" w:cs="宋体"/>
              </w:rPr>
            </w:pPr>
            <w:r>
              <w:rPr>
                <w:rFonts w:hint="eastAsia" w:ascii="宋体" w:hAnsi="宋体" w:eastAsia="宋体" w:cs="宋体"/>
                <w:color w:val="333333"/>
                <w:sz w:val="18"/>
              </w:rPr>
              <w:t>2.08</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3B12814D">
            <w:pPr>
              <w:jc w:val="center"/>
              <w:rPr>
                <w:rFonts w:hint="eastAsia" w:ascii="宋体" w:hAnsi="宋体" w:eastAsia="宋体" w:cs="宋体"/>
              </w:rPr>
            </w:pPr>
            <w:r>
              <w:rPr>
                <w:rFonts w:hint="eastAsia" w:ascii="宋体" w:hAnsi="宋体" w:eastAsia="宋体" w:cs="宋体"/>
                <w:color w:val="333333"/>
                <w:sz w:val="18"/>
              </w:rPr>
              <w:t>灰色区</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6692502B">
            <w:pPr>
              <w:jc w:val="center"/>
              <w:rPr>
                <w:rFonts w:hint="eastAsia" w:ascii="宋体" w:hAnsi="宋体" w:eastAsia="宋体" w:cs="宋体"/>
              </w:rPr>
            </w:pPr>
            <w:r>
              <w:rPr>
                <w:rFonts w:hint="eastAsia" w:ascii="宋体" w:hAnsi="宋体" w:eastAsia="宋体" w:cs="宋体"/>
                <w:color w:val="333333"/>
                <w:sz w:val="18"/>
              </w:rPr>
              <w:t>1</w:t>
            </w:r>
          </w:p>
        </w:tc>
      </w:tr>
      <w:tr w14:paraId="5C092FA6">
        <w:tblPrEx>
          <w:tblCellMar>
            <w:top w:w="0" w:type="dxa"/>
            <w:left w:w="108" w:type="dxa"/>
            <w:bottom w:w="0" w:type="dxa"/>
            <w:right w:w="108" w:type="dxa"/>
          </w:tblCellMar>
        </w:tblPrEx>
        <w:trPr>
          <w:jc w:val="center"/>
        </w:trPr>
        <w:tc>
          <w:tcPr>
            <w:tcW w:w="1417" w:type="dxa"/>
          </w:tcPr>
          <w:p w14:paraId="175D2D40">
            <w:pPr>
              <w:jc w:val="left"/>
              <w:rPr>
                <w:rFonts w:hint="eastAsia" w:ascii="宋体" w:hAnsi="宋体" w:eastAsia="宋体" w:cs="宋体"/>
              </w:rPr>
            </w:pPr>
            <w:r>
              <w:rPr>
                <w:rFonts w:hint="eastAsia" w:ascii="宋体" w:hAnsi="宋体" w:eastAsia="宋体" w:cs="宋体"/>
                <w:color w:val="333333"/>
                <w:sz w:val="18"/>
              </w:rPr>
              <w:t>长安汽车</w:t>
            </w:r>
          </w:p>
        </w:tc>
        <w:tc>
          <w:tcPr>
            <w:tcW w:w="1134" w:type="dxa"/>
          </w:tcPr>
          <w:p w14:paraId="536B1CE0">
            <w:pPr>
              <w:jc w:val="center"/>
              <w:rPr>
                <w:rFonts w:hint="eastAsia" w:ascii="宋体" w:hAnsi="宋体" w:eastAsia="宋体" w:cs="宋体"/>
              </w:rPr>
            </w:pPr>
            <w:r>
              <w:rPr>
                <w:rFonts w:hint="eastAsia" w:ascii="宋体" w:hAnsi="宋体" w:eastAsia="宋体" w:cs="宋体"/>
                <w:color w:val="333333"/>
                <w:sz w:val="18"/>
              </w:rPr>
              <w:t>1.82</w:t>
            </w:r>
          </w:p>
        </w:tc>
        <w:tc>
          <w:tcPr>
            <w:tcW w:w="1417" w:type="dxa"/>
          </w:tcPr>
          <w:p w14:paraId="17150714">
            <w:pPr>
              <w:jc w:val="center"/>
              <w:rPr>
                <w:rFonts w:hint="eastAsia" w:ascii="宋体" w:hAnsi="宋体" w:eastAsia="宋体" w:cs="宋体"/>
              </w:rPr>
            </w:pPr>
            <w:r>
              <w:rPr>
                <w:rFonts w:hint="eastAsia" w:ascii="宋体" w:hAnsi="宋体" w:eastAsia="宋体" w:cs="宋体"/>
                <w:color w:val="333333"/>
                <w:sz w:val="18"/>
              </w:rPr>
              <w:t>灰色区</w:t>
            </w:r>
          </w:p>
        </w:tc>
        <w:tc>
          <w:tcPr>
            <w:tcW w:w="1134" w:type="dxa"/>
          </w:tcPr>
          <w:p w14:paraId="32D1208A">
            <w:pPr>
              <w:jc w:val="center"/>
              <w:rPr>
                <w:rFonts w:hint="eastAsia" w:ascii="宋体" w:hAnsi="宋体" w:eastAsia="宋体" w:cs="宋体"/>
              </w:rPr>
            </w:pPr>
            <w:r>
              <w:rPr>
                <w:rFonts w:hint="eastAsia" w:ascii="宋体" w:hAnsi="宋体" w:eastAsia="宋体" w:cs="宋体"/>
                <w:color w:val="333333"/>
                <w:sz w:val="18"/>
              </w:rPr>
              <w:t>2</w:t>
            </w:r>
          </w:p>
        </w:tc>
      </w:tr>
      <w:tr w14:paraId="34CD4698">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06D848A1">
            <w:pPr>
              <w:jc w:val="left"/>
              <w:rPr>
                <w:rFonts w:hint="eastAsia" w:ascii="宋体" w:hAnsi="宋体" w:eastAsia="宋体" w:cs="宋体"/>
              </w:rPr>
            </w:pPr>
            <w:r>
              <w:rPr>
                <w:rFonts w:hint="eastAsia" w:ascii="宋体" w:hAnsi="宋体" w:eastAsia="宋体" w:cs="宋体"/>
                <w:color w:val="333333"/>
                <w:sz w:val="18"/>
              </w:rPr>
              <w:t>赛力斯</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7C46B2ED">
            <w:pPr>
              <w:jc w:val="center"/>
              <w:rPr>
                <w:rFonts w:hint="eastAsia" w:ascii="宋体" w:hAnsi="宋体" w:eastAsia="宋体" w:cs="宋体"/>
              </w:rPr>
            </w:pPr>
            <w:r>
              <w:rPr>
                <w:rFonts w:hint="eastAsia" w:ascii="宋体" w:hAnsi="宋体" w:eastAsia="宋体" w:cs="宋体"/>
                <w:color w:val="333333"/>
                <w:sz w:val="18"/>
              </w:rPr>
              <w:t>1.63</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1E87E5F4">
            <w:pPr>
              <w:jc w:val="center"/>
              <w:rPr>
                <w:rFonts w:hint="eastAsia" w:ascii="宋体" w:hAnsi="宋体" w:eastAsia="宋体" w:cs="宋体"/>
              </w:rPr>
            </w:pPr>
            <w:r>
              <w:rPr>
                <w:rFonts w:hint="eastAsia" w:ascii="宋体" w:hAnsi="宋体" w:eastAsia="宋体" w:cs="宋体"/>
                <w:color w:val="333333"/>
                <w:sz w:val="18"/>
              </w:rPr>
              <w:t>危险区</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22821E8">
            <w:pPr>
              <w:jc w:val="center"/>
              <w:rPr>
                <w:rFonts w:hint="eastAsia" w:ascii="宋体" w:hAnsi="宋体" w:eastAsia="宋体" w:cs="宋体"/>
              </w:rPr>
            </w:pPr>
            <w:r>
              <w:rPr>
                <w:rFonts w:hint="eastAsia" w:ascii="宋体" w:hAnsi="宋体" w:eastAsia="宋体" w:cs="宋体"/>
                <w:color w:val="333333"/>
                <w:sz w:val="18"/>
              </w:rPr>
              <w:t>3</w:t>
            </w:r>
          </w:p>
        </w:tc>
      </w:tr>
      <w:tr w14:paraId="31F8EA12">
        <w:tblPrEx>
          <w:tblCellMar>
            <w:top w:w="0" w:type="dxa"/>
            <w:left w:w="108" w:type="dxa"/>
            <w:bottom w:w="0" w:type="dxa"/>
            <w:right w:w="108" w:type="dxa"/>
          </w:tblCellMar>
        </w:tblPrEx>
        <w:trPr>
          <w:jc w:val="center"/>
        </w:trPr>
        <w:tc>
          <w:tcPr>
            <w:tcW w:w="1417" w:type="dxa"/>
          </w:tcPr>
          <w:p w14:paraId="7CAFCE32">
            <w:pPr>
              <w:jc w:val="left"/>
              <w:rPr>
                <w:rFonts w:hint="eastAsia" w:ascii="宋体" w:hAnsi="宋体" w:eastAsia="宋体" w:cs="宋体"/>
              </w:rPr>
            </w:pPr>
            <w:r>
              <w:rPr>
                <w:rFonts w:hint="eastAsia" w:ascii="宋体" w:hAnsi="宋体" w:eastAsia="宋体" w:cs="宋体"/>
                <w:color w:val="333333"/>
                <w:sz w:val="18"/>
              </w:rPr>
              <w:t>上汽集团</w:t>
            </w:r>
          </w:p>
        </w:tc>
        <w:tc>
          <w:tcPr>
            <w:tcW w:w="1134" w:type="dxa"/>
          </w:tcPr>
          <w:p w14:paraId="28D38CD3">
            <w:pPr>
              <w:jc w:val="center"/>
              <w:rPr>
                <w:rFonts w:hint="eastAsia" w:ascii="宋体" w:hAnsi="宋体" w:eastAsia="宋体" w:cs="宋体"/>
              </w:rPr>
            </w:pPr>
            <w:r>
              <w:rPr>
                <w:rFonts w:hint="eastAsia" w:ascii="宋体" w:hAnsi="宋体" w:eastAsia="宋体" w:cs="宋体"/>
                <w:color w:val="333333"/>
                <w:sz w:val="18"/>
              </w:rPr>
              <w:t>1.57</w:t>
            </w:r>
          </w:p>
        </w:tc>
        <w:tc>
          <w:tcPr>
            <w:tcW w:w="1417" w:type="dxa"/>
          </w:tcPr>
          <w:p w14:paraId="7E3A6E1F">
            <w:pPr>
              <w:jc w:val="center"/>
              <w:rPr>
                <w:rFonts w:hint="eastAsia" w:ascii="宋体" w:hAnsi="宋体" w:eastAsia="宋体" w:cs="宋体"/>
              </w:rPr>
            </w:pPr>
            <w:r>
              <w:rPr>
                <w:rFonts w:hint="eastAsia" w:ascii="宋体" w:hAnsi="宋体" w:eastAsia="宋体" w:cs="宋体"/>
                <w:color w:val="333333"/>
                <w:sz w:val="18"/>
              </w:rPr>
              <w:t>危险区</w:t>
            </w:r>
          </w:p>
        </w:tc>
        <w:tc>
          <w:tcPr>
            <w:tcW w:w="1134" w:type="dxa"/>
          </w:tcPr>
          <w:p w14:paraId="28BB5471">
            <w:pPr>
              <w:jc w:val="center"/>
              <w:rPr>
                <w:rFonts w:hint="eastAsia" w:ascii="宋体" w:hAnsi="宋体" w:eastAsia="宋体" w:cs="宋体"/>
              </w:rPr>
            </w:pPr>
            <w:r>
              <w:rPr>
                <w:rFonts w:hint="eastAsia" w:ascii="宋体" w:hAnsi="宋体" w:eastAsia="宋体" w:cs="宋体"/>
                <w:color w:val="333333"/>
                <w:sz w:val="18"/>
              </w:rPr>
              <w:t>4</w:t>
            </w:r>
          </w:p>
        </w:tc>
      </w:tr>
      <w:tr w14:paraId="3B3865D5">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2947F9CF">
            <w:pPr>
              <w:jc w:val="left"/>
              <w:rPr>
                <w:rFonts w:hint="eastAsia" w:ascii="宋体" w:hAnsi="宋体" w:eastAsia="宋体" w:cs="宋体"/>
              </w:rPr>
            </w:pPr>
            <w:r>
              <w:rPr>
                <w:rFonts w:hint="eastAsia" w:ascii="宋体" w:hAnsi="宋体" w:eastAsia="宋体" w:cs="宋体"/>
                <w:color w:val="333333"/>
                <w:sz w:val="18"/>
              </w:rPr>
              <w:t>比亚迪</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6069D95A">
            <w:pPr>
              <w:jc w:val="center"/>
              <w:rPr>
                <w:rFonts w:hint="eastAsia" w:ascii="宋体" w:hAnsi="宋体" w:eastAsia="宋体" w:cs="宋体"/>
              </w:rPr>
            </w:pPr>
            <w:r>
              <w:rPr>
                <w:rFonts w:hint="eastAsia" w:ascii="宋体" w:hAnsi="宋体" w:eastAsia="宋体" w:cs="宋体"/>
                <w:color w:val="333333"/>
                <w:sz w:val="18"/>
              </w:rPr>
              <w:t>1.38</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4E6343F7">
            <w:pPr>
              <w:jc w:val="center"/>
              <w:rPr>
                <w:rFonts w:hint="eastAsia" w:ascii="宋体" w:hAnsi="宋体" w:eastAsia="宋体" w:cs="宋体"/>
              </w:rPr>
            </w:pPr>
            <w:r>
              <w:rPr>
                <w:rFonts w:hint="eastAsia" w:ascii="宋体" w:hAnsi="宋体" w:eastAsia="宋体" w:cs="宋体"/>
                <w:color w:val="333333"/>
                <w:sz w:val="18"/>
              </w:rPr>
              <w:t>危险区</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52B4D5B6">
            <w:pPr>
              <w:jc w:val="center"/>
              <w:rPr>
                <w:rFonts w:hint="eastAsia" w:ascii="宋体" w:hAnsi="宋体" w:eastAsia="宋体" w:cs="宋体"/>
              </w:rPr>
            </w:pPr>
            <w:r>
              <w:rPr>
                <w:rFonts w:hint="eastAsia" w:ascii="宋体" w:hAnsi="宋体" w:eastAsia="宋体" w:cs="宋体"/>
                <w:color w:val="333333"/>
                <w:sz w:val="18"/>
              </w:rPr>
              <w:t>5</w:t>
            </w:r>
          </w:p>
        </w:tc>
      </w:tr>
      <w:tr w14:paraId="2310C1CE">
        <w:tblPrEx>
          <w:tblCellMar>
            <w:top w:w="0" w:type="dxa"/>
            <w:left w:w="108" w:type="dxa"/>
            <w:bottom w:w="0" w:type="dxa"/>
            <w:right w:w="108" w:type="dxa"/>
          </w:tblCellMar>
        </w:tblPrEx>
        <w:trPr>
          <w:jc w:val="center"/>
        </w:trPr>
        <w:tc>
          <w:tcPr>
            <w:tcW w:w="1417" w:type="dxa"/>
          </w:tcPr>
          <w:p w14:paraId="4EB3D481">
            <w:pPr>
              <w:jc w:val="left"/>
              <w:rPr>
                <w:rFonts w:hint="eastAsia" w:ascii="宋体" w:hAnsi="宋体" w:eastAsia="宋体" w:cs="宋体"/>
              </w:rPr>
            </w:pPr>
            <w:r>
              <w:rPr>
                <w:rFonts w:hint="eastAsia" w:ascii="宋体" w:hAnsi="宋体" w:eastAsia="宋体" w:cs="宋体"/>
                <w:color w:val="333333"/>
                <w:sz w:val="18"/>
              </w:rPr>
              <w:t>广汽集团</w:t>
            </w:r>
          </w:p>
        </w:tc>
        <w:tc>
          <w:tcPr>
            <w:tcW w:w="1134" w:type="dxa"/>
          </w:tcPr>
          <w:p w14:paraId="205C446B">
            <w:pPr>
              <w:jc w:val="center"/>
              <w:rPr>
                <w:rFonts w:hint="eastAsia" w:ascii="宋体" w:hAnsi="宋体" w:eastAsia="宋体" w:cs="宋体"/>
              </w:rPr>
            </w:pPr>
            <w:r>
              <w:rPr>
                <w:rFonts w:hint="eastAsia" w:ascii="宋体" w:hAnsi="宋体" w:eastAsia="宋体" w:cs="宋体"/>
                <w:color w:val="333333"/>
                <w:sz w:val="18"/>
              </w:rPr>
              <w:t>1.32</w:t>
            </w:r>
          </w:p>
        </w:tc>
        <w:tc>
          <w:tcPr>
            <w:tcW w:w="1417" w:type="dxa"/>
          </w:tcPr>
          <w:p w14:paraId="63AEC377">
            <w:pPr>
              <w:jc w:val="center"/>
              <w:rPr>
                <w:rFonts w:hint="eastAsia" w:ascii="宋体" w:hAnsi="宋体" w:eastAsia="宋体" w:cs="宋体"/>
              </w:rPr>
            </w:pPr>
            <w:r>
              <w:rPr>
                <w:rFonts w:hint="eastAsia" w:ascii="宋体" w:hAnsi="宋体" w:eastAsia="宋体" w:cs="宋体"/>
                <w:color w:val="333333"/>
                <w:sz w:val="18"/>
              </w:rPr>
              <w:t>危险区</w:t>
            </w:r>
          </w:p>
        </w:tc>
        <w:tc>
          <w:tcPr>
            <w:tcW w:w="1134" w:type="dxa"/>
          </w:tcPr>
          <w:p w14:paraId="0D2768CF">
            <w:pPr>
              <w:jc w:val="center"/>
              <w:rPr>
                <w:rFonts w:hint="eastAsia" w:ascii="宋体" w:hAnsi="宋体" w:eastAsia="宋体" w:cs="宋体"/>
              </w:rPr>
            </w:pPr>
            <w:r>
              <w:rPr>
                <w:rFonts w:hint="eastAsia" w:ascii="宋体" w:hAnsi="宋体" w:eastAsia="宋体" w:cs="宋体"/>
                <w:color w:val="333333"/>
                <w:sz w:val="18"/>
              </w:rPr>
              <w:t>6</w:t>
            </w:r>
          </w:p>
        </w:tc>
      </w:tr>
      <w:tr w14:paraId="7C3E0677">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236753B7">
            <w:pPr>
              <w:jc w:val="left"/>
              <w:rPr>
                <w:rFonts w:hint="eastAsia" w:ascii="宋体" w:hAnsi="宋体" w:eastAsia="宋体" w:cs="宋体"/>
              </w:rPr>
            </w:pPr>
            <w:r>
              <w:rPr>
                <w:rFonts w:hint="eastAsia" w:ascii="宋体" w:hAnsi="宋体" w:eastAsia="宋体" w:cs="宋体"/>
                <w:color w:val="333333"/>
                <w:sz w:val="18"/>
              </w:rPr>
              <w:t>江淮汽车</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23B5A173">
            <w:pPr>
              <w:jc w:val="center"/>
              <w:rPr>
                <w:rFonts w:hint="eastAsia" w:ascii="宋体" w:hAnsi="宋体" w:eastAsia="宋体" w:cs="宋体"/>
              </w:rPr>
            </w:pPr>
            <w:r>
              <w:rPr>
                <w:rFonts w:hint="eastAsia" w:ascii="宋体" w:hAnsi="宋体" w:eastAsia="宋体" w:cs="宋体"/>
                <w:color w:val="333333"/>
                <w:sz w:val="18"/>
              </w:rPr>
              <w:t>0.84</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236F4292">
            <w:pPr>
              <w:jc w:val="center"/>
              <w:rPr>
                <w:rFonts w:hint="eastAsia" w:ascii="宋体" w:hAnsi="宋体" w:eastAsia="宋体" w:cs="宋体"/>
              </w:rPr>
            </w:pPr>
            <w:r>
              <w:rPr>
                <w:rFonts w:hint="eastAsia" w:ascii="宋体" w:hAnsi="宋体" w:eastAsia="宋体" w:cs="宋体"/>
                <w:color w:val="333333"/>
                <w:sz w:val="18"/>
              </w:rPr>
              <w:t>危险区</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51B6B77">
            <w:pPr>
              <w:jc w:val="center"/>
              <w:rPr>
                <w:rFonts w:hint="eastAsia" w:ascii="宋体" w:hAnsi="宋体" w:eastAsia="宋体" w:cs="宋体"/>
              </w:rPr>
            </w:pPr>
            <w:r>
              <w:rPr>
                <w:rFonts w:hint="eastAsia" w:ascii="宋体" w:hAnsi="宋体" w:eastAsia="宋体" w:cs="宋体"/>
                <w:color w:val="333333"/>
                <w:sz w:val="18"/>
              </w:rPr>
              <w:t>7</w:t>
            </w:r>
          </w:p>
        </w:tc>
      </w:tr>
      <w:tr w14:paraId="5223670A">
        <w:tblPrEx>
          <w:tblCellMar>
            <w:top w:w="0" w:type="dxa"/>
            <w:left w:w="108" w:type="dxa"/>
            <w:bottom w:w="0" w:type="dxa"/>
            <w:right w:w="108" w:type="dxa"/>
          </w:tblCellMar>
        </w:tblPrEx>
        <w:trPr>
          <w:jc w:val="center"/>
        </w:trPr>
        <w:tc>
          <w:tcPr>
            <w:tcW w:w="1417" w:type="dxa"/>
          </w:tcPr>
          <w:p w14:paraId="0CEB42B9">
            <w:pPr>
              <w:jc w:val="left"/>
              <w:rPr>
                <w:rFonts w:hint="eastAsia" w:ascii="宋体" w:hAnsi="宋体" w:eastAsia="宋体" w:cs="宋体"/>
              </w:rPr>
            </w:pPr>
            <w:r>
              <w:rPr>
                <w:rFonts w:hint="eastAsia" w:ascii="宋体" w:hAnsi="宋体" w:eastAsia="宋体" w:cs="宋体"/>
                <w:color w:val="333333"/>
                <w:sz w:val="18"/>
              </w:rPr>
              <w:t>北汽蓝谷</w:t>
            </w:r>
          </w:p>
        </w:tc>
        <w:tc>
          <w:tcPr>
            <w:tcW w:w="1134" w:type="dxa"/>
          </w:tcPr>
          <w:p w14:paraId="03A4F398">
            <w:pPr>
              <w:jc w:val="center"/>
              <w:rPr>
                <w:rFonts w:hint="eastAsia" w:ascii="宋体" w:hAnsi="宋体" w:eastAsia="宋体" w:cs="宋体"/>
              </w:rPr>
            </w:pPr>
            <w:r>
              <w:rPr>
                <w:rFonts w:hint="eastAsia" w:ascii="宋体" w:hAnsi="宋体" w:eastAsia="宋体" w:cs="宋体"/>
                <w:color w:val="333333"/>
                <w:sz w:val="18"/>
              </w:rPr>
              <w:t>-1.44</w:t>
            </w:r>
          </w:p>
        </w:tc>
        <w:tc>
          <w:tcPr>
            <w:tcW w:w="1417" w:type="dxa"/>
          </w:tcPr>
          <w:p w14:paraId="2CBD8C3C">
            <w:pPr>
              <w:jc w:val="center"/>
              <w:rPr>
                <w:rFonts w:hint="eastAsia" w:ascii="宋体" w:hAnsi="宋体" w:eastAsia="宋体" w:cs="宋体"/>
              </w:rPr>
            </w:pPr>
            <w:r>
              <w:rPr>
                <w:rFonts w:hint="eastAsia" w:ascii="宋体" w:hAnsi="宋体" w:eastAsia="宋体" w:cs="宋体"/>
                <w:color w:val="333333"/>
                <w:sz w:val="18"/>
              </w:rPr>
              <w:t>危险区</w:t>
            </w:r>
          </w:p>
        </w:tc>
        <w:tc>
          <w:tcPr>
            <w:tcW w:w="1134" w:type="dxa"/>
          </w:tcPr>
          <w:p w14:paraId="39509210">
            <w:pPr>
              <w:jc w:val="center"/>
              <w:rPr>
                <w:rFonts w:hint="eastAsia" w:ascii="宋体" w:hAnsi="宋体" w:eastAsia="宋体" w:cs="宋体"/>
              </w:rPr>
            </w:pPr>
            <w:r>
              <w:rPr>
                <w:rFonts w:hint="eastAsia" w:ascii="宋体" w:hAnsi="宋体" w:eastAsia="宋体" w:cs="宋体"/>
                <w:color w:val="333333"/>
                <w:sz w:val="18"/>
              </w:rPr>
              <w:t>8</w:t>
            </w:r>
          </w:p>
        </w:tc>
      </w:tr>
    </w:tbl>
    <w:p w14:paraId="1A74AD8F">
      <w:pPr>
        <w:spacing w:after="80"/>
        <w:rPr>
          <w:rFonts w:hint="eastAsia" w:ascii="宋体" w:hAnsi="宋体" w:eastAsia="宋体" w:cs="宋体"/>
        </w:rPr>
      </w:pPr>
    </w:p>
    <w:p w14:paraId="043EF0DF">
      <w:pPr>
        <w:spacing w:after="40" w:line="360" w:lineRule="auto"/>
        <w:ind w:firstLine="420"/>
        <w:rPr>
          <w:rFonts w:hint="eastAsia" w:ascii="宋体" w:hAnsi="宋体" w:eastAsia="宋体" w:cs="宋体"/>
        </w:rPr>
      </w:pPr>
      <w:r>
        <w:rPr>
          <w:rFonts w:hint="eastAsia" w:ascii="宋体" w:hAnsi="宋体" w:eastAsia="宋体" w:cs="宋体"/>
          <w:b w:val="0"/>
          <w:sz w:val="24"/>
        </w:rPr>
        <w:t>仅看Z-score数值，8家企业无一进入安全区。但结合前文的经营现金流和盈利能力分析可以发现，长城汽车和长安汽车的"危险区"判定更多是行业特征所致（高研发、轻资产），而非实际破产风险。</w:t>
      </w:r>
    </w:p>
    <w:p w14:paraId="76F35550">
      <w:pPr>
        <w:spacing w:before="240" w:after="120"/>
        <w:outlineLvl w:val="1"/>
        <w:rPr>
          <w:rFonts w:hint="eastAsia" w:ascii="宋体" w:hAnsi="宋体" w:eastAsia="宋体" w:cs="宋体"/>
        </w:rPr>
      </w:pPr>
      <w:r>
        <w:rPr>
          <w:rFonts w:hint="eastAsia" w:ascii="宋体" w:hAnsi="宋体" w:eastAsia="宋体" w:cs="宋体"/>
          <w:b/>
          <w:color w:val="000000"/>
          <w:sz w:val="28"/>
        </w:rPr>
        <w:t>（二）沃尔评分</w:t>
      </w:r>
    </w:p>
    <w:p w14:paraId="0DD0A320">
      <w:pPr>
        <w:spacing w:after="40" w:line="360" w:lineRule="auto"/>
        <w:ind w:firstLine="420"/>
        <w:rPr>
          <w:rFonts w:hint="eastAsia" w:ascii="宋体" w:hAnsi="宋体" w:eastAsia="宋体" w:cs="宋体"/>
        </w:rPr>
      </w:pPr>
      <w:r>
        <w:rPr>
          <w:rFonts w:hint="eastAsia" w:ascii="宋体" w:hAnsi="宋体" w:eastAsia="宋体" w:cs="宋体"/>
          <w:b w:val="0"/>
          <w:sz w:val="24"/>
        </w:rPr>
        <w:t>选取5个指标合计100分：毛利率15分、有息负债率25分、流动比率25分、总资产周转率15分、营业收入增长率20分。营业收入增长率采用分档评分减少天花板效应。</w:t>
      </w:r>
    </w:p>
    <w:tbl>
      <w:tblPr>
        <w:tblStyle w:val="32"/>
        <w:tblW w:w="0" w:type="auto"/>
        <w:jc w:val="center"/>
        <w:tblLayout w:type="autofit"/>
        <w:tblCellMar>
          <w:top w:w="0" w:type="dxa"/>
          <w:left w:w="108" w:type="dxa"/>
          <w:bottom w:w="0" w:type="dxa"/>
          <w:right w:w="108" w:type="dxa"/>
        </w:tblCellMar>
      </w:tblPr>
      <w:tblGrid>
        <w:gridCol w:w="850"/>
        <w:gridCol w:w="1247"/>
        <w:gridCol w:w="850"/>
        <w:gridCol w:w="1020"/>
        <w:gridCol w:w="1134"/>
        <w:gridCol w:w="850"/>
        <w:gridCol w:w="850"/>
        <w:gridCol w:w="1020"/>
      </w:tblGrid>
      <w:tr w14:paraId="76F1EA4B">
        <w:tblPrEx>
          <w:tblCellMar>
            <w:top w:w="0" w:type="dxa"/>
            <w:left w:w="108" w:type="dxa"/>
            <w:bottom w:w="0" w:type="dxa"/>
            <w:right w:w="108" w:type="dxa"/>
          </w:tblCellMar>
        </w:tblPrEx>
        <w:trPr>
          <w:jc w:val="center"/>
        </w:trPr>
        <w:tc>
          <w:tcPr>
            <w:tcW w:w="850" w:type="dxa"/>
            <w:tcBorders>
              <w:top w:val="single" w:color="2E75B6" w:sz="8" w:space="0"/>
              <w:left w:val="single" w:color="CCCCCC" w:sz="4" w:space="0"/>
              <w:bottom w:val="single" w:color="CCCCCC" w:sz="4" w:space="0"/>
              <w:right w:val="single" w:color="CCCCCC" w:sz="4" w:space="0"/>
            </w:tcBorders>
            <w:shd w:val="clear" w:color="auto" w:fill="D5E8F0"/>
          </w:tcPr>
          <w:p w14:paraId="2B1D52EC">
            <w:pPr>
              <w:jc w:val="center"/>
              <w:rPr>
                <w:rFonts w:hint="eastAsia" w:ascii="宋体" w:hAnsi="宋体" w:eastAsia="宋体" w:cs="宋体"/>
              </w:rPr>
            </w:pPr>
            <w:r>
              <w:rPr>
                <w:rFonts w:hint="eastAsia" w:ascii="宋体" w:hAnsi="宋体" w:eastAsia="宋体" w:cs="宋体"/>
                <w:b/>
                <w:color w:val="1A4789"/>
                <w:sz w:val="18"/>
              </w:rPr>
              <w:t>排名</w:t>
            </w:r>
          </w:p>
        </w:tc>
        <w:tc>
          <w:tcPr>
            <w:tcW w:w="1247" w:type="dxa"/>
            <w:tcBorders>
              <w:top w:val="single" w:color="2E75B6" w:sz="8" w:space="0"/>
              <w:left w:val="single" w:color="CCCCCC" w:sz="4" w:space="0"/>
              <w:bottom w:val="single" w:color="CCCCCC" w:sz="4" w:space="0"/>
              <w:right w:val="single" w:color="CCCCCC" w:sz="4" w:space="0"/>
            </w:tcBorders>
            <w:shd w:val="clear" w:color="auto" w:fill="D5E8F0"/>
          </w:tcPr>
          <w:p w14:paraId="01521643">
            <w:pPr>
              <w:jc w:val="center"/>
              <w:rPr>
                <w:rFonts w:hint="eastAsia" w:ascii="宋体" w:hAnsi="宋体" w:eastAsia="宋体" w:cs="宋体"/>
              </w:rPr>
            </w:pPr>
            <w:r>
              <w:rPr>
                <w:rFonts w:hint="eastAsia" w:ascii="宋体" w:hAnsi="宋体" w:eastAsia="宋体" w:cs="宋体"/>
                <w:b/>
                <w:color w:val="1A4789"/>
                <w:sz w:val="18"/>
              </w:rPr>
              <w:t>企业</w:t>
            </w:r>
          </w:p>
        </w:tc>
        <w:tc>
          <w:tcPr>
            <w:tcW w:w="850" w:type="dxa"/>
            <w:tcBorders>
              <w:top w:val="single" w:color="2E75B6" w:sz="8" w:space="0"/>
              <w:left w:val="single" w:color="CCCCCC" w:sz="4" w:space="0"/>
              <w:bottom w:val="single" w:color="CCCCCC" w:sz="4" w:space="0"/>
              <w:right w:val="single" w:color="CCCCCC" w:sz="4" w:space="0"/>
            </w:tcBorders>
            <w:shd w:val="clear" w:color="auto" w:fill="D5E8F0"/>
          </w:tcPr>
          <w:p w14:paraId="6846B638">
            <w:pPr>
              <w:jc w:val="center"/>
              <w:rPr>
                <w:rFonts w:hint="eastAsia" w:ascii="宋体" w:hAnsi="宋体" w:eastAsia="宋体" w:cs="宋体"/>
              </w:rPr>
            </w:pPr>
            <w:r>
              <w:rPr>
                <w:rFonts w:hint="eastAsia" w:ascii="宋体" w:hAnsi="宋体" w:eastAsia="宋体" w:cs="宋体"/>
                <w:b/>
                <w:color w:val="1A4789"/>
                <w:sz w:val="18"/>
              </w:rPr>
              <w:t>总分</w:t>
            </w:r>
          </w:p>
        </w:tc>
        <w:tc>
          <w:tcPr>
            <w:tcW w:w="1020" w:type="dxa"/>
            <w:tcBorders>
              <w:top w:val="single" w:color="2E75B6" w:sz="8" w:space="0"/>
              <w:left w:val="single" w:color="CCCCCC" w:sz="4" w:space="0"/>
              <w:bottom w:val="single" w:color="CCCCCC" w:sz="4" w:space="0"/>
              <w:right w:val="single" w:color="CCCCCC" w:sz="4" w:space="0"/>
            </w:tcBorders>
            <w:shd w:val="clear" w:color="auto" w:fill="D5E8F0"/>
          </w:tcPr>
          <w:p w14:paraId="78C761D4">
            <w:pPr>
              <w:jc w:val="center"/>
              <w:rPr>
                <w:rFonts w:hint="eastAsia" w:ascii="宋体" w:hAnsi="宋体" w:eastAsia="宋体" w:cs="宋体"/>
              </w:rPr>
            </w:pPr>
            <w:r>
              <w:rPr>
                <w:rFonts w:hint="eastAsia" w:ascii="宋体" w:hAnsi="宋体" w:eastAsia="宋体" w:cs="宋体"/>
                <w:b/>
                <w:color w:val="1A4789"/>
                <w:sz w:val="18"/>
              </w:rPr>
              <w:t>毛利率(15)</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301213B9">
            <w:pPr>
              <w:jc w:val="center"/>
              <w:rPr>
                <w:rFonts w:hint="eastAsia" w:ascii="宋体" w:hAnsi="宋体" w:eastAsia="宋体" w:cs="宋体"/>
              </w:rPr>
            </w:pPr>
            <w:r>
              <w:rPr>
                <w:rFonts w:hint="eastAsia" w:ascii="宋体" w:hAnsi="宋体" w:eastAsia="宋体" w:cs="宋体"/>
                <w:b/>
                <w:color w:val="1A4789"/>
                <w:sz w:val="18"/>
              </w:rPr>
              <w:t>有息负债率(25)</w:t>
            </w:r>
          </w:p>
        </w:tc>
        <w:tc>
          <w:tcPr>
            <w:tcW w:w="850" w:type="dxa"/>
            <w:tcBorders>
              <w:top w:val="single" w:color="2E75B6" w:sz="8" w:space="0"/>
              <w:left w:val="single" w:color="CCCCCC" w:sz="4" w:space="0"/>
              <w:bottom w:val="single" w:color="CCCCCC" w:sz="4" w:space="0"/>
              <w:right w:val="single" w:color="CCCCCC" w:sz="4" w:space="0"/>
            </w:tcBorders>
            <w:shd w:val="clear" w:color="auto" w:fill="D5E8F0"/>
          </w:tcPr>
          <w:p w14:paraId="7C1F46F9">
            <w:pPr>
              <w:jc w:val="center"/>
              <w:rPr>
                <w:rFonts w:hint="eastAsia" w:ascii="宋体" w:hAnsi="宋体" w:eastAsia="宋体" w:cs="宋体"/>
              </w:rPr>
            </w:pPr>
            <w:r>
              <w:rPr>
                <w:rFonts w:hint="eastAsia" w:ascii="宋体" w:hAnsi="宋体" w:eastAsia="宋体" w:cs="宋体"/>
                <w:b/>
                <w:color w:val="1A4789"/>
                <w:sz w:val="18"/>
              </w:rPr>
              <w:t>流动比率(25)</w:t>
            </w:r>
          </w:p>
        </w:tc>
        <w:tc>
          <w:tcPr>
            <w:tcW w:w="850" w:type="dxa"/>
            <w:tcBorders>
              <w:top w:val="single" w:color="2E75B6" w:sz="8" w:space="0"/>
              <w:left w:val="single" w:color="CCCCCC" w:sz="4" w:space="0"/>
              <w:bottom w:val="single" w:color="CCCCCC" w:sz="4" w:space="0"/>
              <w:right w:val="single" w:color="CCCCCC" w:sz="4" w:space="0"/>
            </w:tcBorders>
            <w:shd w:val="clear" w:color="auto" w:fill="D5E8F0"/>
          </w:tcPr>
          <w:p w14:paraId="751BC734">
            <w:pPr>
              <w:jc w:val="center"/>
              <w:rPr>
                <w:rFonts w:hint="eastAsia" w:ascii="宋体" w:hAnsi="宋体" w:eastAsia="宋体" w:cs="宋体"/>
              </w:rPr>
            </w:pPr>
            <w:r>
              <w:rPr>
                <w:rFonts w:hint="eastAsia" w:ascii="宋体" w:hAnsi="宋体" w:eastAsia="宋体" w:cs="宋体"/>
                <w:b/>
                <w:color w:val="1A4789"/>
                <w:sz w:val="18"/>
              </w:rPr>
              <w:t>周转率(15)</w:t>
            </w:r>
          </w:p>
        </w:tc>
        <w:tc>
          <w:tcPr>
            <w:tcW w:w="1020" w:type="dxa"/>
            <w:tcBorders>
              <w:top w:val="single" w:color="2E75B6" w:sz="8" w:space="0"/>
              <w:left w:val="single" w:color="CCCCCC" w:sz="4" w:space="0"/>
              <w:bottom w:val="single" w:color="CCCCCC" w:sz="4" w:space="0"/>
              <w:right w:val="single" w:color="CCCCCC" w:sz="4" w:space="0"/>
            </w:tcBorders>
            <w:shd w:val="clear" w:color="auto" w:fill="D5E8F0"/>
          </w:tcPr>
          <w:p w14:paraId="5F7C9461">
            <w:pPr>
              <w:jc w:val="center"/>
              <w:rPr>
                <w:rFonts w:hint="eastAsia" w:ascii="宋体" w:hAnsi="宋体" w:eastAsia="宋体" w:cs="宋体"/>
              </w:rPr>
            </w:pPr>
            <w:r>
              <w:rPr>
                <w:rFonts w:hint="eastAsia" w:ascii="宋体" w:hAnsi="宋体" w:eastAsia="宋体" w:cs="宋体"/>
                <w:b/>
                <w:color w:val="1A4789"/>
                <w:sz w:val="18"/>
              </w:rPr>
              <w:t>营收增长(20)</w:t>
            </w:r>
          </w:p>
        </w:tc>
      </w:tr>
      <w:tr w14:paraId="63B33A02">
        <w:tblPrEx>
          <w:tblCellMar>
            <w:top w:w="0" w:type="dxa"/>
            <w:left w:w="108" w:type="dxa"/>
            <w:bottom w:w="0" w:type="dxa"/>
            <w:right w:w="108" w:type="dxa"/>
          </w:tblCellMar>
        </w:tblPrEx>
        <w:trPr>
          <w:jc w:val="center"/>
        </w:trPr>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323A1E40">
            <w:pPr>
              <w:jc w:val="left"/>
              <w:rPr>
                <w:rFonts w:hint="eastAsia" w:ascii="宋体" w:hAnsi="宋体" w:eastAsia="宋体" w:cs="宋体"/>
              </w:rPr>
            </w:pPr>
            <w:r>
              <w:rPr>
                <w:rFonts w:hint="eastAsia" w:ascii="宋体" w:hAnsi="宋体" w:eastAsia="宋体" w:cs="宋体"/>
                <w:color w:val="333333"/>
                <w:sz w:val="18"/>
              </w:rPr>
              <w:t>1</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03BFAF4F">
            <w:pPr>
              <w:jc w:val="center"/>
              <w:rPr>
                <w:rFonts w:hint="eastAsia" w:ascii="宋体" w:hAnsi="宋体" w:eastAsia="宋体" w:cs="宋体"/>
              </w:rPr>
            </w:pPr>
            <w:r>
              <w:rPr>
                <w:rFonts w:hint="eastAsia" w:ascii="宋体" w:hAnsi="宋体" w:eastAsia="宋体" w:cs="宋体"/>
                <w:color w:val="333333"/>
                <w:sz w:val="18"/>
              </w:rPr>
              <w:t>赛力斯</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0DFE91A8">
            <w:pPr>
              <w:jc w:val="center"/>
              <w:rPr>
                <w:rFonts w:hint="eastAsia" w:ascii="宋体" w:hAnsi="宋体" w:eastAsia="宋体" w:cs="宋体"/>
              </w:rPr>
            </w:pPr>
            <w:r>
              <w:rPr>
                <w:rFonts w:hint="eastAsia" w:ascii="宋体" w:hAnsi="宋体" w:eastAsia="宋体" w:cs="宋体"/>
                <w:color w:val="333333"/>
                <w:sz w:val="18"/>
              </w:rPr>
              <w:t>90.4</w:t>
            </w:r>
          </w:p>
        </w:tc>
        <w:tc>
          <w:tcPr>
            <w:tcW w:w="1020" w:type="dxa"/>
            <w:tcBorders>
              <w:top w:val="single" w:color="CCCCCC" w:sz="4" w:space="0"/>
              <w:left w:val="single" w:color="CCCCCC" w:sz="4" w:space="0"/>
              <w:bottom w:val="single" w:color="CCCCCC" w:sz="4" w:space="0"/>
              <w:right w:val="single" w:color="CCCCCC" w:sz="4" w:space="0"/>
            </w:tcBorders>
            <w:shd w:val="clear" w:color="auto" w:fill="F8F9FA"/>
          </w:tcPr>
          <w:p w14:paraId="26A2EA4B">
            <w:pPr>
              <w:jc w:val="center"/>
              <w:rPr>
                <w:rFonts w:hint="eastAsia" w:ascii="宋体" w:hAnsi="宋体" w:eastAsia="宋体" w:cs="宋体"/>
              </w:rPr>
            </w:pPr>
            <w:r>
              <w:rPr>
                <w:rFonts w:hint="eastAsia" w:ascii="宋体" w:hAnsi="宋体" w:eastAsia="宋体" w:cs="宋体"/>
                <w:color w:val="333333"/>
                <w:sz w:val="18"/>
              </w:rPr>
              <w:t>4.4</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CC206B7">
            <w:pPr>
              <w:jc w:val="center"/>
              <w:rPr>
                <w:rFonts w:hint="eastAsia" w:ascii="宋体" w:hAnsi="宋体" w:eastAsia="宋体" w:cs="宋体"/>
              </w:rPr>
            </w:pPr>
            <w:r>
              <w:rPr>
                <w:rFonts w:hint="eastAsia" w:ascii="宋体" w:hAnsi="宋体" w:eastAsia="宋体" w:cs="宋体"/>
                <w:color w:val="333333"/>
                <w:sz w:val="18"/>
              </w:rPr>
              <w:t>2.2</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0CFCE37A">
            <w:pPr>
              <w:jc w:val="center"/>
              <w:rPr>
                <w:rFonts w:hint="eastAsia" w:ascii="宋体" w:hAnsi="宋体" w:eastAsia="宋体" w:cs="宋体"/>
              </w:rPr>
            </w:pPr>
            <w:r>
              <w:rPr>
                <w:rFonts w:hint="eastAsia" w:ascii="宋体" w:hAnsi="宋体" w:eastAsia="宋体" w:cs="宋体"/>
                <w:color w:val="333333"/>
                <w:sz w:val="18"/>
              </w:rPr>
              <w:t>17.6</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318E4B21">
            <w:pPr>
              <w:jc w:val="center"/>
              <w:rPr>
                <w:rFonts w:hint="eastAsia" w:ascii="宋体" w:hAnsi="宋体" w:eastAsia="宋体" w:cs="宋体"/>
              </w:rPr>
            </w:pPr>
            <w:r>
              <w:rPr>
                <w:rFonts w:hint="eastAsia" w:ascii="宋体" w:hAnsi="宋体" w:eastAsia="宋体" w:cs="宋体"/>
                <w:color w:val="333333"/>
                <w:sz w:val="18"/>
              </w:rPr>
              <w:t>26.3</w:t>
            </w:r>
          </w:p>
        </w:tc>
        <w:tc>
          <w:tcPr>
            <w:tcW w:w="1020" w:type="dxa"/>
            <w:tcBorders>
              <w:top w:val="single" w:color="CCCCCC" w:sz="4" w:space="0"/>
              <w:left w:val="single" w:color="CCCCCC" w:sz="4" w:space="0"/>
              <w:bottom w:val="single" w:color="CCCCCC" w:sz="4" w:space="0"/>
              <w:right w:val="single" w:color="CCCCCC" w:sz="4" w:space="0"/>
            </w:tcBorders>
            <w:shd w:val="clear" w:color="auto" w:fill="F8F9FA"/>
          </w:tcPr>
          <w:p w14:paraId="44A59C4D">
            <w:pPr>
              <w:jc w:val="center"/>
              <w:rPr>
                <w:rFonts w:hint="eastAsia" w:ascii="宋体" w:hAnsi="宋体" w:eastAsia="宋体" w:cs="宋体"/>
              </w:rPr>
            </w:pPr>
            <w:r>
              <w:rPr>
                <w:rFonts w:hint="eastAsia" w:ascii="宋体" w:hAnsi="宋体" w:eastAsia="宋体" w:cs="宋体"/>
                <w:color w:val="333333"/>
                <w:sz w:val="18"/>
              </w:rPr>
              <w:t>40.0</w:t>
            </w:r>
          </w:p>
        </w:tc>
      </w:tr>
      <w:tr w14:paraId="6D8317B8">
        <w:tblPrEx>
          <w:tblCellMar>
            <w:top w:w="0" w:type="dxa"/>
            <w:left w:w="108" w:type="dxa"/>
            <w:bottom w:w="0" w:type="dxa"/>
            <w:right w:w="108" w:type="dxa"/>
          </w:tblCellMar>
        </w:tblPrEx>
        <w:trPr>
          <w:jc w:val="center"/>
        </w:trPr>
        <w:tc>
          <w:tcPr>
            <w:tcW w:w="850" w:type="dxa"/>
          </w:tcPr>
          <w:p w14:paraId="3843E9B4">
            <w:pPr>
              <w:jc w:val="left"/>
              <w:rPr>
                <w:rFonts w:hint="eastAsia" w:ascii="宋体" w:hAnsi="宋体" w:eastAsia="宋体" w:cs="宋体"/>
              </w:rPr>
            </w:pPr>
            <w:r>
              <w:rPr>
                <w:rFonts w:hint="eastAsia" w:ascii="宋体" w:hAnsi="宋体" w:eastAsia="宋体" w:cs="宋体"/>
                <w:color w:val="333333"/>
                <w:sz w:val="18"/>
              </w:rPr>
              <w:t>2</w:t>
            </w:r>
          </w:p>
        </w:tc>
        <w:tc>
          <w:tcPr>
            <w:tcW w:w="1247" w:type="dxa"/>
          </w:tcPr>
          <w:p w14:paraId="2011EDFF">
            <w:pPr>
              <w:jc w:val="center"/>
              <w:rPr>
                <w:rFonts w:hint="eastAsia" w:ascii="宋体" w:hAnsi="宋体" w:eastAsia="宋体" w:cs="宋体"/>
              </w:rPr>
            </w:pPr>
            <w:r>
              <w:rPr>
                <w:rFonts w:hint="eastAsia" w:ascii="宋体" w:hAnsi="宋体" w:eastAsia="宋体" w:cs="宋体"/>
                <w:color w:val="333333"/>
                <w:sz w:val="18"/>
              </w:rPr>
              <w:t>长城汽车</w:t>
            </w:r>
          </w:p>
        </w:tc>
        <w:tc>
          <w:tcPr>
            <w:tcW w:w="850" w:type="dxa"/>
          </w:tcPr>
          <w:p w14:paraId="5895EE36">
            <w:pPr>
              <w:jc w:val="center"/>
              <w:rPr>
                <w:rFonts w:hint="eastAsia" w:ascii="宋体" w:hAnsi="宋体" w:eastAsia="宋体" w:cs="宋体"/>
              </w:rPr>
            </w:pPr>
            <w:r>
              <w:rPr>
                <w:rFonts w:hint="eastAsia" w:ascii="宋体" w:hAnsi="宋体" w:eastAsia="宋体" w:cs="宋体"/>
                <w:color w:val="333333"/>
                <w:sz w:val="18"/>
              </w:rPr>
              <w:t>84.9</w:t>
            </w:r>
          </w:p>
        </w:tc>
        <w:tc>
          <w:tcPr>
            <w:tcW w:w="1020" w:type="dxa"/>
          </w:tcPr>
          <w:p w14:paraId="4731BBE9">
            <w:pPr>
              <w:jc w:val="center"/>
              <w:rPr>
                <w:rFonts w:hint="eastAsia" w:ascii="宋体" w:hAnsi="宋体" w:eastAsia="宋体" w:cs="宋体"/>
              </w:rPr>
            </w:pPr>
            <w:r>
              <w:rPr>
                <w:rFonts w:hint="eastAsia" w:ascii="宋体" w:hAnsi="宋体" w:eastAsia="宋体" w:cs="宋体"/>
                <w:color w:val="333333"/>
                <w:sz w:val="18"/>
              </w:rPr>
              <w:t>3.2</w:t>
            </w:r>
          </w:p>
        </w:tc>
        <w:tc>
          <w:tcPr>
            <w:tcW w:w="1134" w:type="dxa"/>
          </w:tcPr>
          <w:p w14:paraId="453F55E4">
            <w:pPr>
              <w:jc w:val="center"/>
              <w:rPr>
                <w:rFonts w:hint="eastAsia" w:ascii="宋体" w:hAnsi="宋体" w:eastAsia="宋体" w:cs="宋体"/>
              </w:rPr>
            </w:pPr>
            <w:r>
              <w:rPr>
                <w:rFonts w:hint="eastAsia" w:ascii="宋体" w:hAnsi="宋体" w:eastAsia="宋体" w:cs="宋体"/>
                <w:color w:val="333333"/>
                <w:sz w:val="18"/>
              </w:rPr>
              <w:t>4.0</w:t>
            </w:r>
          </w:p>
        </w:tc>
        <w:tc>
          <w:tcPr>
            <w:tcW w:w="850" w:type="dxa"/>
          </w:tcPr>
          <w:p w14:paraId="42036301">
            <w:pPr>
              <w:jc w:val="center"/>
              <w:rPr>
                <w:rFonts w:hint="eastAsia" w:ascii="宋体" w:hAnsi="宋体" w:eastAsia="宋体" w:cs="宋体"/>
              </w:rPr>
            </w:pPr>
            <w:r>
              <w:rPr>
                <w:rFonts w:hint="eastAsia" w:ascii="宋体" w:hAnsi="宋体" w:eastAsia="宋体" w:cs="宋体"/>
                <w:color w:val="333333"/>
                <w:sz w:val="18"/>
              </w:rPr>
              <w:t>18.2</w:t>
            </w:r>
          </w:p>
        </w:tc>
        <w:tc>
          <w:tcPr>
            <w:tcW w:w="850" w:type="dxa"/>
          </w:tcPr>
          <w:p w14:paraId="13CA8BD4">
            <w:pPr>
              <w:jc w:val="center"/>
              <w:rPr>
                <w:rFonts w:hint="eastAsia" w:ascii="宋体" w:hAnsi="宋体" w:eastAsia="宋体" w:cs="宋体"/>
              </w:rPr>
            </w:pPr>
            <w:r>
              <w:rPr>
                <w:rFonts w:hint="eastAsia" w:ascii="宋体" w:hAnsi="宋体" w:eastAsia="宋体" w:cs="宋体"/>
                <w:color w:val="333333"/>
                <w:sz w:val="18"/>
              </w:rPr>
              <w:t>19.4</w:t>
            </w:r>
          </w:p>
        </w:tc>
        <w:tc>
          <w:tcPr>
            <w:tcW w:w="1020" w:type="dxa"/>
          </w:tcPr>
          <w:p w14:paraId="5AA76C2C">
            <w:pPr>
              <w:jc w:val="center"/>
              <w:rPr>
                <w:rFonts w:hint="eastAsia" w:ascii="宋体" w:hAnsi="宋体" w:eastAsia="宋体" w:cs="宋体"/>
              </w:rPr>
            </w:pPr>
            <w:r>
              <w:rPr>
                <w:rFonts w:hint="eastAsia" w:ascii="宋体" w:hAnsi="宋体" w:eastAsia="宋体" w:cs="宋体"/>
                <w:color w:val="333333"/>
                <w:sz w:val="18"/>
              </w:rPr>
              <w:t>40.0</w:t>
            </w:r>
          </w:p>
        </w:tc>
      </w:tr>
      <w:tr w14:paraId="3A969C3D">
        <w:tblPrEx>
          <w:tblCellMar>
            <w:top w:w="0" w:type="dxa"/>
            <w:left w:w="108" w:type="dxa"/>
            <w:bottom w:w="0" w:type="dxa"/>
            <w:right w:w="108" w:type="dxa"/>
          </w:tblCellMar>
        </w:tblPrEx>
        <w:trPr>
          <w:jc w:val="center"/>
        </w:trPr>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2356392B">
            <w:pPr>
              <w:jc w:val="left"/>
              <w:rPr>
                <w:rFonts w:hint="eastAsia" w:ascii="宋体" w:hAnsi="宋体" w:eastAsia="宋体" w:cs="宋体"/>
              </w:rPr>
            </w:pPr>
            <w:r>
              <w:rPr>
                <w:rFonts w:hint="eastAsia" w:ascii="宋体" w:hAnsi="宋体" w:eastAsia="宋体" w:cs="宋体"/>
                <w:color w:val="333333"/>
                <w:sz w:val="18"/>
              </w:rPr>
              <w:t>3</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3E52D874">
            <w:pPr>
              <w:jc w:val="center"/>
              <w:rPr>
                <w:rFonts w:hint="eastAsia" w:ascii="宋体" w:hAnsi="宋体" w:eastAsia="宋体" w:cs="宋体"/>
              </w:rPr>
            </w:pPr>
            <w:r>
              <w:rPr>
                <w:rFonts w:hint="eastAsia" w:ascii="宋体" w:hAnsi="宋体" w:eastAsia="宋体" w:cs="宋体"/>
                <w:color w:val="333333"/>
                <w:sz w:val="18"/>
              </w:rPr>
              <w:t>比亚迪</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05C5BAA2">
            <w:pPr>
              <w:jc w:val="center"/>
              <w:rPr>
                <w:rFonts w:hint="eastAsia" w:ascii="宋体" w:hAnsi="宋体" w:eastAsia="宋体" w:cs="宋体"/>
              </w:rPr>
            </w:pPr>
            <w:r>
              <w:rPr>
                <w:rFonts w:hint="eastAsia" w:ascii="宋体" w:hAnsi="宋体" w:eastAsia="宋体" w:cs="宋体"/>
                <w:color w:val="333333"/>
                <w:sz w:val="18"/>
              </w:rPr>
              <w:t>82.5</w:t>
            </w:r>
          </w:p>
        </w:tc>
        <w:tc>
          <w:tcPr>
            <w:tcW w:w="1020" w:type="dxa"/>
            <w:tcBorders>
              <w:top w:val="single" w:color="CCCCCC" w:sz="4" w:space="0"/>
              <w:left w:val="single" w:color="CCCCCC" w:sz="4" w:space="0"/>
              <w:bottom w:val="single" w:color="CCCCCC" w:sz="4" w:space="0"/>
              <w:right w:val="single" w:color="CCCCCC" w:sz="4" w:space="0"/>
            </w:tcBorders>
            <w:shd w:val="clear" w:color="auto" w:fill="F8F9FA"/>
          </w:tcPr>
          <w:p w14:paraId="3B2BF562">
            <w:pPr>
              <w:jc w:val="center"/>
              <w:rPr>
                <w:rFonts w:hint="eastAsia" w:ascii="宋体" w:hAnsi="宋体" w:eastAsia="宋体" w:cs="宋体"/>
              </w:rPr>
            </w:pPr>
            <w:r>
              <w:rPr>
                <w:rFonts w:hint="eastAsia" w:ascii="宋体" w:hAnsi="宋体" w:eastAsia="宋体" w:cs="宋体"/>
                <w:color w:val="333333"/>
                <w:sz w:val="18"/>
              </w:rPr>
              <w:t>3.2</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7353F2CA">
            <w:pPr>
              <w:jc w:val="center"/>
              <w:rPr>
                <w:rFonts w:hint="eastAsia" w:ascii="宋体" w:hAnsi="宋体" w:eastAsia="宋体" w:cs="宋体"/>
              </w:rPr>
            </w:pPr>
            <w:r>
              <w:rPr>
                <w:rFonts w:hint="eastAsia" w:ascii="宋体" w:hAnsi="宋体" w:eastAsia="宋体" w:cs="宋体"/>
                <w:color w:val="333333"/>
                <w:sz w:val="18"/>
              </w:rPr>
              <w:t>7.8</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5E46FF28">
            <w:pPr>
              <w:jc w:val="center"/>
              <w:rPr>
                <w:rFonts w:hint="eastAsia" w:ascii="宋体" w:hAnsi="宋体" w:eastAsia="宋体" w:cs="宋体"/>
              </w:rPr>
            </w:pPr>
            <w:r>
              <w:rPr>
                <w:rFonts w:hint="eastAsia" w:ascii="宋体" w:hAnsi="宋体" w:eastAsia="宋体" w:cs="宋体"/>
                <w:color w:val="333333"/>
                <w:sz w:val="18"/>
              </w:rPr>
              <w:t>13.2</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1D44CD51">
            <w:pPr>
              <w:jc w:val="center"/>
              <w:rPr>
                <w:rFonts w:hint="eastAsia" w:ascii="宋体" w:hAnsi="宋体" w:eastAsia="宋体" w:cs="宋体"/>
              </w:rPr>
            </w:pPr>
            <w:r>
              <w:rPr>
                <w:rFonts w:hint="eastAsia" w:ascii="宋体" w:hAnsi="宋体" w:eastAsia="宋体" w:cs="宋体"/>
                <w:color w:val="333333"/>
                <w:sz w:val="18"/>
              </w:rPr>
              <w:t>18.3</w:t>
            </w:r>
          </w:p>
        </w:tc>
        <w:tc>
          <w:tcPr>
            <w:tcW w:w="1020" w:type="dxa"/>
            <w:tcBorders>
              <w:top w:val="single" w:color="CCCCCC" w:sz="4" w:space="0"/>
              <w:left w:val="single" w:color="CCCCCC" w:sz="4" w:space="0"/>
              <w:bottom w:val="single" w:color="CCCCCC" w:sz="4" w:space="0"/>
              <w:right w:val="single" w:color="CCCCCC" w:sz="4" w:space="0"/>
            </w:tcBorders>
            <w:shd w:val="clear" w:color="auto" w:fill="F8F9FA"/>
          </w:tcPr>
          <w:p w14:paraId="5C87AC95">
            <w:pPr>
              <w:jc w:val="center"/>
              <w:rPr>
                <w:rFonts w:hint="eastAsia" w:ascii="宋体" w:hAnsi="宋体" w:eastAsia="宋体" w:cs="宋体"/>
              </w:rPr>
            </w:pPr>
            <w:r>
              <w:rPr>
                <w:rFonts w:hint="eastAsia" w:ascii="宋体" w:hAnsi="宋体" w:eastAsia="宋体" w:cs="宋体"/>
                <w:color w:val="333333"/>
                <w:sz w:val="18"/>
              </w:rPr>
              <w:t>40.0</w:t>
            </w:r>
          </w:p>
        </w:tc>
      </w:tr>
      <w:tr w14:paraId="20155C67">
        <w:tblPrEx>
          <w:tblCellMar>
            <w:top w:w="0" w:type="dxa"/>
            <w:left w:w="108" w:type="dxa"/>
            <w:bottom w:w="0" w:type="dxa"/>
            <w:right w:w="108" w:type="dxa"/>
          </w:tblCellMar>
        </w:tblPrEx>
        <w:trPr>
          <w:jc w:val="center"/>
        </w:trPr>
        <w:tc>
          <w:tcPr>
            <w:tcW w:w="850" w:type="dxa"/>
          </w:tcPr>
          <w:p w14:paraId="0E21AD71">
            <w:pPr>
              <w:jc w:val="left"/>
              <w:rPr>
                <w:rFonts w:hint="eastAsia" w:ascii="宋体" w:hAnsi="宋体" w:eastAsia="宋体" w:cs="宋体"/>
              </w:rPr>
            </w:pPr>
            <w:r>
              <w:rPr>
                <w:rFonts w:hint="eastAsia" w:ascii="宋体" w:hAnsi="宋体" w:eastAsia="宋体" w:cs="宋体"/>
                <w:color w:val="333333"/>
                <w:sz w:val="18"/>
              </w:rPr>
              <w:t>4</w:t>
            </w:r>
          </w:p>
        </w:tc>
        <w:tc>
          <w:tcPr>
            <w:tcW w:w="1247" w:type="dxa"/>
          </w:tcPr>
          <w:p w14:paraId="476223FA">
            <w:pPr>
              <w:jc w:val="center"/>
              <w:rPr>
                <w:rFonts w:hint="eastAsia" w:ascii="宋体" w:hAnsi="宋体" w:eastAsia="宋体" w:cs="宋体"/>
              </w:rPr>
            </w:pPr>
            <w:r>
              <w:rPr>
                <w:rFonts w:hint="eastAsia" w:ascii="宋体" w:hAnsi="宋体" w:eastAsia="宋体" w:cs="宋体"/>
                <w:color w:val="333333"/>
                <w:sz w:val="18"/>
              </w:rPr>
              <w:t>北汽蓝谷</w:t>
            </w:r>
          </w:p>
        </w:tc>
        <w:tc>
          <w:tcPr>
            <w:tcW w:w="850" w:type="dxa"/>
          </w:tcPr>
          <w:p w14:paraId="06C3DCC0">
            <w:pPr>
              <w:jc w:val="center"/>
              <w:rPr>
                <w:rFonts w:hint="eastAsia" w:ascii="宋体" w:hAnsi="宋体" w:eastAsia="宋体" w:cs="宋体"/>
              </w:rPr>
            </w:pPr>
            <w:r>
              <w:rPr>
                <w:rFonts w:hint="eastAsia" w:ascii="宋体" w:hAnsi="宋体" w:eastAsia="宋体" w:cs="宋体"/>
                <w:color w:val="333333"/>
                <w:sz w:val="18"/>
              </w:rPr>
              <w:t>78.8</w:t>
            </w:r>
          </w:p>
        </w:tc>
        <w:tc>
          <w:tcPr>
            <w:tcW w:w="1020" w:type="dxa"/>
          </w:tcPr>
          <w:p w14:paraId="598B1A1C">
            <w:pPr>
              <w:jc w:val="center"/>
              <w:rPr>
                <w:rFonts w:hint="eastAsia" w:ascii="宋体" w:hAnsi="宋体" w:eastAsia="宋体" w:cs="宋体"/>
              </w:rPr>
            </w:pPr>
            <w:r>
              <w:rPr>
                <w:rFonts w:hint="eastAsia" w:ascii="宋体" w:hAnsi="宋体" w:eastAsia="宋体" w:cs="宋体"/>
                <w:color w:val="333333"/>
                <w:sz w:val="18"/>
              </w:rPr>
              <w:t>0.0</w:t>
            </w:r>
          </w:p>
        </w:tc>
        <w:tc>
          <w:tcPr>
            <w:tcW w:w="1134" w:type="dxa"/>
          </w:tcPr>
          <w:p w14:paraId="3F5808C1">
            <w:pPr>
              <w:jc w:val="center"/>
              <w:rPr>
                <w:rFonts w:hint="eastAsia" w:ascii="宋体" w:hAnsi="宋体" w:eastAsia="宋体" w:cs="宋体"/>
              </w:rPr>
            </w:pPr>
            <w:r>
              <w:rPr>
                <w:rFonts w:hint="eastAsia" w:ascii="宋体" w:hAnsi="宋体" w:eastAsia="宋体" w:cs="宋体"/>
                <w:color w:val="333333"/>
                <w:sz w:val="18"/>
              </w:rPr>
              <w:t>12.1</w:t>
            </w:r>
          </w:p>
        </w:tc>
        <w:tc>
          <w:tcPr>
            <w:tcW w:w="850" w:type="dxa"/>
          </w:tcPr>
          <w:p w14:paraId="193B6BE1">
            <w:pPr>
              <w:jc w:val="center"/>
              <w:rPr>
                <w:rFonts w:hint="eastAsia" w:ascii="宋体" w:hAnsi="宋体" w:eastAsia="宋体" w:cs="宋体"/>
              </w:rPr>
            </w:pPr>
            <w:r>
              <w:rPr>
                <w:rFonts w:hint="eastAsia" w:ascii="宋体" w:hAnsi="宋体" w:eastAsia="宋体" w:cs="宋体"/>
                <w:color w:val="333333"/>
                <w:sz w:val="18"/>
              </w:rPr>
              <w:t>10.9</w:t>
            </w:r>
          </w:p>
        </w:tc>
        <w:tc>
          <w:tcPr>
            <w:tcW w:w="850" w:type="dxa"/>
          </w:tcPr>
          <w:p w14:paraId="05A7589F">
            <w:pPr>
              <w:jc w:val="center"/>
              <w:rPr>
                <w:rFonts w:hint="eastAsia" w:ascii="宋体" w:hAnsi="宋体" w:eastAsia="宋体" w:cs="宋体"/>
              </w:rPr>
            </w:pPr>
            <w:r>
              <w:rPr>
                <w:rFonts w:hint="eastAsia" w:ascii="宋体" w:hAnsi="宋体" w:eastAsia="宋体" w:cs="宋体"/>
                <w:color w:val="333333"/>
                <w:sz w:val="18"/>
              </w:rPr>
              <w:t>15.8</w:t>
            </w:r>
          </w:p>
        </w:tc>
        <w:tc>
          <w:tcPr>
            <w:tcW w:w="1020" w:type="dxa"/>
          </w:tcPr>
          <w:p w14:paraId="61186D3C">
            <w:pPr>
              <w:jc w:val="center"/>
              <w:rPr>
                <w:rFonts w:hint="eastAsia" w:ascii="宋体" w:hAnsi="宋体" w:eastAsia="宋体" w:cs="宋体"/>
              </w:rPr>
            </w:pPr>
            <w:r>
              <w:rPr>
                <w:rFonts w:hint="eastAsia" w:ascii="宋体" w:hAnsi="宋体" w:eastAsia="宋体" w:cs="宋体"/>
                <w:color w:val="333333"/>
                <w:sz w:val="18"/>
              </w:rPr>
              <w:t>40.0</w:t>
            </w:r>
          </w:p>
        </w:tc>
      </w:tr>
      <w:tr w14:paraId="56CA5787">
        <w:tblPrEx>
          <w:tblCellMar>
            <w:top w:w="0" w:type="dxa"/>
            <w:left w:w="108" w:type="dxa"/>
            <w:bottom w:w="0" w:type="dxa"/>
            <w:right w:w="108" w:type="dxa"/>
          </w:tblCellMar>
        </w:tblPrEx>
        <w:trPr>
          <w:jc w:val="center"/>
        </w:trPr>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020583DD">
            <w:pPr>
              <w:jc w:val="left"/>
              <w:rPr>
                <w:rFonts w:hint="eastAsia" w:ascii="宋体" w:hAnsi="宋体" w:eastAsia="宋体" w:cs="宋体"/>
              </w:rPr>
            </w:pPr>
            <w:r>
              <w:rPr>
                <w:rFonts w:hint="eastAsia" w:ascii="宋体" w:hAnsi="宋体" w:eastAsia="宋体" w:cs="宋体"/>
                <w:color w:val="333333"/>
                <w:sz w:val="18"/>
              </w:rPr>
              <w:t>5</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62D7BC04">
            <w:pPr>
              <w:jc w:val="center"/>
              <w:rPr>
                <w:rFonts w:hint="eastAsia" w:ascii="宋体" w:hAnsi="宋体" w:eastAsia="宋体" w:cs="宋体"/>
              </w:rPr>
            </w:pPr>
            <w:r>
              <w:rPr>
                <w:rFonts w:hint="eastAsia" w:ascii="宋体" w:hAnsi="宋体" w:eastAsia="宋体" w:cs="宋体"/>
                <w:color w:val="333333"/>
                <w:sz w:val="18"/>
              </w:rPr>
              <w:t>长安汽车</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7676D7D9">
            <w:pPr>
              <w:jc w:val="center"/>
              <w:rPr>
                <w:rFonts w:hint="eastAsia" w:ascii="宋体" w:hAnsi="宋体" w:eastAsia="宋体" w:cs="宋体"/>
              </w:rPr>
            </w:pPr>
            <w:r>
              <w:rPr>
                <w:rFonts w:hint="eastAsia" w:ascii="宋体" w:hAnsi="宋体" w:eastAsia="宋体" w:cs="宋体"/>
                <w:color w:val="333333"/>
                <w:sz w:val="18"/>
              </w:rPr>
              <w:t>78.4</w:t>
            </w:r>
          </w:p>
        </w:tc>
        <w:tc>
          <w:tcPr>
            <w:tcW w:w="1020" w:type="dxa"/>
            <w:tcBorders>
              <w:top w:val="single" w:color="CCCCCC" w:sz="4" w:space="0"/>
              <w:left w:val="single" w:color="CCCCCC" w:sz="4" w:space="0"/>
              <w:bottom w:val="single" w:color="CCCCCC" w:sz="4" w:space="0"/>
              <w:right w:val="single" w:color="CCCCCC" w:sz="4" w:space="0"/>
            </w:tcBorders>
            <w:shd w:val="clear" w:color="auto" w:fill="F8F9FA"/>
          </w:tcPr>
          <w:p w14:paraId="15D42FCF">
            <w:pPr>
              <w:jc w:val="center"/>
              <w:rPr>
                <w:rFonts w:hint="eastAsia" w:ascii="宋体" w:hAnsi="宋体" w:eastAsia="宋体" w:cs="宋体"/>
              </w:rPr>
            </w:pPr>
            <w:r>
              <w:rPr>
                <w:rFonts w:hint="eastAsia" w:ascii="宋体" w:hAnsi="宋体" w:eastAsia="宋体" w:cs="宋体"/>
                <w:color w:val="333333"/>
                <w:sz w:val="18"/>
              </w:rPr>
              <w:t>1.6</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0712549A">
            <w:pPr>
              <w:jc w:val="center"/>
              <w:rPr>
                <w:rFonts w:hint="eastAsia" w:ascii="宋体" w:hAnsi="宋体" w:eastAsia="宋体" w:cs="宋体"/>
              </w:rPr>
            </w:pPr>
            <w:r>
              <w:rPr>
                <w:rFonts w:hint="eastAsia" w:ascii="宋体" w:hAnsi="宋体" w:eastAsia="宋体" w:cs="宋体"/>
                <w:color w:val="333333"/>
                <w:sz w:val="18"/>
              </w:rPr>
              <w:t>0.7</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7EC2352C">
            <w:pPr>
              <w:jc w:val="center"/>
              <w:rPr>
                <w:rFonts w:hint="eastAsia" w:ascii="宋体" w:hAnsi="宋体" w:eastAsia="宋体" w:cs="宋体"/>
              </w:rPr>
            </w:pPr>
            <w:r>
              <w:rPr>
                <w:rFonts w:hint="eastAsia" w:ascii="宋体" w:hAnsi="宋体" w:eastAsia="宋体" w:cs="宋体"/>
                <w:color w:val="333333"/>
                <w:sz w:val="18"/>
              </w:rPr>
              <w:t>20.2</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0D1BB25A">
            <w:pPr>
              <w:jc w:val="center"/>
              <w:rPr>
                <w:rFonts w:hint="eastAsia" w:ascii="宋体" w:hAnsi="宋体" w:eastAsia="宋体" w:cs="宋体"/>
              </w:rPr>
            </w:pPr>
            <w:r>
              <w:rPr>
                <w:rFonts w:hint="eastAsia" w:ascii="宋体" w:hAnsi="宋体" w:eastAsia="宋体" w:cs="宋体"/>
                <w:color w:val="333333"/>
                <w:sz w:val="18"/>
              </w:rPr>
              <w:t>15.9</w:t>
            </w:r>
          </w:p>
        </w:tc>
        <w:tc>
          <w:tcPr>
            <w:tcW w:w="1020" w:type="dxa"/>
            <w:tcBorders>
              <w:top w:val="single" w:color="CCCCCC" w:sz="4" w:space="0"/>
              <w:left w:val="single" w:color="CCCCCC" w:sz="4" w:space="0"/>
              <w:bottom w:val="single" w:color="CCCCCC" w:sz="4" w:space="0"/>
              <w:right w:val="single" w:color="CCCCCC" w:sz="4" w:space="0"/>
            </w:tcBorders>
            <w:shd w:val="clear" w:color="auto" w:fill="F8F9FA"/>
          </w:tcPr>
          <w:p w14:paraId="77E1BD87">
            <w:pPr>
              <w:jc w:val="center"/>
              <w:rPr>
                <w:rFonts w:hint="eastAsia" w:ascii="宋体" w:hAnsi="宋体" w:eastAsia="宋体" w:cs="宋体"/>
              </w:rPr>
            </w:pPr>
            <w:r>
              <w:rPr>
                <w:rFonts w:hint="eastAsia" w:ascii="宋体" w:hAnsi="宋体" w:eastAsia="宋体" w:cs="宋体"/>
                <w:color w:val="333333"/>
                <w:sz w:val="18"/>
              </w:rPr>
              <w:t>40.0</w:t>
            </w:r>
          </w:p>
        </w:tc>
      </w:tr>
      <w:tr w14:paraId="44B9AC06">
        <w:tblPrEx>
          <w:tblCellMar>
            <w:top w:w="0" w:type="dxa"/>
            <w:left w:w="108" w:type="dxa"/>
            <w:bottom w:w="0" w:type="dxa"/>
            <w:right w:w="108" w:type="dxa"/>
          </w:tblCellMar>
        </w:tblPrEx>
        <w:trPr>
          <w:jc w:val="center"/>
        </w:trPr>
        <w:tc>
          <w:tcPr>
            <w:tcW w:w="850" w:type="dxa"/>
          </w:tcPr>
          <w:p w14:paraId="6142063F">
            <w:pPr>
              <w:jc w:val="left"/>
              <w:rPr>
                <w:rFonts w:hint="eastAsia" w:ascii="宋体" w:hAnsi="宋体" w:eastAsia="宋体" w:cs="宋体"/>
              </w:rPr>
            </w:pPr>
            <w:r>
              <w:rPr>
                <w:rFonts w:hint="eastAsia" w:ascii="宋体" w:hAnsi="宋体" w:eastAsia="宋体" w:cs="宋体"/>
                <w:color w:val="333333"/>
                <w:sz w:val="18"/>
              </w:rPr>
              <w:t>6</w:t>
            </w:r>
          </w:p>
        </w:tc>
        <w:tc>
          <w:tcPr>
            <w:tcW w:w="1247" w:type="dxa"/>
          </w:tcPr>
          <w:p w14:paraId="40EC370F">
            <w:pPr>
              <w:jc w:val="center"/>
              <w:rPr>
                <w:rFonts w:hint="eastAsia" w:ascii="宋体" w:hAnsi="宋体" w:eastAsia="宋体" w:cs="宋体"/>
              </w:rPr>
            </w:pPr>
            <w:r>
              <w:rPr>
                <w:rFonts w:hint="eastAsia" w:ascii="宋体" w:hAnsi="宋体" w:eastAsia="宋体" w:cs="宋体"/>
                <w:color w:val="333333"/>
                <w:sz w:val="18"/>
              </w:rPr>
              <w:t>上汽集团</w:t>
            </w:r>
          </w:p>
        </w:tc>
        <w:tc>
          <w:tcPr>
            <w:tcW w:w="850" w:type="dxa"/>
          </w:tcPr>
          <w:p w14:paraId="5530276E">
            <w:pPr>
              <w:jc w:val="center"/>
              <w:rPr>
                <w:rFonts w:hint="eastAsia" w:ascii="宋体" w:hAnsi="宋体" w:eastAsia="宋体" w:cs="宋体"/>
              </w:rPr>
            </w:pPr>
            <w:r>
              <w:rPr>
                <w:rFonts w:hint="eastAsia" w:ascii="宋体" w:hAnsi="宋体" w:eastAsia="宋体" w:cs="宋体"/>
                <w:color w:val="333333"/>
                <w:sz w:val="18"/>
              </w:rPr>
              <w:t>78.4</w:t>
            </w:r>
          </w:p>
        </w:tc>
        <w:tc>
          <w:tcPr>
            <w:tcW w:w="1020" w:type="dxa"/>
          </w:tcPr>
          <w:p w14:paraId="15469E24">
            <w:pPr>
              <w:jc w:val="center"/>
              <w:rPr>
                <w:rFonts w:hint="eastAsia" w:ascii="宋体" w:hAnsi="宋体" w:eastAsia="宋体" w:cs="宋体"/>
              </w:rPr>
            </w:pPr>
            <w:r>
              <w:rPr>
                <w:rFonts w:hint="eastAsia" w:ascii="宋体" w:hAnsi="宋体" w:eastAsia="宋体" w:cs="宋体"/>
                <w:color w:val="333333"/>
                <w:sz w:val="18"/>
              </w:rPr>
              <w:t>0.0</w:t>
            </w:r>
          </w:p>
        </w:tc>
        <w:tc>
          <w:tcPr>
            <w:tcW w:w="1134" w:type="dxa"/>
          </w:tcPr>
          <w:p w14:paraId="18B82E70">
            <w:pPr>
              <w:jc w:val="center"/>
              <w:rPr>
                <w:rFonts w:hint="eastAsia" w:ascii="宋体" w:hAnsi="宋体" w:eastAsia="宋体" w:cs="宋体"/>
              </w:rPr>
            </w:pPr>
            <w:r>
              <w:rPr>
                <w:rFonts w:hint="eastAsia" w:ascii="宋体" w:hAnsi="宋体" w:eastAsia="宋体" w:cs="宋体"/>
                <w:color w:val="333333"/>
                <w:sz w:val="18"/>
              </w:rPr>
              <w:t>5.8</w:t>
            </w:r>
          </w:p>
        </w:tc>
        <w:tc>
          <w:tcPr>
            <w:tcW w:w="850" w:type="dxa"/>
          </w:tcPr>
          <w:p w14:paraId="6897A4B4">
            <w:pPr>
              <w:jc w:val="center"/>
              <w:rPr>
                <w:rFonts w:hint="eastAsia" w:ascii="宋体" w:hAnsi="宋体" w:eastAsia="宋体" w:cs="宋体"/>
              </w:rPr>
            </w:pPr>
            <w:r>
              <w:rPr>
                <w:rFonts w:hint="eastAsia" w:ascii="宋体" w:hAnsi="宋体" w:eastAsia="宋体" w:cs="宋体"/>
                <w:color w:val="333333"/>
                <w:sz w:val="18"/>
              </w:rPr>
              <w:t>19.9</w:t>
            </w:r>
          </w:p>
        </w:tc>
        <w:tc>
          <w:tcPr>
            <w:tcW w:w="850" w:type="dxa"/>
          </w:tcPr>
          <w:p w14:paraId="169F13F8">
            <w:pPr>
              <w:jc w:val="center"/>
              <w:rPr>
                <w:rFonts w:hint="eastAsia" w:ascii="宋体" w:hAnsi="宋体" w:eastAsia="宋体" w:cs="宋体"/>
              </w:rPr>
            </w:pPr>
            <w:r>
              <w:rPr>
                <w:rFonts w:hint="eastAsia" w:ascii="宋体" w:hAnsi="宋体" w:eastAsia="宋体" w:cs="宋体"/>
                <w:color w:val="333333"/>
                <w:sz w:val="18"/>
              </w:rPr>
              <w:t>12.6</w:t>
            </w:r>
          </w:p>
        </w:tc>
        <w:tc>
          <w:tcPr>
            <w:tcW w:w="1020" w:type="dxa"/>
          </w:tcPr>
          <w:p w14:paraId="4AA9551D">
            <w:pPr>
              <w:jc w:val="center"/>
              <w:rPr>
                <w:rFonts w:hint="eastAsia" w:ascii="宋体" w:hAnsi="宋体" w:eastAsia="宋体" w:cs="宋体"/>
              </w:rPr>
            </w:pPr>
            <w:r>
              <w:rPr>
                <w:rFonts w:hint="eastAsia" w:ascii="宋体" w:hAnsi="宋体" w:eastAsia="宋体" w:cs="宋体"/>
                <w:color w:val="333333"/>
                <w:sz w:val="18"/>
              </w:rPr>
              <w:t>40.0</w:t>
            </w:r>
          </w:p>
        </w:tc>
      </w:tr>
      <w:tr w14:paraId="7BE43947">
        <w:tblPrEx>
          <w:tblCellMar>
            <w:top w:w="0" w:type="dxa"/>
            <w:left w:w="108" w:type="dxa"/>
            <w:bottom w:w="0" w:type="dxa"/>
            <w:right w:w="108" w:type="dxa"/>
          </w:tblCellMar>
        </w:tblPrEx>
        <w:trPr>
          <w:jc w:val="center"/>
        </w:trPr>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7075804F">
            <w:pPr>
              <w:jc w:val="left"/>
              <w:rPr>
                <w:rFonts w:hint="eastAsia" w:ascii="宋体" w:hAnsi="宋体" w:eastAsia="宋体" w:cs="宋体"/>
              </w:rPr>
            </w:pPr>
            <w:r>
              <w:rPr>
                <w:rFonts w:hint="eastAsia" w:ascii="宋体" w:hAnsi="宋体" w:eastAsia="宋体" w:cs="宋体"/>
                <w:color w:val="333333"/>
                <w:sz w:val="18"/>
              </w:rPr>
              <w:t>7</w:t>
            </w:r>
          </w:p>
        </w:tc>
        <w:tc>
          <w:tcPr>
            <w:tcW w:w="1247" w:type="dxa"/>
            <w:tcBorders>
              <w:top w:val="single" w:color="CCCCCC" w:sz="4" w:space="0"/>
              <w:left w:val="single" w:color="CCCCCC" w:sz="4" w:space="0"/>
              <w:bottom w:val="single" w:color="CCCCCC" w:sz="4" w:space="0"/>
              <w:right w:val="single" w:color="CCCCCC" w:sz="4" w:space="0"/>
            </w:tcBorders>
            <w:shd w:val="clear" w:color="auto" w:fill="F8F9FA"/>
          </w:tcPr>
          <w:p w14:paraId="59DA3977">
            <w:pPr>
              <w:jc w:val="center"/>
              <w:rPr>
                <w:rFonts w:hint="eastAsia" w:ascii="宋体" w:hAnsi="宋体" w:eastAsia="宋体" w:cs="宋体"/>
              </w:rPr>
            </w:pPr>
            <w:r>
              <w:rPr>
                <w:rFonts w:hint="eastAsia" w:ascii="宋体" w:hAnsi="宋体" w:eastAsia="宋体" w:cs="宋体"/>
                <w:color w:val="333333"/>
                <w:sz w:val="18"/>
              </w:rPr>
              <w:t>江淮汽车</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3CD2FED3">
            <w:pPr>
              <w:jc w:val="center"/>
              <w:rPr>
                <w:rFonts w:hint="eastAsia" w:ascii="宋体" w:hAnsi="宋体" w:eastAsia="宋体" w:cs="宋体"/>
              </w:rPr>
            </w:pPr>
            <w:r>
              <w:rPr>
                <w:rFonts w:hint="eastAsia" w:ascii="宋体" w:hAnsi="宋体" w:eastAsia="宋体" w:cs="宋体"/>
                <w:color w:val="333333"/>
                <w:sz w:val="18"/>
              </w:rPr>
              <w:t>78.2</w:t>
            </w:r>
          </w:p>
        </w:tc>
        <w:tc>
          <w:tcPr>
            <w:tcW w:w="1020" w:type="dxa"/>
            <w:tcBorders>
              <w:top w:val="single" w:color="CCCCCC" w:sz="4" w:space="0"/>
              <w:left w:val="single" w:color="CCCCCC" w:sz="4" w:space="0"/>
              <w:bottom w:val="single" w:color="CCCCCC" w:sz="4" w:space="0"/>
              <w:right w:val="single" w:color="CCCCCC" w:sz="4" w:space="0"/>
            </w:tcBorders>
            <w:shd w:val="clear" w:color="auto" w:fill="F8F9FA"/>
          </w:tcPr>
          <w:p w14:paraId="2718CA5F">
            <w:pPr>
              <w:jc w:val="center"/>
              <w:rPr>
                <w:rFonts w:hint="eastAsia" w:ascii="宋体" w:hAnsi="宋体" w:eastAsia="宋体" w:cs="宋体"/>
              </w:rPr>
            </w:pPr>
            <w:r>
              <w:rPr>
                <w:rFonts w:hint="eastAsia" w:ascii="宋体" w:hAnsi="宋体" w:eastAsia="宋体" w:cs="宋体"/>
                <w:color w:val="333333"/>
                <w:sz w:val="18"/>
              </w:rPr>
              <w:t>0.0</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58B8DAAD">
            <w:pPr>
              <w:jc w:val="center"/>
              <w:rPr>
                <w:rFonts w:hint="eastAsia" w:ascii="宋体" w:hAnsi="宋体" w:eastAsia="宋体" w:cs="宋体"/>
              </w:rPr>
            </w:pPr>
            <w:r>
              <w:rPr>
                <w:rFonts w:hint="eastAsia" w:ascii="宋体" w:hAnsi="宋体" w:eastAsia="宋体" w:cs="宋体"/>
                <w:color w:val="333333"/>
                <w:sz w:val="18"/>
              </w:rPr>
              <w:t>7.6</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20CDD77F">
            <w:pPr>
              <w:jc w:val="center"/>
              <w:rPr>
                <w:rFonts w:hint="eastAsia" w:ascii="宋体" w:hAnsi="宋体" w:eastAsia="宋体" w:cs="宋体"/>
              </w:rPr>
            </w:pPr>
            <w:r>
              <w:rPr>
                <w:rFonts w:hint="eastAsia" w:ascii="宋体" w:hAnsi="宋体" w:eastAsia="宋体" w:cs="宋体"/>
                <w:color w:val="333333"/>
                <w:sz w:val="18"/>
              </w:rPr>
              <w:t>13.4</w:t>
            </w:r>
          </w:p>
        </w:tc>
        <w:tc>
          <w:tcPr>
            <w:tcW w:w="850" w:type="dxa"/>
            <w:tcBorders>
              <w:top w:val="single" w:color="CCCCCC" w:sz="4" w:space="0"/>
              <w:left w:val="single" w:color="CCCCCC" w:sz="4" w:space="0"/>
              <w:bottom w:val="single" w:color="CCCCCC" w:sz="4" w:space="0"/>
              <w:right w:val="single" w:color="CCCCCC" w:sz="4" w:space="0"/>
            </w:tcBorders>
            <w:shd w:val="clear" w:color="auto" w:fill="F8F9FA"/>
          </w:tcPr>
          <w:p w14:paraId="0DE5F9E4">
            <w:pPr>
              <w:jc w:val="center"/>
              <w:rPr>
                <w:rFonts w:hint="eastAsia" w:ascii="宋体" w:hAnsi="宋体" w:eastAsia="宋体" w:cs="宋体"/>
              </w:rPr>
            </w:pPr>
            <w:r>
              <w:rPr>
                <w:rFonts w:hint="eastAsia" w:ascii="宋体" w:hAnsi="宋体" w:eastAsia="宋体" w:cs="宋体"/>
                <w:color w:val="333333"/>
                <w:sz w:val="18"/>
              </w:rPr>
              <w:t>17.2</w:t>
            </w:r>
          </w:p>
        </w:tc>
        <w:tc>
          <w:tcPr>
            <w:tcW w:w="1020" w:type="dxa"/>
            <w:tcBorders>
              <w:top w:val="single" w:color="CCCCCC" w:sz="4" w:space="0"/>
              <w:left w:val="single" w:color="CCCCCC" w:sz="4" w:space="0"/>
              <w:bottom w:val="single" w:color="CCCCCC" w:sz="4" w:space="0"/>
              <w:right w:val="single" w:color="CCCCCC" w:sz="4" w:space="0"/>
            </w:tcBorders>
            <w:shd w:val="clear" w:color="auto" w:fill="F8F9FA"/>
          </w:tcPr>
          <w:p w14:paraId="50F94461">
            <w:pPr>
              <w:jc w:val="center"/>
              <w:rPr>
                <w:rFonts w:hint="eastAsia" w:ascii="宋体" w:hAnsi="宋体" w:eastAsia="宋体" w:cs="宋体"/>
              </w:rPr>
            </w:pPr>
            <w:r>
              <w:rPr>
                <w:rFonts w:hint="eastAsia" w:ascii="宋体" w:hAnsi="宋体" w:eastAsia="宋体" w:cs="宋体"/>
                <w:color w:val="333333"/>
                <w:sz w:val="18"/>
              </w:rPr>
              <w:t>40.0</w:t>
            </w:r>
          </w:p>
        </w:tc>
      </w:tr>
      <w:tr w14:paraId="7C9C846D">
        <w:tblPrEx>
          <w:tblCellMar>
            <w:top w:w="0" w:type="dxa"/>
            <w:left w:w="108" w:type="dxa"/>
            <w:bottom w:w="0" w:type="dxa"/>
            <w:right w:w="108" w:type="dxa"/>
          </w:tblCellMar>
        </w:tblPrEx>
        <w:trPr>
          <w:jc w:val="center"/>
        </w:trPr>
        <w:tc>
          <w:tcPr>
            <w:tcW w:w="850" w:type="dxa"/>
          </w:tcPr>
          <w:p w14:paraId="651A98DF">
            <w:pPr>
              <w:jc w:val="left"/>
              <w:rPr>
                <w:rFonts w:hint="eastAsia" w:ascii="宋体" w:hAnsi="宋体" w:eastAsia="宋体" w:cs="宋体"/>
              </w:rPr>
            </w:pPr>
            <w:r>
              <w:rPr>
                <w:rFonts w:hint="eastAsia" w:ascii="宋体" w:hAnsi="宋体" w:eastAsia="宋体" w:cs="宋体"/>
                <w:color w:val="333333"/>
                <w:sz w:val="18"/>
              </w:rPr>
              <w:t>8</w:t>
            </w:r>
          </w:p>
        </w:tc>
        <w:tc>
          <w:tcPr>
            <w:tcW w:w="1247" w:type="dxa"/>
          </w:tcPr>
          <w:p w14:paraId="7C833680">
            <w:pPr>
              <w:jc w:val="center"/>
              <w:rPr>
                <w:rFonts w:hint="eastAsia" w:ascii="宋体" w:hAnsi="宋体" w:eastAsia="宋体" w:cs="宋体"/>
              </w:rPr>
            </w:pPr>
            <w:r>
              <w:rPr>
                <w:rFonts w:hint="eastAsia" w:ascii="宋体" w:hAnsi="宋体" w:eastAsia="宋体" w:cs="宋体"/>
                <w:color w:val="333333"/>
                <w:sz w:val="18"/>
              </w:rPr>
              <w:t>广汽集团</w:t>
            </w:r>
          </w:p>
        </w:tc>
        <w:tc>
          <w:tcPr>
            <w:tcW w:w="850" w:type="dxa"/>
          </w:tcPr>
          <w:p w14:paraId="1644405E">
            <w:pPr>
              <w:jc w:val="center"/>
              <w:rPr>
                <w:rFonts w:hint="eastAsia" w:ascii="宋体" w:hAnsi="宋体" w:eastAsia="宋体" w:cs="宋体"/>
              </w:rPr>
            </w:pPr>
            <w:r>
              <w:rPr>
                <w:rFonts w:hint="eastAsia" w:ascii="宋体" w:hAnsi="宋体" w:eastAsia="宋体" w:cs="宋体"/>
                <w:color w:val="333333"/>
                <w:sz w:val="18"/>
              </w:rPr>
              <w:t>77.5</w:t>
            </w:r>
          </w:p>
        </w:tc>
        <w:tc>
          <w:tcPr>
            <w:tcW w:w="1020" w:type="dxa"/>
          </w:tcPr>
          <w:p w14:paraId="3120D934">
            <w:pPr>
              <w:jc w:val="center"/>
              <w:rPr>
                <w:rFonts w:hint="eastAsia" w:ascii="宋体" w:hAnsi="宋体" w:eastAsia="宋体" w:cs="宋体"/>
              </w:rPr>
            </w:pPr>
            <w:r>
              <w:rPr>
                <w:rFonts w:hint="eastAsia" w:ascii="宋体" w:hAnsi="宋体" w:eastAsia="宋体" w:cs="宋体"/>
                <w:color w:val="333333"/>
                <w:sz w:val="18"/>
              </w:rPr>
              <w:t>0.0</w:t>
            </w:r>
          </w:p>
        </w:tc>
        <w:tc>
          <w:tcPr>
            <w:tcW w:w="1134" w:type="dxa"/>
          </w:tcPr>
          <w:p w14:paraId="67D831C9">
            <w:pPr>
              <w:jc w:val="center"/>
              <w:rPr>
                <w:rFonts w:hint="eastAsia" w:ascii="宋体" w:hAnsi="宋体" w:eastAsia="宋体" w:cs="宋体"/>
              </w:rPr>
            </w:pPr>
            <w:r>
              <w:rPr>
                <w:rFonts w:hint="eastAsia" w:ascii="宋体" w:hAnsi="宋体" w:eastAsia="宋体" w:cs="宋体"/>
                <w:color w:val="333333"/>
                <w:sz w:val="18"/>
              </w:rPr>
              <w:t>11.3</w:t>
            </w:r>
          </w:p>
        </w:tc>
        <w:tc>
          <w:tcPr>
            <w:tcW w:w="850" w:type="dxa"/>
          </w:tcPr>
          <w:p w14:paraId="4CE7EACB">
            <w:pPr>
              <w:jc w:val="center"/>
              <w:rPr>
                <w:rFonts w:hint="eastAsia" w:ascii="宋体" w:hAnsi="宋体" w:eastAsia="宋体" w:cs="宋体"/>
              </w:rPr>
            </w:pPr>
            <w:r>
              <w:rPr>
                <w:rFonts w:hint="eastAsia" w:ascii="宋体" w:hAnsi="宋体" w:eastAsia="宋体" w:cs="宋体"/>
                <w:color w:val="333333"/>
                <w:sz w:val="18"/>
              </w:rPr>
              <w:t>19.1</w:t>
            </w:r>
          </w:p>
        </w:tc>
        <w:tc>
          <w:tcPr>
            <w:tcW w:w="850" w:type="dxa"/>
          </w:tcPr>
          <w:p w14:paraId="03417DE7">
            <w:pPr>
              <w:jc w:val="center"/>
              <w:rPr>
                <w:rFonts w:hint="eastAsia" w:ascii="宋体" w:hAnsi="宋体" w:eastAsia="宋体" w:cs="宋体"/>
              </w:rPr>
            </w:pPr>
            <w:r>
              <w:rPr>
                <w:rFonts w:hint="eastAsia" w:ascii="宋体" w:hAnsi="宋体" w:eastAsia="宋体" w:cs="宋体"/>
                <w:color w:val="333333"/>
                <w:sz w:val="18"/>
              </w:rPr>
              <w:t>8.2</w:t>
            </w:r>
          </w:p>
        </w:tc>
        <w:tc>
          <w:tcPr>
            <w:tcW w:w="1020" w:type="dxa"/>
          </w:tcPr>
          <w:p w14:paraId="5A9754BE">
            <w:pPr>
              <w:jc w:val="center"/>
              <w:rPr>
                <w:rFonts w:hint="eastAsia" w:ascii="宋体" w:hAnsi="宋体" w:eastAsia="宋体" w:cs="宋体"/>
              </w:rPr>
            </w:pPr>
            <w:r>
              <w:rPr>
                <w:rFonts w:hint="eastAsia" w:ascii="宋体" w:hAnsi="宋体" w:eastAsia="宋体" w:cs="宋体"/>
                <w:color w:val="333333"/>
                <w:sz w:val="18"/>
              </w:rPr>
              <w:t>38.9</w:t>
            </w:r>
          </w:p>
        </w:tc>
      </w:tr>
    </w:tbl>
    <w:p w14:paraId="10700EF7">
      <w:pPr>
        <w:spacing w:after="80"/>
        <w:rPr>
          <w:rFonts w:hint="eastAsia" w:ascii="宋体" w:hAnsi="宋体" w:eastAsia="宋体" w:cs="宋体"/>
        </w:rPr>
      </w:pPr>
    </w:p>
    <w:p w14:paraId="1F5515FA">
      <w:pPr>
        <w:spacing w:after="40" w:line="360" w:lineRule="auto"/>
        <w:ind w:firstLine="420"/>
        <w:rPr>
          <w:rFonts w:hint="eastAsia" w:ascii="宋体" w:hAnsi="宋体" w:eastAsia="宋体" w:cs="宋体"/>
        </w:rPr>
      </w:pPr>
      <w:r>
        <w:rPr>
          <w:rFonts w:hint="eastAsia" w:ascii="宋体" w:hAnsi="宋体" w:eastAsia="宋体" w:cs="宋体"/>
          <w:b w:val="0"/>
          <w:sz w:val="24"/>
        </w:rPr>
        <w:t>赛力斯排名第一主要得益于高营收增长率和总资产周转率。沃尔评分对高增长企业的偏好是其固有特点——几乎所有企业营收增长率都满分，天花板效应仍有影响。</w:t>
      </w:r>
    </w:p>
    <w:p w14:paraId="0A8BF0B9">
      <w:pPr>
        <w:spacing w:before="360" w:after="240"/>
        <w:jc w:val="center"/>
        <w:outlineLvl w:val="0"/>
        <w:rPr>
          <w:rFonts w:hint="eastAsia" w:ascii="宋体" w:hAnsi="宋体" w:eastAsia="宋体" w:cs="宋体"/>
        </w:rPr>
      </w:pPr>
      <w:r>
        <w:rPr>
          <w:rFonts w:hint="eastAsia" w:ascii="宋体" w:hAnsi="宋体" w:eastAsia="宋体" w:cs="宋体"/>
          <w:b/>
          <w:color w:val="000000"/>
          <w:sz w:val="32"/>
        </w:rPr>
        <w:t>十、销量结构与综合风险</w:t>
      </w:r>
    </w:p>
    <w:p w14:paraId="0AB5FBF6">
      <w:pPr>
        <w:jc w:val="center"/>
        <w:rPr>
          <w:rFonts w:hint="eastAsia" w:ascii="宋体" w:hAnsi="宋体" w:eastAsia="宋体" w:cs="宋体"/>
        </w:rPr>
      </w:pPr>
      <w:r>
        <w:rPr>
          <w:rFonts w:hint="eastAsia" w:ascii="宋体" w:hAnsi="宋体" w:eastAsia="宋体" w:cs="宋体"/>
        </w:rPr>
        <w:drawing>
          <wp:inline distT="0" distB="0" distL="114300" distR="114300">
            <wp:extent cx="5399405" cy="2081530"/>
            <wp:effectExtent l="0" t="0" r="1079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400000" cy="2081564"/>
                    </a:xfrm>
                    <a:prstGeom prst="rect">
                      <a:avLst/>
                    </a:prstGeom>
                  </pic:spPr>
                </pic:pic>
              </a:graphicData>
            </a:graphic>
          </wp:inline>
        </w:drawing>
      </w:r>
    </w:p>
    <w:p w14:paraId="651AC8C0">
      <w:pPr>
        <w:spacing w:after="120"/>
        <w:jc w:val="center"/>
        <w:rPr>
          <w:rFonts w:hint="eastAsia" w:ascii="宋体" w:hAnsi="宋体" w:eastAsia="宋体" w:cs="宋体"/>
        </w:rPr>
      </w:pPr>
      <w:r>
        <w:rPr>
          <w:rFonts w:hint="eastAsia" w:ascii="宋体" w:hAnsi="宋体" w:eastAsia="宋体" w:cs="宋体"/>
          <w:sz w:val="18"/>
        </w:rPr>
        <w:t>图10-1  赛力斯vs长安销量结构对比</w:t>
      </w:r>
    </w:p>
    <w:p w14:paraId="464F8A57">
      <w:pPr>
        <w:spacing w:after="40" w:line="360" w:lineRule="auto"/>
        <w:ind w:firstLine="420"/>
        <w:rPr>
          <w:rFonts w:hint="eastAsia" w:ascii="宋体" w:hAnsi="宋体" w:eastAsia="宋体" w:cs="宋体"/>
        </w:rPr>
      </w:pPr>
      <w:r>
        <w:rPr>
          <w:rFonts w:hint="eastAsia" w:ascii="宋体" w:hAnsi="宋体" w:eastAsia="宋体" w:cs="宋体"/>
          <w:b w:val="0"/>
          <w:sz w:val="24"/>
        </w:rPr>
        <w:t>赛力斯问界系列销量占比从2022年的57.8%上升至2025年的约95%。品牌集中度是其最大的非财务风险——任何涉及华为合作关系变化、问界品牌形象受损或单一车型质量问题，都可能对企业产生系统性影响。长安汽车新能源销量占比从2023年的7.8%升至2025年的约26%，多品牌布局提供了天然风险分散。</w:t>
      </w:r>
    </w:p>
    <w:p w14:paraId="4F8385B4">
      <w:pPr>
        <w:jc w:val="center"/>
        <w:rPr>
          <w:rFonts w:hint="eastAsia" w:ascii="宋体" w:hAnsi="宋体" w:eastAsia="宋体" w:cs="宋体"/>
        </w:rPr>
      </w:pPr>
      <w:r>
        <w:rPr>
          <w:rFonts w:hint="eastAsia" w:ascii="宋体" w:hAnsi="宋体" w:eastAsia="宋体" w:cs="宋体"/>
        </w:rPr>
        <w:drawing>
          <wp:inline distT="0" distB="0" distL="114300" distR="114300">
            <wp:extent cx="4319905" cy="3552825"/>
            <wp:effectExtent l="0" t="0" r="8255" b="133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320000" cy="3553368"/>
                    </a:xfrm>
                    <a:prstGeom prst="rect">
                      <a:avLst/>
                    </a:prstGeom>
                  </pic:spPr>
                </pic:pic>
              </a:graphicData>
            </a:graphic>
          </wp:inline>
        </w:drawing>
      </w:r>
    </w:p>
    <w:p w14:paraId="7EA5570B">
      <w:pPr>
        <w:spacing w:after="120"/>
        <w:jc w:val="center"/>
        <w:rPr>
          <w:rFonts w:hint="eastAsia" w:ascii="宋体" w:hAnsi="宋体" w:eastAsia="宋体" w:cs="宋体"/>
        </w:rPr>
      </w:pPr>
      <w:r>
        <w:rPr>
          <w:rFonts w:hint="eastAsia" w:ascii="宋体" w:hAnsi="宋体" w:eastAsia="宋体" w:cs="宋体"/>
          <w:sz w:val="18"/>
        </w:rPr>
        <w:t>图10-2  综合风险雷达图</w:t>
      </w:r>
    </w:p>
    <w:p w14:paraId="4D52483B">
      <w:pPr>
        <w:jc w:val="center"/>
        <w:rPr>
          <w:rFonts w:hint="eastAsia" w:ascii="宋体" w:hAnsi="宋体" w:eastAsia="宋体" w:cs="宋体"/>
        </w:rPr>
      </w:pPr>
      <w:r>
        <w:rPr>
          <w:rFonts w:hint="eastAsia" w:ascii="宋体" w:hAnsi="宋体" w:eastAsia="宋体" w:cs="宋体"/>
        </w:rPr>
        <w:drawing>
          <wp:inline distT="0" distB="0" distL="114300" distR="114300">
            <wp:extent cx="5039995" cy="4807585"/>
            <wp:effectExtent l="0" t="0" r="4445"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8"/>
                    <a:stretch>
                      <a:fillRect/>
                    </a:stretch>
                  </pic:blipFill>
                  <pic:spPr>
                    <a:xfrm>
                      <a:off x="0" y="0"/>
                      <a:ext cx="5040000" cy="4807645"/>
                    </a:xfrm>
                    <a:prstGeom prst="rect">
                      <a:avLst/>
                    </a:prstGeom>
                  </pic:spPr>
                </pic:pic>
              </a:graphicData>
            </a:graphic>
          </wp:inline>
        </w:drawing>
      </w:r>
    </w:p>
    <w:p w14:paraId="6430D008">
      <w:pPr>
        <w:spacing w:after="120"/>
        <w:jc w:val="center"/>
        <w:rPr>
          <w:rFonts w:hint="eastAsia" w:ascii="宋体" w:hAnsi="宋体" w:eastAsia="宋体" w:cs="宋体"/>
        </w:rPr>
      </w:pPr>
      <w:r>
        <w:rPr>
          <w:rFonts w:hint="eastAsia" w:ascii="宋体" w:hAnsi="宋体" w:eastAsia="宋体" w:cs="宋体"/>
          <w:sz w:val="18"/>
        </w:rPr>
        <w:t>图10-3  赛力斯vs长安五指标十年趋势</w:t>
      </w:r>
    </w:p>
    <w:p w14:paraId="62C29414">
      <w:pPr>
        <w:spacing w:after="40" w:line="360" w:lineRule="auto"/>
        <w:ind w:firstLine="420"/>
        <w:rPr>
          <w:rFonts w:hint="eastAsia" w:ascii="宋体" w:hAnsi="宋体" w:eastAsia="宋体" w:cs="宋体"/>
        </w:rPr>
      </w:pPr>
      <w:r>
        <w:rPr>
          <w:rFonts w:hint="eastAsia" w:ascii="宋体" w:hAnsi="宋体" w:eastAsia="宋体" w:cs="宋体"/>
          <w:b w:val="0"/>
          <w:sz w:val="24"/>
        </w:rPr>
        <w:t>十年趋势图显示，赛力斯在毛利率和净资产收益率上的波动幅度显著大于长安汽车，2023-2024年急剧拉升后2025年快速回落。两种模式在波动性上的差异贯穿整个观察期，与NEV行业景气度的变化节奏高度同步——赛力斯的爆发增长和回调都发生在行业景气度的阶段性高点。</w:t>
      </w:r>
    </w:p>
    <w:p w14:paraId="7D0DFD26">
      <w:pPr>
        <w:spacing w:before="360" w:after="240"/>
        <w:jc w:val="center"/>
        <w:outlineLvl w:val="0"/>
        <w:rPr>
          <w:rFonts w:hint="eastAsia" w:ascii="宋体" w:hAnsi="宋体" w:eastAsia="宋体" w:cs="宋体"/>
        </w:rPr>
      </w:pPr>
      <w:r>
        <w:rPr>
          <w:rFonts w:hint="eastAsia" w:ascii="宋体" w:hAnsi="宋体" w:eastAsia="宋体" w:cs="宋体"/>
          <w:b/>
          <w:color w:val="000000"/>
          <w:sz w:val="32"/>
        </w:rPr>
        <w:t>十一、结论与建议</w:t>
      </w:r>
    </w:p>
    <w:p w14:paraId="5D9A5A69">
      <w:pPr>
        <w:spacing w:before="240" w:after="120"/>
        <w:rPr>
          <w:rFonts w:hint="eastAsia" w:ascii="宋体" w:hAnsi="宋体" w:eastAsia="宋体" w:cs="宋体"/>
        </w:rPr>
      </w:pPr>
      <w:r>
        <w:rPr>
          <w:rFonts w:hint="eastAsia" w:ascii="宋体" w:hAnsi="宋体" w:eastAsia="宋体" w:cs="宋体"/>
          <w:b/>
          <w:color w:val="000000"/>
          <w:sz w:val="28"/>
        </w:rPr>
        <w:t>（一）两种模式财务特征对比</w:t>
      </w:r>
    </w:p>
    <w:tbl>
      <w:tblPr>
        <w:tblStyle w:val="32"/>
        <w:tblW w:w="0" w:type="auto"/>
        <w:jc w:val="center"/>
        <w:tblLayout w:type="autofit"/>
        <w:tblCellMar>
          <w:top w:w="0" w:type="dxa"/>
          <w:left w:w="108" w:type="dxa"/>
          <w:bottom w:w="0" w:type="dxa"/>
          <w:right w:w="108" w:type="dxa"/>
        </w:tblCellMar>
      </w:tblPr>
      <w:tblGrid>
        <w:gridCol w:w="1984"/>
        <w:gridCol w:w="3118"/>
        <w:gridCol w:w="3118"/>
      </w:tblGrid>
      <w:tr w14:paraId="7AB6474B">
        <w:tblPrEx>
          <w:tblCellMar>
            <w:top w:w="0" w:type="dxa"/>
            <w:left w:w="108" w:type="dxa"/>
            <w:bottom w:w="0" w:type="dxa"/>
            <w:right w:w="108" w:type="dxa"/>
          </w:tblCellMar>
        </w:tblPrEx>
        <w:trPr>
          <w:jc w:val="center"/>
        </w:trPr>
        <w:tc>
          <w:tcPr>
            <w:tcW w:w="1984" w:type="dxa"/>
            <w:tcBorders>
              <w:top w:val="single" w:color="2E75B6" w:sz="8" w:space="0"/>
              <w:left w:val="single" w:color="CCCCCC" w:sz="4" w:space="0"/>
              <w:bottom w:val="single" w:color="CCCCCC" w:sz="4" w:space="0"/>
              <w:right w:val="single" w:color="CCCCCC" w:sz="4" w:space="0"/>
            </w:tcBorders>
            <w:shd w:val="clear" w:color="auto" w:fill="D5E8F0"/>
          </w:tcPr>
          <w:p w14:paraId="1FE2441F">
            <w:pPr>
              <w:jc w:val="center"/>
              <w:rPr>
                <w:rFonts w:hint="eastAsia" w:ascii="宋体" w:hAnsi="宋体" w:eastAsia="宋体" w:cs="宋体"/>
              </w:rPr>
            </w:pPr>
            <w:r>
              <w:rPr>
                <w:rFonts w:hint="eastAsia" w:ascii="宋体" w:hAnsi="宋体" w:eastAsia="宋体" w:cs="宋体"/>
                <w:b/>
                <w:color w:val="1A4789"/>
                <w:sz w:val="18"/>
              </w:rPr>
              <w:t>维度</w:t>
            </w:r>
          </w:p>
        </w:tc>
        <w:tc>
          <w:tcPr>
            <w:tcW w:w="3118" w:type="dxa"/>
            <w:tcBorders>
              <w:top w:val="single" w:color="2E75B6" w:sz="8" w:space="0"/>
              <w:left w:val="single" w:color="CCCCCC" w:sz="4" w:space="0"/>
              <w:bottom w:val="single" w:color="CCCCCC" w:sz="4" w:space="0"/>
              <w:right w:val="single" w:color="CCCCCC" w:sz="4" w:space="0"/>
            </w:tcBorders>
            <w:shd w:val="clear" w:color="auto" w:fill="D5E8F0"/>
          </w:tcPr>
          <w:p w14:paraId="2FD77274">
            <w:pPr>
              <w:jc w:val="center"/>
              <w:rPr>
                <w:rFonts w:hint="eastAsia" w:ascii="宋体" w:hAnsi="宋体" w:eastAsia="宋体" w:cs="宋体"/>
              </w:rPr>
            </w:pPr>
            <w:r>
              <w:rPr>
                <w:rFonts w:hint="eastAsia" w:ascii="宋体" w:hAnsi="宋体" w:eastAsia="宋体" w:cs="宋体"/>
                <w:b/>
                <w:color w:val="1A4789"/>
                <w:sz w:val="18"/>
              </w:rPr>
              <w:t>赛力斯</w:t>
            </w:r>
          </w:p>
        </w:tc>
        <w:tc>
          <w:tcPr>
            <w:tcW w:w="3118" w:type="dxa"/>
            <w:tcBorders>
              <w:top w:val="single" w:color="2E75B6" w:sz="8" w:space="0"/>
              <w:left w:val="single" w:color="CCCCCC" w:sz="4" w:space="0"/>
              <w:bottom w:val="single" w:color="CCCCCC" w:sz="4" w:space="0"/>
              <w:right w:val="single" w:color="CCCCCC" w:sz="4" w:space="0"/>
            </w:tcBorders>
            <w:shd w:val="clear" w:color="auto" w:fill="D5E8F0"/>
          </w:tcPr>
          <w:p w14:paraId="0CC61BAE">
            <w:pPr>
              <w:jc w:val="center"/>
              <w:rPr>
                <w:rFonts w:hint="eastAsia" w:ascii="宋体" w:hAnsi="宋体" w:eastAsia="宋体" w:cs="宋体"/>
              </w:rPr>
            </w:pPr>
            <w:r>
              <w:rPr>
                <w:rFonts w:hint="eastAsia" w:ascii="宋体" w:hAnsi="宋体" w:eastAsia="宋体" w:cs="宋体"/>
                <w:b/>
                <w:color w:val="1A4789"/>
                <w:sz w:val="18"/>
              </w:rPr>
              <w:t>长安汽车</w:t>
            </w:r>
          </w:p>
        </w:tc>
      </w:tr>
      <w:tr w14:paraId="7850F52B">
        <w:tblPrEx>
          <w:tblCellMar>
            <w:top w:w="0" w:type="dxa"/>
            <w:left w:w="108" w:type="dxa"/>
            <w:bottom w:w="0" w:type="dxa"/>
            <w:right w:w="108" w:type="dxa"/>
          </w:tblCellMar>
        </w:tblPrEx>
        <w:trPr>
          <w:jc w:val="center"/>
        </w:trPr>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3353A02F">
            <w:pPr>
              <w:jc w:val="left"/>
              <w:rPr>
                <w:rFonts w:hint="eastAsia" w:ascii="宋体" w:hAnsi="宋体" w:eastAsia="宋体" w:cs="宋体"/>
              </w:rPr>
            </w:pPr>
            <w:r>
              <w:rPr>
                <w:rFonts w:hint="eastAsia" w:ascii="宋体" w:hAnsi="宋体" w:eastAsia="宋体" w:cs="宋体"/>
                <w:color w:val="333333"/>
                <w:sz w:val="18"/>
              </w:rPr>
              <w:t>净资产收益率波动</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7251B17D">
            <w:pPr>
              <w:jc w:val="center"/>
              <w:rPr>
                <w:rFonts w:hint="eastAsia" w:ascii="宋体" w:hAnsi="宋体" w:eastAsia="宋体" w:cs="宋体"/>
              </w:rPr>
            </w:pPr>
            <w:r>
              <w:rPr>
                <w:rFonts w:hint="eastAsia" w:ascii="宋体" w:hAnsi="宋体" w:eastAsia="宋体" w:cs="宋体"/>
                <w:color w:val="333333"/>
                <w:sz w:val="18"/>
              </w:rPr>
              <w:t>剧烈（-45.7%至38.7%至15.0%）</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4B791E4F">
            <w:pPr>
              <w:jc w:val="center"/>
              <w:rPr>
                <w:rFonts w:hint="eastAsia" w:ascii="宋体" w:hAnsi="宋体" w:eastAsia="宋体" w:cs="宋体"/>
              </w:rPr>
            </w:pPr>
            <w:r>
              <w:rPr>
                <w:rFonts w:hint="eastAsia" w:ascii="宋体" w:hAnsi="宋体" w:eastAsia="宋体" w:cs="宋体"/>
                <w:color w:val="333333"/>
                <w:sz w:val="18"/>
              </w:rPr>
              <w:t>温和（12.3%至4.1%）</w:t>
            </w:r>
          </w:p>
        </w:tc>
      </w:tr>
      <w:tr w14:paraId="32F41012">
        <w:tblPrEx>
          <w:tblCellMar>
            <w:top w:w="0" w:type="dxa"/>
            <w:left w:w="108" w:type="dxa"/>
            <w:bottom w:w="0" w:type="dxa"/>
            <w:right w:w="108" w:type="dxa"/>
          </w:tblCellMar>
        </w:tblPrEx>
        <w:trPr>
          <w:jc w:val="center"/>
        </w:trPr>
        <w:tc>
          <w:tcPr>
            <w:tcW w:w="1984" w:type="dxa"/>
          </w:tcPr>
          <w:p w14:paraId="032278C4">
            <w:pPr>
              <w:jc w:val="left"/>
              <w:rPr>
                <w:rFonts w:hint="eastAsia" w:ascii="宋体" w:hAnsi="宋体" w:eastAsia="宋体" w:cs="宋体"/>
              </w:rPr>
            </w:pPr>
            <w:r>
              <w:rPr>
                <w:rFonts w:hint="eastAsia" w:ascii="宋体" w:hAnsi="宋体" w:eastAsia="宋体" w:cs="宋体"/>
                <w:color w:val="333333"/>
                <w:sz w:val="18"/>
              </w:rPr>
              <w:t>净资产收益率下降主因</w:t>
            </w:r>
          </w:p>
        </w:tc>
        <w:tc>
          <w:tcPr>
            <w:tcW w:w="3118" w:type="dxa"/>
          </w:tcPr>
          <w:p w14:paraId="316EBE28">
            <w:pPr>
              <w:jc w:val="center"/>
              <w:rPr>
                <w:rFonts w:hint="eastAsia" w:ascii="宋体" w:hAnsi="宋体" w:eastAsia="宋体" w:cs="宋体"/>
              </w:rPr>
            </w:pPr>
            <w:r>
              <w:rPr>
                <w:rFonts w:hint="eastAsia" w:ascii="宋体" w:hAnsi="宋体" w:eastAsia="宋体" w:cs="宋体"/>
                <w:color w:val="333333"/>
                <w:sz w:val="18"/>
              </w:rPr>
              <w:t>去杠杆-17.8pp+周转下降-11.2pp</w:t>
            </w:r>
          </w:p>
        </w:tc>
        <w:tc>
          <w:tcPr>
            <w:tcW w:w="3118" w:type="dxa"/>
          </w:tcPr>
          <w:p w14:paraId="76285D2B">
            <w:pPr>
              <w:jc w:val="center"/>
              <w:rPr>
                <w:rFonts w:hint="eastAsia" w:ascii="宋体" w:hAnsi="宋体" w:eastAsia="宋体" w:cs="宋体"/>
              </w:rPr>
            </w:pPr>
            <w:r>
              <w:rPr>
                <w:rFonts w:hint="eastAsia" w:ascii="宋体" w:hAnsi="宋体" w:eastAsia="宋体" w:cs="宋体"/>
                <w:color w:val="333333"/>
                <w:sz w:val="18"/>
              </w:rPr>
              <w:t>净利率下滑-3.9pp</w:t>
            </w:r>
          </w:p>
        </w:tc>
      </w:tr>
      <w:tr w14:paraId="4F1A7A78">
        <w:tblPrEx>
          <w:tblCellMar>
            <w:top w:w="0" w:type="dxa"/>
            <w:left w:w="108" w:type="dxa"/>
            <w:bottom w:w="0" w:type="dxa"/>
            <w:right w:w="108" w:type="dxa"/>
          </w:tblCellMar>
        </w:tblPrEx>
        <w:trPr>
          <w:jc w:val="center"/>
        </w:trPr>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0DACCFE2">
            <w:pPr>
              <w:jc w:val="left"/>
              <w:rPr>
                <w:rFonts w:hint="eastAsia" w:ascii="宋体" w:hAnsi="宋体" w:eastAsia="宋体" w:cs="宋体"/>
              </w:rPr>
            </w:pPr>
            <w:r>
              <w:rPr>
                <w:rFonts w:hint="eastAsia" w:ascii="宋体" w:hAnsi="宋体" w:eastAsia="宋体" w:cs="宋体"/>
                <w:color w:val="333333"/>
                <w:sz w:val="18"/>
              </w:rPr>
              <w:t>现金流模式</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419FDF5F">
            <w:pPr>
              <w:jc w:val="center"/>
              <w:rPr>
                <w:rFonts w:hint="eastAsia" w:ascii="宋体" w:hAnsi="宋体" w:eastAsia="宋体" w:cs="宋体"/>
              </w:rPr>
            </w:pPr>
            <w:r>
              <w:rPr>
                <w:rFonts w:hint="eastAsia" w:ascii="宋体" w:hAnsi="宋体" w:eastAsia="宋体" w:cs="宋体"/>
                <w:color w:val="333333"/>
                <w:sz w:val="18"/>
              </w:rPr>
              <w:t>经营+/投资-/筹资+（成长期）</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36A222CD">
            <w:pPr>
              <w:jc w:val="center"/>
              <w:rPr>
                <w:rFonts w:hint="eastAsia" w:ascii="宋体" w:hAnsi="宋体" w:eastAsia="宋体" w:cs="宋体"/>
              </w:rPr>
            </w:pPr>
            <w:r>
              <w:rPr>
                <w:rFonts w:hint="eastAsia" w:ascii="宋体" w:hAnsi="宋体" w:eastAsia="宋体" w:cs="宋体"/>
                <w:color w:val="333333"/>
                <w:sz w:val="18"/>
              </w:rPr>
              <w:t>经营+/投资-/筹资-（成熟期）</w:t>
            </w:r>
          </w:p>
        </w:tc>
      </w:tr>
      <w:tr w14:paraId="5EA1FF68">
        <w:tblPrEx>
          <w:tblCellMar>
            <w:top w:w="0" w:type="dxa"/>
            <w:left w:w="108" w:type="dxa"/>
            <w:bottom w:w="0" w:type="dxa"/>
            <w:right w:w="108" w:type="dxa"/>
          </w:tblCellMar>
        </w:tblPrEx>
        <w:trPr>
          <w:jc w:val="center"/>
        </w:trPr>
        <w:tc>
          <w:tcPr>
            <w:tcW w:w="1984" w:type="dxa"/>
          </w:tcPr>
          <w:p w14:paraId="68D0E3B6">
            <w:pPr>
              <w:jc w:val="left"/>
              <w:rPr>
                <w:rFonts w:hint="eastAsia" w:ascii="宋体" w:hAnsi="宋体" w:eastAsia="宋体" w:cs="宋体"/>
              </w:rPr>
            </w:pPr>
            <w:r>
              <w:rPr>
                <w:rFonts w:hint="eastAsia" w:ascii="宋体" w:hAnsi="宋体" w:eastAsia="宋体" w:cs="宋体"/>
                <w:color w:val="333333"/>
                <w:sz w:val="18"/>
              </w:rPr>
              <w:t>NEV偏离度</w:t>
            </w:r>
          </w:p>
        </w:tc>
        <w:tc>
          <w:tcPr>
            <w:tcW w:w="3118" w:type="dxa"/>
          </w:tcPr>
          <w:p w14:paraId="18A8C54F">
            <w:pPr>
              <w:jc w:val="center"/>
              <w:rPr>
                <w:rFonts w:hint="eastAsia" w:ascii="宋体" w:hAnsi="宋体" w:eastAsia="宋体" w:cs="宋体"/>
              </w:rPr>
            </w:pPr>
            <w:r>
              <w:rPr>
                <w:rFonts w:hint="eastAsia" w:ascii="宋体" w:hAnsi="宋体" w:eastAsia="宋体" w:cs="宋体"/>
                <w:color w:val="333333"/>
                <w:sz w:val="18"/>
              </w:rPr>
              <w:t>2022-2024超涨，2025均值回归</w:t>
            </w:r>
          </w:p>
        </w:tc>
        <w:tc>
          <w:tcPr>
            <w:tcW w:w="3118" w:type="dxa"/>
          </w:tcPr>
          <w:p w14:paraId="1C74E3C8">
            <w:pPr>
              <w:jc w:val="center"/>
              <w:rPr>
                <w:rFonts w:hint="eastAsia" w:ascii="宋体" w:hAnsi="宋体" w:eastAsia="宋体" w:cs="宋体"/>
              </w:rPr>
            </w:pPr>
            <w:r>
              <w:rPr>
                <w:rFonts w:hint="eastAsia" w:ascii="宋体" w:hAnsi="宋体" w:eastAsia="宋体" w:cs="宋体"/>
                <w:color w:val="333333"/>
                <w:sz w:val="18"/>
              </w:rPr>
              <w:t>长期跑输行业NEV增速</w:t>
            </w:r>
          </w:p>
        </w:tc>
      </w:tr>
      <w:tr w14:paraId="1F05C546">
        <w:tblPrEx>
          <w:tblCellMar>
            <w:top w:w="0" w:type="dxa"/>
            <w:left w:w="108" w:type="dxa"/>
            <w:bottom w:w="0" w:type="dxa"/>
            <w:right w:w="108" w:type="dxa"/>
          </w:tblCellMar>
        </w:tblPrEx>
        <w:trPr>
          <w:jc w:val="center"/>
        </w:trPr>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325981DC">
            <w:pPr>
              <w:jc w:val="left"/>
              <w:rPr>
                <w:rFonts w:hint="eastAsia" w:ascii="宋体" w:hAnsi="宋体" w:eastAsia="宋体" w:cs="宋体"/>
              </w:rPr>
            </w:pPr>
            <w:r>
              <w:rPr>
                <w:rFonts w:hint="eastAsia" w:ascii="宋体" w:hAnsi="宋体" w:eastAsia="宋体" w:cs="宋体"/>
                <w:color w:val="333333"/>
                <w:sz w:val="18"/>
              </w:rPr>
              <w:t>业务集中度</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5FB1B77A">
            <w:pPr>
              <w:jc w:val="center"/>
              <w:rPr>
                <w:rFonts w:hint="eastAsia" w:ascii="宋体" w:hAnsi="宋体" w:eastAsia="宋体" w:cs="宋体"/>
              </w:rPr>
            </w:pPr>
            <w:r>
              <w:rPr>
                <w:rFonts w:hint="eastAsia" w:ascii="宋体" w:hAnsi="宋体" w:eastAsia="宋体" w:cs="宋体"/>
                <w:color w:val="333333"/>
                <w:sz w:val="18"/>
              </w:rPr>
              <w:t>问界~95%，单一品牌</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22362719">
            <w:pPr>
              <w:jc w:val="center"/>
              <w:rPr>
                <w:rFonts w:hint="eastAsia" w:ascii="宋体" w:hAnsi="宋体" w:eastAsia="宋体" w:cs="宋体"/>
              </w:rPr>
            </w:pPr>
            <w:r>
              <w:rPr>
                <w:rFonts w:hint="eastAsia" w:ascii="宋体" w:hAnsi="宋体" w:eastAsia="宋体" w:cs="宋体"/>
                <w:color w:val="333333"/>
                <w:sz w:val="18"/>
              </w:rPr>
              <w:t>多品牌，新能源~26%</w:t>
            </w:r>
          </w:p>
        </w:tc>
      </w:tr>
      <w:tr w14:paraId="52A23A3F">
        <w:tblPrEx>
          <w:tblCellMar>
            <w:top w:w="0" w:type="dxa"/>
            <w:left w:w="108" w:type="dxa"/>
            <w:bottom w:w="0" w:type="dxa"/>
            <w:right w:w="108" w:type="dxa"/>
          </w:tblCellMar>
        </w:tblPrEx>
        <w:trPr>
          <w:jc w:val="center"/>
        </w:trPr>
        <w:tc>
          <w:tcPr>
            <w:tcW w:w="1984" w:type="dxa"/>
          </w:tcPr>
          <w:p w14:paraId="0749D62E">
            <w:pPr>
              <w:jc w:val="left"/>
              <w:rPr>
                <w:rFonts w:hint="eastAsia" w:ascii="宋体" w:hAnsi="宋体" w:eastAsia="宋体" w:cs="宋体"/>
              </w:rPr>
            </w:pPr>
            <w:r>
              <w:rPr>
                <w:rFonts w:hint="eastAsia" w:ascii="宋体" w:hAnsi="宋体" w:eastAsia="宋体" w:cs="宋体"/>
                <w:color w:val="333333"/>
                <w:sz w:val="18"/>
              </w:rPr>
              <w:t>Z-score</w:t>
            </w:r>
          </w:p>
        </w:tc>
        <w:tc>
          <w:tcPr>
            <w:tcW w:w="3118" w:type="dxa"/>
          </w:tcPr>
          <w:p w14:paraId="35BB692C">
            <w:pPr>
              <w:jc w:val="center"/>
              <w:rPr>
                <w:rFonts w:hint="eastAsia" w:ascii="宋体" w:hAnsi="宋体" w:eastAsia="宋体" w:cs="宋体"/>
              </w:rPr>
            </w:pPr>
            <w:r>
              <w:rPr>
                <w:rFonts w:hint="eastAsia" w:ascii="宋体" w:hAnsi="宋体" w:eastAsia="宋体" w:cs="宋体"/>
                <w:color w:val="333333"/>
                <w:sz w:val="18"/>
              </w:rPr>
              <w:t>1.63</w:t>
            </w:r>
          </w:p>
        </w:tc>
        <w:tc>
          <w:tcPr>
            <w:tcW w:w="3118" w:type="dxa"/>
          </w:tcPr>
          <w:p w14:paraId="1499F328">
            <w:pPr>
              <w:jc w:val="center"/>
              <w:rPr>
                <w:rFonts w:hint="eastAsia" w:ascii="宋体" w:hAnsi="宋体" w:eastAsia="宋体" w:cs="宋体"/>
              </w:rPr>
            </w:pPr>
            <w:r>
              <w:rPr>
                <w:rFonts w:hint="eastAsia" w:ascii="宋体" w:hAnsi="宋体" w:eastAsia="宋体" w:cs="宋体"/>
                <w:color w:val="333333"/>
                <w:sz w:val="18"/>
              </w:rPr>
              <w:t>1.82（优于赛力斯）</w:t>
            </w:r>
          </w:p>
        </w:tc>
      </w:tr>
      <w:tr w14:paraId="59C9B286">
        <w:tblPrEx>
          <w:tblCellMar>
            <w:top w:w="0" w:type="dxa"/>
            <w:left w:w="108" w:type="dxa"/>
            <w:bottom w:w="0" w:type="dxa"/>
            <w:right w:w="108" w:type="dxa"/>
          </w:tblCellMar>
        </w:tblPrEx>
        <w:trPr>
          <w:jc w:val="center"/>
        </w:trPr>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02C945A6">
            <w:pPr>
              <w:jc w:val="left"/>
              <w:rPr>
                <w:rFonts w:hint="eastAsia" w:ascii="宋体" w:hAnsi="宋体" w:eastAsia="宋体" w:cs="宋体"/>
              </w:rPr>
            </w:pPr>
            <w:r>
              <w:rPr>
                <w:rFonts w:hint="eastAsia" w:ascii="宋体" w:hAnsi="宋体" w:eastAsia="宋体" w:cs="宋体"/>
                <w:color w:val="333333"/>
                <w:sz w:val="18"/>
              </w:rPr>
              <w:t>沃尔评分</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0097F89A">
            <w:pPr>
              <w:jc w:val="center"/>
              <w:rPr>
                <w:rFonts w:hint="eastAsia" w:ascii="宋体" w:hAnsi="宋体" w:eastAsia="宋体" w:cs="宋体"/>
              </w:rPr>
            </w:pPr>
            <w:r>
              <w:rPr>
                <w:rFonts w:hint="eastAsia" w:ascii="宋体" w:hAnsi="宋体" w:eastAsia="宋体" w:cs="宋体"/>
                <w:color w:val="333333"/>
                <w:sz w:val="18"/>
              </w:rPr>
              <w:t>90.4分（第1名）</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683B52E8">
            <w:pPr>
              <w:jc w:val="center"/>
              <w:rPr>
                <w:rFonts w:hint="eastAsia" w:ascii="宋体" w:hAnsi="宋体" w:eastAsia="宋体" w:cs="宋体"/>
              </w:rPr>
            </w:pPr>
            <w:r>
              <w:rPr>
                <w:rFonts w:hint="eastAsia" w:ascii="宋体" w:hAnsi="宋体" w:eastAsia="宋体" w:cs="宋体"/>
                <w:color w:val="333333"/>
                <w:sz w:val="18"/>
              </w:rPr>
              <w:t>78.4分（第5名）</w:t>
            </w:r>
          </w:p>
        </w:tc>
      </w:tr>
      <w:tr w14:paraId="0301B71D">
        <w:tblPrEx>
          <w:tblCellMar>
            <w:top w:w="0" w:type="dxa"/>
            <w:left w:w="108" w:type="dxa"/>
            <w:bottom w:w="0" w:type="dxa"/>
            <w:right w:w="108" w:type="dxa"/>
          </w:tblCellMar>
        </w:tblPrEx>
        <w:trPr>
          <w:jc w:val="center"/>
        </w:trPr>
        <w:tc>
          <w:tcPr>
            <w:tcW w:w="1984" w:type="dxa"/>
          </w:tcPr>
          <w:p w14:paraId="0A9665C8">
            <w:pPr>
              <w:jc w:val="left"/>
              <w:rPr>
                <w:rFonts w:hint="eastAsia" w:ascii="宋体" w:hAnsi="宋体" w:eastAsia="宋体" w:cs="宋体"/>
              </w:rPr>
            </w:pPr>
            <w:r>
              <w:rPr>
                <w:rFonts w:hint="eastAsia" w:ascii="宋体" w:hAnsi="宋体" w:eastAsia="宋体" w:cs="宋体"/>
                <w:color w:val="333333"/>
                <w:sz w:val="18"/>
              </w:rPr>
              <w:t>异常率</w:t>
            </w:r>
          </w:p>
        </w:tc>
        <w:tc>
          <w:tcPr>
            <w:tcW w:w="3118" w:type="dxa"/>
          </w:tcPr>
          <w:p w14:paraId="397E13B1">
            <w:pPr>
              <w:jc w:val="center"/>
              <w:rPr>
                <w:rFonts w:hint="eastAsia" w:ascii="宋体" w:hAnsi="宋体" w:eastAsia="宋体" w:cs="宋体"/>
              </w:rPr>
            </w:pPr>
            <w:r>
              <w:rPr>
                <w:rFonts w:hint="eastAsia" w:ascii="宋体" w:hAnsi="宋体" w:eastAsia="宋体" w:cs="宋体"/>
                <w:color w:val="333333"/>
                <w:sz w:val="18"/>
              </w:rPr>
              <w:t>7%（有少量异常）</w:t>
            </w:r>
          </w:p>
        </w:tc>
        <w:tc>
          <w:tcPr>
            <w:tcW w:w="3118" w:type="dxa"/>
          </w:tcPr>
          <w:p w14:paraId="66D97AFC">
            <w:pPr>
              <w:jc w:val="center"/>
              <w:rPr>
                <w:rFonts w:hint="eastAsia" w:ascii="宋体" w:hAnsi="宋体" w:eastAsia="宋体" w:cs="宋体"/>
              </w:rPr>
            </w:pPr>
            <w:r>
              <w:rPr>
                <w:rFonts w:hint="eastAsia" w:ascii="宋体" w:hAnsi="宋体" w:eastAsia="宋体" w:cs="宋体"/>
                <w:color w:val="333333"/>
                <w:sz w:val="18"/>
              </w:rPr>
              <w:t>0%</w:t>
            </w:r>
          </w:p>
        </w:tc>
      </w:tr>
      <w:tr w14:paraId="75B1D688">
        <w:tblPrEx>
          <w:tblCellMar>
            <w:top w:w="0" w:type="dxa"/>
            <w:left w:w="108" w:type="dxa"/>
            <w:bottom w:w="0" w:type="dxa"/>
            <w:right w:w="108" w:type="dxa"/>
          </w:tblCellMar>
        </w:tblPrEx>
        <w:trPr>
          <w:jc w:val="center"/>
        </w:trPr>
        <w:tc>
          <w:tcPr>
            <w:tcW w:w="1984" w:type="dxa"/>
            <w:tcBorders>
              <w:top w:val="single" w:color="CCCCCC" w:sz="4" w:space="0"/>
              <w:left w:val="single" w:color="CCCCCC" w:sz="4" w:space="0"/>
              <w:bottom w:val="single" w:color="CCCCCC" w:sz="4" w:space="0"/>
              <w:right w:val="single" w:color="CCCCCC" w:sz="4" w:space="0"/>
            </w:tcBorders>
            <w:shd w:val="clear" w:color="auto" w:fill="F8F9FA"/>
          </w:tcPr>
          <w:p w14:paraId="34C3337C">
            <w:pPr>
              <w:jc w:val="left"/>
              <w:rPr>
                <w:rFonts w:hint="eastAsia" w:ascii="宋体" w:hAnsi="宋体" w:eastAsia="宋体" w:cs="宋体"/>
              </w:rPr>
            </w:pPr>
            <w:r>
              <w:rPr>
                <w:rFonts w:hint="eastAsia" w:ascii="宋体" w:hAnsi="宋体" w:eastAsia="宋体" w:cs="宋体"/>
                <w:color w:val="333333"/>
                <w:sz w:val="18"/>
              </w:rPr>
              <w:t>最优预测方法</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2BAF4408">
            <w:pPr>
              <w:jc w:val="center"/>
              <w:rPr>
                <w:rFonts w:hint="eastAsia" w:ascii="宋体" w:hAnsi="宋体" w:eastAsia="宋体" w:cs="宋体"/>
              </w:rPr>
            </w:pPr>
            <w:r>
              <w:rPr>
                <w:rFonts w:hint="eastAsia" w:ascii="宋体" w:hAnsi="宋体" w:eastAsia="宋体" w:cs="宋体"/>
                <w:color w:val="333333"/>
                <w:sz w:val="18"/>
              </w:rPr>
              <w:t>Ridge（资产负债率误差19.2%）</w:t>
            </w:r>
          </w:p>
        </w:tc>
        <w:tc>
          <w:tcPr>
            <w:tcW w:w="3118" w:type="dxa"/>
            <w:tcBorders>
              <w:top w:val="single" w:color="CCCCCC" w:sz="4" w:space="0"/>
              <w:left w:val="single" w:color="CCCCCC" w:sz="4" w:space="0"/>
              <w:bottom w:val="single" w:color="CCCCCC" w:sz="4" w:space="0"/>
              <w:right w:val="single" w:color="CCCCCC" w:sz="4" w:space="0"/>
            </w:tcBorders>
            <w:shd w:val="clear" w:color="auto" w:fill="F8F9FA"/>
          </w:tcPr>
          <w:p w14:paraId="6CA12F61">
            <w:pPr>
              <w:jc w:val="center"/>
              <w:rPr>
                <w:rFonts w:hint="eastAsia" w:ascii="宋体" w:hAnsi="宋体" w:eastAsia="宋体" w:cs="宋体"/>
              </w:rPr>
            </w:pPr>
            <w:r>
              <w:rPr>
                <w:rFonts w:hint="eastAsia" w:ascii="宋体" w:hAnsi="宋体" w:eastAsia="宋体" w:cs="宋体"/>
                <w:color w:val="333333"/>
                <w:sz w:val="18"/>
              </w:rPr>
              <w:t>Ridge（资产负债率误差2.4%）</w:t>
            </w:r>
          </w:p>
        </w:tc>
      </w:tr>
    </w:tbl>
    <w:p w14:paraId="73F44E7B">
      <w:pPr>
        <w:spacing w:after="80"/>
        <w:rPr>
          <w:rFonts w:hint="eastAsia" w:ascii="宋体" w:hAnsi="宋体" w:eastAsia="宋体" w:cs="宋体"/>
        </w:rPr>
      </w:pPr>
    </w:p>
    <w:p w14:paraId="15FB3AF5">
      <w:pPr>
        <w:spacing w:before="240" w:after="120"/>
        <w:rPr>
          <w:rFonts w:hint="eastAsia" w:ascii="宋体" w:hAnsi="宋体" w:eastAsia="宋体" w:cs="宋体"/>
        </w:rPr>
      </w:pPr>
      <w:r>
        <w:rPr>
          <w:rFonts w:hint="eastAsia" w:ascii="宋体" w:hAnsi="宋体" w:eastAsia="宋体" w:cs="宋体"/>
          <w:b/>
          <w:color w:val="000000"/>
          <w:sz w:val="28"/>
        </w:rPr>
        <w:t>（二）对赛力斯的建议</w:t>
      </w:r>
    </w:p>
    <w:p w14:paraId="61978CBC">
      <w:pPr>
        <w:spacing w:after="40" w:line="360" w:lineRule="auto"/>
        <w:ind w:firstLine="420"/>
        <w:rPr>
          <w:rFonts w:hint="eastAsia" w:ascii="宋体" w:hAnsi="宋体" w:eastAsia="宋体" w:cs="宋体"/>
        </w:rPr>
      </w:pPr>
      <w:r>
        <w:rPr>
          <w:rFonts w:hint="eastAsia" w:ascii="宋体" w:hAnsi="宋体" w:eastAsia="宋体" w:cs="宋体"/>
          <w:b w:val="0"/>
          <w:sz w:val="24"/>
        </w:rPr>
        <w:t>第一，降低品牌集中度至70%以下。第二，继续推进去杠杆。第三，关注资产周转效率。第四，保持净利率改善趋势。第五，充分认识NEV行业增速换挡趋势，提前规划财务应对策略。</w:t>
      </w:r>
    </w:p>
    <w:p w14:paraId="43FADEC0">
      <w:pPr>
        <w:spacing w:before="240" w:after="120"/>
        <w:outlineLvl w:val="1"/>
        <w:rPr>
          <w:rFonts w:hint="eastAsia" w:ascii="宋体" w:hAnsi="宋体" w:eastAsia="宋体" w:cs="宋体"/>
        </w:rPr>
      </w:pPr>
      <w:r>
        <w:rPr>
          <w:rFonts w:hint="eastAsia" w:ascii="宋体" w:hAnsi="宋体" w:eastAsia="宋体" w:cs="宋体"/>
          <w:b/>
          <w:color w:val="000000"/>
          <w:sz w:val="28"/>
        </w:rPr>
        <w:t>（三）对长安汽车的建议</w:t>
      </w:r>
    </w:p>
    <w:p w14:paraId="06E58C2A">
      <w:pPr>
        <w:spacing w:after="40" w:line="360" w:lineRule="auto"/>
        <w:ind w:firstLine="420"/>
        <w:rPr>
          <w:rFonts w:hint="eastAsia" w:ascii="宋体" w:hAnsi="宋体" w:eastAsia="宋体" w:cs="宋体"/>
        </w:rPr>
      </w:pPr>
      <w:r>
        <w:rPr>
          <w:rFonts w:hint="eastAsia" w:ascii="宋体" w:hAnsi="宋体" w:eastAsia="宋体" w:cs="宋体"/>
          <w:b w:val="0"/>
          <w:sz w:val="24"/>
        </w:rPr>
        <w:t>第一，加快新能源投放，力争3年内渗透率达50%。第二，改善毛利率。第三，增强经营活动现金净流量。第四，维持财务稳健优势。</w:t>
      </w:r>
    </w:p>
    <w:p w14:paraId="508BDE27">
      <w:pPr>
        <w:spacing w:before="240" w:after="120"/>
        <w:outlineLvl w:val="1"/>
        <w:rPr>
          <w:rFonts w:hint="eastAsia" w:ascii="宋体" w:hAnsi="宋体" w:eastAsia="宋体" w:cs="宋体"/>
        </w:rPr>
      </w:pPr>
      <w:r>
        <w:rPr>
          <w:rFonts w:hint="eastAsia" w:ascii="宋体" w:hAnsi="宋体" w:eastAsia="宋体" w:cs="宋体"/>
          <w:b/>
          <w:color w:val="000000"/>
          <w:sz w:val="28"/>
        </w:rPr>
        <w:t>（四）研究不足</w:t>
      </w:r>
    </w:p>
    <w:p w14:paraId="58EA449E">
      <w:pPr>
        <w:spacing w:after="40" w:line="360" w:lineRule="auto"/>
        <w:ind w:firstLine="420"/>
        <w:rPr>
          <w:rFonts w:hint="eastAsia" w:ascii="宋体" w:hAnsi="宋体" w:eastAsia="宋体" w:cs="宋体"/>
        </w:rPr>
      </w:pPr>
      <w:r>
        <w:rPr>
          <w:rFonts w:hint="eastAsia" w:ascii="宋体" w:hAnsi="宋体" w:eastAsia="宋体" w:cs="宋体"/>
          <w:b w:val="0"/>
          <w:sz w:val="24"/>
        </w:rPr>
        <w:t>样本仅8家A股企业；39个季度限制深度学习模型有效性；毛利率MAPE因接近零时相对误差放大；Altman Z-score基于1968年美国数据；Prophet因CmdStan环境错误未正常运行；财务报告滞后2-3个月；NEV行业数据以CAAM月度发布为准，存在统计口径差异。</w:t>
      </w:r>
    </w:p>
    <w:p w14:paraId="49FB6E68">
      <w:pPr>
        <w:rPr>
          <w:rFonts w:hint="eastAsia" w:ascii="宋体" w:hAnsi="宋体" w:eastAsia="宋体" w:cs="宋体"/>
        </w:rPr>
      </w:pPr>
      <w:r>
        <w:rPr>
          <w:rFonts w:hint="eastAsia" w:ascii="宋体" w:hAnsi="宋体" w:eastAsia="宋体" w:cs="宋体"/>
        </w:rPr>
        <w:br w:type="page"/>
      </w:r>
    </w:p>
    <w:p w14:paraId="34117C4F">
      <w:pPr>
        <w:spacing w:before="360" w:after="240"/>
        <w:jc w:val="center"/>
        <w:outlineLvl w:val="0"/>
        <w:rPr>
          <w:rFonts w:hint="eastAsia" w:ascii="宋体" w:hAnsi="宋体" w:eastAsia="宋体" w:cs="宋体"/>
        </w:rPr>
      </w:pPr>
      <w:r>
        <w:rPr>
          <w:rFonts w:hint="eastAsia" w:ascii="宋体" w:hAnsi="宋体" w:eastAsia="宋体" w:cs="宋体"/>
          <w:b/>
          <w:color w:val="000000"/>
          <w:sz w:val="32"/>
        </w:rPr>
        <w:t>参考文献</w:t>
      </w:r>
    </w:p>
    <w:p w14:paraId="0B805B49">
      <w:pPr>
        <w:spacing w:line="360" w:lineRule="auto"/>
        <w:rPr>
          <w:rFonts w:hint="eastAsia" w:ascii="宋体" w:hAnsi="宋体" w:eastAsia="宋体" w:cs="宋体"/>
        </w:rPr>
      </w:pPr>
      <w:r>
        <w:rPr>
          <w:rFonts w:hint="eastAsia" w:ascii="宋体" w:hAnsi="宋体" w:eastAsia="宋体" w:cs="宋体"/>
          <w:sz w:val="21"/>
        </w:rPr>
        <w:t>[1] 郭苏敬,崔杰,马会娟,等. 财务报告分析（微课版）[M]. 北京: 清华大学出版社, 2022.</w:t>
      </w:r>
    </w:p>
    <w:p w14:paraId="23AB7787">
      <w:pPr>
        <w:spacing w:line="360" w:lineRule="auto"/>
        <w:rPr>
          <w:rFonts w:hint="eastAsia" w:ascii="宋体" w:hAnsi="宋体" w:eastAsia="宋体" w:cs="宋体"/>
        </w:rPr>
      </w:pPr>
      <w:r>
        <w:rPr>
          <w:rFonts w:hint="eastAsia" w:ascii="宋体" w:hAnsi="宋体" w:eastAsia="宋体" w:cs="宋体"/>
          <w:sz w:val="21"/>
        </w:rPr>
        <w:t>[2] Altman E I. Financial ratios, discriminant analysis and the prediction of corporate bankruptcy[J]. The Journal of Finance, 1968, 23(4): 589-609.</w:t>
      </w:r>
    </w:p>
    <w:p w14:paraId="01D91BE2">
      <w:pPr>
        <w:spacing w:line="360" w:lineRule="auto"/>
        <w:rPr>
          <w:rFonts w:hint="eastAsia" w:ascii="宋体" w:hAnsi="宋体" w:eastAsia="宋体" w:cs="宋体"/>
        </w:rPr>
      </w:pPr>
      <w:r>
        <w:rPr>
          <w:rFonts w:hint="eastAsia" w:ascii="宋体" w:hAnsi="宋体" w:eastAsia="宋体" w:cs="宋体"/>
          <w:sz w:val="21"/>
        </w:rPr>
        <w:t>[3] Taylor S J, Letham B. Forecasting at scale[J]. The American Statistician, 2018, 72(1): 37-45.</w:t>
      </w:r>
    </w:p>
    <w:p w14:paraId="337BAA42">
      <w:pPr>
        <w:spacing w:line="360" w:lineRule="auto"/>
        <w:rPr>
          <w:rFonts w:hint="eastAsia" w:ascii="宋体" w:hAnsi="宋体" w:eastAsia="宋体" w:cs="宋体"/>
        </w:rPr>
      </w:pPr>
      <w:r>
        <w:rPr>
          <w:rFonts w:hint="eastAsia" w:ascii="宋体" w:hAnsi="宋体" w:eastAsia="宋体" w:cs="宋体"/>
          <w:sz w:val="21"/>
        </w:rPr>
        <w:t>[4] Hoerl A E, Kennard R W. Ridge regression: Biased estimation for nonorthogonal problems[J]. Technometrics, 1970, 12(1): 55-67.</w:t>
      </w:r>
    </w:p>
    <w:p w14:paraId="20AC085B">
      <w:pPr>
        <w:spacing w:line="360" w:lineRule="auto"/>
        <w:rPr>
          <w:rFonts w:hint="eastAsia" w:ascii="宋体" w:hAnsi="宋体" w:eastAsia="宋体" w:cs="宋体"/>
        </w:rPr>
      </w:pPr>
      <w:r>
        <w:rPr>
          <w:rFonts w:hint="eastAsia" w:ascii="宋体" w:hAnsi="宋体" w:eastAsia="宋体" w:cs="宋体"/>
          <w:sz w:val="21"/>
        </w:rPr>
        <w:t>[5] Liu F T, Ting K M, Zhou Z H. Isolation forest[C]. 2008 Eighth IEEE International Conference on Data Mining, 2008: 413-422.</w:t>
      </w:r>
    </w:p>
    <w:p w14:paraId="3C130905">
      <w:pPr>
        <w:spacing w:line="360" w:lineRule="auto"/>
        <w:rPr>
          <w:rFonts w:hint="eastAsia" w:ascii="宋体" w:hAnsi="宋体" w:eastAsia="宋体" w:cs="宋体"/>
        </w:rPr>
      </w:pPr>
      <w:r>
        <w:rPr>
          <w:rFonts w:hint="eastAsia" w:ascii="宋体" w:hAnsi="宋体" w:eastAsia="宋体" w:cs="宋体"/>
          <w:sz w:val="21"/>
        </w:rPr>
        <w:t>[6] 中国证监会. 上市公司信息披露管理办法[S]. 2021.</w:t>
      </w:r>
    </w:p>
    <w:p w14:paraId="772A9716">
      <w:pPr>
        <w:spacing w:line="360" w:lineRule="auto"/>
        <w:rPr>
          <w:rFonts w:hint="eastAsia" w:ascii="宋体" w:hAnsi="宋体" w:eastAsia="宋体" w:cs="宋体"/>
        </w:rPr>
      </w:pPr>
      <w:r>
        <w:rPr>
          <w:rFonts w:hint="eastAsia" w:ascii="宋体" w:hAnsi="宋体" w:eastAsia="宋体" w:cs="宋体"/>
          <w:sz w:val="21"/>
        </w:rPr>
        <w:t>[7] 财政部. 企业会计准则——基本准则[S]. 2014.</w:t>
      </w:r>
    </w:p>
    <w:p w14:paraId="32C494D9">
      <w:pPr>
        <w:spacing w:line="360" w:lineRule="auto"/>
        <w:rPr>
          <w:rFonts w:hint="eastAsia" w:ascii="宋体" w:hAnsi="宋体" w:eastAsia="宋体" w:cs="宋体"/>
        </w:rPr>
      </w:pPr>
      <w:r>
        <w:rPr>
          <w:rFonts w:hint="eastAsia" w:ascii="宋体" w:hAnsi="宋体" w:eastAsia="宋体" w:cs="宋体"/>
          <w:sz w:val="21"/>
        </w:rPr>
        <w:t>[8] AkShare. Python financial data interface[EB/OL]. https://github.com/akfamily/akshare.</w:t>
      </w:r>
    </w:p>
    <w:p w14:paraId="3C0A022A">
      <w:pPr>
        <w:spacing w:line="360" w:lineRule="auto"/>
        <w:rPr>
          <w:rFonts w:hint="eastAsia" w:ascii="宋体" w:hAnsi="宋体" w:eastAsia="宋体" w:cs="宋体"/>
        </w:rPr>
      </w:pPr>
      <w:r>
        <w:rPr>
          <w:rFonts w:hint="eastAsia" w:ascii="宋体" w:hAnsi="宋体" w:eastAsia="宋体" w:cs="宋体"/>
          <w:sz w:val="21"/>
        </w:rPr>
        <w:t>[9] 中国汽车工业协会. 汽车工业经济运行情况[R]. 2016-2025.</w:t>
      </w:r>
    </w:p>
    <w:p w14:paraId="56F18508">
      <w:pPr>
        <w:rPr>
          <w:rFonts w:hint="eastAsia" w:ascii="宋体" w:hAnsi="宋体" w:eastAsia="宋体" w:cs="宋体"/>
        </w:rPr>
      </w:pPr>
      <w:r>
        <w:rPr>
          <w:rFonts w:hint="eastAsia" w:ascii="宋体" w:hAnsi="宋体" w:eastAsia="宋体" w:cs="宋体"/>
        </w:rPr>
        <w:br w:type="page"/>
      </w:r>
    </w:p>
    <w:p w14:paraId="44B55223">
      <w:pPr>
        <w:spacing w:before="360" w:after="240"/>
        <w:jc w:val="center"/>
        <w:outlineLvl w:val="0"/>
        <w:rPr>
          <w:rFonts w:hint="eastAsia" w:ascii="宋体" w:hAnsi="宋体" w:eastAsia="宋体" w:cs="宋体"/>
        </w:rPr>
      </w:pPr>
      <w:r>
        <w:rPr>
          <w:rFonts w:hint="eastAsia" w:ascii="宋体" w:hAnsi="宋体" w:eastAsia="宋体" w:cs="宋体"/>
          <w:b/>
          <w:color w:val="000000"/>
          <w:sz w:val="32"/>
        </w:rPr>
        <w:t>附录A  18项财务指标计算公式</w:t>
      </w:r>
    </w:p>
    <w:tbl>
      <w:tblPr>
        <w:tblStyle w:val="32"/>
        <w:tblW w:w="0" w:type="auto"/>
        <w:jc w:val="center"/>
        <w:tblLayout w:type="autofit"/>
        <w:tblCellMar>
          <w:top w:w="0" w:type="dxa"/>
          <w:left w:w="108" w:type="dxa"/>
          <w:bottom w:w="0" w:type="dxa"/>
          <w:right w:w="108" w:type="dxa"/>
        </w:tblCellMar>
      </w:tblPr>
      <w:tblGrid>
        <w:gridCol w:w="567"/>
        <w:gridCol w:w="1701"/>
        <w:gridCol w:w="3402"/>
        <w:gridCol w:w="1134"/>
      </w:tblGrid>
      <w:tr w14:paraId="5D351CCF">
        <w:tblPrEx>
          <w:tblCellMar>
            <w:top w:w="0" w:type="dxa"/>
            <w:left w:w="108" w:type="dxa"/>
            <w:bottom w:w="0" w:type="dxa"/>
            <w:right w:w="108" w:type="dxa"/>
          </w:tblCellMar>
        </w:tblPrEx>
        <w:trPr>
          <w:jc w:val="center"/>
        </w:trPr>
        <w:tc>
          <w:tcPr>
            <w:tcW w:w="567" w:type="dxa"/>
            <w:tcBorders>
              <w:top w:val="single" w:color="2E75B6" w:sz="8" w:space="0"/>
              <w:left w:val="single" w:color="CCCCCC" w:sz="4" w:space="0"/>
              <w:bottom w:val="single" w:color="CCCCCC" w:sz="4" w:space="0"/>
              <w:right w:val="single" w:color="CCCCCC" w:sz="4" w:space="0"/>
            </w:tcBorders>
            <w:shd w:val="clear" w:color="auto" w:fill="D5E8F0"/>
          </w:tcPr>
          <w:p w14:paraId="7477211D">
            <w:pPr>
              <w:jc w:val="center"/>
              <w:rPr>
                <w:rFonts w:hint="eastAsia" w:ascii="宋体" w:hAnsi="宋体" w:eastAsia="宋体" w:cs="宋体"/>
              </w:rPr>
            </w:pPr>
            <w:r>
              <w:rPr>
                <w:rFonts w:hint="eastAsia" w:ascii="宋体" w:hAnsi="宋体" w:eastAsia="宋体" w:cs="宋体"/>
                <w:b/>
                <w:color w:val="1A4789"/>
                <w:sz w:val="18"/>
              </w:rPr>
              <w:t>序号</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4CF4014A">
            <w:pPr>
              <w:jc w:val="center"/>
              <w:rPr>
                <w:rFonts w:hint="eastAsia" w:ascii="宋体" w:hAnsi="宋体" w:eastAsia="宋体" w:cs="宋体"/>
              </w:rPr>
            </w:pPr>
            <w:r>
              <w:rPr>
                <w:rFonts w:hint="eastAsia" w:ascii="宋体" w:hAnsi="宋体" w:eastAsia="宋体" w:cs="宋体"/>
                <w:b/>
                <w:color w:val="1A4789"/>
                <w:sz w:val="18"/>
              </w:rPr>
              <w:t>指标名称</w:t>
            </w:r>
          </w:p>
        </w:tc>
        <w:tc>
          <w:tcPr>
            <w:tcW w:w="3402" w:type="dxa"/>
            <w:tcBorders>
              <w:top w:val="single" w:color="2E75B6" w:sz="8" w:space="0"/>
              <w:left w:val="single" w:color="CCCCCC" w:sz="4" w:space="0"/>
              <w:bottom w:val="single" w:color="CCCCCC" w:sz="4" w:space="0"/>
              <w:right w:val="single" w:color="CCCCCC" w:sz="4" w:space="0"/>
            </w:tcBorders>
            <w:shd w:val="clear" w:color="auto" w:fill="D5E8F0"/>
          </w:tcPr>
          <w:p w14:paraId="7FE889A3">
            <w:pPr>
              <w:jc w:val="center"/>
              <w:rPr>
                <w:rFonts w:hint="eastAsia" w:ascii="宋体" w:hAnsi="宋体" w:eastAsia="宋体" w:cs="宋体"/>
              </w:rPr>
            </w:pPr>
            <w:r>
              <w:rPr>
                <w:rFonts w:hint="eastAsia" w:ascii="宋体" w:hAnsi="宋体" w:eastAsia="宋体" w:cs="宋体"/>
                <w:b/>
                <w:color w:val="1A4789"/>
                <w:sz w:val="18"/>
              </w:rPr>
              <w:t>计算公式</w:t>
            </w:r>
          </w:p>
        </w:tc>
        <w:tc>
          <w:tcPr>
            <w:tcW w:w="1134" w:type="dxa"/>
            <w:tcBorders>
              <w:top w:val="single" w:color="2E75B6" w:sz="8" w:space="0"/>
              <w:left w:val="single" w:color="CCCCCC" w:sz="4" w:space="0"/>
              <w:bottom w:val="single" w:color="CCCCCC" w:sz="4" w:space="0"/>
              <w:right w:val="single" w:color="CCCCCC" w:sz="4" w:space="0"/>
            </w:tcBorders>
            <w:shd w:val="clear" w:color="auto" w:fill="D5E8F0"/>
          </w:tcPr>
          <w:p w14:paraId="7AC34B42">
            <w:pPr>
              <w:jc w:val="center"/>
              <w:rPr>
                <w:rFonts w:hint="eastAsia" w:ascii="宋体" w:hAnsi="宋体" w:eastAsia="宋体" w:cs="宋体"/>
              </w:rPr>
            </w:pPr>
            <w:r>
              <w:rPr>
                <w:rFonts w:hint="eastAsia" w:ascii="宋体" w:hAnsi="宋体" w:eastAsia="宋体" w:cs="宋体"/>
                <w:b/>
                <w:color w:val="1A4789"/>
                <w:sz w:val="18"/>
              </w:rPr>
              <w:t>类别</w:t>
            </w:r>
          </w:p>
        </w:tc>
      </w:tr>
      <w:tr w14:paraId="055A6FEF">
        <w:tblPrEx>
          <w:tblCellMar>
            <w:top w:w="0" w:type="dxa"/>
            <w:left w:w="108" w:type="dxa"/>
            <w:bottom w:w="0" w:type="dxa"/>
            <w:right w:w="108" w:type="dxa"/>
          </w:tblCellMar>
        </w:tblPrEx>
        <w:trPr>
          <w:jc w:val="center"/>
        </w:trPr>
        <w:tc>
          <w:tcPr>
            <w:tcW w:w="567" w:type="dxa"/>
            <w:tcBorders>
              <w:top w:val="single" w:color="CCCCCC" w:sz="4" w:space="0"/>
              <w:left w:val="single" w:color="CCCCCC" w:sz="4" w:space="0"/>
              <w:bottom w:val="single" w:color="CCCCCC" w:sz="4" w:space="0"/>
              <w:right w:val="single" w:color="CCCCCC" w:sz="4" w:space="0"/>
            </w:tcBorders>
            <w:shd w:val="clear" w:color="auto" w:fill="F8F9FA"/>
          </w:tcPr>
          <w:p w14:paraId="24D16856">
            <w:pPr>
              <w:jc w:val="left"/>
              <w:rPr>
                <w:rFonts w:hint="eastAsia" w:ascii="宋体" w:hAnsi="宋体" w:eastAsia="宋体" w:cs="宋体"/>
              </w:rPr>
            </w:pPr>
            <w:r>
              <w:rPr>
                <w:rFonts w:hint="eastAsia" w:ascii="宋体" w:hAnsi="宋体" w:eastAsia="宋体" w:cs="宋体"/>
                <w:color w:val="333333"/>
                <w:sz w:val="18"/>
              </w:rPr>
              <w:t>1</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1070DB24">
            <w:pPr>
              <w:jc w:val="center"/>
              <w:rPr>
                <w:rFonts w:hint="eastAsia" w:ascii="宋体" w:hAnsi="宋体" w:eastAsia="宋体" w:cs="宋体"/>
              </w:rPr>
            </w:pPr>
            <w:r>
              <w:rPr>
                <w:rFonts w:hint="eastAsia" w:ascii="宋体" w:hAnsi="宋体" w:eastAsia="宋体" w:cs="宋体"/>
                <w:color w:val="333333"/>
                <w:sz w:val="18"/>
              </w:rPr>
              <w:t>毛利率</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779A0E6F">
            <w:pPr>
              <w:jc w:val="center"/>
              <w:rPr>
                <w:rFonts w:hint="eastAsia" w:ascii="宋体" w:hAnsi="宋体" w:eastAsia="宋体" w:cs="宋体"/>
              </w:rPr>
            </w:pPr>
            <w:r>
              <w:rPr>
                <w:rFonts w:hint="eastAsia" w:ascii="宋体" w:hAnsi="宋体" w:eastAsia="宋体" w:cs="宋体"/>
                <w:color w:val="333333"/>
                <w:sz w:val="18"/>
              </w:rPr>
              <w:t>1-营业成本/营业收入</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19FEF518">
            <w:pPr>
              <w:jc w:val="center"/>
              <w:rPr>
                <w:rFonts w:hint="eastAsia" w:ascii="宋体" w:hAnsi="宋体" w:eastAsia="宋体" w:cs="宋体"/>
              </w:rPr>
            </w:pPr>
            <w:r>
              <w:rPr>
                <w:rFonts w:hint="eastAsia" w:ascii="宋体" w:hAnsi="宋体" w:eastAsia="宋体" w:cs="宋体"/>
                <w:color w:val="333333"/>
                <w:sz w:val="18"/>
              </w:rPr>
              <w:t>盈利</w:t>
            </w:r>
          </w:p>
        </w:tc>
      </w:tr>
      <w:tr w14:paraId="12C570C1">
        <w:tblPrEx>
          <w:tblCellMar>
            <w:top w:w="0" w:type="dxa"/>
            <w:left w:w="108" w:type="dxa"/>
            <w:bottom w:w="0" w:type="dxa"/>
            <w:right w:w="108" w:type="dxa"/>
          </w:tblCellMar>
        </w:tblPrEx>
        <w:trPr>
          <w:jc w:val="center"/>
        </w:trPr>
        <w:tc>
          <w:tcPr>
            <w:tcW w:w="567" w:type="dxa"/>
          </w:tcPr>
          <w:p w14:paraId="75816C25">
            <w:pPr>
              <w:jc w:val="left"/>
              <w:rPr>
                <w:rFonts w:hint="eastAsia" w:ascii="宋体" w:hAnsi="宋体" w:eastAsia="宋体" w:cs="宋体"/>
              </w:rPr>
            </w:pPr>
            <w:r>
              <w:rPr>
                <w:rFonts w:hint="eastAsia" w:ascii="宋体" w:hAnsi="宋体" w:eastAsia="宋体" w:cs="宋体"/>
                <w:color w:val="333333"/>
                <w:sz w:val="18"/>
              </w:rPr>
              <w:t>2</w:t>
            </w:r>
          </w:p>
        </w:tc>
        <w:tc>
          <w:tcPr>
            <w:tcW w:w="1701" w:type="dxa"/>
          </w:tcPr>
          <w:p w14:paraId="16C49563">
            <w:pPr>
              <w:jc w:val="center"/>
              <w:rPr>
                <w:rFonts w:hint="eastAsia" w:ascii="宋体" w:hAnsi="宋体" w:eastAsia="宋体" w:cs="宋体"/>
              </w:rPr>
            </w:pPr>
            <w:r>
              <w:rPr>
                <w:rFonts w:hint="eastAsia" w:ascii="宋体" w:hAnsi="宋体" w:eastAsia="宋体" w:cs="宋体"/>
                <w:color w:val="333333"/>
                <w:sz w:val="18"/>
              </w:rPr>
              <w:t>营业利润率</w:t>
            </w:r>
          </w:p>
        </w:tc>
        <w:tc>
          <w:tcPr>
            <w:tcW w:w="3402" w:type="dxa"/>
          </w:tcPr>
          <w:p w14:paraId="286159BC">
            <w:pPr>
              <w:jc w:val="center"/>
              <w:rPr>
                <w:rFonts w:hint="eastAsia" w:ascii="宋体" w:hAnsi="宋体" w:eastAsia="宋体" w:cs="宋体"/>
              </w:rPr>
            </w:pPr>
            <w:r>
              <w:rPr>
                <w:rFonts w:hint="eastAsia" w:ascii="宋体" w:hAnsi="宋体" w:eastAsia="宋体" w:cs="宋体"/>
                <w:color w:val="333333"/>
                <w:sz w:val="18"/>
              </w:rPr>
              <w:t>营业利润/营业收入</w:t>
            </w:r>
          </w:p>
        </w:tc>
        <w:tc>
          <w:tcPr>
            <w:tcW w:w="1134" w:type="dxa"/>
          </w:tcPr>
          <w:p w14:paraId="16EFB9F8">
            <w:pPr>
              <w:jc w:val="center"/>
              <w:rPr>
                <w:rFonts w:hint="eastAsia" w:ascii="宋体" w:hAnsi="宋体" w:eastAsia="宋体" w:cs="宋体"/>
              </w:rPr>
            </w:pPr>
            <w:r>
              <w:rPr>
                <w:rFonts w:hint="eastAsia" w:ascii="宋体" w:hAnsi="宋体" w:eastAsia="宋体" w:cs="宋体"/>
                <w:color w:val="333333"/>
                <w:sz w:val="18"/>
              </w:rPr>
              <w:t>盈利</w:t>
            </w:r>
          </w:p>
        </w:tc>
      </w:tr>
      <w:tr w14:paraId="21BF120B">
        <w:tblPrEx>
          <w:tblCellMar>
            <w:top w:w="0" w:type="dxa"/>
            <w:left w:w="108" w:type="dxa"/>
            <w:bottom w:w="0" w:type="dxa"/>
            <w:right w:w="108" w:type="dxa"/>
          </w:tblCellMar>
        </w:tblPrEx>
        <w:trPr>
          <w:jc w:val="center"/>
        </w:trPr>
        <w:tc>
          <w:tcPr>
            <w:tcW w:w="567" w:type="dxa"/>
            <w:tcBorders>
              <w:top w:val="single" w:color="CCCCCC" w:sz="4" w:space="0"/>
              <w:left w:val="single" w:color="CCCCCC" w:sz="4" w:space="0"/>
              <w:bottom w:val="single" w:color="CCCCCC" w:sz="4" w:space="0"/>
              <w:right w:val="single" w:color="CCCCCC" w:sz="4" w:space="0"/>
            </w:tcBorders>
            <w:shd w:val="clear" w:color="auto" w:fill="F8F9FA"/>
          </w:tcPr>
          <w:p w14:paraId="7DA92C46">
            <w:pPr>
              <w:jc w:val="left"/>
              <w:rPr>
                <w:rFonts w:hint="eastAsia" w:ascii="宋体" w:hAnsi="宋体" w:eastAsia="宋体" w:cs="宋体"/>
              </w:rPr>
            </w:pPr>
            <w:r>
              <w:rPr>
                <w:rFonts w:hint="eastAsia" w:ascii="宋体" w:hAnsi="宋体" w:eastAsia="宋体" w:cs="宋体"/>
                <w:color w:val="333333"/>
                <w:sz w:val="18"/>
              </w:rPr>
              <w:t>3</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5C36AFAC">
            <w:pPr>
              <w:jc w:val="center"/>
              <w:rPr>
                <w:rFonts w:hint="eastAsia" w:ascii="宋体" w:hAnsi="宋体" w:eastAsia="宋体" w:cs="宋体"/>
              </w:rPr>
            </w:pPr>
            <w:r>
              <w:rPr>
                <w:rFonts w:hint="eastAsia" w:ascii="宋体" w:hAnsi="宋体" w:eastAsia="宋体" w:cs="宋体"/>
                <w:color w:val="333333"/>
                <w:sz w:val="18"/>
              </w:rPr>
              <w:t>净利润率</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2F911C0E">
            <w:pPr>
              <w:jc w:val="center"/>
              <w:rPr>
                <w:rFonts w:hint="eastAsia" w:ascii="宋体" w:hAnsi="宋体" w:eastAsia="宋体" w:cs="宋体"/>
              </w:rPr>
            </w:pPr>
            <w:r>
              <w:rPr>
                <w:rFonts w:hint="eastAsia" w:ascii="宋体" w:hAnsi="宋体" w:eastAsia="宋体" w:cs="宋体"/>
                <w:color w:val="333333"/>
                <w:sz w:val="18"/>
              </w:rPr>
              <w:t>净利润/营业收入</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BE46063">
            <w:pPr>
              <w:jc w:val="center"/>
              <w:rPr>
                <w:rFonts w:hint="eastAsia" w:ascii="宋体" w:hAnsi="宋体" w:eastAsia="宋体" w:cs="宋体"/>
              </w:rPr>
            </w:pPr>
            <w:r>
              <w:rPr>
                <w:rFonts w:hint="eastAsia" w:ascii="宋体" w:hAnsi="宋体" w:eastAsia="宋体" w:cs="宋体"/>
                <w:color w:val="333333"/>
                <w:sz w:val="18"/>
              </w:rPr>
              <w:t>盈利</w:t>
            </w:r>
          </w:p>
        </w:tc>
      </w:tr>
      <w:tr w14:paraId="66D096DA">
        <w:tblPrEx>
          <w:tblCellMar>
            <w:top w:w="0" w:type="dxa"/>
            <w:left w:w="108" w:type="dxa"/>
            <w:bottom w:w="0" w:type="dxa"/>
            <w:right w:w="108" w:type="dxa"/>
          </w:tblCellMar>
        </w:tblPrEx>
        <w:trPr>
          <w:jc w:val="center"/>
        </w:trPr>
        <w:tc>
          <w:tcPr>
            <w:tcW w:w="567" w:type="dxa"/>
          </w:tcPr>
          <w:p w14:paraId="1914E2C0">
            <w:pPr>
              <w:jc w:val="left"/>
              <w:rPr>
                <w:rFonts w:hint="eastAsia" w:ascii="宋体" w:hAnsi="宋体" w:eastAsia="宋体" w:cs="宋体"/>
              </w:rPr>
            </w:pPr>
            <w:r>
              <w:rPr>
                <w:rFonts w:hint="eastAsia" w:ascii="宋体" w:hAnsi="宋体" w:eastAsia="宋体" w:cs="宋体"/>
                <w:color w:val="333333"/>
                <w:sz w:val="18"/>
              </w:rPr>
              <w:t>4</w:t>
            </w:r>
          </w:p>
        </w:tc>
        <w:tc>
          <w:tcPr>
            <w:tcW w:w="1701" w:type="dxa"/>
          </w:tcPr>
          <w:p w14:paraId="35D7E6A4">
            <w:pPr>
              <w:jc w:val="center"/>
              <w:rPr>
                <w:rFonts w:hint="eastAsia" w:ascii="宋体" w:hAnsi="宋体" w:eastAsia="宋体" w:cs="宋体"/>
              </w:rPr>
            </w:pPr>
            <w:r>
              <w:rPr>
                <w:rFonts w:hint="eastAsia" w:ascii="宋体" w:hAnsi="宋体" w:eastAsia="宋体" w:cs="宋体"/>
                <w:color w:val="333333"/>
                <w:sz w:val="18"/>
              </w:rPr>
              <w:t>净资产收益率</w:t>
            </w:r>
          </w:p>
        </w:tc>
        <w:tc>
          <w:tcPr>
            <w:tcW w:w="3402" w:type="dxa"/>
          </w:tcPr>
          <w:p w14:paraId="28813501">
            <w:pPr>
              <w:jc w:val="center"/>
              <w:rPr>
                <w:rFonts w:hint="eastAsia" w:ascii="宋体" w:hAnsi="宋体" w:eastAsia="宋体" w:cs="宋体"/>
              </w:rPr>
            </w:pPr>
            <w:r>
              <w:rPr>
                <w:rFonts w:hint="eastAsia" w:ascii="宋体" w:hAnsi="宋体" w:eastAsia="宋体" w:cs="宋体"/>
                <w:color w:val="333333"/>
                <w:sz w:val="18"/>
              </w:rPr>
              <w:t>2*归母净利润/(期初权益+期末权益)</w:t>
            </w:r>
          </w:p>
        </w:tc>
        <w:tc>
          <w:tcPr>
            <w:tcW w:w="1134" w:type="dxa"/>
          </w:tcPr>
          <w:p w14:paraId="6BBA7509">
            <w:pPr>
              <w:jc w:val="center"/>
              <w:rPr>
                <w:rFonts w:hint="eastAsia" w:ascii="宋体" w:hAnsi="宋体" w:eastAsia="宋体" w:cs="宋体"/>
              </w:rPr>
            </w:pPr>
            <w:r>
              <w:rPr>
                <w:rFonts w:hint="eastAsia" w:ascii="宋体" w:hAnsi="宋体" w:eastAsia="宋体" w:cs="宋体"/>
                <w:color w:val="333333"/>
                <w:sz w:val="18"/>
              </w:rPr>
              <w:t>盈利</w:t>
            </w:r>
          </w:p>
        </w:tc>
      </w:tr>
      <w:tr w14:paraId="211C9CBA">
        <w:tblPrEx>
          <w:tblCellMar>
            <w:top w:w="0" w:type="dxa"/>
            <w:left w:w="108" w:type="dxa"/>
            <w:bottom w:w="0" w:type="dxa"/>
            <w:right w:w="108" w:type="dxa"/>
          </w:tblCellMar>
        </w:tblPrEx>
        <w:trPr>
          <w:jc w:val="center"/>
        </w:trPr>
        <w:tc>
          <w:tcPr>
            <w:tcW w:w="567" w:type="dxa"/>
            <w:tcBorders>
              <w:top w:val="single" w:color="CCCCCC" w:sz="4" w:space="0"/>
              <w:left w:val="single" w:color="CCCCCC" w:sz="4" w:space="0"/>
              <w:bottom w:val="single" w:color="CCCCCC" w:sz="4" w:space="0"/>
              <w:right w:val="single" w:color="CCCCCC" w:sz="4" w:space="0"/>
            </w:tcBorders>
            <w:shd w:val="clear" w:color="auto" w:fill="F8F9FA"/>
          </w:tcPr>
          <w:p w14:paraId="63E76869">
            <w:pPr>
              <w:jc w:val="left"/>
              <w:rPr>
                <w:rFonts w:hint="eastAsia" w:ascii="宋体" w:hAnsi="宋体" w:eastAsia="宋体" w:cs="宋体"/>
              </w:rPr>
            </w:pPr>
            <w:r>
              <w:rPr>
                <w:rFonts w:hint="eastAsia" w:ascii="宋体" w:hAnsi="宋体" w:eastAsia="宋体" w:cs="宋体"/>
                <w:color w:val="333333"/>
                <w:sz w:val="18"/>
              </w:rPr>
              <w:t>5</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7248F378">
            <w:pPr>
              <w:jc w:val="center"/>
              <w:rPr>
                <w:rFonts w:hint="eastAsia" w:ascii="宋体" w:hAnsi="宋体" w:eastAsia="宋体" w:cs="宋体"/>
              </w:rPr>
            </w:pPr>
            <w:r>
              <w:rPr>
                <w:rFonts w:hint="eastAsia" w:ascii="宋体" w:hAnsi="宋体" w:eastAsia="宋体" w:cs="宋体"/>
                <w:color w:val="333333"/>
                <w:sz w:val="18"/>
              </w:rPr>
              <w:t>存货周转率</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1710DE43">
            <w:pPr>
              <w:jc w:val="center"/>
              <w:rPr>
                <w:rFonts w:hint="eastAsia" w:ascii="宋体" w:hAnsi="宋体" w:eastAsia="宋体" w:cs="宋体"/>
              </w:rPr>
            </w:pPr>
            <w:r>
              <w:rPr>
                <w:rFonts w:hint="eastAsia" w:ascii="宋体" w:hAnsi="宋体" w:eastAsia="宋体" w:cs="宋体"/>
                <w:color w:val="333333"/>
                <w:sz w:val="18"/>
              </w:rPr>
              <w:t>2*营业成本/(期初存货+期末存货)</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0407242A">
            <w:pPr>
              <w:jc w:val="center"/>
              <w:rPr>
                <w:rFonts w:hint="eastAsia" w:ascii="宋体" w:hAnsi="宋体" w:eastAsia="宋体" w:cs="宋体"/>
              </w:rPr>
            </w:pPr>
            <w:r>
              <w:rPr>
                <w:rFonts w:hint="eastAsia" w:ascii="宋体" w:hAnsi="宋体" w:eastAsia="宋体" w:cs="宋体"/>
                <w:color w:val="333333"/>
                <w:sz w:val="18"/>
              </w:rPr>
              <w:t>营运</w:t>
            </w:r>
          </w:p>
        </w:tc>
      </w:tr>
      <w:tr w14:paraId="5C9E497C">
        <w:tblPrEx>
          <w:tblCellMar>
            <w:top w:w="0" w:type="dxa"/>
            <w:left w:w="108" w:type="dxa"/>
            <w:bottom w:w="0" w:type="dxa"/>
            <w:right w:w="108" w:type="dxa"/>
          </w:tblCellMar>
        </w:tblPrEx>
        <w:trPr>
          <w:jc w:val="center"/>
        </w:trPr>
        <w:tc>
          <w:tcPr>
            <w:tcW w:w="567" w:type="dxa"/>
          </w:tcPr>
          <w:p w14:paraId="0F1340A0">
            <w:pPr>
              <w:jc w:val="left"/>
              <w:rPr>
                <w:rFonts w:hint="eastAsia" w:ascii="宋体" w:hAnsi="宋体" w:eastAsia="宋体" w:cs="宋体"/>
              </w:rPr>
            </w:pPr>
            <w:r>
              <w:rPr>
                <w:rFonts w:hint="eastAsia" w:ascii="宋体" w:hAnsi="宋体" w:eastAsia="宋体" w:cs="宋体"/>
                <w:color w:val="333333"/>
                <w:sz w:val="18"/>
              </w:rPr>
              <w:t>6</w:t>
            </w:r>
          </w:p>
        </w:tc>
        <w:tc>
          <w:tcPr>
            <w:tcW w:w="1701" w:type="dxa"/>
          </w:tcPr>
          <w:p w14:paraId="0296856B">
            <w:pPr>
              <w:jc w:val="center"/>
              <w:rPr>
                <w:rFonts w:hint="eastAsia" w:ascii="宋体" w:hAnsi="宋体" w:eastAsia="宋体" w:cs="宋体"/>
              </w:rPr>
            </w:pPr>
            <w:r>
              <w:rPr>
                <w:rFonts w:hint="eastAsia" w:ascii="宋体" w:hAnsi="宋体" w:eastAsia="宋体" w:cs="宋体"/>
                <w:color w:val="333333"/>
                <w:sz w:val="18"/>
              </w:rPr>
              <w:t>总资产周转率</w:t>
            </w:r>
          </w:p>
        </w:tc>
        <w:tc>
          <w:tcPr>
            <w:tcW w:w="3402" w:type="dxa"/>
          </w:tcPr>
          <w:p w14:paraId="70A0C6D1">
            <w:pPr>
              <w:jc w:val="center"/>
              <w:rPr>
                <w:rFonts w:hint="eastAsia" w:ascii="宋体" w:hAnsi="宋体" w:eastAsia="宋体" w:cs="宋体"/>
              </w:rPr>
            </w:pPr>
            <w:r>
              <w:rPr>
                <w:rFonts w:hint="eastAsia" w:ascii="宋体" w:hAnsi="宋体" w:eastAsia="宋体" w:cs="宋体"/>
                <w:color w:val="333333"/>
                <w:sz w:val="18"/>
              </w:rPr>
              <w:t>2*营业收入/(期初总资产+期末总资产)</w:t>
            </w:r>
          </w:p>
        </w:tc>
        <w:tc>
          <w:tcPr>
            <w:tcW w:w="1134" w:type="dxa"/>
          </w:tcPr>
          <w:p w14:paraId="48C76646">
            <w:pPr>
              <w:jc w:val="center"/>
              <w:rPr>
                <w:rFonts w:hint="eastAsia" w:ascii="宋体" w:hAnsi="宋体" w:eastAsia="宋体" w:cs="宋体"/>
              </w:rPr>
            </w:pPr>
            <w:r>
              <w:rPr>
                <w:rFonts w:hint="eastAsia" w:ascii="宋体" w:hAnsi="宋体" w:eastAsia="宋体" w:cs="宋体"/>
                <w:color w:val="333333"/>
                <w:sz w:val="18"/>
              </w:rPr>
              <w:t>营运</w:t>
            </w:r>
          </w:p>
        </w:tc>
      </w:tr>
      <w:tr w14:paraId="24905AF1">
        <w:tblPrEx>
          <w:tblCellMar>
            <w:top w:w="0" w:type="dxa"/>
            <w:left w:w="108" w:type="dxa"/>
            <w:bottom w:w="0" w:type="dxa"/>
            <w:right w:w="108" w:type="dxa"/>
          </w:tblCellMar>
        </w:tblPrEx>
        <w:trPr>
          <w:jc w:val="center"/>
        </w:trPr>
        <w:tc>
          <w:tcPr>
            <w:tcW w:w="567" w:type="dxa"/>
            <w:tcBorders>
              <w:top w:val="single" w:color="CCCCCC" w:sz="4" w:space="0"/>
              <w:left w:val="single" w:color="CCCCCC" w:sz="4" w:space="0"/>
              <w:bottom w:val="single" w:color="CCCCCC" w:sz="4" w:space="0"/>
              <w:right w:val="single" w:color="CCCCCC" w:sz="4" w:space="0"/>
            </w:tcBorders>
            <w:shd w:val="clear" w:color="auto" w:fill="F8F9FA"/>
          </w:tcPr>
          <w:p w14:paraId="2E0EFC0A">
            <w:pPr>
              <w:jc w:val="left"/>
              <w:rPr>
                <w:rFonts w:hint="eastAsia" w:ascii="宋体" w:hAnsi="宋体" w:eastAsia="宋体" w:cs="宋体"/>
              </w:rPr>
            </w:pPr>
            <w:r>
              <w:rPr>
                <w:rFonts w:hint="eastAsia" w:ascii="宋体" w:hAnsi="宋体" w:eastAsia="宋体" w:cs="宋体"/>
                <w:color w:val="333333"/>
                <w:sz w:val="18"/>
              </w:rPr>
              <w:t>7</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3BB7EB60">
            <w:pPr>
              <w:jc w:val="center"/>
              <w:rPr>
                <w:rFonts w:hint="eastAsia" w:ascii="宋体" w:hAnsi="宋体" w:eastAsia="宋体" w:cs="宋体"/>
              </w:rPr>
            </w:pPr>
            <w:r>
              <w:rPr>
                <w:rFonts w:hint="eastAsia" w:ascii="宋体" w:hAnsi="宋体" w:eastAsia="宋体" w:cs="宋体"/>
                <w:color w:val="333333"/>
                <w:sz w:val="18"/>
              </w:rPr>
              <w:t>应收账款周转率</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6AB6220E">
            <w:pPr>
              <w:jc w:val="center"/>
              <w:rPr>
                <w:rFonts w:hint="eastAsia" w:ascii="宋体" w:hAnsi="宋体" w:eastAsia="宋体" w:cs="宋体"/>
              </w:rPr>
            </w:pPr>
            <w:r>
              <w:rPr>
                <w:rFonts w:hint="eastAsia" w:ascii="宋体" w:hAnsi="宋体" w:eastAsia="宋体" w:cs="宋体"/>
                <w:color w:val="333333"/>
                <w:sz w:val="18"/>
              </w:rPr>
              <w:t>2*营业收入/(期初应收+期末应收)</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5F8A0DE4">
            <w:pPr>
              <w:jc w:val="center"/>
              <w:rPr>
                <w:rFonts w:hint="eastAsia" w:ascii="宋体" w:hAnsi="宋体" w:eastAsia="宋体" w:cs="宋体"/>
              </w:rPr>
            </w:pPr>
            <w:r>
              <w:rPr>
                <w:rFonts w:hint="eastAsia" w:ascii="宋体" w:hAnsi="宋体" w:eastAsia="宋体" w:cs="宋体"/>
                <w:color w:val="333333"/>
                <w:sz w:val="18"/>
              </w:rPr>
              <w:t>营运</w:t>
            </w:r>
          </w:p>
        </w:tc>
      </w:tr>
      <w:tr w14:paraId="2EC0407B">
        <w:tblPrEx>
          <w:tblCellMar>
            <w:top w:w="0" w:type="dxa"/>
            <w:left w:w="108" w:type="dxa"/>
            <w:bottom w:w="0" w:type="dxa"/>
            <w:right w:w="108" w:type="dxa"/>
          </w:tblCellMar>
        </w:tblPrEx>
        <w:trPr>
          <w:jc w:val="center"/>
        </w:trPr>
        <w:tc>
          <w:tcPr>
            <w:tcW w:w="567" w:type="dxa"/>
          </w:tcPr>
          <w:p w14:paraId="6C12B03F">
            <w:pPr>
              <w:jc w:val="left"/>
              <w:rPr>
                <w:rFonts w:hint="eastAsia" w:ascii="宋体" w:hAnsi="宋体" w:eastAsia="宋体" w:cs="宋体"/>
              </w:rPr>
            </w:pPr>
            <w:r>
              <w:rPr>
                <w:rFonts w:hint="eastAsia" w:ascii="宋体" w:hAnsi="宋体" w:eastAsia="宋体" w:cs="宋体"/>
                <w:color w:val="333333"/>
                <w:sz w:val="18"/>
              </w:rPr>
              <w:t>8</w:t>
            </w:r>
          </w:p>
        </w:tc>
        <w:tc>
          <w:tcPr>
            <w:tcW w:w="1701" w:type="dxa"/>
          </w:tcPr>
          <w:p w14:paraId="5017156A">
            <w:pPr>
              <w:jc w:val="center"/>
              <w:rPr>
                <w:rFonts w:hint="eastAsia" w:ascii="宋体" w:hAnsi="宋体" w:eastAsia="宋体" w:cs="宋体"/>
              </w:rPr>
            </w:pPr>
            <w:r>
              <w:rPr>
                <w:rFonts w:hint="eastAsia" w:ascii="宋体" w:hAnsi="宋体" w:eastAsia="宋体" w:cs="宋体"/>
                <w:color w:val="333333"/>
                <w:sz w:val="18"/>
              </w:rPr>
              <w:t>流动比率</w:t>
            </w:r>
          </w:p>
        </w:tc>
        <w:tc>
          <w:tcPr>
            <w:tcW w:w="3402" w:type="dxa"/>
          </w:tcPr>
          <w:p w14:paraId="6BF8F703">
            <w:pPr>
              <w:jc w:val="center"/>
              <w:rPr>
                <w:rFonts w:hint="eastAsia" w:ascii="宋体" w:hAnsi="宋体" w:eastAsia="宋体" w:cs="宋体"/>
              </w:rPr>
            </w:pPr>
            <w:r>
              <w:rPr>
                <w:rFonts w:hint="eastAsia" w:ascii="宋体" w:hAnsi="宋体" w:eastAsia="宋体" w:cs="宋体"/>
                <w:color w:val="333333"/>
                <w:sz w:val="18"/>
              </w:rPr>
              <w:t>流动资产/流动负债</w:t>
            </w:r>
          </w:p>
        </w:tc>
        <w:tc>
          <w:tcPr>
            <w:tcW w:w="1134" w:type="dxa"/>
          </w:tcPr>
          <w:p w14:paraId="076F5D2D">
            <w:pPr>
              <w:jc w:val="center"/>
              <w:rPr>
                <w:rFonts w:hint="eastAsia" w:ascii="宋体" w:hAnsi="宋体" w:eastAsia="宋体" w:cs="宋体"/>
              </w:rPr>
            </w:pPr>
            <w:r>
              <w:rPr>
                <w:rFonts w:hint="eastAsia" w:ascii="宋体" w:hAnsi="宋体" w:eastAsia="宋体" w:cs="宋体"/>
                <w:color w:val="333333"/>
                <w:sz w:val="18"/>
              </w:rPr>
              <w:t>偿债</w:t>
            </w:r>
          </w:p>
        </w:tc>
      </w:tr>
      <w:tr w14:paraId="39052D14">
        <w:tblPrEx>
          <w:tblCellMar>
            <w:top w:w="0" w:type="dxa"/>
            <w:left w:w="108" w:type="dxa"/>
            <w:bottom w:w="0" w:type="dxa"/>
            <w:right w:w="108" w:type="dxa"/>
          </w:tblCellMar>
        </w:tblPrEx>
        <w:trPr>
          <w:jc w:val="center"/>
        </w:trPr>
        <w:tc>
          <w:tcPr>
            <w:tcW w:w="567" w:type="dxa"/>
            <w:tcBorders>
              <w:top w:val="single" w:color="CCCCCC" w:sz="4" w:space="0"/>
              <w:left w:val="single" w:color="CCCCCC" w:sz="4" w:space="0"/>
              <w:bottom w:val="single" w:color="CCCCCC" w:sz="4" w:space="0"/>
              <w:right w:val="single" w:color="CCCCCC" w:sz="4" w:space="0"/>
            </w:tcBorders>
            <w:shd w:val="clear" w:color="auto" w:fill="F8F9FA"/>
          </w:tcPr>
          <w:p w14:paraId="4DED1CA9">
            <w:pPr>
              <w:jc w:val="left"/>
              <w:rPr>
                <w:rFonts w:hint="eastAsia" w:ascii="宋体" w:hAnsi="宋体" w:eastAsia="宋体" w:cs="宋体"/>
              </w:rPr>
            </w:pPr>
            <w:r>
              <w:rPr>
                <w:rFonts w:hint="eastAsia" w:ascii="宋体" w:hAnsi="宋体" w:eastAsia="宋体" w:cs="宋体"/>
                <w:color w:val="333333"/>
                <w:sz w:val="18"/>
              </w:rPr>
              <w:t>9</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3E2E5E30">
            <w:pPr>
              <w:jc w:val="center"/>
              <w:rPr>
                <w:rFonts w:hint="eastAsia" w:ascii="宋体" w:hAnsi="宋体" w:eastAsia="宋体" w:cs="宋体"/>
              </w:rPr>
            </w:pPr>
            <w:r>
              <w:rPr>
                <w:rFonts w:hint="eastAsia" w:ascii="宋体" w:hAnsi="宋体" w:eastAsia="宋体" w:cs="宋体"/>
                <w:color w:val="333333"/>
                <w:sz w:val="18"/>
              </w:rPr>
              <w:t>速动比率</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031585FA">
            <w:pPr>
              <w:jc w:val="center"/>
              <w:rPr>
                <w:rFonts w:hint="eastAsia" w:ascii="宋体" w:hAnsi="宋体" w:eastAsia="宋体" w:cs="宋体"/>
              </w:rPr>
            </w:pPr>
            <w:r>
              <w:rPr>
                <w:rFonts w:hint="eastAsia" w:ascii="宋体" w:hAnsi="宋体" w:eastAsia="宋体" w:cs="宋体"/>
                <w:color w:val="333333"/>
                <w:sz w:val="18"/>
              </w:rPr>
              <w:t>(流动资产-存货-预付)/流动负债</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3EDE8EE4">
            <w:pPr>
              <w:jc w:val="center"/>
              <w:rPr>
                <w:rFonts w:hint="eastAsia" w:ascii="宋体" w:hAnsi="宋体" w:eastAsia="宋体" w:cs="宋体"/>
              </w:rPr>
            </w:pPr>
            <w:r>
              <w:rPr>
                <w:rFonts w:hint="eastAsia" w:ascii="宋体" w:hAnsi="宋体" w:eastAsia="宋体" w:cs="宋体"/>
                <w:color w:val="333333"/>
                <w:sz w:val="18"/>
              </w:rPr>
              <w:t>偿债</w:t>
            </w:r>
          </w:p>
        </w:tc>
      </w:tr>
      <w:tr w14:paraId="69956063">
        <w:tblPrEx>
          <w:tblCellMar>
            <w:top w:w="0" w:type="dxa"/>
            <w:left w:w="108" w:type="dxa"/>
            <w:bottom w:w="0" w:type="dxa"/>
            <w:right w:w="108" w:type="dxa"/>
          </w:tblCellMar>
        </w:tblPrEx>
        <w:trPr>
          <w:jc w:val="center"/>
        </w:trPr>
        <w:tc>
          <w:tcPr>
            <w:tcW w:w="567" w:type="dxa"/>
          </w:tcPr>
          <w:p w14:paraId="78215883">
            <w:pPr>
              <w:jc w:val="left"/>
              <w:rPr>
                <w:rFonts w:hint="eastAsia" w:ascii="宋体" w:hAnsi="宋体" w:eastAsia="宋体" w:cs="宋体"/>
              </w:rPr>
            </w:pPr>
            <w:r>
              <w:rPr>
                <w:rFonts w:hint="eastAsia" w:ascii="宋体" w:hAnsi="宋体" w:eastAsia="宋体" w:cs="宋体"/>
                <w:color w:val="333333"/>
                <w:sz w:val="18"/>
              </w:rPr>
              <w:t>10</w:t>
            </w:r>
          </w:p>
        </w:tc>
        <w:tc>
          <w:tcPr>
            <w:tcW w:w="1701" w:type="dxa"/>
          </w:tcPr>
          <w:p w14:paraId="56FCD390">
            <w:pPr>
              <w:jc w:val="center"/>
              <w:rPr>
                <w:rFonts w:hint="eastAsia" w:ascii="宋体" w:hAnsi="宋体" w:eastAsia="宋体" w:cs="宋体"/>
              </w:rPr>
            </w:pPr>
            <w:r>
              <w:rPr>
                <w:rFonts w:hint="eastAsia" w:ascii="宋体" w:hAnsi="宋体" w:eastAsia="宋体" w:cs="宋体"/>
                <w:color w:val="333333"/>
                <w:sz w:val="18"/>
              </w:rPr>
              <w:t>利息保障倍数</w:t>
            </w:r>
          </w:p>
        </w:tc>
        <w:tc>
          <w:tcPr>
            <w:tcW w:w="3402" w:type="dxa"/>
          </w:tcPr>
          <w:p w14:paraId="5B20F1F3">
            <w:pPr>
              <w:jc w:val="center"/>
              <w:rPr>
                <w:rFonts w:hint="eastAsia" w:ascii="宋体" w:hAnsi="宋体" w:eastAsia="宋体" w:cs="宋体"/>
              </w:rPr>
            </w:pPr>
            <w:r>
              <w:rPr>
                <w:rFonts w:hint="eastAsia" w:ascii="宋体" w:hAnsi="宋体" w:eastAsia="宋体" w:cs="宋体"/>
                <w:color w:val="333333"/>
                <w:sz w:val="18"/>
              </w:rPr>
              <w:t>(营业利润+利息费用)/利息费用</w:t>
            </w:r>
          </w:p>
        </w:tc>
        <w:tc>
          <w:tcPr>
            <w:tcW w:w="1134" w:type="dxa"/>
          </w:tcPr>
          <w:p w14:paraId="616979C5">
            <w:pPr>
              <w:jc w:val="center"/>
              <w:rPr>
                <w:rFonts w:hint="eastAsia" w:ascii="宋体" w:hAnsi="宋体" w:eastAsia="宋体" w:cs="宋体"/>
              </w:rPr>
            </w:pPr>
            <w:r>
              <w:rPr>
                <w:rFonts w:hint="eastAsia" w:ascii="宋体" w:hAnsi="宋体" w:eastAsia="宋体" w:cs="宋体"/>
                <w:color w:val="333333"/>
                <w:sz w:val="18"/>
              </w:rPr>
              <w:t>偿债</w:t>
            </w:r>
          </w:p>
        </w:tc>
      </w:tr>
      <w:tr w14:paraId="57A44A99">
        <w:tblPrEx>
          <w:tblCellMar>
            <w:top w:w="0" w:type="dxa"/>
            <w:left w:w="108" w:type="dxa"/>
            <w:bottom w:w="0" w:type="dxa"/>
            <w:right w:w="108" w:type="dxa"/>
          </w:tblCellMar>
        </w:tblPrEx>
        <w:trPr>
          <w:jc w:val="center"/>
        </w:trPr>
        <w:tc>
          <w:tcPr>
            <w:tcW w:w="567" w:type="dxa"/>
            <w:tcBorders>
              <w:top w:val="single" w:color="CCCCCC" w:sz="4" w:space="0"/>
              <w:left w:val="single" w:color="CCCCCC" w:sz="4" w:space="0"/>
              <w:bottom w:val="single" w:color="CCCCCC" w:sz="4" w:space="0"/>
              <w:right w:val="single" w:color="CCCCCC" w:sz="4" w:space="0"/>
            </w:tcBorders>
            <w:shd w:val="clear" w:color="auto" w:fill="F8F9FA"/>
          </w:tcPr>
          <w:p w14:paraId="782C43C8">
            <w:pPr>
              <w:jc w:val="left"/>
              <w:rPr>
                <w:rFonts w:hint="eastAsia" w:ascii="宋体" w:hAnsi="宋体" w:eastAsia="宋体" w:cs="宋体"/>
              </w:rPr>
            </w:pPr>
            <w:r>
              <w:rPr>
                <w:rFonts w:hint="eastAsia" w:ascii="宋体" w:hAnsi="宋体" w:eastAsia="宋体" w:cs="宋体"/>
                <w:color w:val="333333"/>
                <w:sz w:val="18"/>
              </w:rPr>
              <w:t>11</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2446D65E">
            <w:pPr>
              <w:jc w:val="center"/>
              <w:rPr>
                <w:rFonts w:hint="eastAsia" w:ascii="宋体" w:hAnsi="宋体" w:eastAsia="宋体" w:cs="宋体"/>
              </w:rPr>
            </w:pPr>
            <w:r>
              <w:rPr>
                <w:rFonts w:hint="eastAsia" w:ascii="宋体" w:hAnsi="宋体" w:eastAsia="宋体" w:cs="宋体"/>
                <w:color w:val="333333"/>
                <w:sz w:val="18"/>
              </w:rPr>
              <w:t>资产负债率</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4B94F38F">
            <w:pPr>
              <w:jc w:val="center"/>
              <w:rPr>
                <w:rFonts w:hint="eastAsia" w:ascii="宋体" w:hAnsi="宋体" w:eastAsia="宋体" w:cs="宋体"/>
              </w:rPr>
            </w:pPr>
            <w:r>
              <w:rPr>
                <w:rFonts w:hint="eastAsia" w:ascii="宋体" w:hAnsi="宋体" w:eastAsia="宋体" w:cs="宋体"/>
                <w:color w:val="333333"/>
                <w:sz w:val="18"/>
              </w:rPr>
              <w:t>负债合计/资产合计</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0FDE78E8">
            <w:pPr>
              <w:jc w:val="center"/>
              <w:rPr>
                <w:rFonts w:hint="eastAsia" w:ascii="宋体" w:hAnsi="宋体" w:eastAsia="宋体" w:cs="宋体"/>
              </w:rPr>
            </w:pPr>
            <w:r>
              <w:rPr>
                <w:rFonts w:hint="eastAsia" w:ascii="宋体" w:hAnsi="宋体" w:eastAsia="宋体" w:cs="宋体"/>
                <w:color w:val="333333"/>
                <w:sz w:val="18"/>
              </w:rPr>
              <w:t>偿债</w:t>
            </w:r>
          </w:p>
        </w:tc>
      </w:tr>
      <w:tr w14:paraId="3FC42E06">
        <w:tblPrEx>
          <w:tblCellMar>
            <w:top w:w="0" w:type="dxa"/>
            <w:left w:w="108" w:type="dxa"/>
            <w:bottom w:w="0" w:type="dxa"/>
            <w:right w:w="108" w:type="dxa"/>
          </w:tblCellMar>
        </w:tblPrEx>
        <w:trPr>
          <w:jc w:val="center"/>
        </w:trPr>
        <w:tc>
          <w:tcPr>
            <w:tcW w:w="567" w:type="dxa"/>
          </w:tcPr>
          <w:p w14:paraId="649E9AB6">
            <w:pPr>
              <w:jc w:val="left"/>
              <w:rPr>
                <w:rFonts w:hint="eastAsia" w:ascii="宋体" w:hAnsi="宋体" w:eastAsia="宋体" w:cs="宋体"/>
              </w:rPr>
            </w:pPr>
            <w:r>
              <w:rPr>
                <w:rFonts w:hint="eastAsia" w:ascii="宋体" w:hAnsi="宋体" w:eastAsia="宋体" w:cs="宋体"/>
                <w:color w:val="333333"/>
                <w:sz w:val="18"/>
              </w:rPr>
              <w:t>12</w:t>
            </w:r>
          </w:p>
        </w:tc>
        <w:tc>
          <w:tcPr>
            <w:tcW w:w="1701" w:type="dxa"/>
          </w:tcPr>
          <w:p w14:paraId="595ED45E">
            <w:pPr>
              <w:jc w:val="center"/>
              <w:rPr>
                <w:rFonts w:hint="eastAsia" w:ascii="宋体" w:hAnsi="宋体" w:eastAsia="宋体" w:cs="宋体"/>
              </w:rPr>
            </w:pPr>
            <w:r>
              <w:rPr>
                <w:rFonts w:hint="eastAsia" w:ascii="宋体" w:hAnsi="宋体" w:eastAsia="宋体" w:cs="宋体"/>
                <w:color w:val="333333"/>
                <w:sz w:val="18"/>
              </w:rPr>
              <w:t>营业收入增长率</w:t>
            </w:r>
          </w:p>
        </w:tc>
        <w:tc>
          <w:tcPr>
            <w:tcW w:w="3402" w:type="dxa"/>
          </w:tcPr>
          <w:p w14:paraId="745F718E">
            <w:pPr>
              <w:jc w:val="center"/>
              <w:rPr>
                <w:rFonts w:hint="eastAsia" w:ascii="宋体" w:hAnsi="宋体" w:eastAsia="宋体" w:cs="宋体"/>
              </w:rPr>
            </w:pPr>
            <w:r>
              <w:rPr>
                <w:rFonts w:hint="eastAsia" w:ascii="宋体" w:hAnsi="宋体" w:eastAsia="宋体" w:cs="宋体"/>
                <w:color w:val="333333"/>
                <w:sz w:val="18"/>
              </w:rPr>
              <w:t>营业收入/上期营收-1</w:t>
            </w:r>
          </w:p>
        </w:tc>
        <w:tc>
          <w:tcPr>
            <w:tcW w:w="1134" w:type="dxa"/>
          </w:tcPr>
          <w:p w14:paraId="1F656D6E">
            <w:pPr>
              <w:jc w:val="center"/>
              <w:rPr>
                <w:rFonts w:hint="eastAsia" w:ascii="宋体" w:hAnsi="宋体" w:eastAsia="宋体" w:cs="宋体"/>
              </w:rPr>
            </w:pPr>
            <w:r>
              <w:rPr>
                <w:rFonts w:hint="eastAsia" w:ascii="宋体" w:hAnsi="宋体" w:eastAsia="宋体" w:cs="宋体"/>
                <w:color w:val="333333"/>
                <w:sz w:val="18"/>
              </w:rPr>
              <w:t>成长</w:t>
            </w:r>
          </w:p>
        </w:tc>
      </w:tr>
      <w:tr w14:paraId="4A1FC853">
        <w:tblPrEx>
          <w:tblCellMar>
            <w:top w:w="0" w:type="dxa"/>
            <w:left w:w="108" w:type="dxa"/>
            <w:bottom w:w="0" w:type="dxa"/>
            <w:right w:w="108" w:type="dxa"/>
          </w:tblCellMar>
        </w:tblPrEx>
        <w:trPr>
          <w:jc w:val="center"/>
        </w:trPr>
        <w:tc>
          <w:tcPr>
            <w:tcW w:w="567" w:type="dxa"/>
            <w:tcBorders>
              <w:top w:val="single" w:color="CCCCCC" w:sz="4" w:space="0"/>
              <w:left w:val="single" w:color="CCCCCC" w:sz="4" w:space="0"/>
              <w:bottom w:val="single" w:color="CCCCCC" w:sz="4" w:space="0"/>
              <w:right w:val="single" w:color="CCCCCC" w:sz="4" w:space="0"/>
            </w:tcBorders>
            <w:shd w:val="clear" w:color="auto" w:fill="F8F9FA"/>
          </w:tcPr>
          <w:p w14:paraId="41CC8C19">
            <w:pPr>
              <w:jc w:val="left"/>
              <w:rPr>
                <w:rFonts w:hint="eastAsia" w:ascii="宋体" w:hAnsi="宋体" w:eastAsia="宋体" w:cs="宋体"/>
              </w:rPr>
            </w:pPr>
            <w:r>
              <w:rPr>
                <w:rFonts w:hint="eastAsia" w:ascii="宋体" w:hAnsi="宋体" w:eastAsia="宋体" w:cs="宋体"/>
                <w:color w:val="333333"/>
                <w:sz w:val="18"/>
              </w:rPr>
              <w:t>13</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347CECAA">
            <w:pPr>
              <w:jc w:val="center"/>
              <w:rPr>
                <w:rFonts w:hint="eastAsia" w:ascii="宋体" w:hAnsi="宋体" w:eastAsia="宋体" w:cs="宋体"/>
              </w:rPr>
            </w:pPr>
            <w:r>
              <w:rPr>
                <w:rFonts w:hint="eastAsia" w:ascii="宋体" w:hAnsi="宋体" w:eastAsia="宋体" w:cs="宋体"/>
                <w:color w:val="333333"/>
                <w:sz w:val="18"/>
              </w:rPr>
              <w:t>营业利润增长率</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75FB5C6F">
            <w:pPr>
              <w:jc w:val="center"/>
              <w:rPr>
                <w:rFonts w:hint="eastAsia" w:ascii="宋体" w:hAnsi="宋体" w:eastAsia="宋体" w:cs="宋体"/>
              </w:rPr>
            </w:pPr>
            <w:r>
              <w:rPr>
                <w:rFonts w:hint="eastAsia" w:ascii="宋体" w:hAnsi="宋体" w:eastAsia="宋体" w:cs="宋体"/>
                <w:color w:val="333333"/>
                <w:sz w:val="18"/>
              </w:rPr>
              <w:t>营业利润/上期营业利润-1</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7C08CDD7">
            <w:pPr>
              <w:jc w:val="center"/>
              <w:rPr>
                <w:rFonts w:hint="eastAsia" w:ascii="宋体" w:hAnsi="宋体" w:eastAsia="宋体" w:cs="宋体"/>
              </w:rPr>
            </w:pPr>
            <w:r>
              <w:rPr>
                <w:rFonts w:hint="eastAsia" w:ascii="宋体" w:hAnsi="宋体" w:eastAsia="宋体" w:cs="宋体"/>
                <w:color w:val="333333"/>
                <w:sz w:val="18"/>
              </w:rPr>
              <w:t>成长</w:t>
            </w:r>
          </w:p>
        </w:tc>
      </w:tr>
      <w:tr w14:paraId="24E0BF6B">
        <w:tblPrEx>
          <w:tblCellMar>
            <w:top w:w="0" w:type="dxa"/>
            <w:left w:w="108" w:type="dxa"/>
            <w:bottom w:w="0" w:type="dxa"/>
            <w:right w:w="108" w:type="dxa"/>
          </w:tblCellMar>
        </w:tblPrEx>
        <w:trPr>
          <w:jc w:val="center"/>
        </w:trPr>
        <w:tc>
          <w:tcPr>
            <w:tcW w:w="567" w:type="dxa"/>
          </w:tcPr>
          <w:p w14:paraId="7C34D208">
            <w:pPr>
              <w:jc w:val="left"/>
              <w:rPr>
                <w:rFonts w:hint="eastAsia" w:ascii="宋体" w:hAnsi="宋体" w:eastAsia="宋体" w:cs="宋体"/>
              </w:rPr>
            </w:pPr>
            <w:r>
              <w:rPr>
                <w:rFonts w:hint="eastAsia" w:ascii="宋体" w:hAnsi="宋体" w:eastAsia="宋体" w:cs="宋体"/>
                <w:color w:val="333333"/>
                <w:sz w:val="18"/>
              </w:rPr>
              <w:t>14</w:t>
            </w:r>
          </w:p>
        </w:tc>
        <w:tc>
          <w:tcPr>
            <w:tcW w:w="1701" w:type="dxa"/>
          </w:tcPr>
          <w:p w14:paraId="4FA17F63">
            <w:pPr>
              <w:jc w:val="center"/>
              <w:rPr>
                <w:rFonts w:hint="eastAsia" w:ascii="宋体" w:hAnsi="宋体" w:eastAsia="宋体" w:cs="宋体"/>
              </w:rPr>
            </w:pPr>
            <w:r>
              <w:rPr>
                <w:rFonts w:hint="eastAsia" w:ascii="宋体" w:hAnsi="宋体" w:eastAsia="宋体" w:cs="宋体"/>
                <w:color w:val="333333"/>
                <w:sz w:val="18"/>
              </w:rPr>
              <w:t>净利润增长率</w:t>
            </w:r>
          </w:p>
        </w:tc>
        <w:tc>
          <w:tcPr>
            <w:tcW w:w="3402" w:type="dxa"/>
          </w:tcPr>
          <w:p w14:paraId="438A1897">
            <w:pPr>
              <w:jc w:val="center"/>
              <w:rPr>
                <w:rFonts w:hint="eastAsia" w:ascii="宋体" w:hAnsi="宋体" w:eastAsia="宋体" w:cs="宋体"/>
              </w:rPr>
            </w:pPr>
            <w:r>
              <w:rPr>
                <w:rFonts w:hint="eastAsia" w:ascii="宋体" w:hAnsi="宋体" w:eastAsia="宋体" w:cs="宋体"/>
                <w:color w:val="333333"/>
                <w:sz w:val="18"/>
              </w:rPr>
              <w:t>净利润/上期净利润-1</w:t>
            </w:r>
          </w:p>
        </w:tc>
        <w:tc>
          <w:tcPr>
            <w:tcW w:w="1134" w:type="dxa"/>
          </w:tcPr>
          <w:p w14:paraId="457D618F">
            <w:pPr>
              <w:jc w:val="center"/>
              <w:rPr>
                <w:rFonts w:hint="eastAsia" w:ascii="宋体" w:hAnsi="宋体" w:eastAsia="宋体" w:cs="宋体"/>
              </w:rPr>
            </w:pPr>
            <w:r>
              <w:rPr>
                <w:rFonts w:hint="eastAsia" w:ascii="宋体" w:hAnsi="宋体" w:eastAsia="宋体" w:cs="宋体"/>
                <w:color w:val="333333"/>
                <w:sz w:val="18"/>
              </w:rPr>
              <w:t>成长</w:t>
            </w:r>
          </w:p>
        </w:tc>
      </w:tr>
      <w:tr w14:paraId="1559DE05">
        <w:tblPrEx>
          <w:tblCellMar>
            <w:top w:w="0" w:type="dxa"/>
            <w:left w:w="108" w:type="dxa"/>
            <w:bottom w:w="0" w:type="dxa"/>
            <w:right w:w="108" w:type="dxa"/>
          </w:tblCellMar>
        </w:tblPrEx>
        <w:trPr>
          <w:jc w:val="center"/>
        </w:trPr>
        <w:tc>
          <w:tcPr>
            <w:tcW w:w="567" w:type="dxa"/>
            <w:tcBorders>
              <w:top w:val="single" w:color="CCCCCC" w:sz="4" w:space="0"/>
              <w:left w:val="single" w:color="CCCCCC" w:sz="4" w:space="0"/>
              <w:bottom w:val="single" w:color="CCCCCC" w:sz="4" w:space="0"/>
              <w:right w:val="single" w:color="CCCCCC" w:sz="4" w:space="0"/>
            </w:tcBorders>
            <w:shd w:val="clear" w:color="auto" w:fill="F8F9FA"/>
          </w:tcPr>
          <w:p w14:paraId="7C871C89">
            <w:pPr>
              <w:jc w:val="left"/>
              <w:rPr>
                <w:rFonts w:hint="eastAsia" w:ascii="宋体" w:hAnsi="宋体" w:eastAsia="宋体" w:cs="宋体"/>
              </w:rPr>
            </w:pPr>
            <w:r>
              <w:rPr>
                <w:rFonts w:hint="eastAsia" w:ascii="宋体" w:hAnsi="宋体" w:eastAsia="宋体" w:cs="宋体"/>
                <w:color w:val="333333"/>
                <w:sz w:val="18"/>
              </w:rPr>
              <w:t>15</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6978464D">
            <w:pPr>
              <w:jc w:val="center"/>
              <w:rPr>
                <w:rFonts w:hint="eastAsia" w:ascii="宋体" w:hAnsi="宋体" w:eastAsia="宋体" w:cs="宋体"/>
              </w:rPr>
            </w:pPr>
            <w:r>
              <w:rPr>
                <w:rFonts w:hint="eastAsia" w:ascii="宋体" w:hAnsi="宋体" w:eastAsia="宋体" w:cs="宋体"/>
                <w:color w:val="333333"/>
                <w:sz w:val="18"/>
              </w:rPr>
              <w:t>有息负债率</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64F495FC">
            <w:pPr>
              <w:jc w:val="center"/>
              <w:rPr>
                <w:rFonts w:hint="eastAsia" w:ascii="宋体" w:hAnsi="宋体" w:eastAsia="宋体" w:cs="宋体"/>
              </w:rPr>
            </w:pPr>
            <w:r>
              <w:rPr>
                <w:rFonts w:hint="eastAsia" w:ascii="宋体" w:hAnsi="宋体" w:eastAsia="宋体" w:cs="宋体"/>
                <w:color w:val="333333"/>
                <w:sz w:val="18"/>
              </w:rPr>
              <w:t>(短借+长借+应付债券+一年到期非流负)/资产</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1DBEBFD0">
            <w:pPr>
              <w:jc w:val="center"/>
              <w:rPr>
                <w:rFonts w:hint="eastAsia" w:ascii="宋体" w:hAnsi="宋体" w:eastAsia="宋体" w:cs="宋体"/>
              </w:rPr>
            </w:pPr>
            <w:r>
              <w:rPr>
                <w:rFonts w:hint="eastAsia" w:ascii="宋体" w:hAnsi="宋体" w:eastAsia="宋体" w:cs="宋体"/>
                <w:color w:val="333333"/>
                <w:sz w:val="18"/>
              </w:rPr>
              <w:t>补充</w:t>
            </w:r>
          </w:p>
        </w:tc>
      </w:tr>
      <w:tr w14:paraId="39EA9A23">
        <w:tblPrEx>
          <w:tblCellMar>
            <w:top w:w="0" w:type="dxa"/>
            <w:left w:w="108" w:type="dxa"/>
            <w:bottom w:w="0" w:type="dxa"/>
            <w:right w:w="108" w:type="dxa"/>
          </w:tblCellMar>
        </w:tblPrEx>
        <w:trPr>
          <w:jc w:val="center"/>
        </w:trPr>
        <w:tc>
          <w:tcPr>
            <w:tcW w:w="567" w:type="dxa"/>
          </w:tcPr>
          <w:p w14:paraId="3B1AF161">
            <w:pPr>
              <w:jc w:val="left"/>
              <w:rPr>
                <w:rFonts w:hint="eastAsia" w:ascii="宋体" w:hAnsi="宋体" w:eastAsia="宋体" w:cs="宋体"/>
              </w:rPr>
            </w:pPr>
            <w:r>
              <w:rPr>
                <w:rFonts w:hint="eastAsia" w:ascii="宋体" w:hAnsi="宋体" w:eastAsia="宋体" w:cs="宋体"/>
                <w:color w:val="333333"/>
                <w:sz w:val="18"/>
              </w:rPr>
              <w:t>16</w:t>
            </w:r>
          </w:p>
        </w:tc>
        <w:tc>
          <w:tcPr>
            <w:tcW w:w="1701" w:type="dxa"/>
          </w:tcPr>
          <w:p w14:paraId="56D3D153">
            <w:pPr>
              <w:jc w:val="center"/>
              <w:rPr>
                <w:rFonts w:hint="eastAsia" w:ascii="宋体" w:hAnsi="宋体" w:eastAsia="宋体" w:cs="宋体"/>
              </w:rPr>
            </w:pPr>
            <w:r>
              <w:rPr>
                <w:rFonts w:hint="eastAsia" w:ascii="宋体" w:hAnsi="宋体" w:eastAsia="宋体" w:cs="宋体"/>
                <w:color w:val="333333"/>
                <w:sz w:val="18"/>
              </w:rPr>
              <w:t>经营CF/营收</w:t>
            </w:r>
          </w:p>
        </w:tc>
        <w:tc>
          <w:tcPr>
            <w:tcW w:w="3402" w:type="dxa"/>
          </w:tcPr>
          <w:p w14:paraId="53BAF605">
            <w:pPr>
              <w:jc w:val="center"/>
              <w:rPr>
                <w:rFonts w:hint="eastAsia" w:ascii="宋体" w:hAnsi="宋体" w:eastAsia="宋体" w:cs="宋体"/>
              </w:rPr>
            </w:pPr>
            <w:r>
              <w:rPr>
                <w:rFonts w:hint="eastAsia" w:ascii="宋体" w:hAnsi="宋体" w:eastAsia="宋体" w:cs="宋体"/>
                <w:color w:val="333333"/>
                <w:sz w:val="18"/>
              </w:rPr>
              <w:t>经营CF/营业收入</w:t>
            </w:r>
          </w:p>
        </w:tc>
        <w:tc>
          <w:tcPr>
            <w:tcW w:w="1134" w:type="dxa"/>
          </w:tcPr>
          <w:p w14:paraId="0624F2D1">
            <w:pPr>
              <w:jc w:val="center"/>
              <w:rPr>
                <w:rFonts w:hint="eastAsia" w:ascii="宋体" w:hAnsi="宋体" w:eastAsia="宋体" w:cs="宋体"/>
              </w:rPr>
            </w:pPr>
            <w:r>
              <w:rPr>
                <w:rFonts w:hint="eastAsia" w:ascii="宋体" w:hAnsi="宋体" w:eastAsia="宋体" w:cs="宋体"/>
                <w:color w:val="333333"/>
                <w:sz w:val="18"/>
              </w:rPr>
              <w:t>补充</w:t>
            </w:r>
          </w:p>
        </w:tc>
      </w:tr>
      <w:tr w14:paraId="7CBAE026">
        <w:tblPrEx>
          <w:tblCellMar>
            <w:top w:w="0" w:type="dxa"/>
            <w:left w:w="108" w:type="dxa"/>
            <w:bottom w:w="0" w:type="dxa"/>
            <w:right w:w="108" w:type="dxa"/>
          </w:tblCellMar>
        </w:tblPrEx>
        <w:trPr>
          <w:jc w:val="center"/>
        </w:trPr>
        <w:tc>
          <w:tcPr>
            <w:tcW w:w="567" w:type="dxa"/>
            <w:tcBorders>
              <w:top w:val="single" w:color="CCCCCC" w:sz="4" w:space="0"/>
              <w:left w:val="single" w:color="CCCCCC" w:sz="4" w:space="0"/>
              <w:bottom w:val="single" w:color="CCCCCC" w:sz="4" w:space="0"/>
              <w:right w:val="single" w:color="CCCCCC" w:sz="4" w:space="0"/>
            </w:tcBorders>
            <w:shd w:val="clear" w:color="auto" w:fill="F8F9FA"/>
          </w:tcPr>
          <w:p w14:paraId="758B816D">
            <w:pPr>
              <w:jc w:val="left"/>
              <w:rPr>
                <w:rFonts w:hint="eastAsia" w:ascii="宋体" w:hAnsi="宋体" w:eastAsia="宋体" w:cs="宋体"/>
              </w:rPr>
            </w:pPr>
            <w:r>
              <w:rPr>
                <w:rFonts w:hint="eastAsia" w:ascii="宋体" w:hAnsi="宋体" w:eastAsia="宋体" w:cs="宋体"/>
                <w:color w:val="333333"/>
                <w:sz w:val="18"/>
              </w:rPr>
              <w:t>17</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0DC14A36">
            <w:pPr>
              <w:jc w:val="center"/>
              <w:rPr>
                <w:rFonts w:hint="eastAsia" w:ascii="宋体" w:hAnsi="宋体" w:eastAsia="宋体" w:cs="宋体"/>
              </w:rPr>
            </w:pPr>
            <w:r>
              <w:rPr>
                <w:rFonts w:hint="eastAsia" w:ascii="宋体" w:hAnsi="宋体" w:eastAsia="宋体" w:cs="宋体"/>
                <w:color w:val="333333"/>
                <w:sz w:val="18"/>
              </w:rPr>
              <w:t>权益乘数</w:t>
            </w:r>
          </w:p>
        </w:tc>
        <w:tc>
          <w:tcPr>
            <w:tcW w:w="3402" w:type="dxa"/>
            <w:tcBorders>
              <w:top w:val="single" w:color="CCCCCC" w:sz="4" w:space="0"/>
              <w:left w:val="single" w:color="CCCCCC" w:sz="4" w:space="0"/>
              <w:bottom w:val="single" w:color="CCCCCC" w:sz="4" w:space="0"/>
              <w:right w:val="single" w:color="CCCCCC" w:sz="4" w:space="0"/>
            </w:tcBorders>
            <w:shd w:val="clear" w:color="auto" w:fill="F8F9FA"/>
          </w:tcPr>
          <w:p w14:paraId="29AE0E22">
            <w:pPr>
              <w:jc w:val="center"/>
              <w:rPr>
                <w:rFonts w:hint="eastAsia" w:ascii="宋体" w:hAnsi="宋体" w:eastAsia="宋体" w:cs="宋体"/>
              </w:rPr>
            </w:pPr>
            <w:r>
              <w:rPr>
                <w:rFonts w:hint="eastAsia" w:ascii="宋体" w:hAnsi="宋体" w:eastAsia="宋体" w:cs="宋体"/>
                <w:color w:val="333333"/>
                <w:sz w:val="18"/>
              </w:rPr>
              <w:t>资产合计/归母权益</w:t>
            </w:r>
          </w:p>
        </w:tc>
        <w:tc>
          <w:tcPr>
            <w:tcW w:w="1134" w:type="dxa"/>
            <w:tcBorders>
              <w:top w:val="single" w:color="CCCCCC" w:sz="4" w:space="0"/>
              <w:left w:val="single" w:color="CCCCCC" w:sz="4" w:space="0"/>
              <w:bottom w:val="single" w:color="CCCCCC" w:sz="4" w:space="0"/>
              <w:right w:val="single" w:color="CCCCCC" w:sz="4" w:space="0"/>
            </w:tcBorders>
            <w:shd w:val="clear" w:color="auto" w:fill="F8F9FA"/>
          </w:tcPr>
          <w:p w14:paraId="47BEE1C0">
            <w:pPr>
              <w:jc w:val="center"/>
              <w:rPr>
                <w:rFonts w:hint="eastAsia" w:ascii="宋体" w:hAnsi="宋体" w:eastAsia="宋体" w:cs="宋体"/>
              </w:rPr>
            </w:pPr>
            <w:r>
              <w:rPr>
                <w:rFonts w:hint="eastAsia" w:ascii="宋体" w:hAnsi="宋体" w:eastAsia="宋体" w:cs="宋体"/>
                <w:color w:val="333333"/>
                <w:sz w:val="18"/>
              </w:rPr>
              <w:t>补充</w:t>
            </w:r>
          </w:p>
        </w:tc>
      </w:tr>
      <w:tr w14:paraId="79F68CD9">
        <w:tblPrEx>
          <w:tblCellMar>
            <w:top w:w="0" w:type="dxa"/>
            <w:left w:w="108" w:type="dxa"/>
            <w:bottom w:w="0" w:type="dxa"/>
            <w:right w:w="108" w:type="dxa"/>
          </w:tblCellMar>
        </w:tblPrEx>
        <w:trPr>
          <w:jc w:val="center"/>
        </w:trPr>
        <w:tc>
          <w:tcPr>
            <w:tcW w:w="567" w:type="dxa"/>
          </w:tcPr>
          <w:p w14:paraId="33D8839C">
            <w:pPr>
              <w:jc w:val="left"/>
              <w:rPr>
                <w:rFonts w:hint="eastAsia" w:ascii="宋体" w:hAnsi="宋体" w:eastAsia="宋体" w:cs="宋体"/>
              </w:rPr>
            </w:pPr>
            <w:r>
              <w:rPr>
                <w:rFonts w:hint="eastAsia" w:ascii="宋体" w:hAnsi="宋体" w:eastAsia="宋体" w:cs="宋体"/>
                <w:color w:val="333333"/>
                <w:sz w:val="18"/>
              </w:rPr>
              <w:t>18</w:t>
            </w:r>
          </w:p>
        </w:tc>
        <w:tc>
          <w:tcPr>
            <w:tcW w:w="1701" w:type="dxa"/>
          </w:tcPr>
          <w:p w14:paraId="44A829F2">
            <w:pPr>
              <w:jc w:val="center"/>
              <w:rPr>
                <w:rFonts w:hint="eastAsia" w:ascii="宋体" w:hAnsi="宋体" w:eastAsia="宋体" w:cs="宋体"/>
              </w:rPr>
            </w:pPr>
            <w:r>
              <w:rPr>
                <w:rFonts w:hint="eastAsia" w:ascii="宋体" w:hAnsi="宋体" w:eastAsia="宋体" w:cs="宋体"/>
                <w:color w:val="333333"/>
                <w:sz w:val="18"/>
              </w:rPr>
              <w:t>货币资金占比</w:t>
            </w:r>
          </w:p>
        </w:tc>
        <w:tc>
          <w:tcPr>
            <w:tcW w:w="3402" w:type="dxa"/>
          </w:tcPr>
          <w:p w14:paraId="1F07EA18">
            <w:pPr>
              <w:jc w:val="center"/>
              <w:rPr>
                <w:rFonts w:hint="eastAsia" w:ascii="宋体" w:hAnsi="宋体" w:eastAsia="宋体" w:cs="宋体"/>
              </w:rPr>
            </w:pPr>
            <w:r>
              <w:rPr>
                <w:rFonts w:hint="eastAsia" w:ascii="宋体" w:hAnsi="宋体" w:eastAsia="宋体" w:cs="宋体"/>
                <w:color w:val="333333"/>
                <w:sz w:val="18"/>
              </w:rPr>
              <w:t>货币资金/资产合计</w:t>
            </w:r>
          </w:p>
        </w:tc>
        <w:tc>
          <w:tcPr>
            <w:tcW w:w="1134" w:type="dxa"/>
          </w:tcPr>
          <w:p w14:paraId="33816E1B">
            <w:pPr>
              <w:jc w:val="center"/>
              <w:rPr>
                <w:rFonts w:hint="eastAsia" w:ascii="宋体" w:hAnsi="宋体" w:eastAsia="宋体" w:cs="宋体"/>
              </w:rPr>
            </w:pPr>
            <w:r>
              <w:rPr>
                <w:rFonts w:hint="eastAsia" w:ascii="宋体" w:hAnsi="宋体" w:eastAsia="宋体" w:cs="宋体"/>
                <w:color w:val="333333"/>
                <w:sz w:val="18"/>
              </w:rPr>
              <w:t>补充</w:t>
            </w:r>
          </w:p>
        </w:tc>
      </w:tr>
    </w:tbl>
    <w:p w14:paraId="72070098">
      <w:pPr>
        <w:spacing w:after="80"/>
        <w:rPr>
          <w:rFonts w:hint="eastAsia" w:ascii="宋体" w:hAnsi="宋体" w:eastAsia="宋体" w:cs="宋体"/>
        </w:rPr>
      </w:pPr>
    </w:p>
    <w:p w14:paraId="25A9728C">
      <w:pPr>
        <w:rPr>
          <w:rFonts w:hint="eastAsia" w:ascii="宋体" w:hAnsi="宋体" w:eastAsia="宋体" w:cs="宋体"/>
        </w:rPr>
      </w:pPr>
      <w:r>
        <w:rPr>
          <w:rFonts w:hint="eastAsia" w:ascii="宋体" w:hAnsi="宋体" w:eastAsia="宋体" w:cs="宋体"/>
        </w:rPr>
        <w:br w:type="page"/>
      </w:r>
    </w:p>
    <w:p w14:paraId="248E8B99">
      <w:pPr>
        <w:spacing w:before="360" w:after="240"/>
        <w:jc w:val="center"/>
        <w:outlineLvl w:val="0"/>
        <w:rPr>
          <w:rFonts w:hint="eastAsia" w:ascii="宋体" w:hAnsi="宋体" w:eastAsia="宋体" w:cs="宋体"/>
        </w:rPr>
      </w:pPr>
      <w:r>
        <w:rPr>
          <w:rFonts w:hint="eastAsia" w:ascii="宋体" w:hAnsi="宋体" w:eastAsia="宋体" w:cs="宋体"/>
          <w:b/>
          <w:color w:val="000000"/>
          <w:sz w:val="32"/>
        </w:rPr>
        <w:t>附录B  六种预测方法参数设置</w:t>
      </w:r>
    </w:p>
    <w:tbl>
      <w:tblPr>
        <w:tblStyle w:val="32"/>
        <w:tblW w:w="0" w:type="auto"/>
        <w:jc w:val="center"/>
        <w:tblLayout w:type="autofit"/>
        <w:tblCellMar>
          <w:top w:w="0" w:type="dxa"/>
          <w:left w:w="108" w:type="dxa"/>
          <w:bottom w:w="0" w:type="dxa"/>
          <w:right w:w="108" w:type="dxa"/>
        </w:tblCellMar>
      </w:tblPr>
      <w:tblGrid>
        <w:gridCol w:w="1417"/>
        <w:gridCol w:w="1746"/>
        <w:gridCol w:w="2376"/>
        <w:gridCol w:w="2835"/>
      </w:tblGrid>
      <w:tr w14:paraId="5186E6ED">
        <w:tblPrEx>
          <w:tblCellMar>
            <w:top w:w="0" w:type="dxa"/>
            <w:left w:w="108" w:type="dxa"/>
            <w:bottom w:w="0" w:type="dxa"/>
            <w:right w:w="108" w:type="dxa"/>
          </w:tblCellMar>
        </w:tblPrEx>
        <w:trPr>
          <w:jc w:val="center"/>
        </w:trPr>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47AD4B4D">
            <w:pPr>
              <w:jc w:val="center"/>
              <w:rPr>
                <w:rFonts w:hint="eastAsia" w:ascii="宋体" w:hAnsi="宋体" w:eastAsia="宋体" w:cs="宋体"/>
              </w:rPr>
            </w:pPr>
            <w:r>
              <w:rPr>
                <w:rFonts w:hint="eastAsia" w:ascii="宋体" w:hAnsi="宋体" w:eastAsia="宋体" w:cs="宋体"/>
                <w:b/>
                <w:color w:val="1A4789"/>
                <w:sz w:val="18"/>
              </w:rPr>
              <w:t>方法</w:t>
            </w:r>
          </w:p>
        </w:tc>
        <w:tc>
          <w:tcPr>
            <w:tcW w:w="1417" w:type="dxa"/>
            <w:tcBorders>
              <w:top w:val="single" w:color="2E75B6" w:sz="8" w:space="0"/>
              <w:left w:val="single" w:color="CCCCCC" w:sz="4" w:space="0"/>
              <w:bottom w:val="single" w:color="CCCCCC" w:sz="4" w:space="0"/>
              <w:right w:val="single" w:color="CCCCCC" w:sz="4" w:space="0"/>
            </w:tcBorders>
            <w:shd w:val="clear" w:color="auto" w:fill="D5E8F0"/>
          </w:tcPr>
          <w:p w14:paraId="7BE0D995">
            <w:pPr>
              <w:jc w:val="center"/>
              <w:rPr>
                <w:rFonts w:hint="eastAsia" w:ascii="宋体" w:hAnsi="宋体" w:eastAsia="宋体" w:cs="宋体"/>
              </w:rPr>
            </w:pPr>
            <w:r>
              <w:rPr>
                <w:rFonts w:hint="eastAsia" w:ascii="宋体" w:hAnsi="宋体" w:eastAsia="宋体" w:cs="宋体"/>
                <w:b/>
                <w:color w:val="1A4789"/>
                <w:sz w:val="18"/>
              </w:rPr>
              <w:t>实现库</w:t>
            </w:r>
          </w:p>
        </w:tc>
        <w:tc>
          <w:tcPr>
            <w:tcW w:w="1701" w:type="dxa"/>
            <w:tcBorders>
              <w:top w:val="single" w:color="2E75B6" w:sz="8" w:space="0"/>
              <w:left w:val="single" w:color="CCCCCC" w:sz="4" w:space="0"/>
              <w:bottom w:val="single" w:color="CCCCCC" w:sz="4" w:space="0"/>
              <w:right w:val="single" w:color="CCCCCC" w:sz="4" w:space="0"/>
            </w:tcBorders>
            <w:shd w:val="clear" w:color="auto" w:fill="D5E8F0"/>
          </w:tcPr>
          <w:p w14:paraId="28CDDA22">
            <w:pPr>
              <w:jc w:val="center"/>
              <w:rPr>
                <w:rFonts w:hint="eastAsia" w:ascii="宋体" w:hAnsi="宋体" w:eastAsia="宋体" w:cs="宋体"/>
              </w:rPr>
            </w:pPr>
            <w:r>
              <w:rPr>
                <w:rFonts w:hint="eastAsia" w:ascii="宋体" w:hAnsi="宋体" w:eastAsia="宋体" w:cs="宋体"/>
                <w:b/>
                <w:color w:val="1A4789"/>
                <w:sz w:val="18"/>
              </w:rPr>
              <w:t>超参数</w:t>
            </w:r>
          </w:p>
        </w:tc>
        <w:tc>
          <w:tcPr>
            <w:tcW w:w="2835" w:type="dxa"/>
            <w:tcBorders>
              <w:top w:val="single" w:color="2E75B6" w:sz="8" w:space="0"/>
              <w:left w:val="single" w:color="CCCCCC" w:sz="4" w:space="0"/>
              <w:bottom w:val="single" w:color="CCCCCC" w:sz="4" w:space="0"/>
              <w:right w:val="single" w:color="CCCCCC" w:sz="4" w:space="0"/>
            </w:tcBorders>
            <w:shd w:val="clear" w:color="auto" w:fill="D5E8F0"/>
          </w:tcPr>
          <w:p w14:paraId="41423F4D">
            <w:pPr>
              <w:jc w:val="center"/>
              <w:rPr>
                <w:rFonts w:hint="eastAsia" w:ascii="宋体" w:hAnsi="宋体" w:eastAsia="宋体" w:cs="宋体"/>
              </w:rPr>
            </w:pPr>
            <w:r>
              <w:rPr>
                <w:rFonts w:hint="eastAsia" w:ascii="宋体" w:hAnsi="宋体" w:eastAsia="宋体" w:cs="宋体"/>
                <w:b/>
                <w:color w:val="1A4789"/>
                <w:sz w:val="18"/>
              </w:rPr>
              <w:t>说明</w:t>
            </w:r>
          </w:p>
        </w:tc>
      </w:tr>
      <w:tr w14:paraId="5DA714C4">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4F40590A">
            <w:pPr>
              <w:jc w:val="left"/>
              <w:rPr>
                <w:rFonts w:hint="eastAsia" w:ascii="宋体" w:hAnsi="宋体" w:eastAsia="宋体" w:cs="宋体"/>
              </w:rPr>
            </w:pPr>
            <w:r>
              <w:rPr>
                <w:rFonts w:hint="eastAsia" w:ascii="宋体" w:hAnsi="宋体" w:eastAsia="宋体" w:cs="宋体"/>
                <w:color w:val="333333"/>
                <w:sz w:val="18"/>
              </w:rPr>
              <w:t>Ridge回归</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0CA3D3DB">
            <w:pPr>
              <w:jc w:val="center"/>
              <w:rPr>
                <w:rFonts w:hint="eastAsia" w:ascii="宋体" w:hAnsi="宋体" w:eastAsia="宋体" w:cs="宋体"/>
              </w:rPr>
            </w:pPr>
            <w:r>
              <w:rPr>
                <w:rFonts w:hint="eastAsia" w:ascii="宋体" w:hAnsi="宋体" w:eastAsia="宋体" w:cs="宋体"/>
                <w:color w:val="333333"/>
                <w:sz w:val="18"/>
              </w:rPr>
              <w:t>sklearn</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44D2E9BD">
            <w:pPr>
              <w:jc w:val="center"/>
              <w:rPr>
                <w:rFonts w:hint="eastAsia" w:ascii="宋体" w:hAnsi="宋体" w:eastAsia="宋体" w:cs="宋体"/>
              </w:rPr>
            </w:pPr>
            <w:r>
              <w:rPr>
                <w:rFonts w:hint="eastAsia" w:ascii="宋体" w:hAnsi="宋体" w:eastAsia="宋体" w:cs="宋体"/>
                <w:color w:val="333333"/>
                <w:sz w:val="18"/>
              </w:rPr>
              <w:t>degree=2,alpha=1.0</w:t>
            </w:r>
          </w:p>
        </w:tc>
        <w:tc>
          <w:tcPr>
            <w:tcW w:w="2835" w:type="dxa"/>
            <w:tcBorders>
              <w:top w:val="single" w:color="CCCCCC" w:sz="4" w:space="0"/>
              <w:left w:val="single" w:color="CCCCCC" w:sz="4" w:space="0"/>
              <w:bottom w:val="single" w:color="CCCCCC" w:sz="4" w:space="0"/>
              <w:right w:val="single" w:color="CCCCCC" w:sz="4" w:space="0"/>
            </w:tcBorders>
            <w:shd w:val="clear" w:color="auto" w:fill="F8F9FA"/>
          </w:tcPr>
          <w:p w14:paraId="4ABDACC5">
            <w:pPr>
              <w:jc w:val="center"/>
              <w:rPr>
                <w:rFonts w:hint="eastAsia" w:ascii="宋体" w:hAnsi="宋体" w:eastAsia="宋体" w:cs="宋体"/>
              </w:rPr>
            </w:pPr>
            <w:r>
              <w:rPr>
                <w:rFonts w:hint="eastAsia" w:ascii="宋体" w:hAnsi="宋体" w:eastAsia="宋体" w:cs="宋体"/>
                <w:color w:val="333333"/>
                <w:sz w:val="18"/>
              </w:rPr>
              <w:t>L2正则化+多项式趋势+季度季节性</w:t>
            </w:r>
          </w:p>
        </w:tc>
      </w:tr>
      <w:tr w14:paraId="6B2AB5BC">
        <w:tblPrEx>
          <w:tblCellMar>
            <w:top w:w="0" w:type="dxa"/>
            <w:left w:w="108" w:type="dxa"/>
            <w:bottom w:w="0" w:type="dxa"/>
            <w:right w:w="108" w:type="dxa"/>
          </w:tblCellMar>
        </w:tblPrEx>
        <w:trPr>
          <w:jc w:val="center"/>
        </w:trPr>
        <w:tc>
          <w:tcPr>
            <w:tcW w:w="1417" w:type="dxa"/>
          </w:tcPr>
          <w:p w14:paraId="6253467E">
            <w:pPr>
              <w:jc w:val="left"/>
              <w:rPr>
                <w:rFonts w:hint="eastAsia" w:ascii="宋体" w:hAnsi="宋体" w:eastAsia="宋体" w:cs="宋体"/>
              </w:rPr>
            </w:pPr>
            <w:r>
              <w:rPr>
                <w:rFonts w:hint="eastAsia" w:ascii="宋体" w:hAnsi="宋体" w:eastAsia="宋体" w:cs="宋体"/>
                <w:color w:val="333333"/>
                <w:sz w:val="18"/>
              </w:rPr>
              <w:t>Prophet</w:t>
            </w:r>
          </w:p>
        </w:tc>
        <w:tc>
          <w:tcPr>
            <w:tcW w:w="1417" w:type="dxa"/>
          </w:tcPr>
          <w:p w14:paraId="07510A96">
            <w:pPr>
              <w:jc w:val="center"/>
              <w:rPr>
                <w:rFonts w:hint="eastAsia" w:ascii="宋体" w:hAnsi="宋体" w:eastAsia="宋体" w:cs="宋体"/>
              </w:rPr>
            </w:pPr>
            <w:r>
              <w:rPr>
                <w:rFonts w:hint="eastAsia" w:ascii="宋体" w:hAnsi="宋体" w:eastAsia="宋体" w:cs="宋体"/>
                <w:color w:val="333333"/>
                <w:sz w:val="18"/>
              </w:rPr>
              <w:t>prophet</w:t>
            </w:r>
          </w:p>
        </w:tc>
        <w:tc>
          <w:tcPr>
            <w:tcW w:w="1701" w:type="dxa"/>
          </w:tcPr>
          <w:p w14:paraId="1A0CD47C">
            <w:pPr>
              <w:jc w:val="center"/>
              <w:rPr>
                <w:rFonts w:hint="eastAsia" w:ascii="宋体" w:hAnsi="宋体" w:eastAsia="宋体" w:cs="宋体"/>
              </w:rPr>
            </w:pPr>
            <w:r>
              <w:rPr>
                <w:rFonts w:hint="eastAsia" w:ascii="宋体" w:hAnsi="宋体" w:eastAsia="宋体" w:cs="宋体"/>
                <w:color w:val="333333"/>
                <w:sz w:val="18"/>
              </w:rPr>
              <w:t>yearly_seasonality=False</w:t>
            </w:r>
          </w:p>
        </w:tc>
        <w:tc>
          <w:tcPr>
            <w:tcW w:w="2835" w:type="dxa"/>
          </w:tcPr>
          <w:p w14:paraId="048B1D34">
            <w:pPr>
              <w:jc w:val="center"/>
              <w:rPr>
                <w:rFonts w:hint="eastAsia" w:ascii="宋体" w:hAnsi="宋体" w:eastAsia="宋体" w:cs="宋体"/>
              </w:rPr>
            </w:pPr>
            <w:r>
              <w:rPr>
                <w:rFonts w:hint="eastAsia" w:ascii="宋体" w:hAnsi="宋体" w:eastAsia="宋体" w:cs="宋体"/>
                <w:color w:val="333333"/>
                <w:sz w:val="18"/>
              </w:rPr>
              <w:t>cap/floor约束毛利率,降低变点灵敏度</w:t>
            </w:r>
          </w:p>
        </w:tc>
      </w:tr>
      <w:tr w14:paraId="48ED84B0">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692DC99B">
            <w:pPr>
              <w:jc w:val="left"/>
              <w:rPr>
                <w:rFonts w:hint="eastAsia" w:ascii="宋体" w:hAnsi="宋体" w:eastAsia="宋体" w:cs="宋体"/>
              </w:rPr>
            </w:pPr>
            <w:r>
              <w:rPr>
                <w:rFonts w:hint="eastAsia" w:ascii="宋体" w:hAnsi="宋体" w:eastAsia="宋体" w:cs="宋体"/>
                <w:color w:val="333333"/>
                <w:sz w:val="18"/>
              </w:rPr>
              <w:t>LSTM</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1C05F5B5">
            <w:pPr>
              <w:jc w:val="center"/>
              <w:rPr>
                <w:rFonts w:hint="eastAsia" w:ascii="宋体" w:hAnsi="宋体" w:eastAsia="宋体" w:cs="宋体"/>
              </w:rPr>
            </w:pPr>
            <w:r>
              <w:rPr>
                <w:rFonts w:hint="eastAsia" w:ascii="宋体" w:hAnsi="宋体" w:eastAsia="宋体" w:cs="宋体"/>
                <w:color w:val="333333"/>
                <w:sz w:val="18"/>
              </w:rPr>
              <w:t>PyTorch/numpy</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08F867C0">
            <w:pPr>
              <w:jc w:val="center"/>
              <w:rPr>
                <w:rFonts w:hint="eastAsia" w:ascii="宋体" w:hAnsi="宋体" w:eastAsia="宋体" w:cs="宋体"/>
              </w:rPr>
            </w:pPr>
            <w:r>
              <w:rPr>
                <w:rFonts w:hint="eastAsia" w:ascii="宋体" w:hAnsi="宋体" w:eastAsia="宋体" w:cs="宋体"/>
                <w:color w:val="333333"/>
                <w:sz w:val="18"/>
              </w:rPr>
              <w:t>window=3,hidden=16</w:t>
            </w:r>
          </w:p>
        </w:tc>
        <w:tc>
          <w:tcPr>
            <w:tcW w:w="2835" w:type="dxa"/>
            <w:tcBorders>
              <w:top w:val="single" w:color="CCCCCC" w:sz="4" w:space="0"/>
              <w:left w:val="single" w:color="CCCCCC" w:sz="4" w:space="0"/>
              <w:bottom w:val="single" w:color="CCCCCC" w:sz="4" w:space="0"/>
              <w:right w:val="single" w:color="CCCCCC" w:sz="4" w:space="0"/>
            </w:tcBorders>
            <w:shd w:val="clear" w:color="auto" w:fill="F8F9FA"/>
          </w:tcPr>
          <w:p w14:paraId="6FD9C8E4">
            <w:pPr>
              <w:jc w:val="center"/>
              <w:rPr>
                <w:rFonts w:hint="eastAsia" w:ascii="宋体" w:hAnsi="宋体" w:eastAsia="宋体" w:cs="宋体"/>
              </w:rPr>
            </w:pPr>
            <w:r>
              <w:rPr>
                <w:rFonts w:hint="eastAsia" w:ascii="宋体" w:hAnsi="宋体" w:eastAsia="宋体" w:cs="宋体"/>
                <w:color w:val="333333"/>
                <w:sz w:val="18"/>
              </w:rPr>
              <w:t>小样本降epochs,无PyTorch回退Ridge</w:t>
            </w:r>
          </w:p>
        </w:tc>
      </w:tr>
      <w:tr w14:paraId="57C5603D">
        <w:tblPrEx>
          <w:tblCellMar>
            <w:top w:w="0" w:type="dxa"/>
            <w:left w:w="108" w:type="dxa"/>
            <w:bottom w:w="0" w:type="dxa"/>
            <w:right w:w="108" w:type="dxa"/>
          </w:tblCellMar>
        </w:tblPrEx>
        <w:trPr>
          <w:jc w:val="center"/>
        </w:trPr>
        <w:tc>
          <w:tcPr>
            <w:tcW w:w="1417" w:type="dxa"/>
          </w:tcPr>
          <w:p w14:paraId="211D1DF6">
            <w:pPr>
              <w:jc w:val="left"/>
              <w:rPr>
                <w:rFonts w:hint="eastAsia" w:ascii="宋体" w:hAnsi="宋体" w:eastAsia="宋体" w:cs="宋体"/>
              </w:rPr>
            </w:pPr>
            <w:r>
              <w:rPr>
                <w:rFonts w:hint="eastAsia" w:ascii="宋体" w:hAnsi="宋体" w:eastAsia="宋体" w:cs="宋体"/>
                <w:color w:val="333333"/>
                <w:sz w:val="18"/>
              </w:rPr>
              <w:t>三次指数平滑</w:t>
            </w:r>
          </w:p>
        </w:tc>
        <w:tc>
          <w:tcPr>
            <w:tcW w:w="1417" w:type="dxa"/>
          </w:tcPr>
          <w:p w14:paraId="26E68952">
            <w:pPr>
              <w:jc w:val="center"/>
              <w:rPr>
                <w:rFonts w:hint="eastAsia" w:ascii="宋体" w:hAnsi="宋体" w:eastAsia="宋体" w:cs="宋体"/>
              </w:rPr>
            </w:pPr>
            <w:r>
              <w:rPr>
                <w:rFonts w:hint="eastAsia" w:ascii="宋体" w:hAnsi="宋体" w:eastAsia="宋体" w:cs="宋体"/>
                <w:color w:val="333333"/>
                <w:sz w:val="18"/>
              </w:rPr>
              <w:t>statsmodels/numpy</w:t>
            </w:r>
          </w:p>
        </w:tc>
        <w:tc>
          <w:tcPr>
            <w:tcW w:w="1701" w:type="dxa"/>
          </w:tcPr>
          <w:p w14:paraId="39B36EC0">
            <w:pPr>
              <w:jc w:val="center"/>
              <w:rPr>
                <w:rFonts w:hint="eastAsia" w:ascii="宋体" w:hAnsi="宋体" w:eastAsia="宋体" w:cs="宋体"/>
              </w:rPr>
            </w:pPr>
            <w:r>
              <w:rPr>
                <w:rFonts w:hint="eastAsia" w:ascii="宋体" w:hAnsi="宋体" w:eastAsia="宋体" w:cs="宋体"/>
                <w:color w:val="333333"/>
                <w:sz w:val="18"/>
              </w:rPr>
              <w:t>trend=add,seasonal=add</w:t>
            </w:r>
          </w:p>
        </w:tc>
        <w:tc>
          <w:tcPr>
            <w:tcW w:w="2835" w:type="dxa"/>
          </w:tcPr>
          <w:p w14:paraId="39747901">
            <w:pPr>
              <w:jc w:val="center"/>
              <w:rPr>
                <w:rFonts w:hint="eastAsia" w:ascii="宋体" w:hAnsi="宋体" w:eastAsia="宋体" w:cs="宋体"/>
              </w:rPr>
            </w:pPr>
            <w:r>
              <w:rPr>
                <w:rFonts w:hint="eastAsia" w:ascii="宋体" w:hAnsi="宋体" w:eastAsia="宋体" w:cs="宋体"/>
                <w:color w:val="333333"/>
                <w:sz w:val="18"/>
              </w:rPr>
              <w:t>无库时NumPy简化(alpha=0.3)</w:t>
            </w:r>
          </w:p>
        </w:tc>
      </w:tr>
      <w:tr w14:paraId="18D9DFD7">
        <w:tblPrEx>
          <w:tblCellMar>
            <w:top w:w="0" w:type="dxa"/>
            <w:left w:w="108" w:type="dxa"/>
            <w:bottom w:w="0" w:type="dxa"/>
            <w:right w:w="108" w:type="dxa"/>
          </w:tblCellMar>
        </w:tblPrEx>
        <w:trPr>
          <w:jc w:val="center"/>
        </w:trPr>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67C8BCB6">
            <w:pPr>
              <w:jc w:val="left"/>
              <w:rPr>
                <w:rFonts w:hint="eastAsia" w:ascii="宋体" w:hAnsi="宋体" w:eastAsia="宋体" w:cs="宋体"/>
              </w:rPr>
            </w:pPr>
            <w:r>
              <w:rPr>
                <w:rFonts w:hint="eastAsia" w:ascii="宋体" w:hAnsi="宋体" w:eastAsia="宋体" w:cs="宋体"/>
                <w:color w:val="333333"/>
                <w:sz w:val="18"/>
              </w:rPr>
              <w:t>ARIMA</w:t>
            </w:r>
          </w:p>
        </w:tc>
        <w:tc>
          <w:tcPr>
            <w:tcW w:w="1417" w:type="dxa"/>
            <w:tcBorders>
              <w:top w:val="single" w:color="CCCCCC" w:sz="4" w:space="0"/>
              <w:left w:val="single" w:color="CCCCCC" w:sz="4" w:space="0"/>
              <w:bottom w:val="single" w:color="CCCCCC" w:sz="4" w:space="0"/>
              <w:right w:val="single" w:color="CCCCCC" w:sz="4" w:space="0"/>
            </w:tcBorders>
            <w:shd w:val="clear" w:color="auto" w:fill="F8F9FA"/>
          </w:tcPr>
          <w:p w14:paraId="1C753281">
            <w:pPr>
              <w:jc w:val="center"/>
              <w:rPr>
                <w:rFonts w:hint="eastAsia" w:ascii="宋体" w:hAnsi="宋体" w:eastAsia="宋体" w:cs="宋体"/>
              </w:rPr>
            </w:pPr>
            <w:r>
              <w:rPr>
                <w:rFonts w:hint="eastAsia" w:ascii="宋体" w:hAnsi="宋体" w:eastAsia="宋体" w:cs="宋体"/>
                <w:color w:val="333333"/>
                <w:sz w:val="18"/>
              </w:rPr>
              <w:t>statsmodels/numpy</w:t>
            </w:r>
          </w:p>
        </w:tc>
        <w:tc>
          <w:tcPr>
            <w:tcW w:w="1701" w:type="dxa"/>
            <w:tcBorders>
              <w:top w:val="single" w:color="CCCCCC" w:sz="4" w:space="0"/>
              <w:left w:val="single" w:color="CCCCCC" w:sz="4" w:space="0"/>
              <w:bottom w:val="single" w:color="CCCCCC" w:sz="4" w:space="0"/>
              <w:right w:val="single" w:color="CCCCCC" w:sz="4" w:space="0"/>
            </w:tcBorders>
            <w:shd w:val="clear" w:color="auto" w:fill="F8F9FA"/>
          </w:tcPr>
          <w:p w14:paraId="0CDC10AD">
            <w:pPr>
              <w:jc w:val="center"/>
              <w:rPr>
                <w:rFonts w:hint="eastAsia" w:ascii="宋体" w:hAnsi="宋体" w:eastAsia="宋体" w:cs="宋体"/>
              </w:rPr>
            </w:pPr>
            <w:r>
              <w:rPr>
                <w:rFonts w:hint="eastAsia" w:ascii="宋体" w:hAnsi="宋体" w:eastAsia="宋体" w:cs="宋体"/>
                <w:color w:val="333333"/>
                <w:sz w:val="18"/>
              </w:rPr>
              <w:t>order=(2,1,2)</w:t>
            </w:r>
          </w:p>
        </w:tc>
        <w:tc>
          <w:tcPr>
            <w:tcW w:w="2835" w:type="dxa"/>
            <w:tcBorders>
              <w:top w:val="single" w:color="CCCCCC" w:sz="4" w:space="0"/>
              <w:left w:val="single" w:color="CCCCCC" w:sz="4" w:space="0"/>
              <w:bottom w:val="single" w:color="CCCCCC" w:sz="4" w:space="0"/>
              <w:right w:val="single" w:color="CCCCCC" w:sz="4" w:space="0"/>
            </w:tcBorders>
            <w:shd w:val="clear" w:color="auto" w:fill="F8F9FA"/>
          </w:tcPr>
          <w:p w14:paraId="79A61419">
            <w:pPr>
              <w:jc w:val="center"/>
              <w:rPr>
                <w:rFonts w:hint="eastAsia" w:ascii="宋体" w:hAnsi="宋体" w:eastAsia="宋体" w:cs="宋体"/>
              </w:rPr>
            </w:pPr>
            <w:r>
              <w:rPr>
                <w:rFonts w:hint="eastAsia" w:ascii="宋体" w:hAnsi="宋体" w:eastAsia="宋体" w:cs="宋体"/>
                <w:color w:val="333333"/>
                <w:sz w:val="18"/>
              </w:rPr>
              <w:t>失败降(1,1,0),无库时AR(1)回退</w:t>
            </w:r>
          </w:p>
        </w:tc>
      </w:tr>
      <w:tr w14:paraId="0C82BDB3">
        <w:tblPrEx>
          <w:tblCellMar>
            <w:top w:w="0" w:type="dxa"/>
            <w:left w:w="108" w:type="dxa"/>
            <w:bottom w:w="0" w:type="dxa"/>
            <w:right w:w="108" w:type="dxa"/>
          </w:tblCellMar>
        </w:tblPrEx>
        <w:trPr>
          <w:jc w:val="center"/>
        </w:trPr>
        <w:tc>
          <w:tcPr>
            <w:tcW w:w="1417" w:type="dxa"/>
          </w:tcPr>
          <w:p w14:paraId="6030C929">
            <w:pPr>
              <w:jc w:val="left"/>
              <w:rPr>
                <w:rFonts w:hint="eastAsia" w:ascii="宋体" w:hAnsi="宋体" w:eastAsia="宋体" w:cs="宋体"/>
              </w:rPr>
            </w:pPr>
            <w:r>
              <w:rPr>
                <w:rFonts w:hint="eastAsia" w:ascii="宋体" w:hAnsi="宋体" w:eastAsia="宋体" w:cs="宋体"/>
                <w:color w:val="333333"/>
                <w:sz w:val="18"/>
              </w:rPr>
              <w:t>线性回归</w:t>
            </w:r>
          </w:p>
        </w:tc>
        <w:tc>
          <w:tcPr>
            <w:tcW w:w="1417" w:type="dxa"/>
          </w:tcPr>
          <w:p w14:paraId="51F4C744">
            <w:pPr>
              <w:jc w:val="center"/>
              <w:rPr>
                <w:rFonts w:hint="eastAsia" w:ascii="宋体" w:hAnsi="宋体" w:eastAsia="宋体" w:cs="宋体"/>
              </w:rPr>
            </w:pPr>
            <w:r>
              <w:rPr>
                <w:rFonts w:hint="eastAsia" w:ascii="宋体" w:hAnsi="宋体" w:eastAsia="宋体" w:cs="宋体"/>
                <w:color w:val="333333"/>
                <w:sz w:val="18"/>
              </w:rPr>
              <w:t>sklearn</w:t>
            </w:r>
          </w:p>
        </w:tc>
        <w:tc>
          <w:tcPr>
            <w:tcW w:w="1701" w:type="dxa"/>
          </w:tcPr>
          <w:p w14:paraId="65F57888">
            <w:pPr>
              <w:jc w:val="center"/>
              <w:rPr>
                <w:rFonts w:hint="eastAsia" w:ascii="宋体" w:hAnsi="宋体" w:eastAsia="宋体" w:cs="宋体"/>
              </w:rPr>
            </w:pPr>
            <w:r>
              <w:rPr>
                <w:rFonts w:hint="eastAsia" w:ascii="宋体" w:hAnsi="宋体" w:eastAsia="宋体" w:cs="宋体"/>
                <w:color w:val="333333"/>
                <w:sz w:val="18"/>
              </w:rPr>
              <w:t>默认</w:t>
            </w:r>
          </w:p>
        </w:tc>
        <w:tc>
          <w:tcPr>
            <w:tcW w:w="2835" w:type="dxa"/>
          </w:tcPr>
          <w:p w14:paraId="77881978">
            <w:pPr>
              <w:jc w:val="center"/>
              <w:rPr>
                <w:rFonts w:hint="eastAsia" w:ascii="宋体" w:hAnsi="宋体" w:eastAsia="宋体" w:cs="宋体"/>
              </w:rPr>
            </w:pPr>
            <w:r>
              <w:rPr>
                <w:rFonts w:hint="eastAsia" w:ascii="宋体" w:hAnsi="宋体" w:eastAsia="宋体" w:cs="宋体"/>
                <w:color w:val="333333"/>
                <w:sz w:val="18"/>
              </w:rPr>
              <w:t>基线方法,无正则化无季节性</w:t>
            </w:r>
          </w:p>
        </w:tc>
      </w:tr>
    </w:tbl>
    <w:p w14:paraId="15A0A84E">
      <w:pPr>
        <w:spacing w:after="80"/>
        <w:rPr>
          <w:rFonts w:hint="eastAsia" w:ascii="宋体" w:hAnsi="宋体" w:eastAsia="宋体" w:cs="宋体"/>
        </w:rPr>
      </w:pPr>
    </w:p>
    <w:p w14:paraId="25BB559D">
      <w:pPr>
        <w:rPr>
          <w:rFonts w:hint="eastAsia" w:ascii="宋体" w:hAnsi="宋体" w:eastAsia="宋体" w:cs="宋体"/>
        </w:rPr>
      </w:pPr>
    </w:p>
    <w:p w14:paraId="2D5C86A9">
      <w:pPr>
        <w:jc w:val="center"/>
        <w:rPr>
          <w:rFonts w:hint="eastAsia" w:ascii="宋体" w:hAnsi="宋体" w:eastAsia="宋体" w:cs="宋体"/>
        </w:rPr>
      </w:pPr>
      <w:r>
        <w:rPr>
          <w:rFonts w:hint="eastAsia" w:ascii="宋体" w:hAnsi="宋体" w:eastAsia="宋体" w:cs="宋体"/>
          <w:b/>
          <w:sz w:val="28"/>
        </w:rPr>
        <w:t>--- 报告结束 ---</w:t>
      </w:r>
    </w:p>
    <w:sectPr>
      <w:pgSz w:w="12240" w:h="15840"/>
      <w:pgMar w:top="1417" w:right="1134" w:bottom="1417"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 w:name="楷体">
    <w:panose1 w:val="02010609060101010101"/>
    <w:charset w:val="86"/>
    <w:family w:val="auto"/>
    <w:pitch w:val="default"/>
    <w:sig w:usb0="800002BF" w:usb1="38CF7CFA" w:usb2="00000016" w:usb3="00000000" w:csb0="00040001" w:csb1="00000000"/>
  </w:font>
  <w:font w:name="楷体_GB2312">
    <w:panose1 w:val="02010609030101010101"/>
    <w:charset w:val="86"/>
    <w:family w:val="auto"/>
    <w:pitch w:val="default"/>
    <w:sig w:usb0="00000001" w:usb1="080E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CF36F8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398</Words>
  <Characters>469</Characters>
  <Lines>0</Lines>
  <Paragraphs>0</Paragraphs>
  <TotalTime>0</TotalTime>
  <ScaleCrop>false</ScaleCrop>
  <LinksUpToDate>false</LinksUpToDate>
  <CharactersWithSpaces>469</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cp:lastModifiedBy>
  <dcterms:modified xsi:type="dcterms:W3CDTF">2026-07-31T09:26:23Z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eyJoZGlkIjoiNjRmZGI5ZDg5YTZjM2E4Y2NlNGQ2YWEzNGYzMmJmZjMiLCJ1c2VySWQiOiIxMzQ2MTU5NzM3In0=</vt:lpwstr>
  </property>
  <property fmtid="{D5CDD505-2E9C-101B-9397-08002B2CF9AE}" pid="3" name="KSOProductBuildVer">
    <vt:lpwstr>2052-12.1.0.19770</vt:lpwstr>
  </property>
  <property fmtid="{D5CDD505-2E9C-101B-9397-08002B2CF9AE}" pid="4" name="ICV">
    <vt:lpwstr>0EB78AFB740548D98C72FE4BF1FB3EC5_12</vt:lpwstr>
  </property>
</Properties>
</file>