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0A0AE"/>
    <w:p w14:paraId="345B11D0"/>
    <w:p w14:paraId="14BAD8B0"/>
    <w:p w14:paraId="13189034"/>
    <w:p w14:paraId="5B489283"/>
    <w:p w14:paraId="077E82F8"/>
    <w:p w14:paraId="3AD0E2D8">
      <w:pPr>
        <w:jc w:val="center"/>
        <w:outlineLvl w:val="0"/>
        <w:rPr>
          <w:rFonts w:hint="eastAsia" w:ascii="黑体" w:hAnsi="黑体" w:eastAsia="黑体" w:cs="黑体"/>
        </w:rPr>
      </w:pPr>
      <w:r>
        <w:rPr>
          <w:rFonts w:hint="eastAsia" w:ascii="黑体" w:hAnsi="黑体" w:eastAsia="黑体" w:cs="黑体"/>
          <w:b/>
          <w:sz w:val="44"/>
        </w:rPr>
        <w:t>基于K-Means聚类与Prophet时序预测的</w:t>
      </w:r>
    </w:p>
    <w:p w14:paraId="3AA3FEAD">
      <w:pPr>
        <w:jc w:val="center"/>
        <w:outlineLvl w:val="0"/>
        <w:rPr>
          <w:rFonts w:hint="eastAsia" w:ascii="黑体" w:hAnsi="黑体" w:eastAsia="黑体" w:cs="黑体"/>
        </w:rPr>
      </w:pPr>
      <w:r>
        <w:rPr>
          <w:rFonts w:hint="eastAsia" w:ascii="黑体" w:hAnsi="黑体" w:eastAsia="黑体" w:cs="黑体"/>
          <w:b/>
          <w:sz w:val="44"/>
        </w:rPr>
        <w:t>重庆上市车企财务智能预警研究</w:t>
      </w:r>
    </w:p>
    <w:p w14:paraId="5990F4A0">
      <w:pPr>
        <w:rPr>
          <w:rFonts w:hint="eastAsia" w:ascii="黑体" w:hAnsi="黑体" w:eastAsia="黑体" w:cs="黑体"/>
        </w:rPr>
      </w:pPr>
    </w:p>
    <w:p w14:paraId="647794B9">
      <w:pPr>
        <w:jc w:val="center"/>
        <w:rPr>
          <w:rFonts w:hint="eastAsia" w:ascii="黑体" w:hAnsi="黑体" w:eastAsia="黑体" w:cs="黑体"/>
        </w:rPr>
      </w:pPr>
      <w:r>
        <w:rPr>
          <w:rFonts w:hint="eastAsia" w:ascii="黑体" w:hAnsi="黑体" w:eastAsia="黑体" w:cs="黑体"/>
          <w:sz w:val="28"/>
        </w:rPr>
        <w:t>——赛力斯外部协同经营模式对标长安自主研发模式</w:t>
      </w:r>
    </w:p>
    <w:p w14:paraId="7C6FA7EF">
      <w:pPr>
        <w:rPr>
          <w:rFonts w:hint="eastAsia" w:ascii="黑体" w:hAnsi="黑体" w:eastAsia="黑体" w:cs="黑体"/>
        </w:rPr>
      </w:pPr>
    </w:p>
    <w:p w14:paraId="67976EA3">
      <w:pPr>
        <w:rPr>
          <w:rFonts w:hint="eastAsia" w:ascii="黑体" w:hAnsi="黑体" w:eastAsia="黑体" w:cs="黑体"/>
        </w:rPr>
      </w:pPr>
    </w:p>
    <w:p w14:paraId="07C032CA">
      <w:pPr>
        <w:rPr>
          <w:rFonts w:hint="eastAsia" w:ascii="黑体" w:hAnsi="黑体" w:eastAsia="黑体" w:cs="黑体"/>
        </w:rPr>
      </w:pPr>
    </w:p>
    <w:p w14:paraId="78E4C056">
      <w:pPr>
        <w:rPr>
          <w:rFonts w:hint="eastAsia" w:ascii="黑体" w:hAnsi="黑体" w:eastAsia="黑体" w:cs="黑体"/>
        </w:rPr>
      </w:pPr>
    </w:p>
    <w:p w14:paraId="16A4296A">
      <w:pPr>
        <w:jc w:val="center"/>
        <w:outlineLvl w:val="0"/>
        <w:rPr>
          <w:rFonts w:hint="eastAsia" w:ascii="黑体" w:hAnsi="黑体" w:eastAsia="黑体" w:cs="黑体"/>
        </w:rPr>
      </w:pPr>
      <w:r>
        <w:rPr>
          <w:rFonts w:hint="eastAsia" w:ascii="黑体" w:hAnsi="黑体" w:eastAsia="黑体" w:cs="黑体"/>
          <w:sz w:val="24"/>
        </w:rPr>
        <w:t>第六届重庆市大学生企业财务大数据智能决策应用赛·参赛作品</w:t>
      </w:r>
    </w:p>
    <w:p w14:paraId="1FC99409">
      <w:pPr>
        <w:jc w:val="center"/>
        <w:outlineLvl w:val="0"/>
        <w:rPr>
          <w:rFonts w:hint="eastAsia" w:ascii="黑体" w:hAnsi="黑体" w:eastAsia="黑体" w:cs="黑体"/>
        </w:rPr>
      </w:pPr>
      <w:r>
        <w:rPr>
          <w:rFonts w:hint="eastAsia" w:ascii="黑体" w:hAnsi="黑体" w:eastAsia="黑体" w:cs="黑体"/>
          <w:sz w:val="24"/>
        </w:rPr>
        <w:t>重庆师范大学</w:t>
      </w:r>
    </w:p>
    <w:p w14:paraId="2568E2A0">
      <w:r>
        <w:br w:type="page"/>
      </w:r>
    </w:p>
    <w:p w14:paraId="11AA3EFE">
      <w:pPr>
        <w:spacing w:before="360" w:after="240"/>
        <w:jc w:val="center"/>
        <w:outlineLvl w:val="0"/>
      </w:pPr>
      <w:r>
        <w:rPr>
          <w:rFonts w:ascii="黑体" w:hAnsi="黑体"/>
          <w:b/>
          <w:color w:val="000000"/>
          <w:sz w:val="32"/>
        </w:rPr>
        <w:t>摘  要</w:t>
      </w:r>
    </w:p>
    <w:p w14:paraId="4F8FEDA0">
      <w:pPr>
        <w:spacing w:after="160" w:line="360" w:lineRule="auto"/>
        <w:ind w:firstLine="420"/>
      </w:pPr>
      <w:r>
        <w:rPr>
          <w:rFonts w:ascii="宋体" w:hAnsi="宋体"/>
          <w:b w:val="0"/>
          <w:sz w:val="24"/>
        </w:rPr>
        <w:t>本文选取8家A股上市乘用车企业2016Q1至2025Q4共314个季度财务数据，对比赛力斯（华为智选/外部协同）与长安汽车（自主研发）两种新能源转型模式的财务风险差异。综合运用K-Means聚类、孤立森林异常检测、六种时序预测方法对比、杜邦连环替代、Altman Z-score破产预警、沃尔评分、经营现金净流量三组合分析和NEV行业景气度联动分析。研究发现：赛力斯净资产收益率波动剧烈（-45.7%→38.7%→15.0%），2024-2025年下降23.6个百分点，去杠杆贡献-17.8个百分点，问界系列占总销量约95%，单一品牌依赖度极高；长安汽车净资产收益率波动温和（12.3%→4.1%），最大年度变动仅5.3个百分点，净利率持续下滑（6.4%→1.9%）是唯一主因。六种预测方法中，Ridge回归对资产负债率的预测误差最小（MAPE 2.4%-5.2%），LSTM和三次指数平滑在小样本下严重过拟合。现金流组合表明赛力斯处于成长期（经营净流入289亿+筹资183亿），长城汽车为成熟期典范（经营404亿覆盖投资和偿债）。NEV偏离度分析显示赛力斯前期超涨后面临均值回归，行业增速换挡至20%-30%意味着两种模式都需从增长驱动转向效率驱动。</w:t>
      </w:r>
    </w:p>
    <w:p w14:paraId="0D26D2C0">
      <w:pPr>
        <w:spacing w:before="360" w:after="240"/>
        <w:jc w:val="center"/>
      </w:pPr>
      <w:r>
        <w:rPr>
          <w:rFonts w:ascii="黑体" w:hAnsi="黑体"/>
          <w:b/>
          <w:color w:val="000000"/>
          <w:sz w:val="32"/>
        </w:rPr>
        <w:t>关键词</w:t>
      </w:r>
    </w:p>
    <w:p w14:paraId="711D5A84">
      <w:pPr>
        <w:spacing w:after="160" w:line="360" w:lineRule="auto"/>
      </w:pPr>
      <w:r>
        <w:rPr>
          <w:rFonts w:ascii="宋体" w:hAnsi="宋体"/>
          <w:b w:val="0"/>
          <w:sz w:val="21"/>
        </w:rPr>
        <w:t>财务预警；K-Means聚类；时序预测；杜邦分析；Z-score；新能源汽车；赛力斯；长安汽车</w:t>
      </w:r>
    </w:p>
    <w:p w14:paraId="69E084BD">
      <w:r>
        <w:br w:type="page"/>
      </w:r>
    </w:p>
    <w:p w14:paraId="6DB0E89F">
      <w:pPr>
        <w:spacing w:before="360" w:after="240"/>
        <w:jc w:val="center"/>
        <w:outlineLvl w:val="0"/>
      </w:pPr>
      <w:r>
        <w:rPr>
          <w:rFonts w:ascii="黑体" w:hAnsi="黑体"/>
          <w:b/>
          <w:color w:val="000000"/>
          <w:sz w:val="32"/>
        </w:rPr>
        <w:t>一、引言</w:t>
      </w:r>
    </w:p>
    <w:p w14:paraId="15DAC05B">
      <w:pPr>
        <w:spacing w:after="40" w:line="360" w:lineRule="auto"/>
        <w:ind w:firstLine="420"/>
      </w:pPr>
      <w:r>
        <w:rPr>
          <w:rFonts w:ascii="宋体" w:hAnsi="宋体"/>
          <w:b w:val="0"/>
          <w:sz w:val="24"/>
        </w:rPr>
        <w:t>重庆是中国西部汽车工业重镇，拥有长安汽车（000625）和赛力斯（601127）两家代表性上市车企。2020年至2025年，中国新能源汽车渗透率从5.4%快速升至超过50%，行业从补贴驱动全面转向市场驱动。在此变革中，两家企业采用了截然不同的发展路径：赛力斯2021年起与华为合作推出AITO问界系列（M5/M7/M9）；长安汽车坚持自主研发，先后推出深蓝、阿维塔、启源三个新能源品牌。两种模式孰优孰劣，谁的财务风险更高、更不稳定，是业界和学界共同关注的问题。</w:t>
      </w:r>
    </w:p>
    <w:p w14:paraId="51BFF1AE">
      <w:pPr>
        <w:spacing w:after="40" w:line="360" w:lineRule="auto"/>
        <w:ind w:firstLine="420"/>
      </w:pPr>
      <w:r>
        <w:rPr>
          <w:rFonts w:ascii="宋体" w:hAnsi="宋体"/>
          <w:b w:val="0"/>
          <w:sz w:val="24"/>
        </w:rPr>
        <w:t>既有文献对企业财务预警的研究主要集中在三个方向：一是基于财务比率的传统预警模型，如Altman(1968)的Z-score模型及后续改进；二是基于机器学习的智能预警方法，如K-Means聚类、孤立森林等；三是基于时序预测的财务趋势分析，如ARIMA和Prophet等方法。然而，将多种方法整合用于新能源汽车行业、特别是聚焦重庆本地两家代表性车企进行对比的专项研究尚不多见。</w:t>
      </w:r>
    </w:p>
    <w:p w14:paraId="3383E985">
      <w:pPr>
        <w:spacing w:after="40" w:line="360" w:lineRule="auto"/>
        <w:ind w:firstLine="420"/>
      </w:pPr>
      <w:r>
        <w:rPr>
          <w:rFonts w:ascii="宋体" w:hAnsi="宋体"/>
          <w:b w:val="0"/>
          <w:sz w:val="24"/>
        </w:rPr>
        <w:t>本文以8家A股上市乘用车企业为样本，综合运用多种定量分析方法，对两种模式的财务风险进行全面比较，以期为新能源汽车企业的财务管理和风险预警提供参考。</w:t>
      </w:r>
    </w:p>
    <w:p w14:paraId="6B770DBC">
      <w:pPr>
        <w:spacing w:before="360" w:after="240"/>
        <w:jc w:val="center"/>
        <w:outlineLvl w:val="0"/>
      </w:pPr>
      <w:r>
        <w:rPr>
          <w:rFonts w:ascii="黑体" w:hAnsi="黑体"/>
          <w:b/>
          <w:color w:val="000000"/>
          <w:sz w:val="32"/>
        </w:rPr>
        <w:t>二、文献综述</w:t>
      </w:r>
    </w:p>
    <w:p w14:paraId="51BC8BC4">
      <w:pPr>
        <w:spacing w:after="40" w:line="360" w:lineRule="auto"/>
        <w:ind w:firstLine="420"/>
      </w:pPr>
      <w:r>
        <w:rPr>
          <w:rFonts w:ascii="宋体" w:hAnsi="宋体"/>
          <w:b w:val="0"/>
          <w:sz w:val="24"/>
        </w:rPr>
        <w:t>财务报告分析的理论基础来自郭苏敬等(2022)的系统化框架，该框架将分析过程分为信息搜集、战略分析、财务分析和综合评价四个阶段，强调从数据还原企业经营真相。在企业财务预警领域，Altman(1968)基于制造业上市公司数据构建了经典的五变量Z-score模型，判定阈值历经半个多世纪的检验，至今仍是破产预警领域的基准方法。</w:t>
      </w:r>
    </w:p>
    <w:p w14:paraId="617E86B1">
      <w:pPr>
        <w:spacing w:after="40" w:line="360" w:lineRule="auto"/>
        <w:ind w:firstLine="420"/>
      </w:pPr>
      <w:r>
        <w:rPr>
          <w:rFonts w:ascii="宋体" w:hAnsi="宋体"/>
          <w:b w:val="0"/>
          <w:sz w:val="24"/>
        </w:rPr>
        <w:t>在机器学习预警方法方面，Liu等(2008)提出的孤立森林算法通过随机划分构建二叉树识别异常点，在小样本场景下表现优异。Hoerl和Kennard(1970)提出的Ridge回归通过L2正则化有效解决多重共线性和小样本过拟合问题，为财务指标预测提供了稳健替代方案。Taylor和Letham(2018)开发的Prophet模型将时间序列分解为趋势、季节性和节假日效应，在商业预测领域应用广泛，但对数据量的要求在季度财务数据场景下存在局限。</w:t>
      </w:r>
    </w:p>
    <w:p w14:paraId="26EEE477">
      <w:pPr>
        <w:spacing w:after="40" w:line="360" w:lineRule="auto"/>
        <w:ind w:firstLine="420"/>
      </w:pPr>
      <w:r>
        <w:rPr>
          <w:rFonts w:ascii="宋体" w:hAnsi="宋体"/>
          <w:b w:val="0"/>
          <w:sz w:val="24"/>
        </w:rPr>
        <w:t>在行业研究方面，中国汽车工业协会的月度产销数据为分析NEV市场景气度与企业财务表现的联动关系提供了数据基础。前人研究表明，行业景气度对企业财务绩效存在显著的正向传导效应，但这种效应在增速换挡后趋于弱化。本研究在前人基础上，尝试将多元分析方法整合应用于两种模式的对比分析。</w:t>
      </w:r>
    </w:p>
    <w:p w14:paraId="01E0B4BF">
      <w:pPr>
        <w:spacing w:before="360" w:after="240"/>
        <w:jc w:val="center"/>
        <w:outlineLvl w:val="0"/>
      </w:pPr>
      <w:r>
        <w:rPr>
          <w:rFonts w:ascii="黑体" w:hAnsi="黑体"/>
          <w:b/>
          <w:color w:val="000000"/>
          <w:sz w:val="32"/>
        </w:rPr>
        <w:t>三、数据来源与说</w:t>
      </w:r>
      <w:bookmarkStart w:id="0" w:name="_GoBack"/>
      <w:bookmarkEnd w:id="0"/>
      <w:r>
        <w:rPr>
          <w:rFonts w:ascii="黑体" w:hAnsi="黑体"/>
          <w:b/>
          <w:color w:val="000000"/>
          <w:sz w:val="32"/>
        </w:rPr>
        <w:t>明</w:t>
      </w:r>
    </w:p>
    <w:p w14:paraId="6B754A9D">
      <w:pPr>
        <w:spacing w:after="40" w:line="360" w:lineRule="auto"/>
        <w:ind w:firstLine="420"/>
      </w:pPr>
      <w:r>
        <w:rPr>
          <w:rFonts w:ascii="宋体" w:hAnsi="宋体"/>
          <w:b w:val="0"/>
          <w:sz w:val="24"/>
        </w:rPr>
        <w:t>财务数据源自AkShare金融数据接口，该接口提供中国A股交易所披露的标准财务报表数据。行业NEV销量数据来自中国汽车工业协会（CAAM）月度发布及《中国汽车行业多维销量数据库》。</w:t>
      </w:r>
    </w:p>
    <w:p w14:paraId="2C986654">
      <w:pPr>
        <w:spacing w:after="40" w:line="360" w:lineRule="auto"/>
        <w:ind w:firstLine="420"/>
      </w:pPr>
      <w:r>
        <w:rPr>
          <w:rFonts w:ascii="宋体" w:hAnsi="宋体"/>
          <w:b w:val="0"/>
          <w:sz w:val="24"/>
        </w:rPr>
        <w:t>样本选取8家A股乘用车整车企业：赛力斯（601127）、长安汽车（000625）、比亚迪（002594）、上汽集团（600104）、长城汽车（601633）、广汽集团（601238）、江淮汽车（600418）、北汽蓝谷（600733）。时间区间为2016年第一季至2025年第四季，合计314个有效季度观测。2026年第一季度数据仅采集赛力斯和长安汽车，用于预测回测验证。数据采集与处理代码见附录C。</w:t>
      </w:r>
    </w:p>
    <w:p w14:paraId="6D5C9A57"/>
    <w:tbl>
      <w:tblPr>
        <w:tblStyle w:val="32"/>
        <w:tblW w:w="0" w:type="auto"/>
        <w:jc w:val="center"/>
        <w:tblLayout w:type="autofit"/>
        <w:tblCellMar>
          <w:top w:w="0" w:type="dxa"/>
          <w:left w:w="108" w:type="dxa"/>
          <w:bottom w:w="0" w:type="dxa"/>
          <w:right w:w="108" w:type="dxa"/>
        </w:tblCellMar>
      </w:tblPr>
      <w:tblGrid>
        <w:gridCol w:w="1210"/>
        <w:gridCol w:w="5174"/>
        <w:gridCol w:w="1410"/>
        <w:gridCol w:w="1184"/>
      </w:tblGrid>
      <w:tr w14:paraId="32B32B54">
        <w:tblPrEx>
          <w:tblCellMar>
            <w:top w:w="0" w:type="dxa"/>
            <w:left w:w="108" w:type="dxa"/>
            <w:bottom w:w="0" w:type="dxa"/>
            <w:right w:w="108" w:type="dxa"/>
          </w:tblCellMar>
        </w:tblPrEx>
        <w:trPr>
          <w:trHeight w:val="475" w:hRule="atLeast"/>
          <w:jc w:val="center"/>
        </w:trPr>
        <w:tc>
          <w:tcPr>
            <w:tcW w:w="1210" w:type="dxa"/>
            <w:tcBorders>
              <w:top w:val="single" w:color="2E75B6" w:sz="8" w:space="0"/>
              <w:left w:val="single" w:color="CCCCCC" w:sz="4" w:space="0"/>
              <w:bottom w:val="single" w:color="CCCCCC" w:sz="4" w:space="0"/>
              <w:right w:val="single" w:color="CCCCCC" w:sz="4" w:space="0"/>
            </w:tcBorders>
            <w:shd w:val="clear" w:color="auto" w:fill="D5E8F0"/>
          </w:tcPr>
          <w:p w14:paraId="42C07BA6">
            <w:pPr>
              <w:jc w:val="center"/>
            </w:pPr>
            <w:r>
              <w:rPr>
                <w:rFonts w:ascii="黑体" w:hAnsi="黑体"/>
                <w:b/>
                <w:color w:val="1A4789"/>
                <w:sz w:val="18"/>
              </w:rPr>
              <w:t>变量类别</w:t>
            </w:r>
          </w:p>
        </w:tc>
        <w:tc>
          <w:tcPr>
            <w:tcW w:w="5174" w:type="dxa"/>
            <w:tcBorders>
              <w:top w:val="single" w:color="2E75B6" w:sz="8" w:space="0"/>
              <w:left w:val="single" w:color="CCCCCC" w:sz="4" w:space="0"/>
              <w:bottom w:val="single" w:color="CCCCCC" w:sz="4" w:space="0"/>
              <w:right w:val="single" w:color="CCCCCC" w:sz="4" w:space="0"/>
            </w:tcBorders>
            <w:shd w:val="clear" w:color="auto" w:fill="D5E8F0"/>
          </w:tcPr>
          <w:p w14:paraId="12727393">
            <w:pPr>
              <w:jc w:val="center"/>
            </w:pPr>
            <w:r>
              <w:rPr>
                <w:rFonts w:ascii="黑体" w:hAnsi="黑体"/>
                <w:b/>
                <w:color w:val="1A4789"/>
                <w:sz w:val="18"/>
              </w:rPr>
              <w:t>变量名称</w:t>
            </w:r>
          </w:p>
        </w:tc>
        <w:tc>
          <w:tcPr>
            <w:tcW w:w="1410" w:type="dxa"/>
            <w:tcBorders>
              <w:top w:val="single" w:color="2E75B6" w:sz="8" w:space="0"/>
              <w:left w:val="single" w:color="CCCCCC" w:sz="4" w:space="0"/>
              <w:bottom w:val="single" w:color="CCCCCC" w:sz="4" w:space="0"/>
              <w:right w:val="single" w:color="CCCCCC" w:sz="4" w:space="0"/>
            </w:tcBorders>
            <w:shd w:val="clear" w:color="auto" w:fill="D5E8F0"/>
          </w:tcPr>
          <w:p w14:paraId="6F16D0BE">
            <w:pPr>
              <w:jc w:val="center"/>
            </w:pPr>
            <w:r>
              <w:rPr>
                <w:rFonts w:ascii="黑体" w:hAnsi="黑体"/>
                <w:b/>
                <w:color w:val="1A4789"/>
                <w:sz w:val="18"/>
              </w:rPr>
              <w:t>数据来源</w:t>
            </w:r>
          </w:p>
        </w:tc>
        <w:tc>
          <w:tcPr>
            <w:tcW w:w="1184" w:type="dxa"/>
            <w:tcBorders>
              <w:top w:val="single" w:color="2E75B6" w:sz="8" w:space="0"/>
              <w:left w:val="single" w:color="CCCCCC" w:sz="4" w:space="0"/>
              <w:bottom w:val="single" w:color="CCCCCC" w:sz="4" w:space="0"/>
              <w:right w:val="single" w:color="CCCCCC" w:sz="4" w:space="0"/>
            </w:tcBorders>
            <w:shd w:val="clear" w:color="auto" w:fill="D5E8F0"/>
          </w:tcPr>
          <w:p w14:paraId="53EC405F">
            <w:pPr>
              <w:jc w:val="center"/>
            </w:pPr>
            <w:r>
              <w:rPr>
                <w:rFonts w:ascii="黑体" w:hAnsi="黑体"/>
                <w:b/>
                <w:color w:val="1A4789"/>
                <w:sz w:val="18"/>
              </w:rPr>
              <w:t>观测数</w:t>
            </w:r>
          </w:p>
        </w:tc>
      </w:tr>
      <w:tr w14:paraId="49DA740C">
        <w:tblPrEx>
          <w:tblCellMar>
            <w:top w:w="0" w:type="dxa"/>
            <w:left w:w="108" w:type="dxa"/>
            <w:bottom w:w="0" w:type="dxa"/>
            <w:right w:w="108" w:type="dxa"/>
          </w:tblCellMar>
        </w:tblPrEx>
        <w:trPr>
          <w:trHeight w:val="465" w:hRule="atLeast"/>
          <w:jc w:val="center"/>
        </w:trPr>
        <w:tc>
          <w:tcPr>
            <w:tcW w:w="1210" w:type="dxa"/>
            <w:tcBorders>
              <w:top w:val="single" w:color="CCCCCC" w:sz="4" w:space="0"/>
              <w:left w:val="single" w:color="CCCCCC" w:sz="4" w:space="0"/>
              <w:bottom w:val="single" w:color="CCCCCC" w:sz="4" w:space="0"/>
              <w:right w:val="single" w:color="CCCCCC" w:sz="4" w:space="0"/>
            </w:tcBorders>
            <w:shd w:val="clear" w:color="auto" w:fill="F8F9FA"/>
          </w:tcPr>
          <w:p w14:paraId="507608B4">
            <w:pPr>
              <w:jc w:val="left"/>
            </w:pPr>
            <w:r>
              <w:rPr>
                <w:rFonts w:ascii="宋体" w:hAnsi="宋体"/>
                <w:color w:val="333333"/>
                <w:sz w:val="18"/>
              </w:rPr>
              <w:t>被解释变量</w:t>
            </w:r>
          </w:p>
        </w:tc>
        <w:tc>
          <w:tcPr>
            <w:tcW w:w="5174" w:type="dxa"/>
            <w:tcBorders>
              <w:top w:val="single" w:color="CCCCCC" w:sz="4" w:space="0"/>
              <w:left w:val="single" w:color="CCCCCC" w:sz="4" w:space="0"/>
              <w:bottom w:val="single" w:color="CCCCCC" w:sz="4" w:space="0"/>
              <w:right w:val="single" w:color="CCCCCC" w:sz="4" w:space="0"/>
            </w:tcBorders>
            <w:shd w:val="clear" w:color="auto" w:fill="F8F9FA"/>
          </w:tcPr>
          <w:p w14:paraId="49BE408E">
            <w:pPr>
              <w:jc w:val="center"/>
            </w:pPr>
            <w:r>
              <w:rPr>
                <w:rFonts w:ascii="宋体" w:hAnsi="宋体"/>
                <w:color w:val="333333"/>
                <w:sz w:val="18"/>
              </w:rPr>
              <w:t>净资产收益率、毛利率、资产负债率</w:t>
            </w:r>
          </w:p>
        </w:tc>
        <w:tc>
          <w:tcPr>
            <w:tcW w:w="1410" w:type="dxa"/>
            <w:tcBorders>
              <w:top w:val="single" w:color="CCCCCC" w:sz="4" w:space="0"/>
              <w:left w:val="single" w:color="CCCCCC" w:sz="4" w:space="0"/>
              <w:bottom w:val="single" w:color="CCCCCC" w:sz="4" w:space="0"/>
              <w:right w:val="single" w:color="CCCCCC" w:sz="4" w:space="0"/>
            </w:tcBorders>
            <w:shd w:val="clear" w:color="auto" w:fill="F8F9FA"/>
          </w:tcPr>
          <w:p w14:paraId="12465CBD">
            <w:pPr>
              <w:jc w:val="center"/>
            </w:pPr>
            <w:r>
              <w:rPr>
                <w:rFonts w:ascii="宋体" w:hAnsi="宋体"/>
                <w:color w:val="333333"/>
                <w:sz w:val="18"/>
              </w:rPr>
              <w:t>AkShare/财报</w:t>
            </w:r>
          </w:p>
        </w:tc>
        <w:tc>
          <w:tcPr>
            <w:tcW w:w="1184" w:type="dxa"/>
            <w:tcBorders>
              <w:top w:val="single" w:color="CCCCCC" w:sz="4" w:space="0"/>
              <w:left w:val="single" w:color="CCCCCC" w:sz="4" w:space="0"/>
              <w:bottom w:val="single" w:color="CCCCCC" w:sz="4" w:space="0"/>
              <w:right w:val="single" w:color="CCCCCC" w:sz="4" w:space="0"/>
            </w:tcBorders>
            <w:shd w:val="clear" w:color="auto" w:fill="F8F9FA"/>
          </w:tcPr>
          <w:p w14:paraId="509A74BB">
            <w:pPr>
              <w:jc w:val="center"/>
            </w:pPr>
            <w:r>
              <w:rPr>
                <w:rFonts w:ascii="宋体" w:hAnsi="宋体"/>
                <w:color w:val="333333"/>
                <w:sz w:val="18"/>
              </w:rPr>
              <w:t>314季</w:t>
            </w:r>
          </w:p>
        </w:tc>
      </w:tr>
      <w:tr w14:paraId="0E63D840">
        <w:tblPrEx>
          <w:tblCellMar>
            <w:top w:w="0" w:type="dxa"/>
            <w:left w:w="108" w:type="dxa"/>
            <w:bottom w:w="0" w:type="dxa"/>
            <w:right w:w="108" w:type="dxa"/>
          </w:tblCellMar>
        </w:tblPrEx>
        <w:trPr>
          <w:trHeight w:val="355" w:hRule="atLeast"/>
          <w:jc w:val="center"/>
        </w:trPr>
        <w:tc>
          <w:tcPr>
            <w:tcW w:w="1210" w:type="dxa"/>
          </w:tcPr>
          <w:p w14:paraId="67498785">
            <w:pPr>
              <w:jc w:val="left"/>
            </w:pPr>
            <w:r>
              <w:rPr>
                <w:rFonts w:ascii="宋体" w:hAnsi="宋体"/>
                <w:color w:val="333333"/>
                <w:sz w:val="18"/>
              </w:rPr>
              <w:t>聚类特征</w:t>
            </w:r>
          </w:p>
        </w:tc>
        <w:tc>
          <w:tcPr>
            <w:tcW w:w="5174" w:type="dxa"/>
          </w:tcPr>
          <w:p w14:paraId="7574C863">
            <w:pPr>
              <w:jc w:val="center"/>
            </w:pPr>
            <w:r>
              <w:rPr>
                <w:rFonts w:ascii="宋体" w:hAnsi="宋体"/>
                <w:color w:val="333333"/>
                <w:sz w:val="18"/>
              </w:rPr>
              <w:t>毛利率/经营CF/营收、有息负债率、存货周转率、权益乘数</w:t>
            </w:r>
          </w:p>
        </w:tc>
        <w:tc>
          <w:tcPr>
            <w:tcW w:w="1410" w:type="dxa"/>
          </w:tcPr>
          <w:p w14:paraId="7FA2E58B">
            <w:pPr>
              <w:jc w:val="center"/>
            </w:pPr>
            <w:r>
              <w:rPr>
                <w:rFonts w:ascii="宋体" w:hAnsi="宋体"/>
                <w:color w:val="333333"/>
                <w:sz w:val="18"/>
              </w:rPr>
              <w:t>AkShare/财报</w:t>
            </w:r>
          </w:p>
        </w:tc>
        <w:tc>
          <w:tcPr>
            <w:tcW w:w="1184" w:type="dxa"/>
          </w:tcPr>
          <w:p w14:paraId="3FF2646B">
            <w:pPr>
              <w:jc w:val="center"/>
            </w:pPr>
            <w:r>
              <w:rPr>
                <w:rFonts w:ascii="宋体" w:hAnsi="宋体"/>
                <w:color w:val="333333"/>
                <w:sz w:val="18"/>
              </w:rPr>
              <w:t>314季</w:t>
            </w:r>
          </w:p>
        </w:tc>
      </w:tr>
      <w:tr w14:paraId="272DDE02">
        <w:tblPrEx>
          <w:tblCellMar>
            <w:top w:w="0" w:type="dxa"/>
            <w:left w:w="108" w:type="dxa"/>
            <w:bottom w:w="0" w:type="dxa"/>
            <w:right w:w="108" w:type="dxa"/>
          </w:tblCellMar>
        </w:tblPrEx>
        <w:trPr>
          <w:trHeight w:val="465" w:hRule="atLeast"/>
          <w:jc w:val="center"/>
        </w:trPr>
        <w:tc>
          <w:tcPr>
            <w:tcW w:w="1210" w:type="dxa"/>
            <w:tcBorders>
              <w:top w:val="single" w:color="CCCCCC" w:sz="4" w:space="0"/>
              <w:left w:val="single" w:color="CCCCCC" w:sz="4" w:space="0"/>
              <w:bottom w:val="single" w:color="CCCCCC" w:sz="4" w:space="0"/>
              <w:right w:val="single" w:color="CCCCCC" w:sz="4" w:space="0"/>
            </w:tcBorders>
            <w:shd w:val="clear" w:color="auto" w:fill="F8F9FA"/>
          </w:tcPr>
          <w:p w14:paraId="3A299A65">
            <w:pPr>
              <w:jc w:val="left"/>
            </w:pPr>
            <w:r>
              <w:rPr>
                <w:rFonts w:ascii="宋体" w:hAnsi="宋体"/>
                <w:color w:val="333333"/>
                <w:sz w:val="18"/>
              </w:rPr>
              <w:t>预测指标</w:t>
            </w:r>
          </w:p>
        </w:tc>
        <w:tc>
          <w:tcPr>
            <w:tcW w:w="5174" w:type="dxa"/>
            <w:tcBorders>
              <w:top w:val="single" w:color="CCCCCC" w:sz="4" w:space="0"/>
              <w:left w:val="single" w:color="CCCCCC" w:sz="4" w:space="0"/>
              <w:bottom w:val="single" w:color="CCCCCC" w:sz="4" w:space="0"/>
              <w:right w:val="single" w:color="CCCCCC" w:sz="4" w:space="0"/>
            </w:tcBorders>
            <w:shd w:val="clear" w:color="auto" w:fill="F8F9FA"/>
          </w:tcPr>
          <w:p w14:paraId="0DD9E776">
            <w:pPr>
              <w:jc w:val="center"/>
            </w:pPr>
            <w:r>
              <w:rPr>
                <w:rFonts w:ascii="宋体" w:hAnsi="宋体"/>
                <w:color w:val="333333"/>
                <w:sz w:val="18"/>
              </w:rPr>
              <w:t>毛利率、资产负债率</w:t>
            </w:r>
          </w:p>
        </w:tc>
        <w:tc>
          <w:tcPr>
            <w:tcW w:w="1410" w:type="dxa"/>
            <w:tcBorders>
              <w:top w:val="single" w:color="CCCCCC" w:sz="4" w:space="0"/>
              <w:left w:val="single" w:color="CCCCCC" w:sz="4" w:space="0"/>
              <w:bottom w:val="single" w:color="CCCCCC" w:sz="4" w:space="0"/>
              <w:right w:val="single" w:color="CCCCCC" w:sz="4" w:space="0"/>
            </w:tcBorders>
            <w:shd w:val="clear" w:color="auto" w:fill="F8F9FA"/>
          </w:tcPr>
          <w:p w14:paraId="353F9394">
            <w:pPr>
              <w:jc w:val="center"/>
            </w:pPr>
            <w:r>
              <w:rPr>
                <w:rFonts w:ascii="宋体" w:hAnsi="宋体"/>
                <w:color w:val="333333"/>
                <w:sz w:val="18"/>
              </w:rPr>
              <w:t>AkShare/财报</w:t>
            </w:r>
          </w:p>
        </w:tc>
        <w:tc>
          <w:tcPr>
            <w:tcW w:w="1184" w:type="dxa"/>
            <w:tcBorders>
              <w:top w:val="single" w:color="CCCCCC" w:sz="4" w:space="0"/>
              <w:left w:val="single" w:color="CCCCCC" w:sz="4" w:space="0"/>
              <w:bottom w:val="single" w:color="CCCCCC" w:sz="4" w:space="0"/>
              <w:right w:val="single" w:color="CCCCCC" w:sz="4" w:space="0"/>
            </w:tcBorders>
            <w:shd w:val="clear" w:color="auto" w:fill="F8F9FA"/>
          </w:tcPr>
          <w:p w14:paraId="0EDA1880">
            <w:pPr>
              <w:jc w:val="center"/>
            </w:pPr>
            <w:r>
              <w:rPr>
                <w:rFonts w:ascii="宋体" w:hAnsi="宋体"/>
                <w:color w:val="333333"/>
                <w:sz w:val="18"/>
              </w:rPr>
              <w:t>39-41季/企</w:t>
            </w:r>
          </w:p>
        </w:tc>
      </w:tr>
      <w:tr w14:paraId="1C4A9F38">
        <w:tblPrEx>
          <w:tblCellMar>
            <w:top w:w="0" w:type="dxa"/>
            <w:left w:w="108" w:type="dxa"/>
            <w:bottom w:w="0" w:type="dxa"/>
            <w:right w:w="108" w:type="dxa"/>
          </w:tblCellMar>
        </w:tblPrEx>
        <w:trPr>
          <w:trHeight w:val="465" w:hRule="atLeast"/>
          <w:jc w:val="center"/>
        </w:trPr>
        <w:tc>
          <w:tcPr>
            <w:tcW w:w="1210" w:type="dxa"/>
          </w:tcPr>
          <w:p w14:paraId="09106E89">
            <w:pPr>
              <w:jc w:val="left"/>
            </w:pPr>
            <w:r>
              <w:rPr>
                <w:rFonts w:ascii="宋体" w:hAnsi="宋体"/>
                <w:color w:val="333333"/>
                <w:sz w:val="18"/>
              </w:rPr>
              <w:t>行业景气</w:t>
            </w:r>
          </w:p>
        </w:tc>
        <w:tc>
          <w:tcPr>
            <w:tcW w:w="5174" w:type="dxa"/>
          </w:tcPr>
          <w:p w14:paraId="0A03CE1C">
            <w:pPr>
              <w:jc w:val="center"/>
            </w:pPr>
            <w:r>
              <w:rPr>
                <w:rFonts w:ascii="宋体" w:hAnsi="宋体"/>
                <w:color w:val="333333"/>
                <w:sz w:val="18"/>
              </w:rPr>
              <w:t>NEV月度销量、渗透率、同比增速</w:t>
            </w:r>
          </w:p>
        </w:tc>
        <w:tc>
          <w:tcPr>
            <w:tcW w:w="1410" w:type="dxa"/>
          </w:tcPr>
          <w:p w14:paraId="50E55237">
            <w:pPr>
              <w:jc w:val="center"/>
            </w:pPr>
            <w:r>
              <w:rPr>
                <w:rFonts w:ascii="宋体" w:hAnsi="宋体"/>
                <w:color w:val="333333"/>
                <w:sz w:val="18"/>
              </w:rPr>
              <w:t>CAAM</w:t>
            </w:r>
          </w:p>
        </w:tc>
        <w:tc>
          <w:tcPr>
            <w:tcW w:w="1184" w:type="dxa"/>
          </w:tcPr>
          <w:p w14:paraId="581565E9">
            <w:pPr>
              <w:jc w:val="center"/>
            </w:pPr>
            <w:r>
              <w:rPr>
                <w:rFonts w:ascii="宋体" w:hAnsi="宋体"/>
                <w:color w:val="333333"/>
                <w:sz w:val="18"/>
              </w:rPr>
              <w:t>114月</w:t>
            </w:r>
          </w:p>
        </w:tc>
      </w:tr>
      <w:tr w14:paraId="1425DBF2">
        <w:tblPrEx>
          <w:tblCellMar>
            <w:top w:w="0" w:type="dxa"/>
            <w:left w:w="108" w:type="dxa"/>
            <w:bottom w:w="0" w:type="dxa"/>
            <w:right w:w="108" w:type="dxa"/>
          </w:tblCellMar>
        </w:tblPrEx>
        <w:trPr>
          <w:trHeight w:val="475" w:hRule="atLeast"/>
          <w:jc w:val="center"/>
        </w:trPr>
        <w:tc>
          <w:tcPr>
            <w:tcW w:w="1210" w:type="dxa"/>
            <w:tcBorders>
              <w:top w:val="single" w:color="CCCCCC" w:sz="4" w:space="0"/>
              <w:left w:val="single" w:color="CCCCCC" w:sz="4" w:space="0"/>
              <w:bottom w:val="single" w:color="CCCCCC" w:sz="4" w:space="0"/>
              <w:right w:val="single" w:color="CCCCCC" w:sz="4" w:space="0"/>
            </w:tcBorders>
            <w:shd w:val="clear" w:color="auto" w:fill="F8F9FA"/>
          </w:tcPr>
          <w:p w14:paraId="79221CDA">
            <w:pPr>
              <w:jc w:val="left"/>
            </w:pPr>
            <w:r>
              <w:rPr>
                <w:rFonts w:ascii="宋体" w:hAnsi="宋体"/>
                <w:color w:val="333333"/>
                <w:sz w:val="18"/>
              </w:rPr>
              <w:t>销量结构</w:t>
            </w:r>
          </w:p>
        </w:tc>
        <w:tc>
          <w:tcPr>
            <w:tcW w:w="5174" w:type="dxa"/>
            <w:tcBorders>
              <w:top w:val="single" w:color="CCCCCC" w:sz="4" w:space="0"/>
              <w:left w:val="single" w:color="CCCCCC" w:sz="4" w:space="0"/>
              <w:bottom w:val="single" w:color="CCCCCC" w:sz="4" w:space="0"/>
              <w:right w:val="single" w:color="CCCCCC" w:sz="4" w:space="0"/>
            </w:tcBorders>
            <w:shd w:val="clear" w:color="auto" w:fill="F8F9FA"/>
          </w:tcPr>
          <w:p w14:paraId="195FC71A">
            <w:pPr>
              <w:jc w:val="center"/>
            </w:pPr>
            <w:r>
              <w:rPr>
                <w:rFonts w:ascii="宋体" w:hAnsi="宋体"/>
                <w:color w:val="333333"/>
                <w:sz w:val="18"/>
              </w:rPr>
              <w:t>问界占比、长安新能源占比</w:t>
            </w:r>
          </w:p>
        </w:tc>
        <w:tc>
          <w:tcPr>
            <w:tcW w:w="1410" w:type="dxa"/>
            <w:tcBorders>
              <w:top w:val="single" w:color="CCCCCC" w:sz="4" w:space="0"/>
              <w:left w:val="single" w:color="CCCCCC" w:sz="4" w:space="0"/>
              <w:bottom w:val="single" w:color="CCCCCC" w:sz="4" w:space="0"/>
              <w:right w:val="single" w:color="CCCCCC" w:sz="4" w:space="0"/>
            </w:tcBorders>
            <w:shd w:val="clear" w:color="auto" w:fill="F8F9FA"/>
          </w:tcPr>
          <w:p w14:paraId="00E1540B">
            <w:pPr>
              <w:jc w:val="center"/>
            </w:pPr>
            <w:r>
              <w:rPr>
                <w:rFonts w:ascii="宋体" w:hAnsi="宋体"/>
                <w:color w:val="333333"/>
                <w:sz w:val="18"/>
              </w:rPr>
              <w:t>公司公告</w:t>
            </w:r>
          </w:p>
        </w:tc>
        <w:tc>
          <w:tcPr>
            <w:tcW w:w="1184" w:type="dxa"/>
            <w:tcBorders>
              <w:top w:val="single" w:color="CCCCCC" w:sz="4" w:space="0"/>
              <w:left w:val="single" w:color="CCCCCC" w:sz="4" w:space="0"/>
              <w:bottom w:val="single" w:color="CCCCCC" w:sz="4" w:space="0"/>
              <w:right w:val="single" w:color="CCCCCC" w:sz="4" w:space="0"/>
            </w:tcBorders>
            <w:shd w:val="clear" w:color="auto" w:fill="F8F9FA"/>
          </w:tcPr>
          <w:p w14:paraId="5BDD9F5F">
            <w:pPr>
              <w:jc w:val="center"/>
            </w:pPr>
            <w:r>
              <w:rPr>
                <w:rFonts w:ascii="宋体" w:hAnsi="宋体"/>
                <w:color w:val="333333"/>
                <w:sz w:val="18"/>
              </w:rPr>
              <w:t>16季</w:t>
            </w:r>
          </w:p>
        </w:tc>
      </w:tr>
    </w:tbl>
    <w:p w14:paraId="16B0CD7D">
      <w:pPr>
        <w:spacing w:after="80"/>
      </w:pPr>
    </w:p>
    <w:p w14:paraId="46C872CA">
      <w:pPr>
        <w:spacing w:before="360" w:after="240"/>
        <w:jc w:val="center"/>
        <w:outlineLvl w:val="0"/>
      </w:pPr>
      <w:r>
        <w:rPr>
          <w:rFonts w:ascii="黑体" w:hAnsi="黑体"/>
          <w:b/>
          <w:color w:val="000000"/>
          <w:sz w:val="32"/>
        </w:rPr>
        <w:t>四、研究方法</w:t>
      </w:r>
    </w:p>
    <w:p w14:paraId="3EF8AFF5">
      <w:pPr>
        <w:spacing w:after="40" w:line="360" w:lineRule="auto"/>
        <w:ind w:firstLine="420"/>
      </w:pPr>
      <w:r>
        <w:rPr>
          <w:rFonts w:ascii="宋体" w:hAnsi="宋体"/>
          <w:b w:val="0"/>
          <w:sz w:val="24"/>
        </w:rPr>
        <w:t>本文构建"聚类分群→异常检测→时序预测→因素分解→综合评价→景气联动"六步分析框架，各方法技术细节如下。</w:t>
      </w:r>
    </w:p>
    <w:p w14:paraId="050804B0">
      <w:pPr>
        <w:spacing w:before="240" w:after="120"/>
        <w:outlineLvl w:val="1"/>
      </w:pPr>
      <w:r>
        <w:rPr>
          <w:rFonts w:ascii="黑体" w:hAnsi="黑体"/>
          <w:b/>
          <w:color w:val="000000"/>
          <w:sz w:val="28"/>
        </w:rPr>
        <w:t>（一）K-Means聚类</w:t>
      </w:r>
    </w:p>
    <w:p w14:paraId="4965A6FC">
      <w:pPr>
        <w:spacing w:after="40" w:line="360" w:lineRule="auto"/>
        <w:ind w:firstLine="420"/>
      </w:pPr>
      <w:r>
        <w:rPr>
          <w:rFonts w:ascii="宋体" w:hAnsi="宋体"/>
          <w:b w:val="0"/>
          <w:sz w:val="24"/>
        </w:rPr>
        <w:t>选取5个标准化财务特征变量：毛利率、经营现金净流量/营收、有息负债率、存货周转率、权益乘数。肘部法则确定K=3，轮廓系数和CH指数评估聚类质量，PCA降维至2维用于可视化。</w:t>
      </w:r>
    </w:p>
    <w:p w14:paraId="553EAE0F">
      <w:pPr>
        <w:spacing w:before="240" w:after="120"/>
        <w:outlineLvl w:val="1"/>
      </w:pPr>
      <w:r>
        <w:rPr>
          <w:rFonts w:ascii="黑体" w:hAnsi="黑体"/>
          <w:b/>
          <w:color w:val="000000"/>
          <w:sz w:val="28"/>
        </w:rPr>
        <w:t>（二）孤立森林异常检测</w:t>
      </w:r>
    </w:p>
    <w:p w14:paraId="76F2C2A5">
      <w:pPr>
        <w:spacing w:after="40" w:line="360" w:lineRule="auto"/>
        <w:ind w:firstLine="420"/>
      </w:pPr>
      <w:r>
        <w:rPr>
          <w:rFonts w:ascii="宋体" w:hAnsi="宋体"/>
          <w:b w:val="0"/>
          <w:sz w:val="24"/>
        </w:rPr>
        <w:t>基于相同5维特征矩阵，异常比例参数0.10。得分越低异常程度越高，异常率30%为红色预警线。</w:t>
      </w:r>
    </w:p>
    <w:p w14:paraId="305982D5">
      <w:pPr>
        <w:spacing w:before="240" w:after="120"/>
        <w:outlineLvl w:val="1"/>
      </w:pPr>
      <w:r>
        <w:rPr>
          <w:rFonts w:ascii="黑体" w:hAnsi="黑体"/>
          <w:b/>
          <w:color w:val="000000"/>
          <w:sz w:val="28"/>
        </w:rPr>
        <w:t>（三）六种时序预测方法</w:t>
      </w:r>
    </w:p>
    <w:p w14:paraId="393732CC">
      <w:pPr>
        <w:spacing w:after="40" w:line="360" w:lineRule="auto"/>
        <w:ind w:firstLine="420"/>
      </w:pPr>
      <w:r>
        <w:rPr>
          <w:rFonts w:ascii="宋体" w:hAnsi="宋体"/>
          <w:b w:val="0"/>
          <w:sz w:val="24"/>
        </w:rPr>
        <w:t>针对小样本约束（39-41个季度），比较Ridge回归（L2，alpha=1.0，二次多项式+季度季节性哑变量）、Prophet（yearly_seasonality=False，cap/floor约束毛利率[0,1]）、LSTM（window=3，hidden=16，小样本降epochs）、三次指数平滑（Holt-Winters，周期=4）、ARIMA（(2,1,2)落(1,1,0)）、线性回归（基线方法）的预测表现。预测期4个季度，以2026Q1实际值MAPE验证。</w:t>
      </w:r>
    </w:p>
    <w:p w14:paraId="58FE693A">
      <w:pPr>
        <w:spacing w:before="240" w:after="120"/>
        <w:outlineLvl w:val="1"/>
      </w:pPr>
      <w:r>
        <w:rPr>
          <w:rFonts w:ascii="黑体" w:hAnsi="黑体"/>
          <w:b/>
          <w:color w:val="000000"/>
          <w:sz w:val="28"/>
        </w:rPr>
        <w:t>（四）杜邦连环替代</w:t>
      </w:r>
    </w:p>
    <w:p w14:paraId="20A59436">
      <w:pPr>
        <w:spacing w:after="40" w:line="360" w:lineRule="auto"/>
        <w:ind w:firstLine="420"/>
      </w:pPr>
      <w:r>
        <w:rPr>
          <w:rFonts w:ascii="宋体" w:hAnsi="宋体"/>
          <w:b w:val="0"/>
          <w:sz w:val="24"/>
        </w:rPr>
        <w:t>ROE=销售净利率×总资产周转率×权益乘数。连环替代法量化各因素对ROE变动的贡献（pp），覆盖2022-2025四个年报期三期分解。</w:t>
      </w:r>
    </w:p>
    <w:p w14:paraId="41659961">
      <w:pPr>
        <w:spacing w:before="240" w:after="120"/>
        <w:outlineLvl w:val="1"/>
      </w:pPr>
      <w:r>
        <w:rPr>
          <w:rFonts w:ascii="黑体" w:hAnsi="黑体"/>
          <w:b/>
          <w:color w:val="000000"/>
          <w:sz w:val="28"/>
        </w:rPr>
        <w:t>（五）Z-score与沃尔评分</w:t>
      </w:r>
    </w:p>
    <w:p w14:paraId="15CB05BC">
      <w:pPr>
        <w:spacing w:after="40" w:line="360" w:lineRule="auto"/>
        <w:ind w:firstLine="420"/>
      </w:pPr>
      <w:r>
        <w:rPr>
          <w:rFonts w:ascii="宋体" w:hAnsi="宋体"/>
          <w:b w:val="0"/>
          <w:sz w:val="24"/>
        </w:rPr>
        <w:t>Z-score采用Altman(1968)公式，传统阈值Z&lt;1.81危险区/1.81-2.99灰色区/&gt;2.99安全区。沃尔评分5指标100分，营收增长率采用分档评分（&lt;15%/15%-50%/&gt;50%）减少天花板效应。</w:t>
      </w:r>
    </w:p>
    <w:p w14:paraId="2A8DBDF4">
      <w:pPr>
        <w:spacing w:before="240" w:after="120"/>
        <w:outlineLvl w:val="1"/>
      </w:pPr>
      <w:r>
        <w:rPr>
          <w:rFonts w:ascii="黑体" w:hAnsi="黑体"/>
          <w:b/>
          <w:color w:val="000000"/>
          <w:sz w:val="28"/>
        </w:rPr>
        <w:t>（六）现金流三组合分析</w:t>
      </w:r>
    </w:p>
    <w:p w14:paraId="060DA676">
      <w:pPr>
        <w:spacing w:after="40" w:line="360" w:lineRule="auto"/>
        <w:ind w:firstLine="420"/>
      </w:pPr>
      <w:r>
        <w:rPr>
          <w:rFonts w:ascii="宋体" w:hAnsi="宋体"/>
          <w:b w:val="0"/>
          <w:sz w:val="24"/>
        </w:rPr>
        <w:t>根据经营/投资/筹资三类活动净额正负组合判断企业生命周期阶段（成长期/成熟期/衰退期/危机期）。</w:t>
      </w:r>
    </w:p>
    <w:p w14:paraId="3452B551">
      <w:pPr>
        <w:spacing w:before="240" w:after="120"/>
        <w:outlineLvl w:val="1"/>
      </w:pPr>
      <w:r>
        <w:rPr>
          <w:rFonts w:ascii="黑体" w:hAnsi="黑体"/>
          <w:b/>
          <w:color w:val="000000"/>
          <w:sz w:val="28"/>
        </w:rPr>
        <w:t>（七）NEV景气度联动分析</w:t>
      </w:r>
    </w:p>
    <w:p w14:paraId="74B7AC47">
      <w:pPr>
        <w:spacing w:after="40" w:line="360" w:lineRule="auto"/>
        <w:ind w:firstLine="420"/>
      </w:pPr>
      <w:r>
        <w:rPr>
          <w:rFonts w:ascii="宋体" w:hAnsi="宋体"/>
          <w:b w:val="0"/>
          <w:sz w:val="24"/>
        </w:rPr>
        <w:t>基于CAAM月度数据，分析月度/年度趋势、渗透率轨迹、企业-行业偏离度（偏离度=企业年销量增速−行业NEV年销量增速）、季节性模式。</w:t>
      </w:r>
    </w:p>
    <w:p w14:paraId="6E6A6B30">
      <w:pPr>
        <w:spacing w:before="360" w:after="240"/>
        <w:jc w:val="center"/>
        <w:outlineLvl w:val="0"/>
      </w:pPr>
      <w:r>
        <w:rPr>
          <w:rFonts w:ascii="黑体" w:hAnsi="黑体"/>
          <w:b/>
          <w:color w:val="000000"/>
          <w:sz w:val="32"/>
        </w:rPr>
        <w:t>五、实证分析</w:t>
      </w:r>
    </w:p>
    <w:p w14:paraId="41693869">
      <w:pPr>
        <w:spacing w:before="240" w:after="120"/>
        <w:outlineLvl w:val="1"/>
      </w:pPr>
      <w:r>
        <w:rPr>
          <w:rFonts w:ascii="黑体" w:hAnsi="黑体"/>
          <w:b/>
          <w:color w:val="000000"/>
          <w:sz w:val="28"/>
        </w:rPr>
        <w:t>（一）财务指标描述性统计</w:t>
      </w:r>
    </w:p>
    <w:p w14:paraId="024D646E">
      <w:pPr>
        <w:spacing w:after="40" w:line="360" w:lineRule="auto"/>
        <w:ind w:firstLine="420"/>
      </w:pPr>
      <w:r>
        <w:rPr>
          <w:rFonts w:ascii="宋体" w:hAnsi="宋体"/>
          <w:b w:val="0"/>
          <w:sz w:val="24"/>
        </w:rPr>
        <w:t>表2报告了8家企业2025年年报五项核心指标。8家企业中4家毛利率为负（上汽-0.43%、广汽-15.68%、江淮-3.50%、北汽-21.55%），行业盈利空间受价格战严重挤压。赛力斯净资产收益率21.90%全样本最高，但资产负债率70.91%也位居前列——高净资产收益率部分由杠杆驱动，需结合杜邦分解综合判断。北汽蓝谷四项指标均异常，财务健康度最差。长城汽车各项指标最为均衡。</w:t>
      </w:r>
    </w:p>
    <w:tbl>
      <w:tblPr>
        <w:tblStyle w:val="32"/>
        <w:tblW w:w="0" w:type="auto"/>
        <w:jc w:val="center"/>
        <w:tblLayout w:type="autofit"/>
        <w:tblCellMar>
          <w:top w:w="0" w:type="dxa"/>
          <w:left w:w="108" w:type="dxa"/>
          <w:bottom w:w="0" w:type="dxa"/>
          <w:right w:w="108" w:type="dxa"/>
        </w:tblCellMar>
      </w:tblPr>
      <w:tblGrid>
        <w:gridCol w:w="1701"/>
        <w:gridCol w:w="1247"/>
        <w:gridCol w:w="1304"/>
        <w:gridCol w:w="1587"/>
        <w:gridCol w:w="1587"/>
        <w:gridCol w:w="1247"/>
      </w:tblGrid>
      <w:tr w14:paraId="2777A4FE">
        <w:tblPrEx>
          <w:tblCellMar>
            <w:top w:w="0" w:type="dxa"/>
            <w:left w:w="108" w:type="dxa"/>
            <w:bottom w:w="0" w:type="dxa"/>
            <w:right w:w="108" w:type="dxa"/>
          </w:tblCellMar>
        </w:tblPrEx>
        <w:trPr>
          <w:jc w:val="center"/>
        </w:trPr>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763E087B">
            <w:pPr>
              <w:jc w:val="center"/>
            </w:pPr>
            <w:r>
              <w:rPr>
                <w:rFonts w:ascii="黑体" w:hAnsi="黑体"/>
                <w:b/>
                <w:color w:val="1A4789"/>
                <w:sz w:val="18"/>
              </w:rPr>
              <w:t>公司</w:t>
            </w:r>
          </w:p>
        </w:tc>
        <w:tc>
          <w:tcPr>
            <w:tcW w:w="1247" w:type="dxa"/>
            <w:tcBorders>
              <w:top w:val="single" w:color="2E75B6" w:sz="8" w:space="0"/>
              <w:left w:val="single" w:color="CCCCCC" w:sz="4" w:space="0"/>
              <w:bottom w:val="single" w:color="CCCCCC" w:sz="4" w:space="0"/>
              <w:right w:val="single" w:color="CCCCCC" w:sz="4" w:space="0"/>
            </w:tcBorders>
            <w:shd w:val="clear" w:color="auto" w:fill="D5E8F0"/>
          </w:tcPr>
          <w:p w14:paraId="02FF2C86">
            <w:pPr>
              <w:jc w:val="center"/>
            </w:pPr>
            <w:r>
              <w:rPr>
                <w:rFonts w:ascii="黑体" w:hAnsi="黑体"/>
                <w:b/>
                <w:color w:val="1A4789"/>
                <w:sz w:val="18"/>
              </w:rPr>
              <w:t>毛利率</w:t>
            </w:r>
          </w:p>
        </w:tc>
        <w:tc>
          <w:tcPr>
            <w:tcW w:w="1304" w:type="dxa"/>
            <w:tcBorders>
              <w:top w:val="single" w:color="2E75B6" w:sz="8" w:space="0"/>
              <w:left w:val="single" w:color="CCCCCC" w:sz="4" w:space="0"/>
              <w:bottom w:val="single" w:color="CCCCCC" w:sz="4" w:space="0"/>
              <w:right w:val="single" w:color="CCCCCC" w:sz="4" w:space="0"/>
            </w:tcBorders>
            <w:shd w:val="clear" w:color="auto" w:fill="D5E8F0"/>
          </w:tcPr>
          <w:p w14:paraId="131D85DD">
            <w:pPr>
              <w:jc w:val="center"/>
            </w:pPr>
            <w:r>
              <w:rPr>
                <w:rFonts w:ascii="黑体" w:hAnsi="黑体"/>
                <w:b/>
                <w:color w:val="1A4789"/>
                <w:sz w:val="18"/>
              </w:rPr>
              <w:t>净利润率</w:t>
            </w:r>
          </w:p>
        </w:tc>
        <w:tc>
          <w:tcPr>
            <w:tcW w:w="1587" w:type="dxa"/>
            <w:tcBorders>
              <w:top w:val="single" w:color="2E75B6" w:sz="8" w:space="0"/>
              <w:left w:val="single" w:color="CCCCCC" w:sz="4" w:space="0"/>
              <w:bottom w:val="single" w:color="CCCCCC" w:sz="4" w:space="0"/>
              <w:right w:val="single" w:color="CCCCCC" w:sz="4" w:space="0"/>
            </w:tcBorders>
            <w:shd w:val="clear" w:color="auto" w:fill="D5E8F0"/>
          </w:tcPr>
          <w:p w14:paraId="276AAD51">
            <w:pPr>
              <w:jc w:val="center"/>
            </w:pPr>
            <w:r>
              <w:rPr>
                <w:rFonts w:ascii="黑体" w:hAnsi="黑体"/>
                <w:b/>
                <w:color w:val="1A4789"/>
                <w:sz w:val="18"/>
              </w:rPr>
              <w:t>净资产收益率</w:t>
            </w:r>
          </w:p>
        </w:tc>
        <w:tc>
          <w:tcPr>
            <w:tcW w:w="1587" w:type="dxa"/>
            <w:tcBorders>
              <w:top w:val="single" w:color="2E75B6" w:sz="8" w:space="0"/>
              <w:left w:val="single" w:color="CCCCCC" w:sz="4" w:space="0"/>
              <w:bottom w:val="single" w:color="CCCCCC" w:sz="4" w:space="0"/>
              <w:right w:val="single" w:color="CCCCCC" w:sz="4" w:space="0"/>
            </w:tcBorders>
            <w:shd w:val="clear" w:color="auto" w:fill="D5E8F0"/>
          </w:tcPr>
          <w:p w14:paraId="4C04250A">
            <w:pPr>
              <w:jc w:val="center"/>
            </w:pPr>
            <w:r>
              <w:rPr>
                <w:rFonts w:ascii="黑体" w:hAnsi="黑体"/>
                <w:b/>
                <w:color w:val="1A4789"/>
                <w:sz w:val="18"/>
              </w:rPr>
              <w:t>资产负债率</w:t>
            </w:r>
          </w:p>
        </w:tc>
        <w:tc>
          <w:tcPr>
            <w:tcW w:w="1247" w:type="dxa"/>
            <w:tcBorders>
              <w:top w:val="single" w:color="2E75B6" w:sz="8" w:space="0"/>
              <w:left w:val="single" w:color="CCCCCC" w:sz="4" w:space="0"/>
              <w:bottom w:val="single" w:color="CCCCCC" w:sz="4" w:space="0"/>
              <w:right w:val="single" w:color="CCCCCC" w:sz="4" w:space="0"/>
            </w:tcBorders>
            <w:shd w:val="clear" w:color="auto" w:fill="D5E8F0"/>
          </w:tcPr>
          <w:p w14:paraId="58B71AA1">
            <w:pPr>
              <w:jc w:val="center"/>
            </w:pPr>
            <w:r>
              <w:rPr>
                <w:rFonts w:ascii="黑体" w:hAnsi="黑体"/>
                <w:b/>
                <w:color w:val="1A4789"/>
                <w:sz w:val="18"/>
              </w:rPr>
              <w:t>流动比率</w:t>
            </w:r>
          </w:p>
        </w:tc>
      </w:tr>
      <w:tr w14:paraId="29EAC192">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4F58D9FA">
            <w:pPr>
              <w:jc w:val="left"/>
            </w:pPr>
            <w:r>
              <w:rPr>
                <w:rFonts w:ascii="宋体" w:hAnsi="宋体"/>
                <w:color w:val="333333"/>
                <w:sz w:val="18"/>
              </w:rPr>
              <w:t>赛力斯</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29E7DF91">
            <w:pPr>
              <w:jc w:val="center"/>
            </w:pPr>
            <w:r>
              <w:rPr>
                <w:rFonts w:ascii="宋体" w:hAnsi="宋体"/>
                <w:color w:val="333333"/>
                <w:sz w:val="18"/>
              </w:rPr>
              <w:t>4.36%</w:t>
            </w:r>
          </w:p>
        </w:tc>
        <w:tc>
          <w:tcPr>
            <w:tcW w:w="1304" w:type="dxa"/>
            <w:tcBorders>
              <w:top w:val="single" w:color="CCCCCC" w:sz="4" w:space="0"/>
              <w:left w:val="single" w:color="CCCCCC" w:sz="4" w:space="0"/>
              <w:bottom w:val="single" w:color="CCCCCC" w:sz="4" w:space="0"/>
              <w:right w:val="single" w:color="CCCCCC" w:sz="4" w:space="0"/>
            </w:tcBorders>
            <w:shd w:val="clear" w:color="auto" w:fill="F8F9FA"/>
          </w:tcPr>
          <w:p w14:paraId="7A00F4FC">
            <w:pPr>
              <w:jc w:val="center"/>
            </w:pPr>
            <w:r>
              <w:rPr>
                <w:rFonts w:ascii="宋体" w:hAnsi="宋体"/>
                <w:color w:val="333333"/>
                <w:sz w:val="18"/>
              </w:rPr>
              <w:t>3.72%</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2B706B4D">
            <w:pPr>
              <w:jc w:val="center"/>
            </w:pPr>
            <w:r>
              <w:rPr>
                <w:rFonts w:ascii="宋体" w:hAnsi="宋体"/>
                <w:color w:val="333333"/>
                <w:sz w:val="18"/>
              </w:rPr>
              <w:t>21.90%</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1D7482EA">
            <w:pPr>
              <w:jc w:val="center"/>
            </w:pPr>
            <w:r>
              <w:rPr>
                <w:rFonts w:ascii="宋体" w:hAnsi="宋体"/>
                <w:color w:val="333333"/>
                <w:sz w:val="18"/>
              </w:rPr>
              <w:t>70.91%</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621CAB9C">
            <w:pPr>
              <w:jc w:val="center"/>
            </w:pPr>
            <w:r>
              <w:rPr>
                <w:rFonts w:ascii="宋体" w:hAnsi="宋体"/>
                <w:color w:val="333333"/>
                <w:sz w:val="18"/>
              </w:rPr>
              <w:t>1.05</w:t>
            </w:r>
          </w:p>
        </w:tc>
      </w:tr>
      <w:tr w14:paraId="1BB5D788">
        <w:tblPrEx>
          <w:tblCellMar>
            <w:top w:w="0" w:type="dxa"/>
            <w:left w:w="108" w:type="dxa"/>
            <w:bottom w:w="0" w:type="dxa"/>
            <w:right w:w="108" w:type="dxa"/>
          </w:tblCellMar>
        </w:tblPrEx>
        <w:trPr>
          <w:jc w:val="center"/>
        </w:trPr>
        <w:tc>
          <w:tcPr>
            <w:tcW w:w="1701" w:type="dxa"/>
          </w:tcPr>
          <w:p w14:paraId="4EEEF0CB">
            <w:pPr>
              <w:jc w:val="left"/>
            </w:pPr>
            <w:r>
              <w:rPr>
                <w:rFonts w:ascii="宋体" w:hAnsi="宋体"/>
                <w:color w:val="333333"/>
                <w:sz w:val="18"/>
              </w:rPr>
              <w:t>长安汽车</w:t>
            </w:r>
          </w:p>
        </w:tc>
        <w:tc>
          <w:tcPr>
            <w:tcW w:w="1247" w:type="dxa"/>
          </w:tcPr>
          <w:p w14:paraId="1B218CFA">
            <w:pPr>
              <w:jc w:val="center"/>
            </w:pPr>
            <w:r>
              <w:rPr>
                <w:rFonts w:ascii="宋体" w:hAnsi="宋体"/>
                <w:color w:val="333333"/>
                <w:sz w:val="18"/>
              </w:rPr>
              <w:t>1.61%</w:t>
            </w:r>
          </w:p>
        </w:tc>
        <w:tc>
          <w:tcPr>
            <w:tcW w:w="1304" w:type="dxa"/>
          </w:tcPr>
          <w:p w14:paraId="08A76D94">
            <w:pPr>
              <w:jc w:val="center"/>
            </w:pPr>
            <w:r>
              <w:rPr>
                <w:rFonts w:ascii="宋体" w:hAnsi="宋体"/>
                <w:color w:val="333333"/>
                <w:sz w:val="18"/>
              </w:rPr>
              <w:t>1.93%</w:t>
            </w:r>
          </w:p>
        </w:tc>
        <w:tc>
          <w:tcPr>
            <w:tcW w:w="1587" w:type="dxa"/>
          </w:tcPr>
          <w:p w14:paraId="598E6CB2">
            <w:pPr>
              <w:jc w:val="center"/>
            </w:pPr>
            <w:r>
              <w:rPr>
                <w:rFonts w:ascii="宋体" w:hAnsi="宋体"/>
                <w:color w:val="333333"/>
                <w:sz w:val="18"/>
              </w:rPr>
              <w:t>5.43%</w:t>
            </w:r>
          </w:p>
        </w:tc>
        <w:tc>
          <w:tcPr>
            <w:tcW w:w="1587" w:type="dxa"/>
          </w:tcPr>
          <w:p w14:paraId="09900016">
            <w:pPr>
              <w:jc w:val="center"/>
            </w:pPr>
            <w:r>
              <w:rPr>
                <w:rFonts w:ascii="宋体" w:hAnsi="宋体"/>
                <w:color w:val="333333"/>
                <w:sz w:val="18"/>
              </w:rPr>
              <w:t>59.61%</w:t>
            </w:r>
          </w:p>
        </w:tc>
        <w:tc>
          <w:tcPr>
            <w:tcW w:w="1247" w:type="dxa"/>
          </w:tcPr>
          <w:p w14:paraId="6F94F305">
            <w:pPr>
              <w:jc w:val="center"/>
            </w:pPr>
            <w:r>
              <w:rPr>
                <w:rFonts w:ascii="宋体" w:hAnsi="宋体"/>
                <w:color w:val="333333"/>
                <w:sz w:val="18"/>
              </w:rPr>
              <w:t>1.21</w:t>
            </w:r>
          </w:p>
        </w:tc>
      </w:tr>
      <w:tr w14:paraId="48926945">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39CC6FEE">
            <w:pPr>
              <w:jc w:val="left"/>
            </w:pPr>
            <w:r>
              <w:rPr>
                <w:rFonts w:ascii="宋体" w:hAnsi="宋体"/>
                <w:color w:val="333333"/>
                <w:sz w:val="18"/>
              </w:rPr>
              <w:t>比亚迪</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401F3491">
            <w:pPr>
              <w:jc w:val="center"/>
            </w:pPr>
            <w:r>
              <w:rPr>
                <w:rFonts w:ascii="宋体" w:hAnsi="宋体"/>
                <w:color w:val="333333"/>
                <w:sz w:val="18"/>
              </w:rPr>
              <w:t>3.16%</w:t>
            </w:r>
          </w:p>
        </w:tc>
        <w:tc>
          <w:tcPr>
            <w:tcW w:w="1304" w:type="dxa"/>
            <w:tcBorders>
              <w:top w:val="single" w:color="CCCCCC" w:sz="4" w:space="0"/>
              <w:left w:val="single" w:color="CCCCCC" w:sz="4" w:space="0"/>
              <w:bottom w:val="single" w:color="CCCCCC" w:sz="4" w:space="0"/>
              <w:right w:val="single" w:color="CCCCCC" w:sz="4" w:space="0"/>
            </w:tcBorders>
            <w:shd w:val="clear" w:color="auto" w:fill="F8F9FA"/>
          </w:tcPr>
          <w:p w14:paraId="0D3A3023">
            <w:pPr>
              <w:jc w:val="center"/>
            </w:pPr>
            <w:r>
              <w:rPr>
                <w:rFonts w:ascii="宋体" w:hAnsi="宋体"/>
                <w:color w:val="333333"/>
                <w:sz w:val="18"/>
              </w:rPr>
              <w:t>4.20%</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4C1EA297">
            <w:pPr>
              <w:jc w:val="center"/>
            </w:pPr>
            <w:r>
              <w:rPr>
                <w:rFonts w:ascii="宋体" w:hAnsi="宋体"/>
                <w:color w:val="333333"/>
                <w:sz w:val="18"/>
              </w:rPr>
              <w:t>16.24%</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34B99D76">
            <w:pPr>
              <w:jc w:val="center"/>
            </w:pPr>
            <w:r>
              <w:rPr>
                <w:rFonts w:ascii="宋体" w:hAnsi="宋体"/>
                <w:color w:val="333333"/>
                <w:sz w:val="18"/>
              </w:rPr>
              <w:t>70.74%</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5CCF9350">
            <w:pPr>
              <w:jc w:val="center"/>
            </w:pPr>
            <w:r>
              <w:rPr>
                <w:rFonts w:ascii="宋体" w:hAnsi="宋体"/>
                <w:color w:val="333333"/>
                <w:sz w:val="18"/>
              </w:rPr>
              <w:t>0.79</w:t>
            </w:r>
          </w:p>
        </w:tc>
      </w:tr>
      <w:tr w14:paraId="3ACA48D2">
        <w:tblPrEx>
          <w:tblCellMar>
            <w:top w:w="0" w:type="dxa"/>
            <w:left w:w="108" w:type="dxa"/>
            <w:bottom w:w="0" w:type="dxa"/>
            <w:right w:w="108" w:type="dxa"/>
          </w:tblCellMar>
        </w:tblPrEx>
        <w:trPr>
          <w:jc w:val="center"/>
        </w:trPr>
        <w:tc>
          <w:tcPr>
            <w:tcW w:w="1701" w:type="dxa"/>
          </w:tcPr>
          <w:p w14:paraId="5B7965C2">
            <w:pPr>
              <w:jc w:val="left"/>
            </w:pPr>
            <w:r>
              <w:rPr>
                <w:rFonts w:ascii="宋体" w:hAnsi="宋体"/>
                <w:color w:val="333333"/>
                <w:sz w:val="18"/>
              </w:rPr>
              <w:t>长城汽车</w:t>
            </w:r>
          </w:p>
        </w:tc>
        <w:tc>
          <w:tcPr>
            <w:tcW w:w="1247" w:type="dxa"/>
          </w:tcPr>
          <w:p w14:paraId="572B9A5A">
            <w:pPr>
              <w:jc w:val="center"/>
            </w:pPr>
            <w:r>
              <w:rPr>
                <w:rFonts w:ascii="宋体" w:hAnsi="宋体"/>
                <w:color w:val="333333"/>
                <w:sz w:val="18"/>
              </w:rPr>
              <w:t>3.25%</w:t>
            </w:r>
          </w:p>
        </w:tc>
        <w:tc>
          <w:tcPr>
            <w:tcW w:w="1304" w:type="dxa"/>
          </w:tcPr>
          <w:p w14:paraId="0152EDB9">
            <w:pPr>
              <w:jc w:val="center"/>
            </w:pPr>
            <w:r>
              <w:rPr>
                <w:rFonts w:ascii="宋体" w:hAnsi="宋体"/>
                <w:color w:val="333333"/>
                <w:sz w:val="18"/>
              </w:rPr>
              <w:t>4.43%</w:t>
            </w:r>
          </w:p>
        </w:tc>
        <w:tc>
          <w:tcPr>
            <w:tcW w:w="1587" w:type="dxa"/>
          </w:tcPr>
          <w:p w14:paraId="2261FACD">
            <w:pPr>
              <w:jc w:val="center"/>
            </w:pPr>
            <w:r>
              <w:rPr>
                <w:rFonts w:ascii="宋体" w:hAnsi="宋体"/>
                <w:color w:val="333333"/>
                <w:sz w:val="18"/>
              </w:rPr>
              <w:t>11.94%</w:t>
            </w:r>
          </w:p>
        </w:tc>
        <w:tc>
          <w:tcPr>
            <w:tcW w:w="1587" w:type="dxa"/>
          </w:tcPr>
          <w:p w14:paraId="4C7A44DB">
            <w:pPr>
              <w:jc w:val="center"/>
            </w:pPr>
            <w:r>
              <w:rPr>
                <w:rFonts w:ascii="宋体" w:hAnsi="宋体"/>
                <w:color w:val="333333"/>
                <w:sz w:val="18"/>
              </w:rPr>
              <w:t>60.99%</w:t>
            </w:r>
          </w:p>
        </w:tc>
        <w:tc>
          <w:tcPr>
            <w:tcW w:w="1247" w:type="dxa"/>
          </w:tcPr>
          <w:p w14:paraId="522BCD11">
            <w:pPr>
              <w:jc w:val="center"/>
            </w:pPr>
            <w:r>
              <w:rPr>
                <w:rFonts w:ascii="宋体" w:hAnsi="宋体"/>
                <w:color w:val="333333"/>
                <w:sz w:val="18"/>
              </w:rPr>
              <w:t>1.09</w:t>
            </w:r>
          </w:p>
        </w:tc>
      </w:tr>
      <w:tr w14:paraId="633DED4E">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15D606F8">
            <w:pPr>
              <w:jc w:val="left"/>
            </w:pPr>
            <w:r>
              <w:rPr>
                <w:rFonts w:ascii="宋体" w:hAnsi="宋体"/>
                <w:color w:val="333333"/>
                <w:sz w:val="18"/>
              </w:rPr>
              <w:t>上汽集团</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3129D1D5">
            <w:pPr>
              <w:jc w:val="center"/>
            </w:pPr>
            <w:r>
              <w:rPr>
                <w:rFonts w:ascii="宋体" w:hAnsi="宋体"/>
                <w:color w:val="333333"/>
                <w:sz w:val="18"/>
              </w:rPr>
              <w:t>-0.43%</w:t>
            </w:r>
          </w:p>
        </w:tc>
        <w:tc>
          <w:tcPr>
            <w:tcW w:w="1304" w:type="dxa"/>
            <w:tcBorders>
              <w:top w:val="single" w:color="CCCCCC" w:sz="4" w:space="0"/>
              <w:left w:val="single" w:color="CCCCCC" w:sz="4" w:space="0"/>
              <w:bottom w:val="single" w:color="CCCCCC" w:sz="4" w:space="0"/>
              <w:right w:val="single" w:color="CCCCCC" w:sz="4" w:space="0"/>
            </w:tcBorders>
            <w:shd w:val="clear" w:color="auto" w:fill="F8F9FA"/>
          </w:tcPr>
          <w:p w14:paraId="0357E613">
            <w:pPr>
              <w:jc w:val="center"/>
            </w:pPr>
            <w:r>
              <w:rPr>
                <w:rFonts w:ascii="宋体" w:hAnsi="宋体"/>
                <w:color w:val="333333"/>
                <w:sz w:val="18"/>
              </w:rPr>
              <w:t>2.70%</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79186167">
            <w:pPr>
              <w:jc w:val="center"/>
            </w:pPr>
            <w:r>
              <w:rPr>
                <w:rFonts w:ascii="宋体" w:hAnsi="宋体"/>
                <w:color w:val="333333"/>
                <w:sz w:val="18"/>
              </w:rPr>
              <w:t>3.42%</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16393625">
            <w:pPr>
              <w:jc w:val="center"/>
            </w:pPr>
            <w:r>
              <w:rPr>
                <w:rFonts w:ascii="宋体" w:hAnsi="宋体"/>
                <w:color w:val="333333"/>
                <w:sz w:val="18"/>
              </w:rPr>
              <w:t>62.37%</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3B5EC3C0">
            <w:pPr>
              <w:jc w:val="center"/>
            </w:pPr>
            <w:r>
              <w:rPr>
                <w:rFonts w:ascii="宋体" w:hAnsi="宋体"/>
                <w:color w:val="333333"/>
                <w:sz w:val="18"/>
              </w:rPr>
              <w:t>1.20</w:t>
            </w:r>
          </w:p>
        </w:tc>
      </w:tr>
      <w:tr w14:paraId="6DCA6657">
        <w:tblPrEx>
          <w:tblCellMar>
            <w:top w:w="0" w:type="dxa"/>
            <w:left w:w="108" w:type="dxa"/>
            <w:bottom w:w="0" w:type="dxa"/>
            <w:right w:w="108" w:type="dxa"/>
          </w:tblCellMar>
        </w:tblPrEx>
        <w:trPr>
          <w:jc w:val="center"/>
        </w:trPr>
        <w:tc>
          <w:tcPr>
            <w:tcW w:w="1701" w:type="dxa"/>
          </w:tcPr>
          <w:p w14:paraId="4E12C9CC">
            <w:pPr>
              <w:jc w:val="left"/>
            </w:pPr>
            <w:r>
              <w:rPr>
                <w:rFonts w:ascii="宋体" w:hAnsi="宋体"/>
                <w:color w:val="333333"/>
                <w:sz w:val="18"/>
              </w:rPr>
              <w:t>广汽集团</w:t>
            </w:r>
          </w:p>
        </w:tc>
        <w:tc>
          <w:tcPr>
            <w:tcW w:w="1247" w:type="dxa"/>
          </w:tcPr>
          <w:p w14:paraId="741BB0DA">
            <w:pPr>
              <w:jc w:val="center"/>
            </w:pPr>
            <w:r>
              <w:rPr>
                <w:rFonts w:ascii="宋体" w:hAnsi="宋体"/>
                <w:color w:val="333333"/>
                <w:sz w:val="18"/>
              </w:rPr>
              <w:t>-15.68%</w:t>
            </w:r>
          </w:p>
        </w:tc>
        <w:tc>
          <w:tcPr>
            <w:tcW w:w="1304" w:type="dxa"/>
          </w:tcPr>
          <w:p w14:paraId="4675EEF3">
            <w:pPr>
              <w:jc w:val="center"/>
            </w:pPr>
            <w:r>
              <w:rPr>
                <w:rFonts w:ascii="宋体" w:hAnsi="宋体"/>
                <w:color w:val="333333"/>
                <w:sz w:val="18"/>
              </w:rPr>
              <w:t>-12.00%</w:t>
            </w:r>
          </w:p>
        </w:tc>
        <w:tc>
          <w:tcPr>
            <w:tcW w:w="1587" w:type="dxa"/>
          </w:tcPr>
          <w:p w14:paraId="12533A10">
            <w:pPr>
              <w:jc w:val="center"/>
            </w:pPr>
            <w:r>
              <w:rPr>
                <w:rFonts w:ascii="宋体" w:hAnsi="宋体"/>
                <w:color w:val="333333"/>
                <w:sz w:val="18"/>
              </w:rPr>
              <w:t>-8.02%</w:t>
            </w:r>
          </w:p>
        </w:tc>
        <w:tc>
          <w:tcPr>
            <w:tcW w:w="1587" w:type="dxa"/>
          </w:tcPr>
          <w:p w14:paraId="5D35146A">
            <w:pPr>
              <w:jc w:val="center"/>
            </w:pPr>
            <w:r>
              <w:rPr>
                <w:rFonts w:ascii="宋体" w:hAnsi="宋体"/>
                <w:color w:val="333333"/>
                <w:sz w:val="18"/>
              </w:rPr>
              <w:t>48.97%</w:t>
            </w:r>
          </w:p>
        </w:tc>
        <w:tc>
          <w:tcPr>
            <w:tcW w:w="1247" w:type="dxa"/>
          </w:tcPr>
          <w:p w14:paraId="3D6BD2D3">
            <w:pPr>
              <w:jc w:val="center"/>
            </w:pPr>
            <w:r>
              <w:rPr>
                <w:rFonts w:ascii="宋体" w:hAnsi="宋体"/>
                <w:color w:val="333333"/>
                <w:sz w:val="18"/>
              </w:rPr>
              <w:t>1.14</w:t>
            </w:r>
          </w:p>
        </w:tc>
      </w:tr>
      <w:tr w14:paraId="24968871">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33D46368">
            <w:pPr>
              <w:jc w:val="left"/>
            </w:pPr>
            <w:r>
              <w:rPr>
                <w:rFonts w:ascii="宋体" w:hAnsi="宋体"/>
                <w:color w:val="333333"/>
                <w:sz w:val="18"/>
              </w:rPr>
              <w:t>江淮汽车</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162DEA1B">
            <w:pPr>
              <w:jc w:val="center"/>
            </w:pPr>
            <w:r>
              <w:rPr>
                <w:rFonts w:ascii="宋体" w:hAnsi="宋体"/>
                <w:color w:val="333333"/>
                <w:sz w:val="18"/>
              </w:rPr>
              <w:t>-3.50%</w:t>
            </w:r>
          </w:p>
        </w:tc>
        <w:tc>
          <w:tcPr>
            <w:tcW w:w="1304" w:type="dxa"/>
            <w:tcBorders>
              <w:top w:val="single" w:color="CCCCCC" w:sz="4" w:space="0"/>
              <w:left w:val="single" w:color="CCCCCC" w:sz="4" w:space="0"/>
              <w:bottom w:val="single" w:color="CCCCCC" w:sz="4" w:space="0"/>
              <w:right w:val="single" w:color="CCCCCC" w:sz="4" w:space="0"/>
            </w:tcBorders>
            <w:shd w:val="clear" w:color="auto" w:fill="F8F9FA"/>
          </w:tcPr>
          <w:p w14:paraId="41CDF354">
            <w:pPr>
              <w:jc w:val="center"/>
            </w:pPr>
            <w:r>
              <w:rPr>
                <w:rFonts w:ascii="宋体" w:hAnsi="宋体"/>
                <w:color w:val="333333"/>
                <w:sz w:val="18"/>
              </w:rPr>
              <w:t>-3.81%</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6F843468">
            <w:pPr>
              <w:jc w:val="center"/>
            </w:pPr>
            <w:r>
              <w:rPr>
                <w:rFonts w:ascii="宋体" w:hAnsi="宋体"/>
                <w:color w:val="333333"/>
                <w:sz w:val="18"/>
              </w:rPr>
              <w:t>-14.53%</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6EE92CC4">
            <w:pPr>
              <w:jc w:val="center"/>
            </w:pPr>
            <w:r>
              <w:rPr>
                <w:rFonts w:ascii="宋体" w:hAnsi="宋体"/>
                <w:color w:val="333333"/>
                <w:sz w:val="18"/>
              </w:rPr>
              <w:t>79.07%</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760355D2">
            <w:pPr>
              <w:jc w:val="center"/>
            </w:pPr>
            <w:r>
              <w:rPr>
                <w:rFonts w:ascii="宋体" w:hAnsi="宋体"/>
                <w:color w:val="333333"/>
                <w:sz w:val="18"/>
              </w:rPr>
              <w:t>0.80</w:t>
            </w:r>
          </w:p>
        </w:tc>
      </w:tr>
      <w:tr w14:paraId="54B0B4FC">
        <w:tblPrEx>
          <w:tblCellMar>
            <w:top w:w="0" w:type="dxa"/>
            <w:left w:w="108" w:type="dxa"/>
            <w:bottom w:w="0" w:type="dxa"/>
            <w:right w:w="108" w:type="dxa"/>
          </w:tblCellMar>
        </w:tblPrEx>
        <w:trPr>
          <w:jc w:val="center"/>
        </w:trPr>
        <w:tc>
          <w:tcPr>
            <w:tcW w:w="1701" w:type="dxa"/>
          </w:tcPr>
          <w:p w14:paraId="7C8DF23F">
            <w:pPr>
              <w:jc w:val="left"/>
            </w:pPr>
            <w:r>
              <w:rPr>
                <w:rFonts w:ascii="宋体" w:hAnsi="宋体"/>
                <w:color w:val="333333"/>
                <w:sz w:val="18"/>
              </w:rPr>
              <w:t>北汽蓝谷</w:t>
            </w:r>
          </w:p>
        </w:tc>
        <w:tc>
          <w:tcPr>
            <w:tcW w:w="1247" w:type="dxa"/>
          </w:tcPr>
          <w:p w14:paraId="54C5D245">
            <w:pPr>
              <w:jc w:val="center"/>
            </w:pPr>
            <w:r>
              <w:rPr>
                <w:rFonts w:ascii="宋体" w:hAnsi="宋体"/>
                <w:color w:val="333333"/>
                <w:sz w:val="18"/>
              </w:rPr>
              <w:t>-21.55%</w:t>
            </w:r>
          </w:p>
        </w:tc>
        <w:tc>
          <w:tcPr>
            <w:tcW w:w="1304" w:type="dxa"/>
          </w:tcPr>
          <w:p w14:paraId="23205397">
            <w:pPr>
              <w:jc w:val="center"/>
            </w:pPr>
            <w:r>
              <w:rPr>
                <w:rFonts w:ascii="宋体" w:hAnsi="宋体"/>
                <w:color w:val="333333"/>
                <w:sz w:val="18"/>
              </w:rPr>
              <w:t>-22.84%</w:t>
            </w:r>
          </w:p>
        </w:tc>
        <w:tc>
          <w:tcPr>
            <w:tcW w:w="1587" w:type="dxa"/>
          </w:tcPr>
          <w:p w14:paraId="09FB0541">
            <w:pPr>
              <w:jc w:val="center"/>
            </w:pPr>
            <w:r>
              <w:rPr>
                <w:rFonts w:ascii="宋体" w:hAnsi="宋体"/>
                <w:color w:val="333333"/>
                <w:sz w:val="18"/>
              </w:rPr>
              <w:t>-332.24%</w:t>
            </w:r>
          </w:p>
        </w:tc>
        <w:tc>
          <w:tcPr>
            <w:tcW w:w="1587" w:type="dxa"/>
          </w:tcPr>
          <w:p w14:paraId="0CDFCB48">
            <w:pPr>
              <w:jc w:val="center"/>
            </w:pPr>
            <w:r>
              <w:rPr>
                <w:rFonts w:ascii="宋体" w:hAnsi="宋体"/>
                <w:color w:val="333333"/>
                <w:sz w:val="18"/>
              </w:rPr>
              <w:t>88.47%</w:t>
            </w:r>
          </w:p>
        </w:tc>
        <w:tc>
          <w:tcPr>
            <w:tcW w:w="1247" w:type="dxa"/>
          </w:tcPr>
          <w:p w14:paraId="05FB7F63">
            <w:pPr>
              <w:jc w:val="center"/>
            </w:pPr>
            <w:r>
              <w:rPr>
                <w:rFonts w:ascii="宋体" w:hAnsi="宋体"/>
                <w:color w:val="333333"/>
                <w:sz w:val="18"/>
              </w:rPr>
              <w:t>0.65</w:t>
            </w:r>
          </w:p>
        </w:tc>
      </w:tr>
    </w:tbl>
    <w:p w14:paraId="386CBAC6">
      <w:pPr>
        <w:spacing w:after="80"/>
      </w:pPr>
    </w:p>
    <w:p w14:paraId="27510FD3"/>
    <w:p w14:paraId="625B5AA3">
      <w:pPr>
        <w:jc w:val="center"/>
      </w:pPr>
      <w:r>
        <w:drawing>
          <wp:inline distT="0" distB="0" distL="114300" distR="114300">
            <wp:extent cx="5039995" cy="2389505"/>
            <wp:effectExtent l="0" t="0" r="444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2390068"/>
                    </a:xfrm>
                    <a:prstGeom prst="rect">
                      <a:avLst/>
                    </a:prstGeom>
                  </pic:spPr>
                </pic:pic>
              </a:graphicData>
            </a:graphic>
          </wp:inline>
        </w:drawing>
      </w:r>
    </w:p>
    <w:p w14:paraId="0C71809F">
      <w:pPr>
        <w:spacing w:after="120"/>
        <w:jc w:val="center"/>
      </w:pPr>
      <w:r>
        <w:rPr>
          <w:rFonts w:ascii="宋体" w:hAnsi="宋体"/>
          <w:sz w:val="18"/>
        </w:rPr>
        <w:t>图1  8家车企核心财务指标热力图</w:t>
      </w:r>
    </w:p>
    <w:p w14:paraId="71BBB23D">
      <w:pPr>
        <w:spacing w:after="40" w:line="360" w:lineRule="auto"/>
        <w:ind w:firstLine="420"/>
      </w:pPr>
      <w:r>
        <w:rPr>
          <w:rFonts w:ascii="宋体" w:hAnsi="宋体"/>
          <w:b w:val="0"/>
          <w:sz w:val="24"/>
        </w:rPr>
        <w:t>研发投入方面（图2），赛力斯2025年研发费用79.5亿元，研发费用率4.82%，首次在研发率上超过长安汽车（71.6亿元/4.36%）。2021年华为合作启动后，赛力斯研发率从3.59%升至4.82%，合作推动了研发支出的快速增长。长安汽车研发率稳定在3.3%-4.5%。</w:t>
      </w:r>
    </w:p>
    <w:p w14:paraId="4A92799D">
      <w:pPr>
        <w:jc w:val="center"/>
      </w:pPr>
      <w:r>
        <w:drawing>
          <wp:inline distT="0" distB="0" distL="114300" distR="114300">
            <wp:extent cx="5039995" cy="165735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1657450"/>
                    </a:xfrm>
                    <a:prstGeom prst="rect">
                      <a:avLst/>
                    </a:prstGeom>
                  </pic:spPr>
                </pic:pic>
              </a:graphicData>
            </a:graphic>
          </wp:inline>
        </w:drawing>
      </w:r>
    </w:p>
    <w:p w14:paraId="5C615447">
      <w:pPr>
        <w:spacing w:after="120"/>
        <w:jc w:val="center"/>
      </w:pPr>
      <w:r>
        <w:rPr>
          <w:rFonts w:ascii="宋体" w:hAnsi="宋体"/>
          <w:sz w:val="18"/>
        </w:rPr>
        <w:t>图2  赛力斯vs长安研发投入趋势</w:t>
      </w:r>
    </w:p>
    <w:p w14:paraId="4FEC78C8">
      <w:pPr>
        <w:spacing w:before="240" w:after="120"/>
        <w:outlineLvl w:val="1"/>
      </w:pPr>
      <w:r>
        <w:rPr>
          <w:rFonts w:ascii="黑体" w:hAnsi="黑体"/>
          <w:b/>
          <w:color w:val="000000"/>
          <w:sz w:val="28"/>
        </w:rPr>
        <w:t>（二）K-Means聚类与孤立森林分析</w:t>
      </w:r>
    </w:p>
    <w:p w14:paraId="47CF682F">
      <w:pPr>
        <w:spacing w:after="40" w:line="360" w:lineRule="auto"/>
        <w:ind w:firstLine="420"/>
      </w:pPr>
      <w:r>
        <w:rPr>
          <w:rFonts w:ascii="宋体" w:hAnsi="宋体"/>
          <w:b w:val="0"/>
          <w:sz w:val="24"/>
        </w:rPr>
        <w:t>聚类使用5个标准化特征，肘部法则确定K=3（图3），轮廓系数0.609，CH指数119.8，群间分离度良好。</w:t>
      </w:r>
    </w:p>
    <w:p w14:paraId="252330A8">
      <w:pPr>
        <w:jc w:val="center"/>
      </w:pPr>
      <w:r>
        <w:drawing>
          <wp:inline distT="0" distB="0" distL="114300" distR="114300">
            <wp:extent cx="3599815" cy="2030730"/>
            <wp:effectExtent l="0" t="0" r="1206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600000" cy="2030858"/>
                    </a:xfrm>
                    <a:prstGeom prst="rect">
                      <a:avLst/>
                    </a:prstGeom>
                  </pic:spPr>
                </pic:pic>
              </a:graphicData>
            </a:graphic>
          </wp:inline>
        </w:drawing>
      </w:r>
    </w:p>
    <w:p w14:paraId="39DE5DD9">
      <w:pPr>
        <w:spacing w:after="120"/>
        <w:jc w:val="center"/>
      </w:pPr>
      <w:r>
        <w:rPr>
          <w:rFonts w:ascii="宋体" w:hAnsi="宋体"/>
          <w:sz w:val="18"/>
        </w:rPr>
        <w:t>图3  肘部法则确定K=3</w:t>
      </w:r>
    </w:p>
    <w:p w14:paraId="2DFE23F9"/>
    <w:tbl>
      <w:tblPr>
        <w:tblStyle w:val="32"/>
        <w:tblW w:w="0" w:type="auto"/>
        <w:jc w:val="center"/>
        <w:tblLayout w:type="autofit"/>
        <w:tblCellMar>
          <w:top w:w="0" w:type="dxa"/>
          <w:left w:w="108" w:type="dxa"/>
          <w:bottom w:w="0" w:type="dxa"/>
          <w:right w:w="108" w:type="dxa"/>
        </w:tblCellMar>
      </w:tblPr>
      <w:tblGrid>
        <w:gridCol w:w="1685"/>
        <w:gridCol w:w="1149"/>
        <w:gridCol w:w="1134"/>
        <w:gridCol w:w="1417"/>
        <w:gridCol w:w="1417"/>
        <w:gridCol w:w="1417"/>
      </w:tblGrid>
      <w:tr w14:paraId="6ED027A1">
        <w:tblPrEx>
          <w:tblCellMar>
            <w:top w:w="0" w:type="dxa"/>
            <w:left w:w="108" w:type="dxa"/>
            <w:bottom w:w="0" w:type="dxa"/>
            <w:right w:w="108" w:type="dxa"/>
          </w:tblCellMar>
        </w:tblPrEx>
        <w:trPr>
          <w:jc w:val="center"/>
        </w:trPr>
        <w:tc>
          <w:tcPr>
            <w:tcW w:w="1685" w:type="dxa"/>
            <w:tcBorders>
              <w:top w:val="single" w:color="2E75B6" w:sz="8" w:space="0"/>
              <w:left w:val="single" w:color="CCCCCC" w:sz="4" w:space="0"/>
              <w:bottom w:val="single" w:color="CCCCCC" w:sz="4" w:space="0"/>
              <w:right w:val="single" w:color="CCCCCC" w:sz="4" w:space="0"/>
            </w:tcBorders>
            <w:shd w:val="clear" w:color="auto" w:fill="D5E8F0"/>
          </w:tcPr>
          <w:p w14:paraId="25A7B811">
            <w:pPr>
              <w:jc w:val="center"/>
            </w:pPr>
            <w:r>
              <w:rPr>
                <w:rFonts w:ascii="黑体" w:hAnsi="黑体"/>
                <w:b/>
                <w:color w:val="1A4789"/>
                <w:sz w:val="18"/>
              </w:rPr>
              <w:t>群组</w:t>
            </w:r>
          </w:p>
        </w:tc>
        <w:tc>
          <w:tcPr>
            <w:tcW w:w="1149" w:type="dxa"/>
            <w:tcBorders>
              <w:top w:val="single" w:color="2E75B6" w:sz="8" w:space="0"/>
              <w:left w:val="single" w:color="CCCCCC" w:sz="4" w:space="0"/>
              <w:bottom w:val="single" w:color="CCCCCC" w:sz="4" w:space="0"/>
              <w:right w:val="single" w:color="CCCCCC" w:sz="4" w:space="0"/>
            </w:tcBorders>
            <w:shd w:val="clear" w:color="auto" w:fill="D5E8F0"/>
          </w:tcPr>
          <w:p w14:paraId="67D115F5">
            <w:pPr>
              <w:jc w:val="center"/>
            </w:pPr>
            <w:r>
              <w:rPr>
                <w:rFonts w:ascii="黑体" w:hAnsi="黑体"/>
                <w:b/>
                <w:color w:val="1A4789"/>
                <w:sz w:val="18"/>
              </w:rPr>
              <w:t>所含企业</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4EE87F4F">
            <w:pPr>
              <w:jc w:val="center"/>
            </w:pPr>
            <w:r>
              <w:rPr>
                <w:rFonts w:ascii="黑体" w:hAnsi="黑体"/>
                <w:b/>
                <w:color w:val="1A4789"/>
                <w:sz w:val="18"/>
              </w:rPr>
              <w:t>季度数</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4AD8AC15">
            <w:pPr>
              <w:jc w:val="center"/>
            </w:pPr>
            <w:r>
              <w:rPr>
                <w:rFonts w:ascii="黑体" w:hAnsi="黑体"/>
                <w:b/>
                <w:color w:val="1A4789"/>
                <w:sz w:val="18"/>
              </w:rPr>
              <w:t>毛利率均值</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415D9FED">
            <w:pPr>
              <w:jc w:val="center"/>
            </w:pPr>
            <w:r>
              <w:rPr>
                <w:rFonts w:ascii="黑体" w:hAnsi="黑体"/>
                <w:b/>
                <w:color w:val="1A4789"/>
                <w:sz w:val="18"/>
              </w:rPr>
              <w:t>经营CF/营收</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73CE2824">
            <w:pPr>
              <w:jc w:val="center"/>
            </w:pPr>
            <w:r>
              <w:rPr>
                <w:rFonts w:ascii="黑体" w:hAnsi="黑体"/>
                <w:b/>
                <w:color w:val="1A4789"/>
                <w:sz w:val="18"/>
              </w:rPr>
              <w:t>有息负债率</w:t>
            </w:r>
          </w:p>
        </w:tc>
      </w:tr>
      <w:tr w14:paraId="7F675C59">
        <w:tblPrEx>
          <w:tblCellMar>
            <w:top w:w="0" w:type="dxa"/>
            <w:left w:w="108" w:type="dxa"/>
            <w:bottom w:w="0" w:type="dxa"/>
            <w:right w:w="108" w:type="dxa"/>
          </w:tblCellMar>
        </w:tblPrEx>
        <w:trPr>
          <w:jc w:val="center"/>
        </w:trPr>
        <w:tc>
          <w:tcPr>
            <w:tcW w:w="1685" w:type="dxa"/>
            <w:tcBorders>
              <w:top w:val="single" w:color="CCCCCC" w:sz="4" w:space="0"/>
              <w:left w:val="single" w:color="CCCCCC" w:sz="4" w:space="0"/>
              <w:bottom w:val="single" w:color="CCCCCC" w:sz="4" w:space="0"/>
              <w:right w:val="single" w:color="CCCCCC" w:sz="4" w:space="0"/>
            </w:tcBorders>
            <w:shd w:val="clear" w:color="auto" w:fill="F8F9FA"/>
          </w:tcPr>
          <w:p w14:paraId="77C86F26">
            <w:pPr>
              <w:jc w:val="left"/>
            </w:pPr>
            <w:r>
              <w:rPr>
                <w:rFonts w:ascii="宋体" w:hAnsi="宋体"/>
                <w:color w:val="333333"/>
                <w:sz w:val="18"/>
              </w:rPr>
              <w:t>群0（稳健群）</w:t>
            </w:r>
          </w:p>
        </w:tc>
        <w:tc>
          <w:tcPr>
            <w:tcW w:w="1149" w:type="dxa"/>
            <w:tcBorders>
              <w:top w:val="single" w:color="CCCCCC" w:sz="4" w:space="0"/>
              <w:left w:val="single" w:color="CCCCCC" w:sz="4" w:space="0"/>
              <w:bottom w:val="single" w:color="CCCCCC" w:sz="4" w:space="0"/>
              <w:right w:val="single" w:color="CCCCCC" w:sz="4" w:space="0"/>
            </w:tcBorders>
            <w:shd w:val="clear" w:color="auto" w:fill="F8F9FA"/>
          </w:tcPr>
          <w:p w14:paraId="2A51B262">
            <w:pPr>
              <w:jc w:val="center"/>
            </w:pPr>
            <w:r>
              <w:rPr>
                <w:rFonts w:ascii="宋体" w:hAnsi="宋体"/>
                <w:color w:val="333333"/>
                <w:sz w:val="18"/>
              </w:rPr>
              <w:t>全部8家</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11DC5005">
            <w:pPr>
              <w:jc w:val="center"/>
            </w:pPr>
            <w:r>
              <w:rPr>
                <w:rFonts w:ascii="宋体" w:hAnsi="宋体"/>
                <w:color w:val="333333"/>
                <w:sz w:val="18"/>
              </w:rPr>
              <w:t>287</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F60EC3F">
            <w:pPr>
              <w:jc w:val="center"/>
            </w:pPr>
            <w:r>
              <w:rPr>
                <w:rFonts w:ascii="宋体" w:hAnsi="宋体"/>
                <w:color w:val="333333"/>
                <w:sz w:val="18"/>
              </w:rPr>
              <w:t>-0.011</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EA92F33">
            <w:pPr>
              <w:jc w:val="center"/>
            </w:pPr>
            <w:r>
              <w:rPr>
                <w:rFonts w:ascii="宋体" w:hAnsi="宋体"/>
                <w:color w:val="333333"/>
                <w:sz w:val="18"/>
              </w:rPr>
              <w:t>-0.020</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9C9AE75">
            <w:pPr>
              <w:jc w:val="center"/>
            </w:pPr>
            <w:r>
              <w:rPr>
                <w:rFonts w:ascii="宋体" w:hAnsi="宋体"/>
                <w:color w:val="333333"/>
                <w:sz w:val="18"/>
              </w:rPr>
              <w:t>0.124</w:t>
            </w:r>
          </w:p>
        </w:tc>
      </w:tr>
      <w:tr w14:paraId="7F6295B7">
        <w:tblPrEx>
          <w:tblCellMar>
            <w:top w:w="0" w:type="dxa"/>
            <w:left w:w="108" w:type="dxa"/>
            <w:bottom w:w="0" w:type="dxa"/>
            <w:right w:w="108" w:type="dxa"/>
          </w:tblCellMar>
        </w:tblPrEx>
        <w:trPr>
          <w:jc w:val="center"/>
        </w:trPr>
        <w:tc>
          <w:tcPr>
            <w:tcW w:w="1685" w:type="dxa"/>
          </w:tcPr>
          <w:p w14:paraId="09E2E9FC">
            <w:pPr>
              <w:jc w:val="left"/>
            </w:pPr>
            <w:r>
              <w:rPr>
                <w:rFonts w:ascii="宋体" w:hAnsi="宋体"/>
                <w:color w:val="333333"/>
                <w:sz w:val="18"/>
              </w:rPr>
              <w:t>群1（异常群）</w:t>
            </w:r>
          </w:p>
        </w:tc>
        <w:tc>
          <w:tcPr>
            <w:tcW w:w="1149" w:type="dxa"/>
          </w:tcPr>
          <w:p w14:paraId="4D483645">
            <w:pPr>
              <w:jc w:val="center"/>
            </w:pPr>
            <w:r>
              <w:rPr>
                <w:rFonts w:ascii="宋体" w:hAnsi="宋体"/>
                <w:color w:val="333333"/>
                <w:sz w:val="18"/>
              </w:rPr>
              <w:t>北汽蓝谷</w:t>
            </w:r>
          </w:p>
        </w:tc>
        <w:tc>
          <w:tcPr>
            <w:tcW w:w="1134" w:type="dxa"/>
          </w:tcPr>
          <w:p w14:paraId="7FC297D1">
            <w:pPr>
              <w:jc w:val="center"/>
            </w:pPr>
            <w:r>
              <w:rPr>
                <w:rFonts w:ascii="宋体" w:hAnsi="宋体"/>
                <w:color w:val="333333"/>
                <w:sz w:val="18"/>
              </w:rPr>
              <w:t>3</w:t>
            </w:r>
          </w:p>
        </w:tc>
        <w:tc>
          <w:tcPr>
            <w:tcW w:w="1417" w:type="dxa"/>
          </w:tcPr>
          <w:p w14:paraId="05BFA0C7">
            <w:pPr>
              <w:jc w:val="center"/>
            </w:pPr>
            <w:r>
              <w:rPr>
                <w:rFonts w:ascii="宋体" w:hAnsi="宋体"/>
                <w:color w:val="333333"/>
                <w:sz w:val="18"/>
              </w:rPr>
              <w:t>-1.075</w:t>
            </w:r>
          </w:p>
        </w:tc>
        <w:tc>
          <w:tcPr>
            <w:tcW w:w="1417" w:type="dxa"/>
          </w:tcPr>
          <w:p w14:paraId="322AEAB6">
            <w:pPr>
              <w:jc w:val="center"/>
            </w:pPr>
            <w:r>
              <w:rPr>
                <w:rFonts w:ascii="宋体" w:hAnsi="宋体"/>
                <w:color w:val="333333"/>
                <w:sz w:val="18"/>
              </w:rPr>
              <w:t>-8.312</w:t>
            </w:r>
          </w:p>
        </w:tc>
        <w:tc>
          <w:tcPr>
            <w:tcW w:w="1417" w:type="dxa"/>
          </w:tcPr>
          <w:p w14:paraId="7092C316">
            <w:pPr>
              <w:jc w:val="center"/>
            </w:pPr>
            <w:r>
              <w:rPr>
                <w:rFonts w:ascii="宋体" w:hAnsi="宋体"/>
                <w:color w:val="333333"/>
                <w:sz w:val="18"/>
              </w:rPr>
              <w:t>0.000</w:t>
            </w:r>
          </w:p>
        </w:tc>
      </w:tr>
      <w:tr w14:paraId="4121DBA2">
        <w:tblPrEx>
          <w:tblCellMar>
            <w:top w:w="0" w:type="dxa"/>
            <w:left w:w="108" w:type="dxa"/>
            <w:bottom w:w="0" w:type="dxa"/>
            <w:right w:w="108" w:type="dxa"/>
          </w:tblCellMar>
        </w:tblPrEx>
        <w:trPr>
          <w:jc w:val="center"/>
        </w:trPr>
        <w:tc>
          <w:tcPr>
            <w:tcW w:w="1685" w:type="dxa"/>
            <w:tcBorders>
              <w:top w:val="single" w:color="CCCCCC" w:sz="4" w:space="0"/>
              <w:left w:val="single" w:color="CCCCCC" w:sz="4" w:space="0"/>
              <w:bottom w:val="single" w:color="CCCCCC" w:sz="4" w:space="0"/>
              <w:right w:val="single" w:color="CCCCCC" w:sz="4" w:space="0"/>
            </w:tcBorders>
            <w:shd w:val="clear" w:color="auto" w:fill="F8F9FA"/>
          </w:tcPr>
          <w:p w14:paraId="0B30FD65">
            <w:pPr>
              <w:jc w:val="left"/>
            </w:pPr>
            <w:r>
              <w:rPr>
                <w:rFonts w:ascii="宋体" w:hAnsi="宋体"/>
                <w:color w:val="333333"/>
                <w:sz w:val="18"/>
              </w:rPr>
              <w:t>群2（高杠杆群）</w:t>
            </w:r>
          </w:p>
        </w:tc>
        <w:tc>
          <w:tcPr>
            <w:tcW w:w="1149" w:type="dxa"/>
            <w:tcBorders>
              <w:top w:val="single" w:color="CCCCCC" w:sz="4" w:space="0"/>
              <w:left w:val="single" w:color="CCCCCC" w:sz="4" w:space="0"/>
              <w:bottom w:val="single" w:color="CCCCCC" w:sz="4" w:space="0"/>
              <w:right w:val="single" w:color="CCCCCC" w:sz="4" w:space="0"/>
            </w:tcBorders>
            <w:shd w:val="clear" w:color="auto" w:fill="F8F9FA"/>
          </w:tcPr>
          <w:p w14:paraId="7592D2E1">
            <w:pPr>
              <w:jc w:val="center"/>
            </w:pPr>
            <w:r>
              <w:rPr>
                <w:rFonts w:ascii="宋体" w:hAnsi="宋体"/>
                <w:color w:val="333333"/>
                <w:sz w:val="18"/>
              </w:rPr>
              <w:t>北汽蓝谷</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61BCDC62">
            <w:pPr>
              <w:jc w:val="center"/>
            </w:pPr>
            <w:r>
              <w:rPr>
                <w:rFonts w:ascii="宋体" w:hAnsi="宋体"/>
                <w:color w:val="333333"/>
                <w:sz w:val="18"/>
              </w:rPr>
              <w:t>24</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129C8189">
            <w:pPr>
              <w:jc w:val="center"/>
            </w:pPr>
            <w:r>
              <w:rPr>
                <w:rFonts w:ascii="宋体" w:hAnsi="宋体"/>
                <w:color w:val="333333"/>
                <w:sz w:val="18"/>
              </w:rPr>
              <w:t>-0.528</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DAE88CE">
            <w:pPr>
              <w:jc w:val="center"/>
            </w:pPr>
            <w:r>
              <w:rPr>
                <w:rFonts w:ascii="宋体" w:hAnsi="宋体"/>
                <w:color w:val="333333"/>
                <w:sz w:val="18"/>
              </w:rPr>
              <w:t>-0.208</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D72D2A7">
            <w:pPr>
              <w:jc w:val="center"/>
            </w:pPr>
            <w:r>
              <w:rPr>
                <w:rFonts w:ascii="宋体" w:hAnsi="宋体"/>
                <w:color w:val="333333"/>
                <w:sz w:val="18"/>
              </w:rPr>
              <w:t>0.382</w:t>
            </w:r>
          </w:p>
        </w:tc>
      </w:tr>
    </w:tbl>
    <w:p w14:paraId="705CF819"/>
    <w:p w14:paraId="1401D602">
      <w:pPr>
        <w:jc w:val="center"/>
      </w:pPr>
      <w:r>
        <w:drawing>
          <wp:inline distT="0" distB="0" distL="114300" distR="114300">
            <wp:extent cx="5039995" cy="3512185"/>
            <wp:effectExtent l="0" t="0" r="444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3512727"/>
                    </a:xfrm>
                    <a:prstGeom prst="rect">
                      <a:avLst/>
                    </a:prstGeom>
                  </pic:spPr>
                </pic:pic>
              </a:graphicData>
            </a:graphic>
          </wp:inline>
        </w:drawing>
      </w:r>
    </w:p>
    <w:p w14:paraId="6CF1539B">
      <w:pPr>
        <w:spacing w:after="120"/>
        <w:jc w:val="center"/>
      </w:pPr>
      <w:r>
        <w:rPr>
          <w:rFonts w:ascii="宋体" w:hAnsi="宋体"/>
          <w:sz w:val="18"/>
        </w:rPr>
        <w:t>图4  K-Means聚类PCA可视化</w:t>
      </w:r>
    </w:p>
    <w:p w14:paraId="0DB8B4C7">
      <w:pPr>
        <w:spacing w:after="40" w:line="360" w:lineRule="auto"/>
        <w:ind w:firstLine="420"/>
      </w:pPr>
      <w:r>
        <w:rPr>
          <w:rFonts w:ascii="宋体" w:hAnsi="宋体"/>
          <w:b w:val="0"/>
          <w:sz w:val="24"/>
        </w:rPr>
        <w:t>群1（3个季度）和群2（24个季度）均由北汽蓝谷极端季度构成——群1毛利率-107.5%、经营CF/营收-831.2%，为极端亏损和现金流恶化状态；群2权益乘数7.285为极高杠杆状态。群0包含全部8家企业287个季度，是行业常态区域。赛力斯和长安汽车均主要位于群0——仅从五维特征看，二者同属"正常"区间，差异不在统计聚类层面而在具体指标的波动模式和驱动力上。</w:t>
      </w:r>
    </w:p>
    <w:p w14:paraId="3B2B8EAE">
      <w:pPr>
        <w:spacing w:after="40" w:line="360" w:lineRule="auto"/>
        <w:ind w:firstLine="420"/>
      </w:pPr>
      <w:r>
        <w:rPr>
          <w:rFonts w:ascii="宋体" w:hAnsi="宋体"/>
          <w:b w:val="0"/>
          <w:sz w:val="24"/>
        </w:rPr>
        <w:t>孤立森林异常检测（图5）显示，北汽蓝谷异常率74%远超30%红色预警线。赛力斯异常率7%虽在正常范围但非零，长安汽车异常率0%。赛力斯7%的非零异常与其高增长高波动模式特征一致。长城汽车异常得分0.118，财务表现最为平稳。</w:t>
      </w:r>
    </w:p>
    <w:p w14:paraId="55F73145">
      <w:pPr>
        <w:jc w:val="center"/>
      </w:pPr>
      <w:r>
        <w:drawing>
          <wp:inline distT="0" distB="0" distL="114300" distR="114300">
            <wp:extent cx="4319905" cy="1857375"/>
            <wp:effectExtent l="0" t="0" r="825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320000" cy="1857673"/>
                    </a:xfrm>
                    <a:prstGeom prst="rect">
                      <a:avLst/>
                    </a:prstGeom>
                  </pic:spPr>
                </pic:pic>
              </a:graphicData>
            </a:graphic>
          </wp:inline>
        </w:drawing>
      </w:r>
    </w:p>
    <w:p w14:paraId="710AB6AC">
      <w:pPr>
        <w:spacing w:after="120"/>
        <w:jc w:val="center"/>
      </w:pPr>
      <w:r>
        <w:rPr>
          <w:rFonts w:ascii="宋体" w:hAnsi="宋体"/>
          <w:sz w:val="18"/>
        </w:rPr>
        <w:t>图5  孤立森林异常检测结果</w:t>
      </w:r>
    </w:p>
    <w:p w14:paraId="4C2302D0">
      <w:pPr>
        <w:spacing w:before="240" w:after="120"/>
        <w:outlineLvl w:val="1"/>
      </w:pPr>
      <w:r>
        <w:rPr>
          <w:rFonts w:ascii="黑体" w:hAnsi="黑体"/>
          <w:b/>
          <w:color w:val="000000"/>
          <w:sz w:val="28"/>
        </w:rPr>
        <w:t>（三）六种时序预测方法对比</w:t>
      </w:r>
    </w:p>
    <w:p w14:paraId="2281A7C6">
      <w:pPr>
        <w:spacing w:after="40" w:line="360" w:lineRule="auto"/>
        <w:ind w:firstLine="420"/>
      </w:pPr>
      <w:r>
        <w:rPr>
          <w:rFonts w:ascii="宋体" w:hAnsi="宋体"/>
          <w:b w:val="0"/>
          <w:sz w:val="24"/>
        </w:rPr>
        <w:t>图6-图9展示赛力斯和长安汽车在毛利率、资产负债率两个指标上六种方法的拟合与预测结果。综合排名（图10、表3）显示：线性回归因MAPE相对稳定综合排名第一；Ridge回归拟合R²（0.288）显著高于线性回归（0.096）。LSTM和三次指数平滑R²为负值，表明39个季度不足以训练神经网络或估计复杂季节性参数——在小样本财务预测中，正则化线性方法比深度学习方法更可靠。</w:t>
      </w:r>
    </w:p>
    <w:p w14:paraId="009DBF36">
      <w:pPr>
        <w:jc w:val="center"/>
      </w:pPr>
      <w:r>
        <w:drawing>
          <wp:inline distT="0" distB="0" distL="114300" distR="114300">
            <wp:extent cx="5399405" cy="2605405"/>
            <wp:effectExtent l="0" t="0" r="1079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00000" cy="2605772"/>
                    </a:xfrm>
                    <a:prstGeom prst="rect">
                      <a:avLst/>
                    </a:prstGeom>
                  </pic:spPr>
                </pic:pic>
              </a:graphicData>
            </a:graphic>
          </wp:inline>
        </w:drawing>
      </w:r>
    </w:p>
    <w:p w14:paraId="42890588">
      <w:pPr>
        <w:spacing w:after="120"/>
        <w:jc w:val="center"/>
      </w:pPr>
      <w:r>
        <w:rPr>
          <w:rFonts w:ascii="宋体" w:hAnsi="宋体"/>
          <w:sz w:val="18"/>
        </w:rPr>
        <w:t>图6  赛力斯毛利率六方法对比</w:t>
      </w:r>
    </w:p>
    <w:p w14:paraId="58962F92">
      <w:pPr>
        <w:jc w:val="center"/>
      </w:pPr>
      <w:r>
        <w:drawing>
          <wp:inline distT="0" distB="0" distL="114300" distR="114300">
            <wp:extent cx="5399405" cy="2605405"/>
            <wp:effectExtent l="0" t="0" r="1079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00000" cy="2605772"/>
                    </a:xfrm>
                    <a:prstGeom prst="rect">
                      <a:avLst/>
                    </a:prstGeom>
                  </pic:spPr>
                </pic:pic>
              </a:graphicData>
            </a:graphic>
          </wp:inline>
        </w:drawing>
      </w:r>
    </w:p>
    <w:p w14:paraId="32E0BF2E">
      <w:pPr>
        <w:spacing w:after="120"/>
        <w:jc w:val="center"/>
      </w:pPr>
      <w:r>
        <w:rPr>
          <w:rFonts w:ascii="宋体" w:hAnsi="宋体"/>
          <w:sz w:val="18"/>
        </w:rPr>
        <w:t>图7  赛力斯资产负债率六方法对比</w:t>
      </w:r>
    </w:p>
    <w:p w14:paraId="18EE2ECC">
      <w:pPr>
        <w:jc w:val="center"/>
      </w:pPr>
      <w:r>
        <w:drawing>
          <wp:inline distT="0" distB="0" distL="114300" distR="114300">
            <wp:extent cx="5399405" cy="2605405"/>
            <wp:effectExtent l="0" t="0" r="1079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00000" cy="2605772"/>
                    </a:xfrm>
                    <a:prstGeom prst="rect">
                      <a:avLst/>
                    </a:prstGeom>
                  </pic:spPr>
                </pic:pic>
              </a:graphicData>
            </a:graphic>
          </wp:inline>
        </w:drawing>
      </w:r>
    </w:p>
    <w:p w14:paraId="50ABB207">
      <w:pPr>
        <w:spacing w:after="120"/>
        <w:jc w:val="center"/>
      </w:pPr>
      <w:r>
        <w:rPr>
          <w:rFonts w:ascii="宋体" w:hAnsi="宋体"/>
          <w:sz w:val="18"/>
        </w:rPr>
        <w:t>图8  长安汽车毛利率六方法对比</w:t>
      </w:r>
    </w:p>
    <w:p w14:paraId="4FA82CC4">
      <w:pPr>
        <w:jc w:val="center"/>
      </w:pPr>
      <w:r>
        <w:drawing>
          <wp:inline distT="0" distB="0" distL="114300" distR="114300">
            <wp:extent cx="5399405" cy="2605405"/>
            <wp:effectExtent l="0" t="0" r="1079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00000" cy="2605772"/>
                    </a:xfrm>
                    <a:prstGeom prst="rect">
                      <a:avLst/>
                    </a:prstGeom>
                  </pic:spPr>
                </pic:pic>
              </a:graphicData>
            </a:graphic>
          </wp:inline>
        </w:drawing>
      </w:r>
    </w:p>
    <w:p w14:paraId="0E2E99AB">
      <w:pPr>
        <w:spacing w:after="120"/>
        <w:jc w:val="center"/>
      </w:pPr>
      <w:r>
        <w:rPr>
          <w:rFonts w:ascii="宋体" w:hAnsi="宋体"/>
          <w:sz w:val="18"/>
        </w:rPr>
        <w:t>图9  长安汽车资产负债率六方法对比</w:t>
      </w:r>
    </w:p>
    <w:p w14:paraId="2B6D9499">
      <w:pPr>
        <w:jc w:val="center"/>
      </w:pPr>
      <w:r>
        <w:drawing>
          <wp:inline distT="0" distB="0" distL="114300" distR="114300">
            <wp:extent cx="5399405" cy="1750695"/>
            <wp:effectExtent l="0" t="0" r="1079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400000" cy="1751259"/>
                    </a:xfrm>
                    <a:prstGeom prst="rect">
                      <a:avLst/>
                    </a:prstGeom>
                  </pic:spPr>
                </pic:pic>
              </a:graphicData>
            </a:graphic>
          </wp:inline>
        </w:drawing>
      </w:r>
    </w:p>
    <w:p w14:paraId="64036F57">
      <w:pPr>
        <w:spacing w:after="120"/>
        <w:jc w:val="center"/>
      </w:pPr>
      <w:r>
        <w:rPr>
          <w:rFonts w:ascii="宋体" w:hAnsi="宋体"/>
          <w:sz w:val="18"/>
        </w:rPr>
        <w:t>图10  六种方法综合性能对比</w:t>
      </w:r>
    </w:p>
    <w:p w14:paraId="42C3B9F0"/>
    <w:tbl>
      <w:tblPr>
        <w:tblStyle w:val="32"/>
        <w:tblW w:w="0" w:type="auto"/>
        <w:jc w:val="center"/>
        <w:tblLayout w:type="autofit"/>
        <w:tblCellMar>
          <w:top w:w="0" w:type="dxa"/>
          <w:left w:w="108" w:type="dxa"/>
          <w:bottom w:w="0" w:type="dxa"/>
          <w:right w:w="108" w:type="dxa"/>
        </w:tblCellMar>
      </w:tblPr>
      <w:tblGrid>
        <w:gridCol w:w="850"/>
        <w:gridCol w:w="1984"/>
        <w:gridCol w:w="1417"/>
        <w:gridCol w:w="1417"/>
        <w:gridCol w:w="1417"/>
      </w:tblGrid>
      <w:tr w14:paraId="53DFBCF7">
        <w:tblPrEx>
          <w:tblCellMar>
            <w:top w:w="0" w:type="dxa"/>
            <w:left w:w="108" w:type="dxa"/>
            <w:bottom w:w="0" w:type="dxa"/>
            <w:right w:w="108" w:type="dxa"/>
          </w:tblCellMar>
        </w:tblPrEx>
        <w:trPr>
          <w:jc w:val="center"/>
        </w:trPr>
        <w:tc>
          <w:tcPr>
            <w:tcW w:w="850" w:type="dxa"/>
            <w:tcBorders>
              <w:top w:val="single" w:color="2E75B6" w:sz="8" w:space="0"/>
              <w:left w:val="single" w:color="CCCCCC" w:sz="4" w:space="0"/>
              <w:bottom w:val="single" w:color="CCCCCC" w:sz="4" w:space="0"/>
              <w:right w:val="single" w:color="CCCCCC" w:sz="4" w:space="0"/>
            </w:tcBorders>
            <w:shd w:val="clear" w:color="auto" w:fill="D5E8F0"/>
          </w:tcPr>
          <w:p w14:paraId="2FF094D6">
            <w:pPr>
              <w:jc w:val="center"/>
            </w:pPr>
            <w:r>
              <w:rPr>
                <w:rFonts w:ascii="黑体" w:hAnsi="黑体"/>
                <w:b/>
                <w:color w:val="1A4789"/>
                <w:sz w:val="18"/>
              </w:rPr>
              <w:t>排名</w:t>
            </w:r>
          </w:p>
        </w:tc>
        <w:tc>
          <w:tcPr>
            <w:tcW w:w="1984" w:type="dxa"/>
            <w:tcBorders>
              <w:top w:val="single" w:color="2E75B6" w:sz="8" w:space="0"/>
              <w:left w:val="single" w:color="CCCCCC" w:sz="4" w:space="0"/>
              <w:bottom w:val="single" w:color="CCCCCC" w:sz="4" w:space="0"/>
              <w:right w:val="single" w:color="CCCCCC" w:sz="4" w:space="0"/>
            </w:tcBorders>
            <w:shd w:val="clear" w:color="auto" w:fill="D5E8F0"/>
          </w:tcPr>
          <w:p w14:paraId="7081D88F">
            <w:pPr>
              <w:jc w:val="center"/>
            </w:pPr>
            <w:r>
              <w:rPr>
                <w:rFonts w:ascii="黑体" w:hAnsi="黑体"/>
                <w:b/>
                <w:color w:val="1A4789"/>
                <w:sz w:val="18"/>
              </w:rPr>
              <w:t>方法</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4FE6535D">
            <w:pPr>
              <w:jc w:val="center"/>
            </w:pPr>
            <w:r>
              <w:rPr>
                <w:rFonts w:ascii="黑体" w:hAnsi="黑体"/>
                <w:b/>
                <w:color w:val="1A4789"/>
                <w:sz w:val="18"/>
              </w:rPr>
              <w:t>平均R²</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6B259C19">
            <w:pPr>
              <w:jc w:val="center"/>
            </w:pPr>
            <w:r>
              <w:rPr>
                <w:rFonts w:ascii="黑体" w:hAnsi="黑体"/>
                <w:b/>
                <w:color w:val="1A4789"/>
                <w:sz w:val="18"/>
              </w:rPr>
              <w:t>平均MAPE</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7504AB5E">
            <w:pPr>
              <w:jc w:val="center"/>
            </w:pPr>
            <w:r>
              <w:rPr>
                <w:rFonts w:ascii="黑体" w:hAnsi="黑体"/>
                <w:b/>
                <w:color w:val="1A4789"/>
                <w:sz w:val="18"/>
              </w:rPr>
              <w:t>平均σ</w:t>
            </w:r>
          </w:p>
        </w:tc>
      </w:tr>
      <w:tr w14:paraId="797DE8B3">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3DDFE10B">
            <w:pPr>
              <w:jc w:val="left"/>
            </w:pPr>
            <w:r>
              <w:rPr>
                <w:rFonts w:ascii="宋体" w:hAnsi="宋体"/>
                <w:color w:val="333333"/>
                <w:sz w:val="18"/>
              </w:rPr>
              <w:t>1</w:t>
            </w:r>
          </w:p>
        </w:tc>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3012DE29">
            <w:pPr>
              <w:jc w:val="center"/>
            </w:pPr>
            <w:r>
              <w:rPr>
                <w:rFonts w:ascii="宋体" w:hAnsi="宋体"/>
                <w:color w:val="333333"/>
                <w:sz w:val="18"/>
              </w:rPr>
              <w:t>线性回归</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94A6463">
            <w:pPr>
              <w:jc w:val="center"/>
            </w:pPr>
            <w:r>
              <w:rPr>
                <w:rFonts w:ascii="宋体" w:hAnsi="宋体"/>
                <w:color w:val="333333"/>
                <w:sz w:val="18"/>
              </w:rPr>
              <w:t>0.096</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09BD13C">
            <w:pPr>
              <w:jc w:val="center"/>
            </w:pPr>
            <w:r>
              <w:rPr>
                <w:rFonts w:ascii="宋体" w:hAnsi="宋体"/>
                <w:color w:val="333333"/>
                <w:sz w:val="18"/>
              </w:rPr>
              <w:t>236.3%</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8BEF38E">
            <w:pPr>
              <w:jc w:val="center"/>
            </w:pPr>
            <w:r>
              <w:rPr>
                <w:rFonts w:ascii="宋体" w:hAnsi="宋体"/>
                <w:color w:val="333333"/>
                <w:sz w:val="18"/>
              </w:rPr>
              <w:t>0.056</w:t>
            </w:r>
          </w:p>
        </w:tc>
      </w:tr>
      <w:tr w14:paraId="47F89D79">
        <w:tblPrEx>
          <w:tblCellMar>
            <w:top w:w="0" w:type="dxa"/>
            <w:left w:w="108" w:type="dxa"/>
            <w:bottom w:w="0" w:type="dxa"/>
            <w:right w:w="108" w:type="dxa"/>
          </w:tblCellMar>
        </w:tblPrEx>
        <w:trPr>
          <w:jc w:val="center"/>
        </w:trPr>
        <w:tc>
          <w:tcPr>
            <w:tcW w:w="850" w:type="dxa"/>
          </w:tcPr>
          <w:p w14:paraId="24529025">
            <w:pPr>
              <w:jc w:val="left"/>
            </w:pPr>
            <w:r>
              <w:rPr>
                <w:rFonts w:ascii="宋体" w:hAnsi="宋体"/>
                <w:color w:val="333333"/>
                <w:sz w:val="18"/>
              </w:rPr>
              <w:t>2</w:t>
            </w:r>
          </w:p>
        </w:tc>
        <w:tc>
          <w:tcPr>
            <w:tcW w:w="1984" w:type="dxa"/>
          </w:tcPr>
          <w:p w14:paraId="746106B7">
            <w:pPr>
              <w:jc w:val="center"/>
            </w:pPr>
            <w:r>
              <w:rPr>
                <w:rFonts w:ascii="宋体" w:hAnsi="宋体"/>
                <w:color w:val="333333"/>
                <w:sz w:val="18"/>
              </w:rPr>
              <w:t>Ridge回归</w:t>
            </w:r>
          </w:p>
        </w:tc>
        <w:tc>
          <w:tcPr>
            <w:tcW w:w="1417" w:type="dxa"/>
          </w:tcPr>
          <w:p w14:paraId="71C65D71">
            <w:pPr>
              <w:jc w:val="center"/>
            </w:pPr>
            <w:r>
              <w:rPr>
                <w:rFonts w:ascii="宋体" w:hAnsi="宋体"/>
                <w:color w:val="333333"/>
                <w:sz w:val="18"/>
              </w:rPr>
              <w:t>0.288</w:t>
            </w:r>
          </w:p>
        </w:tc>
        <w:tc>
          <w:tcPr>
            <w:tcW w:w="1417" w:type="dxa"/>
          </w:tcPr>
          <w:p w14:paraId="1393AD4B">
            <w:pPr>
              <w:jc w:val="center"/>
            </w:pPr>
            <w:r>
              <w:rPr>
                <w:rFonts w:ascii="宋体" w:hAnsi="宋体"/>
                <w:color w:val="333333"/>
                <w:sz w:val="18"/>
              </w:rPr>
              <w:t>237.8%</w:t>
            </w:r>
          </w:p>
        </w:tc>
        <w:tc>
          <w:tcPr>
            <w:tcW w:w="1417" w:type="dxa"/>
          </w:tcPr>
          <w:p w14:paraId="12333F94">
            <w:pPr>
              <w:jc w:val="center"/>
            </w:pPr>
            <w:r>
              <w:rPr>
                <w:rFonts w:ascii="宋体" w:hAnsi="宋体"/>
                <w:color w:val="333333"/>
                <w:sz w:val="18"/>
              </w:rPr>
              <w:t>0.046</w:t>
            </w:r>
          </w:p>
        </w:tc>
      </w:tr>
      <w:tr w14:paraId="3DD1C58A">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74534B12">
            <w:pPr>
              <w:jc w:val="left"/>
            </w:pPr>
            <w:r>
              <w:rPr>
                <w:rFonts w:ascii="宋体" w:hAnsi="宋体"/>
                <w:color w:val="333333"/>
                <w:sz w:val="18"/>
              </w:rPr>
              <w:t>3</w:t>
            </w:r>
          </w:p>
        </w:tc>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0429D8AB">
            <w:pPr>
              <w:jc w:val="center"/>
            </w:pPr>
            <w:r>
              <w:rPr>
                <w:rFonts w:ascii="宋体" w:hAnsi="宋体"/>
                <w:color w:val="333333"/>
                <w:sz w:val="18"/>
              </w:rPr>
              <w:t>ARIMA</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18E5132">
            <w:pPr>
              <w:jc w:val="center"/>
            </w:pPr>
            <w:r>
              <w:rPr>
                <w:rFonts w:ascii="宋体" w:hAnsi="宋体"/>
                <w:color w:val="333333"/>
                <w:sz w:val="18"/>
              </w:rPr>
              <w:t>-2.393</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D9C6A2C">
            <w:pPr>
              <w:jc w:val="center"/>
            </w:pPr>
            <w:r>
              <w:rPr>
                <w:rFonts w:ascii="宋体" w:hAnsi="宋体"/>
                <w:color w:val="333333"/>
                <w:sz w:val="18"/>
              </w:rPr>
              <w:t>97.5%</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1A355C2">
            <w:pPr>
              <w:jc w:val="center"/>
            </w:pPr>
            <w:r>
              <w:rPr>
                <w:rFonts w:ascii="宋体" w:hAnsi="宋体"/>
                <w:color w:val="333333"/>
                <w:sz w:val="18"/>
              </w:rPr>
              <w:t>0.081</w:t>
            </w:r>
          </w:p>
        </w:tc>
      </w:tr>
      <w:tr w14:paraId="26D410CD">
        <w:tblPrEx>
          <w:tblCellMar>
            <w:top w:w="0" w:type="dxa"/>
            <w:left w:w="108" w:type="dxa"/>
            <w:bottom w:w="0" w:type="dxa"/>
            <w:right w:w="108" w:type="dxa"/>
          </w:tblCellMar>
        </w:tblPrEx>
        <w:trPr>
          <w:jc w:val="center"/>
        </w:trPr>
        <w:tc>
          <w:tcPr>
            <w:tcW w:w="850" w:type="dxa"/>
          </w:tcPr>
          <w:p w14:paraId="01E450BF">
            <w:pPr>
              <w:jc w:val="left"/>
            </w:pPr>
            <w:r>
              <w:rPr>
                <w:rFonts w:ascii="宋体" w:hAnsi="宋体"/>
                <w:color w:val="333333"/>
                <w:sz w:val="18"/>
              </w:rPr>
              <w:t>4</w:t>
            </w:r>
          </w:p>
        </w:tc>
        <w:tc>
          <w:tcPr>
            <w:tcW w:w="1984" w:type="dxa"/>
          </w:tcPr>
          <w:p w14:paraId="46A2E560">
            <w:pPr>
              <w:jc w:val="center"/>
            </w:pPr>
            <w:r>
              <w:rPr>
                <w:rFonts w:ascii="宋体" w:hAnsi="宋体"/>
                <w:color w:val="333333"/>
                <w:sz w:val="18"/>
              </w:rPr>
              <w:t>Prophet</w:t>
            </w:r>
          </w:p>
        </w:tc>
        <w:tc>
          <w:tcPr>
            <w:tcW w:w="1417" w:type="dxa"/>
          </w:tcPr>
          <w:p w14:paraId="6A4B75D2">
            <w:pPr>
              <w:jc w:val="center"/>
            </w:pPr>
            <w:r>
              <w:rPr>
                <w:rFonts w:ascii="宋体" w:hAnsi="宋体"/>
                <w:color w:val="333333"/>
                <w:sz w:val="18"/>
              </w:rPr>
              <w:t>-0.016</w:t>
            </w:r>
          </w:p>
        </w:tc>
        <w:tc>
          <w:tcPr>
            <w:tcW w:w="1417" w:type="dxa"/>
          </w:tcPr>
          <w:p w14:paraId="1168497A">
            <w:pPr>
              <w:jc w:val="center"/>
            </w:pPr>
            <w:r>
              <w:rPr>
                <w:rFonts w:ascii="宋体" w:hAnsi="宋体"/>
                <w:color w:val="333333"/>
                <w:sz w:val="18"/>
              </w:rPr>
              <w:t>236.5%</w:t>
            </w:r>
          </w:p>
        </w:tc>
        <w:tc>
          <w:tcPr>
            <w:tcW w:w="1417" w:type="dxa"/>
          </w:tcPr>
          <w:p w14:paraId="45787C0A">
            <w:pPr>
              <w:jc w:val="center"/>
            </w:pPr>
            <w:r>
              <w:rPr>
                <w:rFonts w:ascii="宋体" w:hAnsi="宋体"/>
                <w:color w:val="333333"/>
                <w:sz w:val="18"/>
              </w:rPr>
              <w:t>0.058</w:t>
            </w:r>
          </w:p>
        </w:tc>
      </w:tr>
      <w:tr w14:paraId="5D1910F8">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69E0F40D">
            <w:pPr>
              <w:jc w:val="left"/>
            </w:pPr>
            <w:r>
              <w:rPr>
                <w:rFonts w:ascii="宋体" w:hAnsi="宋体"/>
                <w:color w:val="333333"/>
                <w:sz w:val="18"/>
              </w:rPr>
              <w:t>5</w:t>
            </w:r>
          </w:p>
        </w:tc>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1476C7B7">
            <w:pPr>
              <w:jc w:val="center"/>
            </w:pPr>
            <w:r>
              <w:rPr>
                <w:rFonts w:ascii="宋体" w:hAnsi="宋体"/>
                <w:color w:val="333333"/>
                <w:sz w:val="18"/>
              </w:rPr>
              <w:t>LSTM</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AE7139F">
            <w:pPr>
              <w:jc w:val="center"/>
            </w:pPr>
            <w:r>
              <w:rPr>
                <w:rFonts w:ascii="宋体" w:hAnsi="宋体"/>
                <w:color w:val="333333"/>
                <w:sz w:val="18"/>
              </w:rPr>
              <w:t>-392.46</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0E1C2DE">
            <w:pPr>
              <w:jc w:val="center"/>
            </w:pPr>
            <w:r>
              <w:rPr>
                <w:rFonts w:ascii="宋体" w:hAnsi="宋体"/>
                <w:color w:val="333333"/>
                <w:sz w:val="18"/>
              </w:rPr>
              <w:t>1339.9%</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8DA10EB">
            <w:pPr>
              <w:jc w:val="center"/>
            </w:pPr>
            <w:r>
              <w:rPr>
                <w:rFonts w:ascii="宋体" w:hAnsi="宋体"/>
                <w:color w:val="333333"/>
                <w:sz w:val="18"/>
              </w:rPr>
              <w:t>0.037</w:t>
            </w:r>
          </w:p>
        </w:tc>
      </w:tr>
      <w:tr w14:paraId="7A387C20">
        <w:tblPrEx>
          <w:tblCellMar>
            <w:top w:w="0" w:type="dxa"/>
            <w:left w:w="108" w:type="dxa"/>
            <w:bottom w:w="0" w:type="dxa"/>
            <w:right w:w="108" w:type="dxa"/>
          </w:tblCellMar>
        </w:tblPrEx>
        <w:trPr>
          <w:jc w:val="center"/>
        </w:trPr>
        <w:tc>
          <w:tcPr>
            <w:tcW w:w="850" w:type="dxa"/>
          </w:tcPr>
          <w:p w14:paraId="413CCEC2">
            <w:pPr>
              <w:jc w:val="left"/>
            </w:pPr>
            <w:r>
              <w:rPr>
                <w:rFonts w:ascii="宋体" w:hAnsi="宋体"/>
                <w:color w:val="333333"/>
                <w:sz w:val="18"/>
              </w:rPr>
              <w:t>6</w:t>
            </w:r>
          </w:p>
        </w:tc>
        <w:tc>
          <w:tcPr>
            <w:tcW w:w="1984" w:type="dxa"/>
          </w:tcPr>
          <w:p w14:paraId="20D09831">
            <w:pPr>
              <w:jc w:val="center"/>
            </w:pPr>
            <w:r>
              <w:rPr>
                <w:rFonts w:ascii="宋体" w:hAnsi="宋体"/>
                <w:color w:val="333333"/>
                <w:sz w:val="18"/>
              </w:rPr>
              <w:t>三次指数平滑</w:t>
            </w:r>
          </w:p>
        </w:tc>
        <w:tc>
          <w:tcPr>
            <w:tcW w:w="1417" w:type="dxa"/>
          </w:tcPr>
          <w:p w14:paraId="09439005">
            <w:pPr>
              <w:jc w:val="center"/>
            </w:pPr>
            <w:r>
              <w:rPr>
                <w:rFonts w:ascii="宋体" w:hAnsi="宋体"/>
                <w:color w:val="333333"/>
                <w:sz w:val="18"/>
              </w:rPr>
              <w:t>-338.12</w:t>
            </w:r>
          </w:p>
        </w:tc>
        <w:tc>
          <w:tcPr>
            <w:tcW w:w="1417" w:type="dxa"/>
          </w:tcPr>
          <w:p w14:paraId="24E0CDC6">
            <w:pPr>
              <w:jc w:val="center"/>
            </w:pPr>
            <w:r>
              <w:rPr>
                <w:rFonts w:ascii="宋体" w:hAnsi="宋体"/>
                <w:color w:val="333333"/>
                <w:sz w:val="18"/>
              </w:rPr>
              <w:t>2631.9%</w:t>
            </w:r>
          </w:p>
        </w:tc>
        <w:tc>
          <w:tcPr>
            <w:tcW w:w="1417" w:type="dxa"/>
          </w:tcPr>
          <w:p w14:paraId="4524AEBA">
            <w:pPr>
              <w:jc w:val="center"/>
            </w:pPr>
            <w:r>
              <w:rPr>
                <w:rFonts w:ascii="宋体" w:hAnsi="宋体"/>
                <w:color w:val="333333"/>
                <w:sz w:val="18"/>
              </w:rPr>
              <w:t>0.696</w:t>
            </w:r>
          </w:p>
        </w:tc>
      </w:tr>
    </w:tbl>
    <w:p w14:paraId="433852D5">
      <w:pPr>
        <w:spacing w:after="80"/>
      </w:pPr>
    </w:p>
    <w:p w14:paraId="4F054233"/>
    <w:p w14:paraId="101D373C">
      <w:pPr>
        <w:spacing w:after="40" w:line="360" w:lineRule="auto"/>
        <w:ind w:firstLine="420"/>
      </w:pPr>
      <w:r>
        <w:rPr>
          <w:rFonts w:ascii="宋体" w:hAnsi="宋体"/>
          <w:b w:val="0"/>
          <w:sz w:val="24"/>
        </w:rPr>
        <w:t>2026年第一季度回测验证（表4）：资产负债率MAPE在2.4%-19.2%之间，预测效果可接受。毛利率MAPE高达2176%-4480%，因实际值接近零时相对误差被不合理放大——当实际毛利率为-0.46%时，任何非零预测值都会产生极端MAPE。</w:t>
      </w:r>
    </w:p>
    <w:tbl>
      <w:tblPr>
        <w:tblStyle w:val="32"/>
        <w:tblW w:w="0" w:type="auto"/>
        <w:jc w:val="center"/>
        <w:tblLayout w:type="autofit"/>
        <w:tblCellMar>
          <w:top w:w="0" w:type="dxa"/>
          <w:left w:w="108" w:type="dxa"/>
          <w:bottom w:w="0" w:type="dxa"/>
          <w:right w:w="108" w:type="dxa"/>
        </w:tblCellMar>
      </w:tblPr>
      <w:tblGrid>
        <w:gridCol w:w="1134"/>
        <w:gridCol w:w="1417"/>
        <w:gridCol w:w="1134"/>
        <w:gridCol w:w="1134"/>
        <w:gridCol w:w="1134"/>
        <w:gridCol w:w="1417"/>
      </w:tblGrid>
      <w:tr w14:paraId="6C63DB79">
        <w:tblPrEx>
          <w:tblCellMar>
            <w:top w:w="0" w:type="dxa"/>
            <w:left w:w="108" w:type="dxa"/>
            <w:bottom w:w="0" w:type="dxa"/>
            <w:right w:w="108" w:type="dxa"/>
          </w:tblCellMar>
        </w:tblPrEx>
        <w:trPr>
          <w:jc w:val="center"/>
        </w:trPr>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08E4625A">
            <w:pPr>
              <w:jc w:val="center"/>
            </w:pPr>
            <w:r>
              <w:rPr>
                <w:rFonts w:ascii="黑体" w:hAnsi="黑体"/>
                <w:b/>
                <w:color w:val="1A4789"/>
                <w:sz w:val="18"/>
              </w:rPr>
              <w:t>企业</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4490CAE2">
            <w:pPr>
              <w:jc w:val="center"/>
            </w:pPr>
            <w:r>
              <w:rPr>
                <w:rFonts w:ascii="黑体" w:hAnsi="黑体"/>
                <w:b/>
                <w:color w:val="1A4789"/>
                <w:sz w:val="18"/>
              </w:rPr>
              <w:t>指标</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26041301">
            <w:pPr>
              <w:jc w:val="center"/>
            </w:pPr>
            <w:r>
              <w:rPr>
                <w:rFonts w:ascii="黑体" w:hAnsi="黑体"/>
                <w:b/>
                <w:color w:val="1A4789"/>
                <w:sz w:val="18"/>
              </w:rPr>
              <w:t>实际值</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6E4DFDD4">
            <w:pPr>
              <w:jc w:val="center"/>
            </w:pPr>
            <w:r>
              <w:rPr>
                <w:rFonts w:ascii="黑体" w:hAnsi="黑体"/>
                <w:b/>
                <w:color w:val="1A4789"/>
                <w:sz w:val="18"/>
              </w:rPr>
              <w:t>预测值</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230DDA12">
            <w:pPr>
              <w:jc w:val="center"/>
            </w:pPr>
            <w:r>
              <w:rPr>
                <w:rFonts w:ascii="黑体" w:hAnsi="黑体"/>
                <w:b/>
                <w:color w:val="1A4789"/>
                <w:sz w:val="18"/>
              </w:rPr>
              <w:t>MAPE</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0D349DD8">
            <w:pPr>
              <w:jc w:val="center"/>
            </w:pPr>
            <w:r>
              <w:rPr>
                <w:rFonts w:ascii="黑体" w:hAnsi="黑体"/>
                <w:b/>
                <w:color w:val="1A4789"/>
                <w:sz w:val="18"/>
              </w:rPr>
              <w:t>评估</w:t>
            </w:r>
          </w:p>
        </w:tc>
      </w:tr>
      <w:tr w14:paraId="1ED5DFB4">
        <w:tblPrEx>
          <w:tblCellMar>
            <w:top w:w="0" w:type="dxa"/>
            <w:left w:w="108" w:type="dxa"/>
            <w:bottom w:w="0" w:type="dxa"/>
            <w:right w:w="108" w:type="dxa"/>
          </w:tblCellMar>
        </w:tblPrEx>
        <w:trPr>
          <w:jc w:val="center"/>
        </w:trPr>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00D014ED">
            <w:pPr>
              <w:jc w:val="left"/>
            </w:pPr>
            <w:r>
              <w:rPr>
                <w:rFonts w:ascii="宋体" w:hAnsi="宋体"/>
                <w:color w:val="333333"/>
                <w:sz w:val="18"/>
              </w:rPr>
              <w:t>赛力斯</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F17F932">
            <w:pPr>
              <w:jc w:val="center"/>
            </w:pPr>
            <w:r>
              <w:rPr>
                <w:rFonts w:ascii="宋体" w:hAnsi="宋体"/>
                <w:color w:val="333333"/>
                <w:sz w:val="18"/>
              </w:rPr>
              <w:t>毛利率</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A849CFD">
            <w:pPr>
              <w:jc w:val="center"/>
            </w:pPr>
            <w:r>
              <w:rPr>
                <w:rFonts w:ascii="宋体" w:hAnsi="宋体"/>
                <w:color w:val="333333"/>
                <w:sz w:val="18"/>
              </w:rPr>
              <w:t>-0.0046</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97FBC08">
            <w:pPr>
              <w:jc w:val="center"/>
            </w:pPr>
            <w:r>
              <w:rPr>
                <w:rFonts w:ascii="宋体" w:hAnsi="宋体"/>
                <w:color w:val="333333"/>
                <w:sz w:val="18"/>
              </w:rPr>
              <w:t>-0.1047</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5F6C7204">
            <w:pPr>
              <w:jc w:val="center"/>
            </w:pPr>
            <w:r>
              <w:rPr>
                <w:rFonts w:ascii="宋体" w:hAnsi="宋体"/>
                <w:color w:val="333333"/>
                <w:sz w:val="18"/>
              </w:rPr>
              <w:t>2176.3%</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7FDAD28">
            <w:pPr>
              <w:jc w:val="center"/>
            </w:pPr>
            <w:r>
              <w:rPr>
                <w:rFonts w:ascii="宋体" w:hAnsi="宋体"/>
                <w:color w:val="333333"/>
                <w:sz w:val="18"/>
              </w:rPr>
              <w:t>偏差大</w:t>
            </w:r>
          </w:p>
        </w:tc>
      </w:tr>
      <w:tr w14:paraId="0EA8E380">
        <w:tblPrEx>
          <w:tblCellMar>
            <w:top w:w="0" w:type="dxa"/>
            <w:left w:w="108" w:type="dxa"/>
            <w:bottom w:w="0" w:type="dxa"/>
            <w:right w:w="108" w:type="dxa"/>
          </w:tblCellMar>
        </w:tblPrEx>
        <w:trPr>
          <w:jc w:val="center"/>
        </w:trPr>
        <w:tc>
          <w:tcPr>
            <w:tcW w:w="1134" w:type="dxa"/>
          </w:tcPr>
          <w:p w14:paraId="35B41B19">
            <w:pPr>
              <w:jc w:val="left"/>
            </w:pPr>
            <w:r>
              <w:rPr>
                <w:rFonts w:ascii="宋体" w:hAnsi="宋体"/>
                <w:color w:val="333333"/>
                <w:sz w:val="18"/>
              </w:rPr>
              <w:t>赛力斯</w:t>
            </w:r>
          </w:p>
        </w:tc>
        <w:tc>
          <w:tcPr>
            <w:tcW w:w="1417" w:type="dxa"/>
          </w:tcPr>
          <w:p w14:paraId="33B2AEB3">
            <w:pPr>
              <w:jc w:val="center"/>
            </w:pPr>
            <w:r>
              <w:rPr>
                <w:rFonts w:ascii="宋体" w:hAnsi="宋体"/>
                <w:color w:val="333333"/>
                <w:sz w:val="18"/>
              </w:rPr>
              <w:t>资产负债率</w:t>
            </w:r>
          </w:p>
        </w:tc>
        <w:tc>
          <w:tcPr>
            <w:tcW w:w="1134" w:type="dxa"/>
          </w:tcPr>
          <w:p w14:paraId="7D9D749C">
            <w:pPr>
              <w:jc w:val="center"/>
            </w:pPr>
            <w:r>
              <w:rPr>
                <w:rFonts w:ascii="宋体" w:hAnsi="宋体"/>
                <w:color w:val="333333"/>
                <w:sz w:val="18"/>
              </w:rPr>
              <w:t>0.6592</w:t>
            </w:r>
          </w:p>
        </w:tc>
        <w:tc>
          <w:tcPr>
            <w:tcW w:w="1134" w:type="dxa"/>
          </w:tcPr>
          <w:p w14:paraId="4C1CDC5E">
            <w:pPr>
              <w:jc w:val="center"/>
            </w:pPr>
            <w:r>
              <w:rPr>
                <w:rFonts w:ascii="宋体" w:hAnsi="宋体"/>
                <w:color w:val="333333"/>
                <w:sz w:val="18"/>
              </w:rPr>
              <w:t>0.7860</w:t>
            </w:r>
          </w:p>
        </w:tc>
        <w:tc>
          <w:tcPr>
            <w:tcW w:w="1134" w:type="dxa"/>
          </w:tcPr>
          <w:p w14:paraId="05305B77">
            <w:pPr>
              <w:jc w:val="center"/>
            </w:pPr>
            <w:r>
              <w:rPr>
                <w:rFonts w:ascii="宋体" w:hAnsi="宋体"/>
                <w:color w:val="333333"/>
                <w:sz w:val="18"/>
              </w:rPr>
              <w:t>19.2%</w:t>
            </w:r>
          </w:p>
        </w:tc>
        <w:tc>
          <w:tcPr>
            <w:tcW w:w="1417" w:type="dxa"/>
          </w:tcPr>
          <w:p w14:paraId="1CF764F7">
            <w:pPr>
              <w:jc w:val="center"/>
            </w:pPr>
            <w:r>
              <w:rPr>
                <w:rFonts w:ascii="宋体" w:hAnsi="宋体"/>
                <w:color w:val="333333"/>
                <w:sz w:val="18"/>
              </w:rPr>
              <w:t>可接受</w:t>
            </w:r>
          </w:p>
        </w:tc>
      </w:tr>
      <w:tr w14:paraId="37A2144F">
        <w:tblPrEx>
          <w:tblCellMar>
            <w:top w:w="0" w:type="dxa"/>
            <w:left w:w="108" w:type="dxa"/>
            <w:bottom w:w="0" w:type="dxa"/>
            <w:right w:w="108" w:type="dxa"/>
          </w:tblCellMar>
        </w:tblPrEx>
        <w:trPr>
          <w:jc w:val="center"/>
        </w:trPr>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515CE6CC">
            <w:pPr>
              <w:jc w:val="left"/>
            </w:pPr>
            <w:r>
              <w:rPr>
                <w:rFonts w:ascii="宋体" w:hAnsi="宋体"/>
                <w:color w:val="333333"/>
                <w:sz w:val="18"/>
              </w:rPr>
              <w:t>长安汽车</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F9280E5">
            <w:pPr>
              <w:jc w:val="center"/>
            </w:pPr>
            <w:r>
              <w:rPr>
                <w:rFonts w:ascii="宋体" w:hAnsi="宋体"/>
                <w:color w:val="333333"/>
                <w:sz w:val="18"/>
              </w:rPr>
              <w:t>毛利率</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303060FE">
            <w:pPr>
              <w:jc w:val="center"/>
            </w:pPr>
            <w:r>
              <w:rPr>
                <w:rFonts w:ascii="宋体" w:hAnsi="宋体"/>
                <w:color w:val="333333"/>
                <w:sz w:val="18"/>
              </w:rPr>
              <w:t>-0.0006</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64C42C36">
            <w:pPr>
              <w:jc w:val="center"/>
            </w:pPr>
            <w:r>
              <w:rPr>
                <w:rFonts w:ascii="宋体" w:hAnsi="宋体"/>
                <w:color w:val="333333"/>
                <w:sz w:val="18"/>
              </w:rPr>
              <w:t>0.0248</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DD264D4">
            <w:pPr>
              <w:jc w:val="center"/>
            </w:pPr>
            <w:r>
              <w:rPr>
                <w:rFonts w:ascii="宋体" w:hAnsi="宋体"/>
                <w:color w:val="333333"/>
                <w:sz w:val="18"/>
              </w:rPr>
              <w:t>4480.2%</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72D6D30D">
            <w:pPr>
              <w:jc w:val="center"/>
            </w:pPr>
            <w:r>
              <w:rPr>
                <w:rFonts w:ascii="宋体" w:hAnsi="宋体"/>
                <w:color w:val="333333"/>
                <w:sz w:val="18"/>
              </w:rPr>
              <w:t>偏差大</w:t>
            </w:r>
          </w:p>
        </w:tc>
      </w:tr>
      <w:tr w14:paraId="50D8B578">
        <w:tblPrEx>
          <w:tblCellMar>
            <w:top w:w="0" w:type="dxa"/>
            <w:left w:w="108" w:type="dxa"/>
            <w:bottom w:w="0" w:type="dxa"/>
            <w:right w:w="108" w:type="dxa"/>
          </w:tblCellMar>
        </w:tblPrEx>
        <w:trPr>
          <w:jc w:val="center"/>
        </w:trPr>
        <w:tc>
          <w:tcPr>
            <w:tcW w:w="1134" w:type="dxa"/>
          </w:tcPr>
          <w:p w14:paraId="78C65A0F">
            <w:pPr>
              <w:jc w:val="left"/>
            </w:pPr>
            <w:r>
              <w:rPr>
                <w:rFonts w:ascii="宋体" w:hAnsi="宋体"/>
                <w:color w:val="333333"/>
                <w:sz w:val="18"/>
              </w:rPr>
              <w:t>长安汽车</w:t>
            </w:r>
          </w:p>
        </w:tc>
        <w:tc>
          <w:tcPr>
            <w:tcW w:w="1417" w:type="dxa"/>
          </w:tcPr>
          <w:p w14:paraId="61A9E27E">
            <w:pPr>
              <w:jc w:val="center"/>
            </w:pPr>
            <w:r>
              <w:rPr>
                <w:rFonts w:ascii="宋体" w:hAnsi="宋体"/>
                <w:color w:val="333333"/>
                <w:sz w:val="18"/>
              </w:rPr>
              <w:t>资产负债率</w:t>
            </w:r>
          </w:p>
        </w:tc>
        <w:tc>
          <w:tcPr>
            <w:tcW w:w="1134" w:type="dxa"/>
          </w:tcPr>
          <w:p w14:paraId="2777EB00">
            <w:pPr>
              <w:jc w:val="center"/>
            </w:pPr>
            <w:r>
              <w:rPr>
                <w:rFonts w:ascii="宋体" w:hAnsi="宋体"/>
                <w:color w:val="333333"/>
                <w:sz w:val="18"/>
              </w:rPr>
              <w:t>0.5715</w:t>
            </w:r>
          </w:p>
        </w:tc>
        <w:tc>
          <w:tcPr>
            <w:tcW w:w="1134" w:type="dxa"/>
          </w:tcPr>
          <w:p w14:paraId="30C06020">
            <w:pPr>
              <w:jc w:val="center"/>
            </w:pPr>
            <w:r>
              <w:rPr>
                <w:rFonts w:ascii="宋体" w:hAnsi="宋体"/>
                <w:color w:val="333333"/>
                <w:sz w:val="18"/>
              </w:rPr>
              <w:t>0.5853</w:t>
            </w:r>
          </w:p>
        </w:tc>
        <w:tc>
          <w:tcPr>
            <w:tcW w:w="1134" w:type="dxa"/>
          </w:tcPr>
          <w:p w14:paraId="47260746">
            <w:pPr>
              <w:jc w:val="center"/>
            </w:pPr>
            <w:r>
              <w:rPr>
                <w:rFonts w:ascii="宋体" w:hAnsi="宋体"/>
                <w:color w:val="333333"/>
                <w:sz w:val="18"/>
              </w:rPr>
              <w:t>2.4%</w:t>
            </w:r>
          </w:p>
        </w:tc>
        <w:tc>
          <w:tcPr>
            <w:tcW w:w="1417" w:type="dxa"/>
          </w:tcPr>
          <w:p w14:paraId="1210DA73">
            <w:pPr>
              <w:jc w:val="center"/>
            </w:pPr>
            <w:r>
              <w:rPr>
                <w:rFonts w:ascii="宋体" w:hAnsi="宋体"/>
                <w:color w:val="333333"/>
                <w:sz w:val="18"/>
              </w:rPr>
              <w:t>好</w:t>
            </w:r>
          </w:p>
        </w:tc>
      </w:tr>
    </w:tbl>
    <w:p w14:paraId="6DA299EC">
      <w:pPr>
        <w:spacing w:after="80"/>
      </w:pPr>
    </w:p>
    <w:p w14:paraId="4795B333">
      <w:pPr>
        <w:spacing w:before="240" w:after="120"/>
        <w:outlineLvl w:val="1"/>
      </w:pPr>
      <w:r>
        <w:rPr>
          <w:rFonts w:ascii="黑体" w:hAnsi="黑体"/>
          <w:b/>
          <w:color w:val="000000"/>
          <w:sz w:val="28"/>
        </w:rPr>
        <w:t>（四）杜邦分析</w:t>
      </w:r>
    </w:p>
    <w:p w14:paraId="2712ECD4">
      <w:pPr>
        <w:spacing w:after="40" w:line="360" w:lineRule="auto"/>
        <w:ind w:firstLine="420"/>
      </w:pPr>
      <w:r>
        <w:rPr>
          <w:rFonts w:ascii="宋体" w:hAnsi="宋体"/>
          <w:b w:val="0"/>
          <w:sz w:val="24"/>
        </w:rPr>
        <w:t>表5报告了赛力斯和长安汽车ROE因素的连环替代分解结果。</w:t>
      </w:r>
    </w:p>
    <w:tbl>
      <w:tblPr>
        <w:tblStyle w:val="32"/>
        <w:tblW w:w="0" w:type="auto"/>
        <w:jc w:val="center"/>
        <w:tblLayout w:type="autofit"/>
        <w:tblCellMar>
          <w:top w:w="0" w:type="dxa"/>
          <w:left w:w="108" w:type="dxa"/>
          <w:bottom w:w="0" w:type="dxa"/>
          <w:right w:w="108" w:type="dxa"/>
        </w:tblCellMar>
      </w:tblPr>
      <w:tblGrid>
        <w:gridCol w:w="1701"/>
        <w:gridCol w:w="1417"/>
        <w:gridCol w:w="1417"/>
        <w:gridCol w:w="1417"/>
        <w:gridCol w:w="1417"/>
      </w:tblGrid>
      <w:tr w14:paraId="1D2B2B20">
        <w:tblPrEx>
          <w:tblCellMar>
            <w:top w:w="0" w:type="dxa"/>
            <w:left w:w="108" w:type="dxa"/>
            <w:bottom w:w="0" w:type="dxa"/>
            <w:right w:w="108" w:type="dxa"/>
          </w:tblCellMar>
        </w:tblPrEx>
        <w:trPr>
          <w:jc w:val="center"/>
        </w:trPr>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7EBC5538">
            <w:pPr>
              <w:jc w:val="center"/>
            </w:pPr>
            <w:r>
              <w:rPr>
                <w:rFonts w:ascii="黑体" w:hAnsi="黑体"/>
                <w:b/>
                <w:color w:val="1A4789"/>
                <w:sz w:val="18"/>
              </w:rPr>
              <w:t>期间</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1EAD0C57">
            <w:pPr>
              <w:jc w:val="center"/>
            </w:pPr>
            <w:r>
              <w:rPr>
                <w:rFonts w:ascii="黑体" w:hAnsi="黑体"/>
                <w:b/>
                <w:color w:val="1A4789"/>
                <w:sz w:val="18"/>
              </w:rPr>
              <w:t>ROE变动</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29A12A58">
            <w:pPr>
              <w:jc w:val="center"/>
            </w:pPr>
            <w:r>
              <w:rPr>
                <w:rFonts w:ascii="黑体" w:hAnsi="黑体"/>
                <w:b/>
                <w:color w:val="1A4789"/>
                <w:sz w:val="18"/>
              </w:rPr>
              <w:t>净利率贡献</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6E23DCBF">
            <w:pPr>
              <w:jc w:val="center"/>
            </w:pPr>
            <w:r>
              <w:rPr>
                <w:rFonts w:ascii="黑体" w:hAnsi="黑体"/>
                <w:b/>
                <w:color w:val="1A4789"/>
                <w:sz w:val="18"/>
              </w:rPr>
              <w:t>周转率贡献</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420CC405">
            <w:pPr>
              <w:jc w:val="center"/>
            </w:pPr>
            <w:r>
              <w:rPr>
                <w:rFonts w:ascii="黑体" w:hAnsi="黑体"/>
                <w:b/>
                <w:color w:val="1A4789"/>
                <w:sz w:val="18"/>
              </w:rPr>
              <w:t>杠杆贡献</w:t>
            </w:r>
          </w:p>
        </w:tc>
      </w:tr>
      <w:tr w14:paraId="49D4ED72">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32434E67">
            <w:pPr>
              <w:jc w:val="left"/>
            </w:pPr>
            <w:r>
              <w:rPr>
                <w:rFonts w:ascii="宋体" w:hAnsi="宋体"/>
                <w:color w:val="333333"/>
                <w:sz w:val="18"/>
              </w:rPr>
              <w:t>赛力斯 2022→2023</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74CA306">
            <w:pPr>
              <w:jc w:val="center"/>
            </w:pPr>
            <w:r>
              <w:rPr>
                <w:rFonts w:ascii="宋体" w:hAnsi="宋体"/>
                <w:color w:val="333333"/>
                <w:sz w:val="18"/>
              </w:rPr>
              <w:t>+9.3pp</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1D958FE7">
            <w:pPr>
              <w:jc w:val="center"/>
            </w:pPr>
            <w:r>
              <w:rPr>
                <w:rFonts w:ascii="宋体" w:hAnsi="宋体"/>
                <w:color w:val="333333"/>
                <w:sz w:val="18"/>
              </w:rPr>
              <w:t>+11.1pp</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0402F0F">
            <w:pPr>
              <w:jc w:val="center"/>
            </w:pPr>
            <w:r>
              <w:rPr>
                <w:rFonts w:ascii="宋体" w:hAnsi="宋体"/>
                <w:color w:val="333333"/>
                <w:sz w:val="18"/>
              </w:rPr>
              <w:t>+1.2pp</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9309D16">
            <w:pPr>
              <w:jc w:val="center"/>
            </w:pPr>
            <w:r>
              <w:rPr>
                <w:rFonts w:ascii="宋体" w:hAnsi="宋体"/>
                <w:color w:val="333333"/>
                <w:sz w:val="18"/>
              </w:rPr>
              <w:t>-3.0pp</w:t>
            </w:r>
          </w:p>
        </w:tc>
      </w:tr>
      <w:tr w14:paraId="12801FDB">
        <w:tblPrEx>
          <w:tblCellMar>
            <w:top w:w="0" w:type="dxa"/>
            <w:left w:w="108" w:type="dxa"/>
            <w:bottom w:w="0" w:type="dxa"/>
            <w:right w:w="108" w:type="dxa"/>
          </w:tblCellMar>
        </w:tblPrEx>
        <w:trPr>
          <w:jc w:val="center"/>
        </w:trPr>
        <w:tc>
          <w:tcPr>
            <w:tcW w:w="1701" w:type="dxa"/>
          </w:tcPr>
          <w:p w14:paraId="66EB3E66">
            <w:pPr>
              <w:jc w:val="left"/>
            </w:pPr>
            <w:r>
              <w:rPr>
                <w:rFonts w:ascii="宋体" w:hAnsi="宋体"/>
                <w:color w:val="333333"/>
                <w:sz w:val="18"/>
              </w:rPr>
              <w:t>赛力斯 2023→2024</w:t>
            </w:r>
          </w:p>
        </w:tc>
        <w:tc>
          <w:tcPr>
            <w:tcW w:w="1417" w:type="dxa"/>
          </w:tcPr>
          <w:p w14:paraId="3F0BAEAB">
            <w:pPr>
              <w:jc w:val="center"/>
            </w:pPr>
            <w:r>
              <w:rPr>
                <w:rFonts w:ascii="宋体" w:hAnsi="宋体"/>
                <w:color w:val="333333"/>
                <w:sz w:val="18"/>
              </w:rPr>
              <w:t>+75.1pp</w:t>
            </w:r>
          </w:p>
        </w:tc>
        <w:tc>
          <w:tcPr>
            <w:tcW w:w="1417" w:type="dxa"/>
          </w:tcPr>
          <w:p w14:paraId="388C1859">
            <w:pPr>
              <w:jc w:val="center"/>
            </w:pPr>
            <w:r>
              <w:rPr>
                <w:rFonts w:ascii="宋体" w:hAnsi="宋体"/>
                <w:color w:val="333333"/>
                <w:sz w:val="18"/>
              </w:rPr>
              <w:t>+46.7pp</w:t>
            </w:r>
          </w:p>
        </w:tc>
        <w:tc>
          <w:tcPr>
            <w:tcW w:w="1417" w:type="dxa"/>
          </w:tcPr>
          <w:p w14:paraId="657D34F3">
            <w:pPr>
              <w:jc w:val="center"/>
            </w:pPr>
            <w:r>
              <w:rPr>
                <w:rFonts w:ascii="宋体" w:hAnsi="宋体"/>
                <w:color w:val="333333"/>
                <w:sz w:val="18"/>
              </w:rPr>
              <w:t>+12.3pp</w:t>
            </w:r>
          </w:p>
        </w:tc>
        <w:tc>
          <w:tcPr>
            <w:tcW w:w="1417" w:type="dxa"/>
          </w:tcPr>
          <w:p w14:paraId="3F8F1C9A">
            <w:pPr>
              <w:jc w:val="center"/>
            </w:pPr>
            <w:r>
              <w:rPr>
                <w:rFonts w:ascii="宋体" w:hAnsi="宋体"/>
                <w:color w:val="333333"/>
                <w:sz w:val="18"/>
              </w:rPr>
              <w:t>+16.1pp</w:t>
            </w:r>
          </w:p>
        </w:tc>
      </w:tr>
      <w:tr w14:paraId="7546D770">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00C7DAE6">
            <w:pPr>
              <w:jc w:val="left"/>
            </w:pPr>
            <w:r>
              <w:rPr>
                <w:rFonts w:ascii="宋体" w:hAnsi="宋体"/>
                <w:color w:val="333333"/>
                <w:sz w:val="18"/>
              </w:rPr>
              <w:t>赛力斯 2024→2025</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D4A3C86">
            <w:pPr>
              <w:jc w:val="center"/>
            </w:pPr>
            <w:r>
              <w:rPr>
                <w:rFonts w:ascii="宋体" w:hAnsi="宋体"/>
                <w:color w:val="333333"/>
                <w:sz w:val="18"/>
              </w:rPr>
              <w:t>-23.6pp</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3CA9431">
            <w:pPr>
              <w:jc w:val="center"/>
            </w:pPr>
            <w:r>
              <w:rPr>
                <w:rFonts w:ascii="宋体" w:hAnsi="宋体"/>
                <w:color w:val="333333"/>
                <w:sz w:val="18"/>
              </w:rPr>
              <w:t>+5.4pp</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04A50E3">
            <w:pPr>
              <w:jc w:val="center"/>
            </w:pPr>
            <w:r>
              <w:rPr>
                <w:rFonts w:ascii="宋体" w:hAnsi="宋体"/>
                <w:color w:val="333333"/>
                <w:sz w:val="18"/>
              </w:rPr>
              <w:t>-11.2pp</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7999CD2B">
            <w:pPr>
              <w:jc w:val="center"/>
            </w:pPr>
            <w:r>
              <w:rPr>
                <w:rFonts w:ascii="宋体" w:hAnsi="宋体"/>
                <w:color w:val="333333"/>
                <w:sz w:val="18"/>
              </w:rPr>
              <w:t>-17.8pp</w:t>
            </w:r>
          </w:p>
        </w:tc>
      </w:tr>
      <w:tr w14:paraId="669076D2">
        <w:tblPrEx>
          <w:tblCellMar>
            <w:top w:w="0" w:type="dxa"/>
            <w:left w:w="108" w:type="dxa"/>
            <w:bottom w:w="0" w:type="dxa"/>
            <w:right w:w="108" w:type="dxa"/>
          </w:tblCellMar>
        </w:tblPrEx>
        <w:trPr>
          <w:jc w:val="center"/>
        </w:trPr>
        <w:tc>
          <w:tcPr>
            <w:tcW w:w="1701" w:type="dxa"/>
          </w:tcPr>
          <w:p w14:paraId="424C552B">
            <w:pPr>
              <w:jc w:val="left"/>
            </w:pPr>
            <w:r>
              <w:rPr>
                <w:rFonts w:ascii="宋体" w:hAnsi="宋体"/>
                <w:color w:val="333333"/>
                <w:sz w:val="18"/>
              </w:rPr>
              <w:t>长安 2022→2023</w:t>
            </w:r>
          </w:p>
        </w:tc>
        <w:tc>
          <w:tcPr>
            <w:tcW w:w="1417" w:type="dxa"/>
          </w:tcPr>
          <w:p w14:paraId="3DD524E7">
            <w:pPr>
              <w:jc w:val="center"/>
            </w:pPr>
            <w:r>
              <w:rPr>
                <w:rFonts w:ascii="宋体" w:hAnsi="宋体"/>
                <w:color w:val="333333"/>
                <w:sz w:val="18"/>
              </w:rPr>
              <w:t>+0.9pp</w:t>
            </w:r>
          </w:p>
        </w:tc>
        <w:tc>
          <w:tcPr>
            <w:tcW w:w="1417" w:type="dxa"/>
          </w:tcPr>
          <w:p w14:paraId="07D80856">
            <w:pPr>
              <w:jc w:val="center"/>
            </w:pPr>
            <w:r>
              <w:rPr>
                <w:rFonts w:ascii="宋体" w:hAnsi="宋体"/>
                <w:color w:val="333333"/>
                <w:sz w:val="18"/>
              </w:rPr>
              <w:t>-0.2pp</w:t>
            </w:r>
          </w:p>
        </w:tc>
        <w:tc>
          <w:tcPr>
            <w:tcW w:w="1417" w:type="dxa"/>
          </w:tcPr>
          <w:p w14:paraId="1ABD58EE">
            <w:pPr>
              <w:jc w:val="center"/>
            </w:pPr>
            <w:r>
              <w:rPr>
                <w:rFonts w:ascii="宋体" w:hAnsi="宋体"/>
                <w:color w:val="333333"/>
                <w:sz w:val="18"/>
              </w:rPr>
              <w:t>-0.5pp</w:t>
            </w:r>
          </w:p>
        </w:tc>
        <w:tc>
          <w:tcPr>
            <w:tcW w:w="1417" w:type="dxa"/>
          </w:tcPr>
          <w:p w14:paraId="5F494D54">
            <w:pPr>
              <w:jc w:val="center"/>
            </w:pPr>
            <w:r>
              <w:rPr>
                <w:rFonts w:ascii="宋体" w:hAnsi="宋体"/>
                <w:color w:val="333333"/>
                <w:sz w:val="18"/>
              </w:rPr>
              <w:t>+1.6pp</w:t>
            </w:r>
          </w:p>
        </w:tc>
      </w:tr>
      <w:tr w14:paraId="63C3C034">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56496756">
            <w:pPr>
              <w:jc w:val="left"/>
            </w:pPr>
            <w:r>
              <w:rPr>
                <w:rFonts w:ascii="宋体" w:hAnsi="宋体"/>
                <w:color w:val="333333"/>
                <w:sz w:val="18"/>
              </w:rPr>
              <w:t>长安 2023→2024</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2ABBB121">
            <w:pPr>
              <w:jc w:val="center"/>
            </w:pPr>
            <w:r>
              <w:rPr>
                <w:rFonts w:ascii="宋体" w:hAnsi="宋体"/>
                <w:color w:val="333333"/>
                <w:sz w:val="18"/>
              </w:rPr>
              <w:t>-5.3pp</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02D7D2E">
            <w:pPr>
              <w:jc w:val="center"/>
            </w:pPr>
            <w:r>
              <w:rPr>
                <w:rFonts w:ascii="宋体" w:hAnsi="宋体"/>
                <w:color w:val="333333"/>
                <w:sz w:val="18"/>
              </w:rPr>
              <w:t>-5.2pp</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26168DA8">
            <w:pPr>
              <w:jc w:val="center"/>
            </w:pPr>
            <w:r>
              <w:rPr>
                <w:rFonts w:ascii="宋体" w:hAnsi="宋体"/>
                <w:color w:val="333333"/>
                <w:sz w:val="18"/>
              </w:rPr>
              <w:t>-0.3pp</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48A09E4">
            <w:pPr>
              <w:jc w:val="center"/>
            </w:pPr>
            <w:r>
              <w:rPr>
                <w:rFonts w:ascii="宋体" w:hAnsi="宋体"/>
                <w:color w:val="333333"/>
                <w:sz w:val="18"/>
              </w:rPr>
              <w:t>+0.2pp</w:t>
            </w:r>
          </w:p>
        </w:tc>
      </w:tr>
      <w:tr w14:paraId="7A5B56A8">
        <w:tblPrEx>
          <w:tblCellMar>
            <w:top w:w="0" w:type="dxa"/>
            <w:left w:w="108" w:type="dxa"/>
            <w:bottom w:w="0" w:type="dxa"/>
            <w:right w:w="108" w:type="dxa"/>
          </w:tblCellMar>
        </w:tblPrEx>
        <w:trPr>
          <w:jc w:val="center"/>
        </w:trPr>
        <w:tc>
          <w:tcPr>
            <w:tcW w:w="1701" w:type="dxa"/>
          </w:tcPr>
          <w:p w14:paraId="008895F9">
            <w:pPr>
              <w:jc w:val="left"/>
            </w:pPr>
            <w:r>
              <w:rPr>
                <w:rFonts w:ascii="宋体" w:hAnsi="宋体"/>
                <w:color w:val="333333"/>
                <w:sz w:val="18"/>
              </w:rPr>
              <w:t>长安 2024→2025</w:t>
            </w:r>
          </w:p>
        </w:tc>
        <w:tc>
          <w:tcPr>
            <w:tcW w:w="1417" w:type="dxa"/>
          </w:tcPr>
          <w:p w14:paraId="1D1F9CED">
            <w:pPr>
              <w:jc w:val="center"/>
            </w:pPr>
            <w:r>
              <w:rPr>
                <w:rFonts w:ascii="宋体" w:hAnsi="宋体"/>
                <w:color w:val="333333"/>
                <w:sz w:val="18"/>
              </w:rPr>
              <w:t>-3.9pp</w:t>
            </w:r>
          </w:p>
        </w:tc>
        <w:tc>
          <w:tcPr>
            <w:tcW w:w="1417" w:type="dxa"/>
          </w:tcPr>
          <w:p w14:paraId="59BB948C">
            <w:pPr>
              <w:jc w:val="center"/>
            </w:pPr>
            <w:r>
              <w:rPr>
                <w:rFonts w:ascii="宋体" w:hAnsi="宋体"/>
                <w:color w:val="333333"/>
                <w:sz w:val="18"/>
              </w:rPr>
              <w:t>-3.9pp</w:t>
            </w:r>
          </w:p>
        </w:tc>
        <w:tc>
          <w:tcPr>
            <w:tcW w:w="1417" w:type="dxa"/>
          </w:tcPr>
          <w:p w14:paraId="33BCFB3C">
            <w:pPr>
              <w:jc w:val="center"/>
            </w:pPr>
            <w:r>
              <w:rPr>
                <w:rFonts w:ascii="宋体" w:hAnsi="宋体"/>
                <w:color w:val="333333"/>
                <w:sz w:val="18"/>
              </w:rPr>
              <w:t>+0.2pp</w:t>
            </w:r>
          </w:p>
        </w:tc>
        <w:tc>
          <w:tcPr>
            <w:tcW w:w="1417" w:type="dxa"/>
          </w:tcPr>
          <w:p w14:paraId="28D1EE5B">
            <w:pPr>
              <w:jc w:val="center"/>
            </w:pPr>
            <w:r>
              <w:rPr>
                <w:rFonts w:ascii="宋体" w:hAnsi="宋体"/>
                <w:color w:val="333333"/>
                <w:sz w:val="18"/>
              </w:rPr>
              <w:t>-0.1pp</w:t>
            </w:r>
          </w:p>
        </w:tc>
      </w:tr>
    </w:tbl>
    <w:p w14:paraId="523396CC">
      <w:pPr>
        <w:spacing w:after="80"/>
      </w:pPr>
    </w:p>
    <w:p w14:paraId="16C0DCA7">
      <w:pPr>
        <w:spacing w:after="40" w:line="360" w:lineRule="auto"/>
        <w:ind w:firstLine="420"/>
      </w:pPr>
      <w:r>
        <w:rPr>
          <w:rFonts w:ascii="宋体" w:hAnsi="宋体"/>
          <w:b w:val="0"/>
          <w:sz w:val="24"/>
        </w:rPr>
        <w:t>赛力斯ROE呈现典型的过山车波动：2023→2024年三因素共振（净利率转正+46.7pp、周转率翻倍+12.3pp、杠杆飙升+16.1pp），ROE从-36.4%飙升至38.7%。2024→2025年ROE回落至15.0%，去杠杆贡献-17.8pp（权益乘数7.69→3.52）和周转率下降-11.2pp（1.54→1.15）是主因，净利率继续改善（+5.4pp）部分抵消。</w:t>
      </w:r>
    </w:p>
    <w:p w14:paraId="5C7DE6D4">
      <w:pPr>
        <w:spacing w:after="40" w:line="360" w:lineRule="auto"/>
        <w:ind w:firstLine="420"/>
      </w:pPr>
      <w:r>
        <w:rPr>
          <w:rFonts w:ascii="宋体" w:hAnsi="宋体"/>
          <w:b w:val="0"/>
          <w:sz w:val="24"/>
        </w:rPr>
        <w:t>长安汽车ROE路径12.3%→13.2%→8.0%→4.1%，三年间最大年度变动仅5.3pp，远低于赛力斯。净利率持续下滑（6.4%→1.9%）是ROE下降的唯一主因，周转率和权益乘数基本稳定。杜邦对比揭示了核心差异：赛力斯ROE波动是杠杆扩张和收缩驱动的大幅摆动，长安汽车ROE下降是单一因素推动的缓慢过程。</w:t>
      </w:r>
    </w:p>
    <w:p w14:paraId="3465A752">
      <w:pPr>
        <w:jc w:val="center"/>
      </w:pPr>
      <w:r>
        <w:drawing>
          <wp:inline distT="0" distB="0" distL="114300" distR="114300">
            <wp:extent cx="5039995" cy="1258570"/>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40000" cy="1258868"/>
                    </a:xfrm>
                    <a:prstGeom prst="rect">
                      <a:avLst/>
                    </a:prstGeom>
                  </pic:spPr>
                </pic:pic>
              </a:graphicData>
            </a:graphic>
          </wp:inline>
        </w:drawing>
      </w:r>
    </w:p>
    <w:p w14:paraId="68034BB6">
      <w:pPr>
        <w:spacing w:after="120"/>
        <w:jc w:val="center"/>
      </w:pPr>
      <w:r>
        <w:rPr>
          <w:rFonts w:ascii="宋体" w:hAnsi="宋体"/>
          <w:sz w:val="18"/>
        </w:rPr>
        <w:t>图11  杜邦分析ROE因素分解对比</w:t>
      </w:r>
    </w:p>
    <w:p w14:paraId="4B989C48">
      <w:pPr>
        <w:spacing w:before="240" w:after="120"/>
        <w:outlineLvl w:val="1"/>
      </w:pPr>
      <w:r>
        <w:rPr>
          <w:rFonts w:ascii="黑体" w:hAnsi="黑体"/>
          <w:b/>
          <w:color w:val="000000"/>
          <w:sz w:val="28"/>
        </w:rPr>
        <w:t>（五）现金流量分析</w:t>
      </w:r>
    </w:p>
    <w:p w14:paraId="31B25B8A">
      <w:pPr>
        <w:spacing w:after="40" w:line="360" w:lineRule="auto"/>
        <w:ind w:firstLine="420"/>
      </w:pPr>
      <w:r>
        <w:rPr>
          <w:rFonts w:ascii="宋体" w:hAnsi="宋体"/>
          <w:b w:val="0"/>
          <w:sz w:val="24"/>
        </w:rPr>
        <w:t>表6报告了8家企业最新年报的现金流组合。收付实现制下的现金流分析比权责发生制下的利润分析更能揭示经营模式本质。</w:t>
      </w:r>
    </w:p>
    <w:tbl>
      <w:tblPr>
        <w:tblStyle w:val="32"/>
        <w:tblW w:w="0" w:type="auto"/>
        <w:jc w:val="center"/>
        <w:tblLayout w:type="autofit"/>
        <w:tblCellMar>
          <w:top w:w="0" w:type="dxa"/>
          <w:left w:w="108" w:type="dxa"/>
          <w:bottom w:w="0" w:type="dxa"/>
          <w:right w:w="108" w:type="dxa"/>
        </w:tblCellMar>
      </w:tblPr>
      <w:tblGrid>
        <w:gridCol w:w="1120"/>
        <w:gridCol w:w="1350"/>
        <w:gridCol w:w="1230"/>
        <w:gridCol w:w="1290"/>
        <w:gridCol w:w="2180"/>
        <w:gridCol w:w="1900"/>
      </w:tblGrid>
      <w:tr w14:paraId="10F3B655">
        <w:tblPrEx>
          <w:tblCellMar>
            <w:top w:w="0" w:type="dxa"/>
            <w:left w:w="108" w:type="dxa"/>
            <w:bottom w:w="0" w:type="dxa"/>
            <w:right w:w="108" w:type="dxa"/>
          </w:tblCellMar>
        </w:tblPrEx>
        <w:trPr>
          <w:jc w:val="center"/>
        </w:trPr>
        <w:tc>
          <w:tcPr>
            <w:tcW w:w="1120" w:type="dxa"/>
            <w:tcBorders>
              <w:top w:val="single" w:color="2E75B6" w:sz="8" w:space="0"/>
              <w:left w:val="single" w:color="CCCCCC" w:sz="4" w:space="0"/>
              <w:bottom w:val="single" w:color="CCCCCC" w:sz="4" w:space="0"/>
              <w:right w:val="single" w:color="CCCCCC" w:sz="4" w:space="0"/>
            </w:tcBorders>
            <w:shd w:val="clear" w:color="auto" w:fill="D5E8F0"/>
          </w:tcPr>
          <w:p w14:paraId="1FACEF8D">
            <w:pPr>
              <w:jc w:val="center"/>
            </w:pPr>
            <w:r>
              <w:rPr>
                <w:rFonts w:ascii="黑体" w:hAnsi="黑体"/>
                <w:b/>
                <w:color w:val="1A4789"/>
                <w:sz w:val="18"/>
              </w:rPr>
              <w:t>公司</w:t>
            </w:r>
          </w:p>
        </w:tc>
        <w:tc>
          <w:tcPr>
            <w:tcW w:w="1350" w:type="dxa"/>
            <w:tcBorders>
              <w:top w:val="single" w:color="2E75B6" w:sz="8" w:space="0"/>
              <w:left w:val="single" w:color="CCCCCC" w:sz="4" w:space="0"/>
              <w:bottom w:val="single" w:color="CCCCCC" w:sz="4" w:space="0"/>
              <w:right w:val="single" w:color="CCCCCC" w:sz="4" w:space="0"/>
            </w:tcBorders>
            <w:shd w:val="clear" w:color="auto" w:fill="D5E8F0"/>
          </w:tcPr>
          <w:p w14:paraId="54FA481B">
            <w:pPr>
              <w:jc w:val="center"/>
            </w:pPr>
            <w:r>
              <w:rPr>
                <w:rFonts w:ascii="黑体" w:hAnsi="黑体"/>
                <w:b/>
                <w:color w:val="1A4789"/>
                <w:sz w:val="18"/>
              </w:rPr>
              <w:t>经营CF(亿)</w:t>
            </w:r>
          </w:p>
        </w:tc>
        <w:tc>
          <w:tcPr>
            <w:tcW w:w="1230" w:type="dxa"/>
            <w:tcBorders>
              <w:top w:val="single" w:color="2E75B6" w:sz="8" w:space="0"/>
              <w:left w:val="single" w:color="CCCCCC" w:sz="4" w:space="0"/>
              <w:bottom w:val="single" w:color="CCCCCC" w:sz="4" w:space="0"/>
              <w:right w:val="single" w:color="CCCCCC" w:sz="4" w:space="0"/>
            </w:tcBorders>
            <w:shd w:val="clear" w:color="auto" w:fill="D5E8F0"/>
          </w:tcPr>
          <w:p w14:paraId="5A0BE6B2">
            <w:pPr>
              <w:jc w:val="center"/>
            </w:pPr>
            <w:r>
              <w:rPr>
                <w:rFonts w:ascii="黑体" w:hAnsi="黑体"/>
                <w:b/>
                <w:color w:val="1A4789"/>
                <w:sz w:val="18"/>
              </w:rPr>
              <w:t>投资CF(亿)</w:t>
            </w:r>
          </w:p>
        </w:tc>
        <w:tc>
          <w:tcPr>
            <w:tcW w:w="1290" w:type="dxa"/>
            <w:tcBorders>
              <w:top w:val="single" w:color="2E75B6" w:sz="8" w:space="0"/>
              <w:left w:val="single" w:color="CCCCCC" w:sz="4" w:space="0"/>
              <w:bottom w:val="single" w:color="CCCCCC" w:sz="4" w:space="0"/>
              <w:right w:val="single" w:color="CCCCCC" w:sz="4" w:space="0"/>
            </w:tcBorders>
            <w:shd w:val="clear" w:color="auto" w:fill="D5E8F0"/>
          </w:tcPr>
          <w:p w14:paraId="0D3AE042">
            <w:pPr>
              <w:jc w:val="center"/>
            </w:pPr>
            <w:r>
              <w:rPr>
                <w:rFonts w:ascii="黑体" w:hAnsi="黑体"/>
                <w:b/>
                <w:color w:val="1A4789"/>
                <w:sz w:val="18"/>
              </w:rPr>
              <w:t>筹资CF(亿)</w:t>
            </w:r>
          </w:p>
        </w:tc>
        <w:tc>
          <w:tcPr>
            <w:tcW w:w="2180" w:type="dxa"/>
            <w:tcBorders>
              <w:top w:val="single" w:color="2E75B6" w:sz="8" w:space="0"/>
              <w:left w:val="single" w:color="CCCCCC" w:sz="4" w:space="0"/>
              <w:bottom w:val="single" w:color="CCCCCC" w:sz="4" w:space="0"/>
              <w:right w:val="single" w:color="CCCCCC" w:sz="4" w:space="0"/>
            </w:tcBorders>
            <w:shd w:val="clear" w:color="auto" w:fill="D5E8F0"/>
          </w:tcPr>
          <w:p w14:paraId="16EEDFB1">
            <w:pPr>
              <w:jc w:val="center"/>
            </w:pPr>
            <w:r>
              <w:rPr>
                <w:rFonts w:ascii="黑体" w:hAnsi="黑体"/>
                <w:b/>
                <w:color w:val="1A4789"/>
                <w:sz w:val="18"/>
              </w:rPr>
              <w:t>组合模式</w:t>
            </w:r>
          </w:p>
        </w:tc>
        <w:tc>
          <w:tcPr>
            <w:tcW w:w="1900" w:type="dxa"/>
            <w:tcBorders>
              <w:top w:val="single" w:color="2E75B6" w:sz="8" w:space="0"/>
              <w:left w:val="single" w:color="CCCCCC" w:sz="4" w:space="0"/>
              <w:bottom w:val="single" w:color="CCCCCC" w:sz="4" w:space="0"/>
              <w:right w:val="single" w:color="CCCCCC" w:sz="4" w:space="0"/>
            </w:tcBorders>
            <w:shd w:val="clear" w:color="auto" w:fill="D5E8F0"/>
          </w:tcPr>
          <w:p w14:paraId="1B835CBC">
            <w:pPr>
              <w:jc w:val="center"/>
            </w:pPr>
            <w:r>
              <w:rPr>
                <w:rFonts w:ascii="黑体" w:hAnsi="黑体"/>
                <w:b/>
                <w:color w:val="1A4789"/>
                <w:sz w:val="18"/>
              </w:rPr>
              <w:t>阶段</w:t>
            </w:r>
          </w:p>
        </w:tc>
      </w:tr>
      <w:tr w14:paraId="3285D20E">
        <w:tblPrEx>
          <w:tblCellMar>
            <w:top w:w="0" w:type="dxa"/>
            <w:left w:w="108" w:type="dxa"/>
            <w:bottom w:w="0" w:type="dxa"/>
            <w:right w:w="108" w:type="dxa"/>
          </w:tblCellMar>
        </w:tblPrEx>
        <w:trPr>
          <w:jc w:val="center"/>
        </w:trPr>
        <w:tc>
          <w:tcPr>
            <w:tcW w:w="1120" w:type="dxa"/>
            <w:tcBorders>
              <w:top w:val="single" w:color="CCCCCC" w:sz="4" w:space="0"/>
              <w:left w:val="single" w:color="CCCCCC" w:sz="4" w:space="0"/>
              <w:bottom w:val="single" w:color="CCCCCC" w:sz="4" w:space="0"/>
              <w:right w:val="single" w:color="CCCCCC" w:sz="4" w:space="0"/>
            </w:tcBorders>
            <w:shd w:val="clear" w:color="auto" w:fill="F8F9FA"/>
          </w:tcPr>
          <w:p w14:paraId="1A923593">
            <w:pPr>
              <w:jc w:val="left"/>
            </w:pPr>
            <w:r>
              <w:rPr>
                <w:rFonts w:ascii="宋体" w:hAnsi="宋体"/>
                <w:color w:val="333333"/>
                <w:sz w:val="18"/>
              </w:rPr>
              <w:t>赛力斯</w:t>
            </w:r>
          </w:p>
        </w:tc>
        <w:tc>
          <w:tcPr>
            <w:tcW w:w="1350" w:type="dxa"/>
            <w:tcBorders>
              <w:top w:val="single" w:color="CCCCCC" w:sz="4" w:space="0"/>
              <w:left w:val="single" w:color="CCCCCC" w:sz="4" w:space="0"/>
              <w:bottom w:val="single" w:color="CCCCCC" w:sz="4" w:space="0"/>
              <w:right w:val="single" w:color="CCCCCC" w:sz="4" w:space="0"/>
            </w:tcBorders>
            <w:shd w:val="clear" w:color="auto" w:fill="F8F9FA"/>
          </w:tcPr>
          <w:p w14:paraId="7A52005E">
            <w:pPr>
              <w:jc w:val="center"/>
            </w:pPr>
            <w:r>
              <w:rPr>
                <w:rFonts w:ascii="宋体" w:hAnsi="宋体"/>
                <w:color w:val="333333"/>
                <w:sz w:val="18"/>
              </w:rPr>
              <w:t>289.1</w:t>
            </w:r>
          </w:p>
        </w:tc>
        <w:tc>
          <w:tcPr>
            <w:tcW w:w="1230" w:type="dxa"/>
            <w:tcBorders>
              <w:top w:val="single" w:color="CCCCCC" w:sz="4" w:space="0"/>
              <w:left w:val="single" w:color="CCCCCC" w:sz="4" w:space="0"/>
              <w:bottom w:val="single" w:color="CCCCCC" w:sz="4" w:space="0"/>
              <w:right w:val="single" w:color="CCCCCC" w:sz="4" w:space="0"/>
            </w:tcBorders>
            <w:shd w:val="clear" w:color="auto" w:fill="F8F9FA"/>
          </w:tcPr>
          <w:p w14:paraId="5840466A">
            <w:pPr>
              <w:jc w:val="center"/>
            </w:pPr>
            <w:r>
              <w:rPr>
                <w:rFonts w:ascii="宋体" w:hAnsi="宋体"/>
                <w:color w:val="333333"/>
                <w:sz w:val="18"/>
              </w:rPr>
              <w:t>-50.3</w:t>
            </w:r>
          </w:p>
        </w:tc>
        <w:tc>
          <w:tcPr>
            <w:tcW w:w="1290" w:type="dxa"/>
            <w:tcBorders>
              <w:top w:val="single" w:color="CCCCCC" w:sz="4" w:space="0"/>
              <w:left w:val="single" w:color="CCCCCC" w:sz="4" w:space="0"/>
              <w:bottom w:val="single" w:color="CCCCCC" w:sz="4" w:space="0"/>
              <w:right w:val="single" w:color="CCCCCC" w:sz="4" w:space="0"/>
            </w:tcBorders>
            <w:shd w:val="clear" w:color="auto" w:fill="F8F9FA"/>
          </w:tcPr>
          <w:p w14:paraId="5F1E56AA">
            <w:pPr>
              <w:jc w:val="center"/>
            </w:pPr>
            <w:r>
              <w:rPr>
                <w:rFonts w:ascii="宋体" w:hAnsi="宋体"/>
                <w:color w:val="333333"/>
                <w:sz w:val="18"/>
              </w:rPr>
              <w:t>182.8</w:t>
            </w:r>
          </w:p>
        </w:tc>
        <w:tc>
          <w:tcPr>
            <w:tcW w:w="2180" w:type="dxa"/>
            <w:tcBorders>
              <w:top w:val="single" w:color="CCCCCC" w:sz="4" w:space="0"/>
              <w:left w:val="single" w:color="CCCCCC" w:sz="4" w:space="0"/>
              <w:bottom w:val="single" w:color="CCCCCC" w:sz="4" w:space="0"/>
              <w:right w:val="single" w:color="CCCCCC" w:sz="4" w:space="0"/>
            </w:tcBorders>
            <w:shd w:val="clear" w:color="auto" w:fill="F8F9FA"/>
          </w:tcPr>
          <w:p w14:paraId="5F892546">
            <w:pPr>
              <w:jc w:val="center"/>
            </w:pPr>
            <w:r>
              <w:rPr>
                <w:rFonts w:ascii="宋体" w:hAnsi="宋体"/>
                <w:color w:val="333333"/>
                <w:sz w:val="18"/>
              </w:rPr>
              <w:t>经营+/投资-/筹资+</w:t>
            </w:r>
          </w:p>
        </w:tc>
        <w:tc>
          <w:tcPr>
            <w:tcW w:w="1900" w:type="dxa"/>
            <w:tcBorders>
              <w:top w:val="single" w:color="CCCCCC" w:sz="4" w:space="0"/>
              <w:left w:val="single" w:color="CCCCCC" w:sz="4" w:space="0"/>
              <w:bottom w:val="single" w:color="CCCCCC" w:sz="4" w:space="0"/>
              <w:right w:val="single" w:color="CCCCCC" w:sz="4" w:space="0"/>
            </w:tcBorders>
            <w:shd w:val="clear" w:color="auto" w:fill="F8F9FA"/>
          </w:tcPr>
          <w:p w14:paraId="213F4337">
            <w:pPr>
              <w:jc w:val="center"/>
            </w:pPr>
            <w:r>
              <w:rPr>
                <w:rFonts w:ascii="宋体" w:hAnsi="宋体"/>
                <w:color w:val="333333"/>
                <w:sz w:val="18"/>
              </w:rPr>
              <w:t>成长期</w:t>
            </w:r>
          </w:p>
        </w:tc>
      </w:tr>
      <w:tr w14:paraId="20814603">
        <w:tblPrEx>
          <w:tblCellMar>
            <w:top w:w="0" w:type="dxa"/>
            <w:left w:w="108" w:type="dxa"/>
            <w:bottom w:w="0" w:type="dxa"/>
            <w:right w:w="108" w:type="dxa"/>
          </w:tblCellMar>
        </w:tblPrEx>
        <w:trPr>
          <w:jc w:val="center"/>
        </w:trPr>
        <w:tc>
          <w:tcPr>
            <w:tcW w:w="1120" w:type="dxa"/>
          </w:tcPr>
          <w:p w14:paraId="04E5ACB4">
            <w:pPr>
              <w:jc w:val="left"/>
            </w:pPr>
            <w:r>
              <w:rPr>
                <w:rFonts w:ascii="宋体" w:hAnsi="宋体"/>
                <w:color w:val="333333"/>
                <w:sz w:val="18"/>
              </w:rPr>
              <w:t>比亚迪</w:t>
            </w:r>
          </w:p>
        </w:tc>
        <w:tc>
          <w:tcPr>
            <w:tcW w:w="1350" w:type="dxa"/>
          </w:tcPr>
          <w:p w14:paraId="11774667">
            <w:pPr>
              <w:jc w:val="center"/>
            </w:pPr>
            <w:r>
              <w:rPr>
                <w:rFonts w:ascii="宋体" w:hAnsi="宋体"/>
                <w:color w:val="333333"/>
                <w:sz w:val="18"/>
              </w:rPr>
              <w:t>591.4</w:t>
            </w:r>
          </w:p>
        </w:tc>
        <w:tc>
          <w:tcPr>
            <w:tcW w:w="1230" w:type="dxa"/>
          </w:tcPr>
          <w:p w14:paraId="09A21508">
            <w:pPr>
              <w:jc w:val="center"/>
            </w:pPr>
            <w:r>
              <w:rPr>
                <w:rFonts w:ascii="宋体" w:hAnsi="宋体"/>
                <w:color w:val="333333"/>
                <w:sz w:val="18"/>
              </w:rPr>
              <w:t>-1974.6</w:t>
            </w:r>
          </w:p>
        </w:tc>
        <w:tc>
          <w:tcPr>
            <w:tcW w:w="1290" w:type="dxa"/>
          </w:tcPr>
          <w:p w14:paraId="55D6708A">
            <w:pPr>
              <w:jc w:val="center"/>
            </w:pPr>
            <w:r>
              <w:rPr>
                <w:rFonts w:ascii="宋体" w:hAnsi="宋体"/>
                <w:color w:val="333333"/>
                <w:sz w:val="18"/>
              </w:rPr>
              <w:t>1046.1</w:t>
            </w:r>
          </w:p>
        </w:tc>
        <w:tc>
          <w:tcPr>
            <w:tcW w:w="2180" w:type="dxa"/>
          </w:tcPr>
          <w:p w14:paraId="0FA98AB2">
            <w:pPr>
              <w:jc w:val="center"/>
            </w:pPr>
            <w:r>
              <w:rPr>
                <w:rFonts w:ascii="宋体" w:hAnsi="宋体"/>
                <w:color w:val="333333"/>
                <w:sz w:val="18"/>
              </w:rPr>
              <w:t>经营+/投资-/筹资+</w:t>
            </w:r>
          </w:p>
        </w:tc>
        <w:tc>
          <w:tcPr>
            <w:tcW w:w="1900" w:type="dxa"/>
          </w:tcPr>
          <w:p w14:paraId="0CD3FC56">
            <w:pPr>
              <w:jc w:val="center"/>
            </w:pPr>
            <w:r>
              <w:rPr>
                <w:rFonts w:ascii="宋体" w:hAnsi="宋体"/>
                <w:color w:val="333333"/>
                <w:sz w:val="18"/>
              </w:rPr>
              <w:t>成长期（激进扩张）</w:t>
            </w:r>
          </w:p>
        </w:tc>
      </w:tr>
      <w:tr w14:paraId="1E328A66">
        <w:tblPrEx>
          <w:tblCellMar>
            <w:top w:w="0" w:type="dxa"/>
            <w:left w:w="108" w:type="dxa"/>
            <w:bottom w:w="0" w:type="dxa"/>
            <w:right w:w="108" w:type="dxa"/>
          </w:tblCellMar>
        </w:tblPrEx>
        <w:trPr>
          <w:jc w:val="center"/>
        </w:trPr>
        <w:tc>
          <w:tcPr>
            <w:tcW w:w="1120" w:type="dxa"/>
            <w:tcBorders>
              <w:top w:val="single" w:color="CCCCCC" w:sz="4" w:space="0"/>
              <w:left w:val="single" w:color="CCCCCC" w:sz="4" w:space="0"/>
              <w:bottom w:val="single" w:color="CCCCCC" w:sz="4" w:space="0"/>
              <w:right w:val="single" w:color="CCCCCC" w:sz="4" w:space="0"/>
            </w:tcBorders>
            <w:shd w:val="clear" w:color="auto" w:fill="F8F9FA"/>
          </w:tcPr>
          <w:p w14:paraId="06AB709A">
            <w:pPr>
              <w:jc w:val="left"/>
            </w:pPr>
            <w:r>
              <w:rPr>
                <w:rFonts w:ascii="宋体" w:hAnsi="宋体"/>
                <w:color w:val="333333"/>
                <w:sz w:val="18"/>
              </w:rPr>
              <w:t>长城汽车</w:t>
            </w:r>
          </w:p>
        </w:tc>
        <w:tc>
          <w:tcPr>
            <w:tcW w:w="1350" w:type="dxa"/>
            <w:tcBorders>
              <w:top w:val="single" w:color="CCCCCC" w:sz="4" w:space="0"/>
              <w:left w:val="single" w:color="CCCCCC" w:sz="4" w:space="0"/>
              <w:bottom w:val="single" w:color="CCCCCC" w:sz="4" w:space="0"/>
              <w:right w:val="single" w:color="CCCCCC" w:sz="4" w:space="0"/>
            </w:tcBorders>
            <w:shd w:val="clear" w:color="auto" w:fill="F8F9FA"/>
          </w:tcPr>
          <w:p w14:paraId="3B68C319">
            <w:pPr>
              <w:jc w:val="center"/>
            </w:pPr>
            <w:r>
              <w:rPr>
                <w:rFonts w:ascii="宋体" w:hAnsi="宋体"/>
                <w:color w:val="333333"/>
                <w:sz w:val="18"/>
              </w:rPr>
              <w:t>403.6</w:t>
            </w:r>
          </w:p>
        </w:tc>
        <w:tc>
          <w:tcPr>
            <w:tcW w:w="1230" w:type="dxa"/>
            <w:tcBorders>
              <w:top w:val="single" w:color="CCCCCC" w:sz="4" w:space="0"/>
              <w:left w:val="single" w:color="CCCCCC" w:sz="4" w:space="0"/>
              <w:bottom w:val="single" w:color="CCCCCC" w:sz="4" w:space="0"/>
              <w:right w:val="single" w:color="CCCCCC" w:sz="4" w:space="0"/>
            </w:tcBorders>
            <w:shd w:val="clear" w:color="auto" w:fill="F8F9FA"/>
          </w:tcPr>
          <w:p w14:paraId="0154B69D">
            <w:pPr>
              <w:jc w:val="center"/>
            </w:pPr>
            <w:r>
              <w:rPr>
                <w:rFonts w:ascii="宋体" w:hAnsi="宋体"/>
                <w:color w:val="333333"/>
                <w:sz w:val="18"/>
              </w:rPr>
              <w:t>-291.5</w:t>
            </w:r>
          </w:p>
        </w:tc>
        <w:tc>
          <w:tcPr>
            <w:tcW w:w="1290" w:type="dxa"/>
            <w:tcBorders>
              <w:top w:val="single" w:color="CCCCCC" w:sz="4" w:space="0"/>
              <w:left w:val="single" w:color="CCCCCC" w:sz="4" w:space="0"/>
              <w:bottom w:val="single" w:color="CCCCCC" w:sz="4" w:space="0"/>
              <w:right w:val="single" w:color="CCCCCC" w:sz="4" w:space="0"/>
            </w:tcBorders>
            <w:shd w:val="clear" w:color="auto" w:fill="F8F9FA"/>
          </w:tcPr>
          <w:p w14:paraId="54FEB30F">
            <w:pPr>
              <w:jc w:val="center"/>
            </w:pPr>
            <w:r>
              <w:rPr>
                <w:rFonts w:ascii="宋体" w:hAnsi="宋体"/>
                <w:color w:val="333333"/>
                <w:sz w:val="18"/>
              </w:rPr>
              <w:t>-134.4</w:t>
            </w:r>
          </w:p>
        </w:tc>
        <w:tc>
          <w:tcPr>
            <w:tcW w:w="2180" w:type="dxa"/>
            <w:tcBorders>
              <w:top w:val="single" w:color="CCCCCC" w:sz="4" w:space="0"/>
              <w:left w:val="single" w:color="CCCCCC" w:sz="4" w:space="0"/>
              <w:bottom w:val="single" w:color="CCCCCC" w:sz="4" w:space="0"/>
              <w:right w:val="single" w:color="CCCCCC" w:sz="4" w:space="0"/>
            </w:tcBorders>
            <w:shd w:val="clear" w:color="auto" w:fill="F8F9FA"/>
          </w:tcPr>
          <w:p w14:paraId="3574C7DE">
            <w:pPr>
              <w:jc w:val="center"/>
            </w:pPr>
            <w:r>
              <w:rPr>
                <w:rFonts w:ascii="宋体" w:hAnsi="宋体"/>
                <w:color w:val="333333"/>
                <w:sz w:val="18"/>
              </w:rPr>
              <w:t>经营+/投资-/筹资-</w:t>
            </w:r>
          </w:p>
        </w:tc>
        <w:tc>
          <w:tcPr>
            <w:tcW w:w="1900" w:type="dxa"/>
            <w:tcBorders>
              <w:top w:val="single" w:color="CCCCCC" w:sz="4" w:space="0"/>
              <w:left w:val="single" w:color="CCCCCC" w:sz="4" w:space="0"/>
              <w:bottom w:val="single" w:color="CCCCCC" w:sz="4" w:space="0"/>
              <w:right w:val="single" w:color="CCCCCC" w:sz="4" w:space="0"/>
            </w:tcBorders>
            <w:shd w:val="clear" w:color="auto" w:fill="F8F9FA"/>
          </w:tcPr>
          <w:p w14:paraId="54AC56A3">
            <w:pPr>
              <w:jc w:val="center"/>
            </w:pPr>
            <w:r>
              <w:rPr>
                <w:rFonts w:ascii="宋体" w:hAnsi="宋体"/>
                <w:color w:val="333333"/>
                <w:sz w:val="18"/>
              </w:rPr>
              <w:t>成熟期典范</w:t>
            </w:r>
          </w:p>
        </w:tc>
      </w:tr>
      <w:tr w14:paraId="0E1208B8">
        <w:tblPrEx>
          <w:tblCellMar>
            <w:top w:w="0" w:type="dxa"/>
            <w:left w:w="108" w:type="dxa"/>
            <w:bottom w:w="0" w:type="dxa"/>
            <w:right w:w="108" w:type="dxa"/>
          </w:tblCellMar>
        </w:tblPrEx>
        <w:trPr>
          <w:jc w:val="center"/>
        </w:trPr>
        <w:tc>
          <w:tcPr>
            <w:tcW w:w="1120" w:type="dxa"/>
          </w:tcPr>
          <w:p w14:paraId="7D54F0E7">
            <w:pPr>
              <w:jc w:val="left"/>
            </w:pPr>
            <w:r>
              <w:rPr>
                <w:rFonts w:ascii="宋体" w:hAnsi="宋体"/>
                <w:color w:val="333333"/>
                <w:sz w:val="18"/>
              </w:rPr>
              <w:t>上汽集团</w:t>
            </w:r>
          </w:p>
        </w:tc>
        <w:tc>
          <w:tcPr>
            <w:tcW w:w="1350" w:type="dxa"/>
          </w:tcPr>
          <w:p w14:paraId="4441DAA2">
            <w:pPr>
              <w:jc w:val="center"/>
            </w:pPr>
            <w:r>
              <w:rPr>
                <w:rFonts w:ascii="宋体" w:hAnsi="宋体"/>
                <w:color w:val="333333"/>
                <w:sz w:val="18"/>
              </w:rPr>
              <w:t>343.1</w:t>
            </w:r>
          </w:p>
        </w:tc>
        <w:tc>
          <w:tcPr>
            <w:tcW w:w="1230" w:type="dxa"/>
          </w:tcPr>
          <w:p w14:paraId="555AE914">
            <w:pPr>
              <w:jc w:val="center"/>
            </w:pPr>
            <w:r>
              <w:rPr>
                <w:rFonts w:ascii="宋体" w:hAnsi="宋体"/>
                <w:color w:val="333333"/>
                <w:sz w:val="18"/>
              </w:rPr>
              <w:t>-275.6</w:t>
            </w:r>
          </w:p>
        </w:tc>
        <w:tc>
          <w:tcPr>
            <w:tcW w:w="1290" w:type="dxa"/>
          </w:tcPr>
          <w:p w14:paraId="4534214E">
            <w:pPr>
              <w:jc w:val="center"/>
            </w:pPr>
            <w:r>
              <w:rPr>
                <w:rFonts w:ascii="宋体" w:hAnsi="宋体"/>
                <w:color w:val="333333"/>
                <w:sz w:val="18"/>
              </w:rPr>
              <w:t>-532.2</w:t>
            </w:r>
          </w:p>
        </w:tc>
        <w:tc>
          <w:tcPr>
            <w:tcW w:w="2180" w:type="dxa"/>
          </w:tcPr>
          <w:p w14:paraId="389F4641">
            <w:pPr>
              <w:jc w:val="center"/>
            </w:pPr>
            <w:r>
              <w:rPr>
                <w:rFonts w:ascii="宋体" w:hAnsi="宋体"/>
                <w:color w:val="333333"/>
                <w:sz w:val="18"/>
              </w:rPr>
              <w:t>经营+/投资-/筹资-</w:t>
            </w:r>
          </w:p>
        </w:tc>
        <w:tc>
          <w:tcPr>
            <w:tcW w:w="1900" w:type="dxa"/>
          </w:tcPr>
          <w:p w14:paraId="201F2F01">
            <w:pPr>
              <w:jc w:val="center"/>
            </w:pPr>
            <w:r>
              <w:rPr>
                <w:rFonts w:ascii="宋体" w:hAnsi="宋体"/>
                <w:color w:val="333333"/>
                <w:sz w:val="18"/>
              </w:rPr>
              <w:t>成熟期（收缩杠杆）</w:t>
            </w:r>
          </w:p>
        </w:tc>
      </w:tr>
      <w:tr w14:paraId="06A7CECB">
        <w:tblPrEx>
          <w:tblCellMar>
            <w:top w:w="0" w:type="dxa"/>
            <w:left w:w="108" w:type="dxa"/>
            <w:bottom w:w="0" w:type="dxa"/>
            <w:right w:w="108" w:type="dxa"/>
          </w:tblCellMar>
        </w:tblPrEx>
        <w:trPr>
          <w:jc w:val="center"/>
        </w:trPr>
        <w:tc>
          <w:tcPr>
            <w:tcW w:w="1120" w:type="dxa"/>
            <w:tcBorders>
              <w:top w:val="single" w:color="CCCCCC" w:sz="4" w:space="0"/>
              <w:left w:val="single" w:color="CCCCCC" w:sz="4" w:space="0"/>
              <w:bottom w:val="single" w:color="CCCCCC" w:sz="4" w:space="0"/>
              <w:right w:val="single" w:color="CCCCCC" w:sz="4" w:space="0"/>
            </w:tcBorders>
            <w:shd w:val="clear" w:color="auto" w:fill="F8F9FA"/>
          </w:tcPr>
          <w:p w14:paraId="038EADC8">
            <w:pPr>
              <w:jc w:val="left"/>
            </w:pPr>
            <w:r>
              <w:rPr>
                <w:rFonts w:ascii="宋体" w:hAnsi="宋体"/>
                <w:color w:val="333333"/>
                <w:sz w:val="18"/>
              </w:rPr>
              <w:t>长安汽车</w:t>
            </w:r>
          </w:p>
        </w:tc>
        <w:tc>
          <w:tcPr>
            <w:tcW w:w="1350" w:type="dxa"/>
            <w:tcBorders>
              <w:top w:val="single" w:color="CCCCCC" w:sz="4" w:space="0"/>
              <w:left w:val="single" w:color="CCCCCC" w:sz="4" w:space="0"/>
              <w:bottom w:val="single" w:color="CCCCCC" w:sz="4" w:space="0"/>
              <w:right w:val="single" w:color="CCCCCC" w:sz="4" w:space="0"/>
            </w:tcBorders>
            <w:shd w:val="clear" w:color="auto" w:fill="F8F9FA"/>
          </w:tcPr>
          <w:p w14:paraId="0DD229D1">
            <w:pPr>
              <w:jc w:val="center"/>
            </w:pPr>
            <w:r>
              <w:rPr>
                <w:rFonts w:ascii="宋体" w:hAnsi="宋体"/>
                <w:color w:val="333333"/>
                <w:sz w:val="18"/>
              </w:rPr>
              <w:t>18.4</w:t>
            </w:r>
          </w:p>
        </w:tc>
        <w:tc>
          <w:tcPr>
            <w:tcW w:w="1230" w:type="dxa"/>
            <w:tcBorders>
              <w:top w:val="single" w:color="CCCCCC" w:sz="4" w:space="0"/>
              <w:left w:val="single" w:color="CCCCCC" w:sz="4" w:space="0"/>
              <w:bottom w:val="single" w:color="CCCCCC" w:sz="4" w:space="0"/>
              <w:right w:val="single" w:color="CCCCCC" w:sz="4" w:space="0"/>
            </w:tcBorders>
            <w:shd w:val="clear" w:color="auto" w:fill="F8F9FA"/>
          </w:tcPr>
          <w:p w14:paraId="48D86FD8">
            <w:pPr>
              <w:jc w:val="center"/>
            </w:pPr>
            <w:r>
              <w:rPr>
                <w:rFonts w:ascii="宋体" w:hAnsi="宋体"/>
                <w:color w:val="333333"/>
                <w:sz w:val="18"/>
              </w:rPr>
              <w:t>-122.2</w:t>
            </w:r>
          </w:p>
        </w:tc>
        <w:tc>
          <w:tcPr>
            <w:tcW w:w="1290" w:type="dxa"/>
            <w:tcBorders>
              <w:top w:val="single" w:color="CCCCCC" w:sz="4" w:space="0"/>
              <w:left w:val="single" w:color="CCCCCC" w:sz="4" w:space="0"/>
              <w:bottom w:val="single" w:color="CCCCCC" w:sz="4" w:space="0"/>
              <w:right w:val="single" w:color="CCCCCC" w:sz="4" w:space="0"/>
            </w:tcBorders>
            <w:shd w:val="clear" w:color="auto" w:fill="F8F9FA"/>
          </w:tcPr>
          <w:p w14:paraId="25BC74B1">
            <w:pPr>
              <w:jc w:val="center"/>
            </w:pPr>
            <w:r>
              <w:rPr>
                <w:rFonts w:ascii="宋体" w:hAnsi="宋体"/>
                <w:color w:val="333333"/>
                <w:sz w:val="18"/>
              </w:rPr>
              <w:t>-1.9</w:t>
            </w:r>
          </w:p>
        </w:tc>
        <w:tc>
          <w:tcPr>
            <w:tcW w:w="2180" w:type="dxa"/>
            <w:tcBorders>
              <w:top w:val="single" w:color="CCCCCC" w:sz="4" w:space="0"/>
              <w:left w:val="single" w:color="CCCCCC" w:sz="4" w:space="0"/>
              <w:bottom w:val="single" w:color="CCCCCC" w:sz="4" w:space="0"/>
              <w:right w:val="single" w:color="CCCCCC" w:sz="4" w:space="0"/>
            </w:tcBorders>
            <w:shd w:val="clear" w:color="auto" w:fill="F8F9FA"/>
          </w:tcPr>
          <w:p w14:paraId="549E8274">
            <w:pPr>
              <w:jc w:val="center"/>
            </w:pPr>
            <w:r>
              <w:rPr>
                <w:rFonts w:ascii="宋体" w:hAnsi="宋体"/>
                <w:color w:val="333333"/>
                <w:sz w:val="18"/>
              </w:rPr>
              <w:t>经营+/投资-/筹资-</w:t>
            </w:r>
          </w:p>
        </w:tc>
        <w:tc>
          <w:tcPr>
            <w:tcW w:w="1900" w:type="dxa"/>
            <w:tcBorders>
              <w:top w:val="single" w:color="CCCCCC" w:sz="4" w:space="0"/>
              <w:left w:val="single" w:color="CCCCCC" w:sz="4" w:space="0"/>
              <w:bottom w:val="single" w:color="CCCCCC" w:sz="4" w:space="0"/>
              <w:right w:val="single" w:color="CCCCCC" w:sz="4" w:space="0"/>
            </w:tcBorders>
            <w:shd w:val="clear" w:color="auto" w:fill="F8F9FA"/>
          </w:tcPr>
          <w:p w14:paraId="13CCBE9E">
            <w:pPr>
              <w:jc w:val="center"/>
            </w:pPr>
            <w:r>
              <w:rPr>
                <w:rFonts w:ascii="宋体" w:hAnsi="宋体"/>
                <w:color w:val="333333"/>
                <w:sz w:val="18"/>
              </w:rPr>
              <w:t>成熟期（造血偏弱）</w:t>
            </w:r>
          </w:p>
        </w:tc>
      </w:tr>
      <w:tr w14:paraId="42D9E59D">
        <w:tblPrEx>
          <w:tblCellMar>
            <w:top w:w="0" w:type="dxa"/>
            <w:left w:w="108" w:type="dxa"/>
            <w:bottom w:w="0" w:type="dxa"/>
            <w:right w:w="108" w:type="dxa"/>
          </w:tblCellMar>
        </w:tblPrEx>
        <w:trPr>
          <w:jc w:val="center"/>
        </w:trPr>
        <w:tc>
          <w:tcPr>
            <w:tcW w:w="1120" w:type="dxa"/>
          </w:tcPr>
          <w:p w14:paraId="38121553">
            <w:pPr>
              <w:jc w:val="left"/>
            </w:pPr>
            <w:r>
              <w:rPr>
                <w:rFonts w:ascii="宋体" w:hAnsi="宋体"/>
                <w:color w:val="333333"/>
                <w:sz w:val="18"/>
              </w:rPr>
              <w:t>江淮汽车</w:t>
            </w:r>
          </w:p>
        </w:tc>
        <w:tc>
          <w:tcPr>
            <w:tcW w:w="1350" w:type="dxa"/>
          </w:tcPr>
          <w:p w14:paraId="1EC9552B">
            <w:pPr>
              <w:jc w:val="center"/>
            </w:pPr>
            <w:r>
              <w:rPr>
                <w:rFonts w:ascii="宋体" w:hAnsi="宋体"/>
                <w:color w:val="333333"/>
                <w:sz w:val="18"/>
              </w:rPr>
              <w:t>34.0</w:t>
            </w:r>
          </w:p>
        </w:tc>
        <w:tc>
          <w:tcPr>
            <w:tcW w:w="1230" w:type="dxa"/>
          </w:tcPr>
          <w:p w14:paraId="5392C219">
            <w:pPr>
              <w:jc w:val="center"/>
            </w:pPr>
            <w:r>
              <w:rPr>
                <w:rFonts w:ascii="宋体" w:hAnsi="宋体"/>
                <w:color w:val="333333"/>
                <w:sz w:val="18"/>
              </w:rPr>
              <w:t>10.6</w:t>
            </w:r>
          </w:p>
        </w:tc>
        <w:tc>
          <w:tcPr>
            <w:tcW w:w="1290" w:type="dxa"/>
          </w:tcPr>
          <w:p w14:paraId="47503D95">
            <w:pPr>
              <w:jc w:val="center"/>
            </w:pPr>
            <w:r>
              <w:rPr>
                <w:rFonts w:ascii="宋体" w:hAnsi="宋体"/>
                <w:color w:val="333333"/>
                <w:sz w:val="18"/>
              </w:rPr>
              <w:t>-17.1</w:t>
            </w:r>
          </w:p>
        </w:tc>
        <w:tc>
          <w:tcPr>
            <w:tcW w:w="2180" w:type="dxa"/>
          </w:tcPr>
          <w:p w14:paraId="42C547AA">
            <w:pPr>
              <w:jc w:val="center"/>
            </w:pPr>
            <w:r>
              <w:rPr>
                <w:rFonts w:ascii="宋体" w:hAnsi="宋体"/>
                <w:color w:val="333333"/>
                <w:sz w:val="18"/>
              </w:rPr>
              <w:t>经营+/投资+/筹资-</w:t>
            </w:r>
          </w:p>
        </w:tc>
        <w:tc>
          <w:tcPr>
            <w:tcW w:w="1900" w:type="dxa"/>
          </w:tcPr>
          <w:p w14:paraId="4E2271F0">
            <w:pPr>
              <w:jc w:val="center"/>
            </w:pPr>
            <w:r>
              <w:rPr>
                <w:rFonts w:ascii="宋体" w:hAnsi="宋体"/>
                <w:color w:val="333333"/>
                <w:sz w:val="18"/>
              </w:rPr>
              <w:t>成熟期</w:t>
            </w:r>
          </w:p>
        </w:tc>
      </w:tr>
      <w:tr w14:paraId="6D23736C">
        <w:tblPrEx>
          <w:tblCellMar>
            <w:top w:w="0" w:type="dxa"/>
            <w:left w:w="108" w:type="dxa"/>
            <w:bottom w:w="0" w:type="dxa"/>
            <w:right w:w="108" w:type="dxa"/>
          </w:tblCellMar>
        </w:tblPrEx>
        <w:trPr>
          <w:jc w:val="center"/>
        </w:trPr>
        <w:tc>
          <w:tcPr>
            <w:tcW w:w="1120" w:type="dxa"/>
            <w:tcBorders>
              <w:top w:val="single" w:color="CCCCCC" w:sz="4" w:space="0"/>
              <w:left w:val="single" w:color="CCCCCC" w:sz="4" w:space="0"/>
              <w:bottom w:val="single" w:color="CCCCCC" w:sz="4" w:space="0"/>
              <w:right w:val="single" w:color="CCCCCC" w:sz="4" w:space="0"/>
            </w:tcBorders>
            <w:shd w:val="clear" w:color="auto" w:fill="F8F9FA"/>
          </w:tcPr>
          <w:p w14:paraId="75D4DF74">
            <w:pPr>
              <w:jc w:val="left"/>
            </w:pPr>
            <w:r>
              <w:rPr>
                <w:rFonts w:ascii="宋体" w:hAnsi="宋体"/>
                <w:color w:val="333333"/>
                <w:sz w:val="18"/>
              </w:rPr>
              <w:t>广汽集团</w:t>
            </w:r>
          </w:p>
        </w:tc>
        <w:tc>
          <w:tcPr>
            <w:tcW w:w="1350" w:type="dxa"/>
            <w:tcBorders>
              <w:top w:val="single" w:color="CCCCCC" w:sz="4" w:space="0"/>
              <w:left w:val="single" w:color="CCCCCC" w:sz="4" w:space="0"/>
              <w:bottom w:val="single" w:color="CCCCCC" w:sz="4" w:space="0"/>
              <w:right w:val="single" w:color="CCCCCC" w:sz="4" w:space="0"/>
            </w:tcBorders>
            <w:shd w:val="clear" w:color="auto" w:fill="F8F9FA"/>
          </w:tcPr>
          <w:p w14:paraId="23AB56EC">
            <w:pPr>
              <w:jc w:val="center"/>
            </w:pPr>
            <w:r>
              <w:rPr>
                <w:rFonts w:ascii="宋体" w:hAnsi="宋体"/>
                <w:color w:val="333333"/>
                <w:sz w:val="18"/>
              </w:rPr>
              <w:t>-150.3</w:t>
            </w:r>
          </w:p>
        </w:tc>
        <w:tc>
          <w:tcPr>
            <w:tcW w:w="1230" w:type="dxa"/>
            <w:tcBorders>
              <w:top w:val="single" w:color="CCCCCC" w:sz="4" w:space="0"/>
              <w:left w:val="single" w:color="CCCCCC" w:sz="4" w:space="0"/>
              <w:bottom w:val="single" w:color="CCCCCC" w:sz="4" w:space="0"/>
              <w:right w:val="single" w:color="CCCCCC" w:sz="4" w:space="0"/>
            </w:tcBorders>
            <w:shd w:val="clear" w:color="auto" w:fill="F8F9FA"/>
          </w:tcPr>
          <w:p w14:paraId="387463F6">
            <w:pPr>
              <w:jc w:val="center"/>
            </w:pPr>
            <w:r>
              <w:rPr>
                <w:rFonts w:ascii="宋体" w:hAnsi="宋体"/>
                <w:color w:val="333333"/>
                <w:sz w:val="18"/>
              </w:rPr>
              <w:t>-56.4</w:t>
            </w:r>
          </w:p>
        </w:tc>
        <w:tc>
          <w:tcPr>
            <w:tcW w:w="1290" w:type="dxa"/>
            <w:tcBorders>
              <w:top w:val="single" w:color="CCCCCC" w:sz="4" w:space="0"/>
              <w:left w:val="single" w:color="CCCCCC" w:sz="4" w:space="0"/>
              <w:bottom w:val="single" w:color="CCCCCC" w:sz="4" w:space="0"/>
              <w:right w:val="single" w:color="CCCCCC" w:sz="4" w:space="0"/>
            </w:tcBorders>
            <w:shd w:val="clear" w:color="auto" w:fill="F8F9FA"/>
          </w:tcPr>
          <w:p w14:paraId="119AB3C3">
            <w:pPr>
              <w:jc w:val="center"/>
            </w:pPr>
            <w:r>
              <w:rPr>
                <w:rFonts w:ascii="宋体" w:hAnsi="宋体"/>
                <w:color w:val="333333"/>
                <w:sz w:val="18"/>
              </w:rPr>
              <w:t>55.1</w:t>
            </w:r>
          </w:p>
        </w:tc>
        <w:tc>
          <w:tcPr>
            <w:tcW w:w="2180" w:type="dxa"/>
            <w:tcBorders>
              <w:top w:val="single" w:color="CCCCCC" w:sz="4" w:space="0"/>
              <w:left w:val="single" w:color="CCCCCC" w:sz="4" w:space="0"/>
              <w:bottom w:val="single" w:color="CCCCCC" w:sz="4" w:space="0"/>
              <w:right w:val="single" w:color="CCCCCC" w:sz="4" w:space="0"/>
            </w:tcBorders>
            <w:shd w:val="clear" w:color="auto" w:fill="F8F9FA"/>
          </w:tcPr>
          <w:p w14:paraId="52F2AC1B">
            <w:pPr>
              <w:jc w:val="center"/>
            </w:pPr>
            <w:r>
              <w:rPr>
                <w:rFonts w:ascii="宋体" w:hAnsi="宋体"/>
                <w:color w:val="333333"/>
                <w:sz w:val="18"/>
              </w:rPr>
              <w:t>经营-/投资-/筹资+</w:t>
            </w:r>
          </w:p>
        </w:tc>
        <w:tc>
          <w:tcPr>
            <w:tcW w:w="1900" w:type="dxa"/>
            <w:tcBorders>
              <w:top w:val="single" w:color="CCCCCC" w:sz="4" w:space="0"/>
              <w:left w:val="single" w:color="CCCCCC" w:sz="4" w:space="0"/>
              <w:bottom w:val="single" w:color="CCCCCC" w:sz="4" w:space="0"/>
              <w:right w:val="single" w:color="CCCCCC" w:sz="4" w:space="0"/>
            </w:tcBorders>
            <w:shd w:val="clear" w:color="auto" w:fill="F8F9FA"/>
          </w:tcPr>
          <w:p w14:paraId="45440D28">
            <w:pPr>
              <w:jc w:val="center"/>
            </w:pPr>
            <w:r>
              <w:rPr>
                <w:rFonts w:ascii="宋体" w:hAnsi="宋体"/>
                <w:color w:val="333333"/>
                <w:sz w:val="18"/>
              </w:rPr>
              <w:t>需关注</w:t>
            </w:r>
          </w:p>
        </w:tc>
      </w:tr>
      <w:tr w14:paraId="56E18755">
        <w:tblPrEx>
          <w:tblCellMar>
            <w:top w:w="0" w:type="dxa"/>
            <w:left w:w="108" w:type="dxa"/>
            <w:bottom w:w="0" w:type="dxa"/>
            <w:right w:w="108" w:type="dxa"/>
          </w:tblCellMar>
        </w:tblPrEx>
        <w:trPr>
          <w:jc w:val="center"/>
        </w:trPr>
        <w:tc>
          <w:tcPr>
            <w:tcW w:w="1120" w:type="dxa"/>
          </w:tcPr>
          <w:p w14:paraId="70D9E251">
            <w:pPr>
              <w:jc w:val="left"/>
            </w:pPr>
            <w:r>
              <w:rPr>
                <w:rFonts w:ascii="宋体" w:hAnsi="宋体"/>
                <w:color w:val="333333"/>
                <w:sz w:val="18"/>
              </w:rPr>
              <w:t>北汽蓝谷</w:t>
            </w:r>
          </w:p>
        </w:tc>
        <w:tc>
          <w:tcPr>
            <w:tcW w:w="1350" w:type="dxa"/>
          </w:tcPr>
          <w:p w14:paraId="739E1088">
            <w:pPr>
              <w:jc w:val="center"/>
            </w:pPr>
            <w:r>
              <w:rPr>
                <w:rFonts w:ascii="宋体" w:hAnsi="宋体"/>
                <w:color w:val="333333"/>
                <w:sz w:val="18"/>
              </w:rPr>
              <w:t>19.3</w:t>
            </w:r>
          </w:p>
        </w:tc>
        <w:tc>
          <w:tcPr>
            <w:tcW w:w="1230" w:type="dxa"/>
          </w:tcPr>
          <w:p w14:paraId="4F89F827">
            <w:pPr>
              <w:jc w:val="center"/>
            </w:pPr>
            <w:r>
              <w:rPr>
                <w:rFonts w:ascii="宋体" w:hAnsi="宋体"/>
                <w:color w:val="333333"/>
                <w:sz w:val="18"/>
              </w:rPr>
              <w:t>-29.7</w:t>
            </w:r>
          </w:p>
        </w:tc>
        <w:tc>
          <w:tcPr>
            <w:tcW w:w="1290" w:type="dxa"/>
          </w:tcPr>
          <w:p w14:paraId="3C7CFDF3">
            <w:pPr>
              <w:jc w:val="center"/>
            </w:pPr>
            <w:r>
              <w:rPr>
                <w:rFonts w:ascii="宋体" w:hAnsi="宋体"/>
                <w:color w:val="333333"/>
                <w:sz w:val="18"/>
              </w:rPr>
              <w:t>-26.1</w:t>
            </w:r>
          </w:p>
        </w:tc>
        <w:tc>
          <w:tcPr>
            <w:tcW w:w="2180" w:type="dxa"/>
          </w:tcPr>
          <w:p w14:paraId="31B44A1B">
            <w:pPr>
              <w:jc w:val="center"/>
            </w:pPr>
            <w:r>
              <w:rPr>
                <w:rFonts w:ascii="宋体" w:hAnsi="宋体"/>
                <w:color w:val="333333"/>
                <w:sz w:val="18"/>
              </w:rPr>
              <w:t>经营+/投资-/筹资-</w:t>
            </w:r>
          </w:p>
        </w:tc>
        <w:tc>
          <w:tcPr>
            <w:tcW w:w="1900" w:type="dxa"/>
          </w:tcPr>
          <w:p w14:paraId="3909CB02">
            <w:pPr>
              <w:jc w:val="center"/>
            </w:pPr>
            <w:r>
              <w:rPr>
                <w:rFonts w:ascii="宋体" w:hAnsi="宋体"/>
                <w:color w:val="333333"/>
                <w:sz w:val="18"/>
              </w:rPr>
              <w:t>需关注</w:t>
            </w:r>
          </w:p>
        </w:tc>
      </w:tr>
    </w:tbl>
    <w:p w14:paraId="4C9118BA">
      <w:pPr>
        <w:spacing w:after="80"/>
      </w:pPr>
    </w:p>
    <w:p w14:paraId="45BA671C">
      <w:pPr>
        <w:spacing w:after="40" w:line="360" w:lineRule="auto"/>
        <w:ind w:firstLine="420"/>
      </w:pPr>
      <w:r>
        <w:rPr>
          <w:rFonts w:ascii="宋体" w:hAnsi="宋体"/>
          <w:b w:val="0"/>
          <w:sz w:val="24"/>
        </w:rPr>
        <w:t>"经营+/投资-/筹资+"为成长期特征——赛力斯经营净流入289.1亿元但不足以覆盖投资，需外部筹资182.8亿元。"经营+/投资-/筹资-"为成熟期特征——长城汽车404亿元经营净流入同时覆盖292亿投资和134亿偿债，无需外部融资，是成熟期典范。长安汽车经营净流入仅18.4亿元，虽为正但规模偏小，是"造血偏弱"型成熟期。广汽集团经营净流出-150.3亿元，是唯一经营现金流为负的企业，经营业务本身消耗现金，依赖筹资维持运营，现金流组合进入需关注区间。现金流组合比利润更能揭示本质：赛力斯高ROE伴随后续融资需求，长城汽车高ROE伴随自给自足的现金流——两者的增长质量存在根本区别。</w:t>
      </w:r>
    </w:p>
    <w:p w14:paraId="6DF59B12">
      <w:pPr>
        <w:spacing w:before="240" w:after="120"/>
        <w:outlineLvl w:val="1"/>
      </w:pPr>
      <w:r>
        <w:rPr>
          <w:rFonts w:ascii="黑体" w:hAnsi="黑体"/>
          <w:b/>
          <w:color w:val="000000"/>
          <w:sz w:val="28"/>
        </w:rPr>
        <w:t>（六）NEV行业景气度与财务联动分析</w:t>
      </w:r>
    </w:p>
    <w:p w14:paraId="23956B06">
      <w:pPr>
        <w:spacing w:after="40" w:line="360" w:lineRule="auto"/>
        <w:ind w:firstLine="420"/>
      </w:pPr>
      <w:r>
        <w:rPr>
          <w:rFonts w:ascii="宋体" w:hAnsi="宋体"/>
          <w:b w:val="0"/>
          <w:sz w:val="24"/>
        </w:rPr>
        <w:t>1. NEV市场景气度。中国新能源汽车市场经历了补贴驱动期（2016-2019）、疫情复苏期（2020-2021）和爆发增长期（2022-2025）三个阶段，2025年渗透率首次突破50%。当前月销量120-130万辆，同比增速从100%以上回落至20%-30%，行业高景气但增速放缓。</w:t>
      </w:r>
    </w:p>
    <w:p w14:paraId="7B2584AF">
      <w:pPr>
        <w:jc w:val="center"/>
      </w:pPr>
      <w:r>
        <w:drawing>
          <wp:inline distT="0" distB="0" distL="114300" distR="114300">
            <wp:extent cx="5399405" cy="2341880"/>
            <wp:effectExtent l="0" t="0" r="1079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400000" cy="2342114"/>
                    </a:xfrm>
                    <a:prstGeom prst="rect">
                      <a:avLst/>
                    </a:prstGeom>
                  </pic:spPr>
                </pic:pic>
              </a:graphicData>
            </a:graphic>
          </wp:inline>
        </w:drawing>
      </w:r>
    </w:p>
    <w:p w14:paraId="75D975B9">
      <w:pPr>
        <w:spacing w:after="120"/>
        <w:jc w:val="center"/>
      </w:pPr>
      <w:r>
        <w:rPr>
          <w:rFonts w:ascii="宋体" w:hAnsi="宋体"/>
          <w:sz w:val="18"/>
        </w:rPr>
        <w:t>图12  中国NEV月度产销量趋势（2016-2025）</w:t>
      </w:r>
    </w:p>
    <w:p w14:paraId="4EDBAE64">
      <w:pPr>
        <w:jc w:val="center"/>
      </w:pPr>
      <w:r>
        <w:drawing>
          <wp:inline distT="0" distB="0" distL="114300" distR="114300">
            <wp:extent cx="5399405" cy="2292350"/>
            <wp:effectExtent l="0" t="0" r="1079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400000" cy="2292795"/>
                    </a:xfrm>
                    <a:prstGeom prst="rect">
                      <a:avLst/>
                    </a:prstGeom>
                  </pic:spPr>
                </pic:pic>
              </a:graphicData>
            </a:graphic>
          </wp:inline>
        </w:drawing>
      </w:r>
    </w:p>
    <w:p w14:paraId="65313286">
      <w:pPr>
        <w:spacing w:after="120"/>
        <w:jc w:val="center"/>
      </w:pPr>
      <w:r>
        <w:rPr>
          <w:rFonts w:ascii="宋体" w:hAnsi="宋体"/>
          <w:sz w:val="18"/>
        </w:rPr>
        <w:t>图13  NEV年度销量及同比增速</w:t>
      </w:r>
    </w:p>
    <w:p w14:paraId="74EB459C">
      <w:pPr>
        <w:jc w:val="center"/>
      </w:pPr>
      <w:r>
        <w:drawing>
          <wp:inline distT="0" distB="0" distL="114300" distR="114300">
            <wp:extent cx="5399405" cy="2002790"/>
            <wp:effectExtent l="0" t="0" r="1079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400000" cy="2003189"/>
                    </a:xfrm>
                    <a:prstGeom prst="rect">
                      <a:avLst/>
                    </a:prstGeom>
                  </pic:spPr>
                </pic:pic>
              </a:graphicData>
            </a:graphic>
          </wp:inline>
        </w:drawing>
      </w:r>
    </w:p>
    <w:p w14:paraId="71B6265D">
      <w:pPr>
        <w:spacing w:after="120"/>
        <w:jc w:val="center"/>
      </w:pPr>
      <w:r>
        <w:rPr>
          <w:rFonts w:ascii="宋体" w:hAnsi="宋体"/>
          <w:sz w:val="18"/>
        </w:rPr>
        <w:t>图14  NEV月度渗透率趋势</w:t>
      </w:r>
    </w:p>
    <w:p w14:paraId="793C6098">
      <w:pPr>
        <w:spacing w:after="40" w:line="360" w:lineRule="auto"/>
        <w:ind w:firstLine="420"/>
      </w:pPr>
      <w:r>
        <w:rPr>
          <w:rFonts w:ascii="宋体" w:hAnsi="宋体"/>
          <w:b w:val="0"/>
          <w:sz w:val="24"/>
        </w:rPr>
        <w:t>2. 企业增速偏离度。赛力斯2022-2024年增速远超行业大盘（偏离度为正），但2025年偏离度显著收窄至行业均值附近，高增长阶段可能见顶。长安汽车持续跑输行业NEV增速（偏离度为负），新能源加速（~26%）但燃油车基本盘拖累总增速。</w:t>
      </w:r>
    </w:p>
    <w:p w14:paraId="78C7E484">
      <w:pPr>
        <w:jc w:val="center"/>
      </w:pPr>
      <w:r>
        <w:drawing>
          <wp:inline distT="0" distB="0" distL="114300" distR="114300">
            <wp:extent cx="5399405" cy="2345055"/>
            <wp:effectExtent l="0" t="0" r="1079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400000" cy="2345363"/>
                    </a:xfrm>
                    <a:prstGeom prst="rect">
                      <a:avLst/>
                    </a:prstGeom>
                  </pic:spPr>
                </pic:pic>
              </a:graphicData>
            </a:graphic>
          </wp:inline>
        </w:drawing>
      </w:r>
    </w:p>
    <w:p w14:paraId="752CD7E4">
      <w:pPr>
        <w:spacing w:after="120"/>
        <w:jc w:val="center"/>
      </w:pPr>
      <w:r>
        <w:rPr>
          <w:rFonts w:ascii="宋体" w:hAnsi="宋体"/>
          <w:sz w:val="18"/>
        </w:rPr>
        <w:t>图15  赛力斯·长安与行业NEV增速对标</w:t>
      </w:r>
    </w:p>
    <w:p w14:paraId="1A4D6927">
      <w:pPr>
        <w:spacing w:after="40" w:line="360" w:lineRule="auto"/>
        <w:ind w:firstLine="420"/>
      </w:pPr>
      <w:r>
        <w:rPr>
          <w:rFonts w:ascii="宋体" w:hAnsi="宋体"/>
          <w:b w:val="0"/>
          <w:sz w:val="24"/>
        </w:rPr>
        <w:t>3. 季度结构深度分析。长安新能源占比从2023Q1的5.8%升至2025Q4的27.3%（+21.5pp），深蓝品牌增长最为显著。赛力斯问界占比从2022Q1的30.4%飙升至2025Q4的93.8%（+63.4pp），Q4冲量效应显著（2024Q4销量14.5万辆为全年峰值）。</w:t>
      </w:r>
    </w:p>
    <w:p w14:paraId="73624889">
      <w:pPr>
        <w:jc w:val="center"/>
      </w:pPr>
      <w:r>
        <w:drawing>
          <wp:inline distT="0" distB="0" distL="114300" distR="114300">
            <wp:extent cx="5399405" cy="3787140"/>
            <wp:effectExtent l="0" t="0" r="1079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400000" cy="3787248"/>
                    </a:xfrm>
                    <a:prstGeom prst="rect">
                      <a:avLst/>
                    </a:prstGeom>
                  </pic:spPr>
                </pic:pic>
              </a:graphicData>
            </a:graphic>
          </wp:inline>
        </w:drawing>
      </w:r>
    </w:p>
    <w:p w14:paraId="2B002D8C">
      <w:pPr>
        <w:spacing w:after="120"/>
        <w:jc w:val="center"/>
      </w:pPr>
      <w:r>
        <w:rPr>
          <w:rFonts w:ascii="宋体" w:hAnsi="宋体"/>
          <w:sz w:val="18"/>
        </w:rPr>
        <w:t>图16  长安汽车季度销量结构</w:t>
      </w:r>
    </w:p>
    <w:p w14:paraId="7E585906">
      <w:pPr>
        <w:jc w:val="center"/>
      </w:pPr>
      <w:r>
        <w:drawing>
          <wp:inline distT="0" distB="0" distL="114300" distR="114300">
            <wp:extent cx="5399405" cy="3444875"/>
            <wp:effectExtent l="0" t="0" r="10795"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400000" cy="3445218"/>
                    </a:xfrm>
                    <a:prstGeom prst="rect">
                      <a:avLst/>
                    </a:prstGeom>
                  </pic:spPr>
                </pic:pic>
              </a:graphicData>
            </a:graphic>
          </wp:inline>
        </w:drawing>
      </w:r>
    </w:p>
    <w:p w14:paraId="1E415278">
      <w:pPr>
        <w:spacing w:after="120"/>
        <w:jc w:val="center"/>
      </w:pPr>
      <w:r>
        <w:rPr>
          <w:rFonts w:ascii="宋体" w:hAnsi="宋体"/>
          <w:sz w:val="18"/>
        </w:rPr>
        <w:t>图17  赛力斯季度销量结构</w:t>
      </w:r>
    </w:p>
    <w:p w14:paraId="473457DB">
      <w:pPr>
        <w:jc w:val="center"/>
      </w:pPr>
      <w:r>
        <w:drawing>
          <wp:inline distT="0" distB="0" distL="114300" distR="114300">
            <wp:extent cx="5399405" cy="3785235"/>
            <wp:effectExtent l="0" t="0" r="1079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400000" cy="3785660"/>
                    </a:xfrm>
                    <a:prstGeom prst="rect">
                      <a:avLst/>
                    </a:prstGeom>
                  </pic:spPr>
                </pic:pic>
              </a:graphicData>
            </a:graphic>
          </wp:inline>
        </w:drawing>
      </w:r>
    </w:p>
    <w:p w14:paraId="21644773">
      <w:pPr>
        <w:spacing w:after="120"/>
        <w:jc w:val="center"/>
      </w:pPr>
      <w:r>
        <w:rPr>
          <w:rFonts w:ascii="宋体" w:hAnsi="宋体"/>
          <w:sz w:val="18"/>
        </w:rPr>
        <w:t>图18  长安vs赛力斯季度全面对标</w:t>
      </w:r>
    </w:p>
    <w:p w14:paraId="64DEBA75">
      <w:pPr>
        <w:spacing w:after="40" w:line="360" w:lineRule="auto"/>
        <w:ind w:firstLine="420"/>
      </w:pPr>
      <w:r>
        <w:rPr>
          <w:rFonts w:ascii="宋体" w:hAnsi="宋体"/>
          <w:b w:val="0"/>
          <w:sz w:val="24"/>
        </w:rPr>
        <w:t>4. 月度季节性模式。年末冲量效应与Q4财务指标波动高度同步（12月峰值，2月谷底）。赛力斯Q4冲量幅度远超行业（环比&gt;40%），是毛利率和ROE季节性波动的重要外部驱动。同比增速换挡趋势明显（100%+→20%-30%），企业成长性将更多依赖份额争夺而非行业β。</w:t>
      </w:r>
    </w:p>
    <w:p w14:paraId="1FA82580">
      <w:pPr>
        <w:jc w:val="center"/>
      </w:pPr>
      <w:r>
        <w:drawing>
          <wp:inline distT="0" distB="0" distL="114300" distR="114300">
            <wp:extent cx="5399405" cy="3362325"/>
            <wp:effectExtent l="0" t="0" r="1079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400000" cy="3362585"/>
                    </a:xfrm>
                    <a:prstGeom prst="rect">
                      <a:avLst/>
                    </a:prstGeom>
                  </pic:spPr>
                </pic:pic>
              </a:graphicData>
            </a:graphic>
          </wp:inline>
        </w:drawing>
      </w:r>
    </w:p>
    <w:p w14:paraId="04C3E691">
      <w:pPr>
        <w:spacing w:after="120"/>
        <w:jc w:val="center"/>
      </w:pPr>
      <w:r>
        <w:rPr>
          <w:rFonts w:ascii="宋体" w:hAnsi="宋体"/>
          <w:sz w:val="18"/>
        </w:rPr>
        <w:t>图19  NEV月度销量季节性热力图</w:t>
      </w:r>
    </w:p>
    <w:p w14:paraId="32A9A045">
      <w:pPr>
        <w:jc w:val="center"/>
      </w:pPr>
      <w:r>
        <w:drawing>
          <wp:inline distT="0" distB="0" distL="114300" distR="114300">
            <wp:extent cx="5399405" cy="2011045"/>
            <wp:effectExtent l="0" t="0" r="1079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400000" cy="2011364"/>
                    </a:xfrm>
                    <a:prstGeom prst="rect">
                      <a:avLst/>
                    </a:prstGeom>
                  </pic:spPr>
                </pic:pic>
              </a:graphicData>
            </a:graphic>
          </wp:inline>
        </w:drawing>
      </w:r>
    </w:p>
    <w:p w14:paraId="6B7C61E1">
      <w:pPr>
        <w:spacing w:after="120"/>
        <w:jc w:val="center"/>
      </w:pPr>
      <w:r>
        <w:rPr>
          <w:rFonts w:ascii="宋体" w:hAnsi="宋体"/>
          <w:sz w:val="18"/>
        </w:rPr>
        <w:t>图20  NEV月度同比增速曲线</w:t>
      </w:r>
    </w:p>
    <w:p w14:paraId="235BC93B">
      <w:pPr>
        <w:spacing w:after="40" w:line="360" w:lineRule="auto"/>
        <w:ind w:firstLine="420"/>
      </w:pPr>
      <w:r>
        <w:rPr>
          <w:rFonts w:ascii="宋体" w:hAnsi="宋体"/>
          <w:b w:val="0"/>
          <w:sz w:val="24"/>
        </w:rPr>
        <w:t>5. 联动小结。赛力斯前期超涨后偏离度收窄，先发优势弱化，高ROE可持续性面临增速放缓考验。长安长期跑输行业，但多品牌均衡提供抗风险缓冲。Q4冲量拉高年末财务虚值在年初消退。行业增速换挡至20%-30%意味着两种模式都面临从"跑马圈地"到"精耕细作"的范式转换，分析焦点应从增长性指标转向效率性指标。</w:t>
      </w:r>
    </w:p>
    <w:p w14:paraId="7DD58528">
      <w:pPr>
        <w:spacing w:before="240" w:after="120"/>
        <w:outlineLvl w:val="1"/>
      </w:pPr>
      <w:r>
        <w:rPr>
          <w:rFonts w:ascii="黑体" w:hAnsi="黑体"/>
          <w:b/>
          <w:color w:val="000000"/>
          <w:sz w:val="28"/>
        </w:rPr>
        <w:t>（七）Z-score与沃尔评分</w:t>
      </w:r>
    </w:p>
    <w:p w14:paraId="3C6322B2">
      <w:pPr>
        <w:spacing w:after="40" w:line="360" w:lineRule="auto"/>
        <w:ind w:firstLine="420"/>
      </w:pPr>
      <w:r>
        <w:rPr>
          <w:rFonts w:ascii="宋体" w:hAnsi="宋体"/>
          <w:b w:val="0"/>
          <w:sz w:val="24"/>
        </w:rPr>
        <w:t>表7报告了Altman Z-score计算结果。8家企业无一进入传统安全区，长城汽车Z=2.08最接近，北汽蓝谷-1.44最低。但长城和长安的"危险区"判定更多是行业特征所致（高研发、轻资产），结合前文现金流和盈利分析可知并非实际破产风险。</w:t>
      </w:r>
    </w:p>
    <w:tbl>
      <w:tblPr>
        <w:tblStyle w:val="32"/>
        <w:tblW w:w="0" w:type="auto"/>
        <w:jc w:val="center"/>
        <w:tblLayout w:type="autofit"/>
        <w:tblCellMar>
          <w:top w:w="0" w:type="dxa"/>
          <w:left w:w="108" w:type="dxa"/>
          <w:bottom w:w="0" w:type="dxa"/>
          <w:right w:w="108" w:type="dxa"/>
        </w:tblCellMar>
      </w:tblPr>
      <w:tblGrid>
        <w:gridCol w:w="1417"/>
        <w:gridCol w:w="1134"/>
        <w:gridCol w:w="1417"/>
        <w:gridCol w:w="1134"/>
      </w:tblGrid>
      <w:tr w14:paraId="6CD71BF7">
        <w:tblPrEx>
          <w:tblCellMar>
            <w:top w:w="0" w:type="dxa"/>
            <w:left w:w="108" w:type="dxa"/>
            <w:bottom w:w="0" w:type="dxa"/>
            <w:right w:w="108" w:type="dxa"/>
          </w:tblCellMar>
        </w:tblPrEx>
        <w:trPr>
          <w:trHeight w:val="148" w:hRule="atLeast"/>
          <w:jc w:val="center"/>
        </w:trPr>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6A79CD0C">
            <w:pPr>
              <w:jc w:val="center"/>
            </w:pPr>
            <w:r>
              <w:rPr>
                <w:rFonts w:ascii="黑体" w:hAnsi="黑体"/>
                <w:b/>
                <w:color w:val="1A4789"/>
                <w:sz w:val="18"/>
              </w:rPr>
              <w:t>公司</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7C719D19">
            <w:pPr>
              <w:jc w:val="center"/>
            </w:pPr>
            <w:r>
              <w:rPr>
                <w:rFonts w:ascii="黑体" w:hAnsi="黑体"/>
                <w:b/>
                <w:color w:val="1A4789"/>
                <w:sz w:val="18"/>
              </w:rPr>
              <w:t>Z-score</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3C03E250">
            <w:pPr>
              <w:jc w:val="center"/>
            </w:pPr>
            <w:r>
              <w:rPr>
                <w:rFonts w:ascii="黑体" w:hAnsi="黑体"/>
                <w:b/>
                <w:color w:val="1A4789"/>
                <w:sz w:val="18"/>
              </w:rPr>
              <w:t>传统判定</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65D9CE22">
            <w:pPr>
              <w:jc w:val="center"/>
            </w:pPr>
            <w:r>
              <w:rPr>
                <w:rFonts w:ascii="黑体" w:hAnsi="黑体"/>
                <w:b/>
                <w:color w:val="1A4789"/>
                <w:sz w:val="18"/>
              </w:rPr>
              <w:t>排名</w:t>
            </w:r>
          </w:p>
        </w:tc>
      </w:tr>
      <w:tr w14:paraId="1125508F">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738C0DB">
            <w:pPr>
              <w:jc w:val="left"/>
            </w:pPr>
            <w:r>
              <w:rPr>
                <w:rFonts w:ascii="宋体" w:hAnsi="宋体"/>
                <w:color w:val="333333"/>
                <w:sz w:val="18"/>
              </w:rPr>
              <w:t>长城汽车</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485DB9A1">
            <w:pPr>
              <w:jc w:val="center"/>
            </w:pPr>
            <w:r>
              <w:rPr>
                <w:rFonts w:ascii="宋体" w:hAnsi="宋体"/>
                <w:color w:val="333333"/>
                <w:sz w:val="18"/>
              </w:rPr>
              <w:t>2.08</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047D7F4">
            <w:pPr>
              <w:jc w:val="center"/>
            </w:pPr>
            <w:r>
              <w:rPr>
                <w:rFonts w:ascii="宋体" w:hAnsi="宋体"/>
                <w:color w:val="333333"/>
                <w:sz w:val="18"/>
              </w:rPr>
              <w:t>灰色区</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557C53A6">
            <w:pPr>
              <w:jc w:val="center"/>
            </w:pPr>
            <w:r>
              <w:rPr>
                <w:rFonts w:ascii="宋体" w:hAnsi="宋体"/>
                <w:color w:val="333333"/>
                <w:sz w:val="18"/>
              </w:rPr>
              <w:t>1</w:t>
            </w:r>
          </w:p>
        </w:tc>
      </w:tr>
      <w:tr w14:paraId="1BD6EC4D">
        <w:tblPrEx>
          <w:tblCellMar>
            <w:top w:w="0" w:type="dxa"/>
            <w:left w:w="108" w:type="dxa"/>
            <w:bottom w:w="0" w:type="dxa"/>
            <w:right w:w="108" w:type="dxa"/>
          </w:tblCellMar>
        </w:tblPrEx>
        <w:trPr>
          <w:jc w:val="center"/>
        </w:trPr>
        <w:tc>
          <w:tcPr>
            <w:tcW w:w="1417" w:type="dxa"/>
          </w:tcPr>
          <w:p w14:paraId="49FF1D49">
            <w:pPr>
              <w:jc w:val="left"/>
            </w:pPr>
            <w:r>
              <w:rPr>
                <w:rFonts w:ascii="宋体" w:hAnsi="宋体"/>
                <w:color w:val="333333"/>
                <w:sz w:val="18"/>
              </w:rPr>
              <w:t>长安汽车</w:t>
            </w:r>
          </w:p>
        </w:tc>
        <w:tc>
          <w:tcPr>
            <w:tcW w:w="1134" w:type="dxa"/>
          </w:tcPr>
          <w:p w14:paraId="21617CF9">
            <w:pPr>
              <w:jc w:val="center"/>
            </w:pPr>
            <w:r>
              <w:rPr>
                <w:rFonts w:ascii="宋体" w:hAnsi="宋体"/>
                <w:color w:val="333333"/>
                <w:sz w:val="18"/>
              </w:rPr>
              <w:t>1.82</w:t>
            </w:r>
          </w:p>
        </w:tc>
        <w:tc>
          <w:tcPr>
            <w:tcW w:w="1417" w:type="dxa"/>
          </w:tcPr>
          <w:p w14:paraId="688572BE">
            <w:pPr>
              <w:jc w:val="center"/>
            </w:pPr>
            <w:r>
              <w:rPr>
                <w:rFonts w:ascii="宋体" w:hAnsi="宋体"/>
                <w:color w:val="333333"/>
                <w:sz w:val="18"/>
              </w:rPr>
              <w:t>灰色区</w:t>
            </w:r>
          </w:p>
        </w:tc>
        <w:tc>
          <w:tcPr>
            <w:tcW w:w="1134" w:type="dxa"/>
          </w:tcPr>
          <w:p w14:paraId="461225BD">
            <w:pPr>
              <w:jc w:val="center"/>
            </w:pPr>
            <w:r>
              <w:rPr>
                <w:rFonts w:ascii="宋体" w:hAnsi="宋体"/>
                <w:color w:val="333333"/>
                <w:sz w:val="18"/>
              </w:rPr>
              <w:t>2</w:t>
            </w:r>
          </w:p>
        </w:tc>
      </w:tr>
      <w:tr w14:paraId="532B0888">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4E381EC">
            <w:pPr>
              <w:jc w:val="left"/>
            </w:pPr>
            <w:r>
              <w:rPr>
                <w:rFonts w:ascii="宋体" w:hAnsi="宋体"/>
                <w:color w:val="333333"/>
                <w:sz w:val="18"/>
              </w:rPr>
              <w:t>赛力斯</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331196FC">
            <w:pPr>
              <w:jc w:val="center"/>
            </w:pPr>
            <w:r>
              <w:rPr>
                <w:rFonts w:ascii="宋体" w:hAnsi="宋体"/>
                <w:color w:val="333333"/>
                <w:sz w:val="18"/>
              </w:rPr>
              <w:t>1.63</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66899CC">
            <w:pPr>
              <w:jc w:val="center"/>
            </w:pPr>
            <w:r>
              <w:rPr>
                <w:rFonts w:ascii="宋体" w:hAnsi="宋体"/>
                <w:color w:val="333333"/>
                <w:sz w:val="18"/>
              </w:rPr>
              <w:t>危险区</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7E39F5BA">
            <w:pPr>
              <w:jc w:val="center"/>
            </w:pPr>
            <w:r>
              <w:rPr>
                <w:rFonts w:ascii="宋体" w:hAnsi="宋体"/>
                <w:color w:val="333333"/>
                <w:sz w:val="18"/>
              </w:rPr>
              <w:t>3</w:t>
            </w:r>
          </w:p>
        </w:tc>
      </w:tr>
      <w:tr w14:paraId="78474D5E">
        <w:tblPrEx>
          <w:tblCellMar>
            <w:top w:w="0" w:type="dxa"/>
            <w:left w:w="108" w:type="dxa"/>
            <w:bottom w:w="0" w:type="dxa"/>
            <w:right w:w="108" w:type="dxa"/>
          </w:tblCellMar>
        </w:tblPrEx>
        <w:trPr>
          <w:jc w:val="center"/>
        </w:trPr>
        <w:tc>
          <w:tcPr>
            <w:tcW w:w="1417" w:type="dxa"/>
          </w:tcPr>
          <w:p w14:paraId="72FF83F0">
            <w:pPr>
              <w:jc w:val="left"/>
            </w:pPr>
            <w:r>
              <w:rPr>
                <w:rFonts w:ascii="宋体" w:hAnsi="宋体"/>
                <w:color w:val="333333"/>
                <w:sz w:val="18"/>
              </w:rPr>
              <w:t>上汽集团</w:t>
            </w:r>
          </w:p>
        </w:tc>
        <w:tc>
          <w:tcPr>
            <w:tcW w:w="1134" w:type="dxa"/>
          </w:tcPr>
          <w:p w14:paraId="645BB819">
            <w:pPr>
              <w:jc w:val="center"/>
            </w:pPr>
            <w:r>
              <w:rPr>
                <w:rFonts w:ascii="宋体" w:hAnsi="宋体"/>
                <w:color w:val="333333"/>
                <w:sz w:val="18"/>
              </w:rPr>
              <w:t>1.57</w:t>
            </w:r>
          </w:p>
        </w:tc>
        <w:tc>
          <w:tcPr>
            <w:tcW w:w="1417" w:type="dxa"/>
          </w:tcPr>
          <w:p w14:paraId="156FEFAD">
            <w:pPr>
              <w:jc w:val="center"/>
            </w:pPr>
            <w:r>
              <w:rPr>
                <w:rFonts w:ascii="宋体" w:hAnsi="宋体"/>
                <w:color w:val="333333"/>
                <w:sz w:val="18"/>
              </w:rPr>
              <w:t>危险区</w:t>
            </w:r>
          </w:p>
        </w:tc>
        <w:tc>
          <w:tcPr>
            <w:tcW w:w="1134" w:type="dxa"/>
          </w:tcPr>
          <w:p w14:paraId="28BAAF4A">
            <w:pPr>
              <w:jc w:val="center"/>
            </w:pPr>
            <w:r>
              <w:rPr>
                <w:rFonts w:ascii="宋体" w:hAnsi="宋体"/>
                <w:color w:val="333333"/>
                <w:sz w:val="18"/>
              </w:rPr>
              <w:t>4</w:t>
            </w:r>
          </w:p>
        </w:tc>
      </w:tr>
      <w:tr w14:paraId="496F090D">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DC275FC">
            <w:pPr>
              <w:jc w:val="left"/>
            </w:pPr>
            <w:r>
              <w:rPr>
                <w:rFonts w:ascii="宋体" w:hAnsi="宋体"/>
                <w:color w:val="333333"/>
                <w:sz w:val="18"/>
              </w:rPr>
              <w:t>比亚迪</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7FC18911">
            <w:pPr>
              <w:jc w:val="center"/>
            </w:pPr>
            <w:r>
              <w:rPr>
                <w:rFonts w:ascii="宋体" w:hAnsi="宋体"/>
                <w:color w:val="333333"/>
                <w:sz w:val="18"/>
              </w:rPr>
              <w:t>1.38</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B000E04">
            <w:pPr>
              <w:jc w:val="center"/>
            </w:pPr>
            <w:r>
              <w:rPr>
                <w:rFonts w:ascii="宋体" w:hAnsi="宋体"/>
                <w:color w:val="333333"/>
                <w:sz w:val="18"/>
              </w:rPr>
              <w:t>危险区</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62159672">
            <w:pPr>
              <w:jc w:val="center"/>
            </w:pPr>
            <w:r>
              <w:rPr>
                <w:rFonts w:ascii="宋体" w:hAnsi="宋体"/>
                <w:color w:val="333333"/>
                <w:sz w:val="18"/>
              </w:rPr>
              <w:t>5</w:t>
            </w:r>
          </w:p>
        </w:tc>
      </w:tr>
      <w:tr w14:paraId="619B5A12">
        <w:tblPrEx>
          <w:tblCellMar>
            <w:top w:w="0" w:type="dxa"/>
            <w:left w:w="108" w:type="dxa"/>
            <w:bottom w:w="0" w:type="dxa"/>
            <w:right w:w="108" w:type="dxa"/>
          </w:tblCellMar>
        </w:tblPrEx>
        <w:trPr>
          <w:jc w:val="center"/>
        </w:trPr>
        <w:tc>
          <w:tcPr>
            <w:tcW w:w="1417" w:type="dxa"/>
          </w:tcPr>
          <w:p w14:paraId="3C09B1A0">
            <w:pPr>
              <w:jc w:val="left"/>
            </w:pPr>
            <w:r>
              <w:rPr>
                <w:rFonts w:ascii="宋体" w:hAnsi="宋体"/>
                <w:color w:val="333333"/>
                <w:sz w:val="18"/>
              </w:rPr>
              <w:t>广汽集团</w:t>
            </w:r>
          </w:p>
        </w:tc>
        <w:tc>
          <w:tcPr>
            <w:tcW w:w="1134" w:type="dxa"/>
          </w:tcPr>
          <w:p w14:paraId="456A0500">
            <w:pPr>
              <w:jc w:val="center"/>
            </w:pPr>
            <w:r>
              <w:rPr>
                <w:rFonts w:ascii="宋体" w:hAnsi="宋体"/>
                <w:color w:val="333333"/>
                <w:sz w:val="18"/>
              </w:rPr>
              <w:t>1.32</w:t>
            </w:r>
          </w:p>
        </w:tc>
        <w:tc>
          <w:tcPr>
            <w:tcW w:w="1417" w:type="dxa"/>
          </w:tcPr>
          <w:p w14:paraId="070AB2F2">
            <w:pPr>
              <w:jc w:val="center"/>
            </w:pPr>
            <w:r>
              <w:rPr>
                <w:rFonts w:ascii="宋体" w:hAnsi="宋体"/>
                <w:color w:val="333333"/>
                <w:sz w:val="18"/>
              </w:rPr>
              <w:t>危险区</w:t>
            </w:r>
          </w:p>
        </w:tc>
        <w:tc>
          <w:tcPr>
            <w:tcW w:w="1134" w:type="dxa"/>
          </w:tcPr>
          <w:p w14:paraId="5076AE92">
            <w:pPr>
              <w:jc w:val="center"/>
            </w:pPr>
            <w:r>
              <w:rPr>
                <w:rFonts w:ascii="宋体" w:hAnsi="宋体"/>
                <w:color w:val="333333"/>
                <w:sz w:val="18"/>
              </w:rPr>
              <w:t>6</w:t>
            </w:r>
          </w:p>
        </w:tc>
      </w:tr>
      <w:tr w14:paraId="12815238">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2577CB85">
            <w:pPr>
              <w:jc w:val="left"/>
            </w:pPr>
            <w:r>
              <w:rPr>
                <w:rFonts w:ascii="宋体" w:hAnsi="宋体"/>
                <w:color w:val="333333"/>
                <w:sz w:val="18"/>
              </w:rPr>
              <w:t>江淮汽车</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0216383">
            <w:pPr>
              <w:jc w:val="center"/>
            </w:pPr>
            <w:r>
              <w:rPr>
                <w:rFonts w:ascii="宋体" w:hAnsi="宋体"/>
                <w:color w:val="333333"/>
                <w:sz w:val="18"/>
              </w:rPr>
              <w:t>0.84</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7113E43">
            <w:pPr>
              <w:jc w:val="center"/>
            </w:pPr>
            <w:r>
              <w:rPr>
                <w:rFonts w:ascii="宋体" w:hAnsi="宋体"/>
                <w:color w:val="333333"/>
                <w:sz w:val="18"/>
              </w:rPr>
              <w:t>危险区</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1F588D30">
            <w:pPr>
              <w:jc w:val="center"/>
            </w:pPr>
            <w:r>
              <w:rPr>
                <w:rFonts w:ascii="宋体" w:hAnsi="宋体"/>
                <w:color w:val="333333"/>
                <w:sz w:val="18"/>
              </w:rPr>
              <w:t>7</w:t>
            </w:r>
          </w:p>
        </w:tc>
      </w:tr>
      <w:tr w14:paraId="61D80D21">
        <w:tblPrEx>
          <w:tblCellMar>
            <w:top w:w="0" w:type="dxa"/>
            <w:left w:w="108" w:type="dxa"/>
            <w:bottom w:w="0" w:type="dxa"/>
            <w:right w:w="108" w:type="dxa"/>
          </w:tblCellMar>
        </w:tblPrEx>
        <w:trPr>
          <w:jc w:val="center"/>
        </w:trPr>
        <w:tc>
          <w:tcPr>
            <w:tcW w:w="1417" w:type="dxa"/>
          </w:tcPr>
          <w:p w14:paraId="57B514BB">
            <w:pPr>
              <w:jc w:val="left"/>
            </w:pPr>
            <w:r>
              <w:rPr>
                <w:rFonts w:ascii="宋体" w:hAnsi="宋体"/>
                <w:color w:val="333333"/>
                <w:sz w:val="18"/>
              </w:rPr>
              <w:t>北汽蓝谷</w:t>
            </w:r>
          </w:p>
        </w:tc>
        <w:tc>
          <w:tcPr>
            <w:tcW w:w="1134" w:type="dxa"/>
          </w:tcPr>
          <w:p w14:paraId="1A8EF2FA">
            <w:pPr>
              <w:jc w:val="center"/>
            </w:pPr>
            <w:r>
              <w:rPr>
                <w:rFonts w:ascii="宋体" w:hAnsi="宋体"/>
                <w:color w:val="333333"/>
                <w:sz w:val="18"/>
              </w:rPr>
              <w:t>-1.44</w:t>
            </w:r>
          </w:p>
        </w:tc>
        <w:tc>
          <w:tcPr>
            <w:tcW w:w="1417" w:type="dxa"/>
          </w:tcPr>
          <w:p w14:paraId="220B1629">
            <w:pPr>
              <w:jc w:val="center"/>
            </w:pPr>
            <w:r>
              <w:rPr>
                <w:rFonts w:ascii="宋体" w:hAnsi="宋体"/>
                <w:color w:val="333333"/>
                <w:sz w:val="18"/>
              </w:rPr>
              <w:t>危险区</w:t>
            </w:r>
          </w:p>
        </w:tc>
        <w:tc>
          <w:tcPr>
            <w:tcW w:w="1134" w:type="dxa"/>
          </w:tcPr>
          <w:p w14:paraId="24B45457">
            <w:pPr>
              <w:jc w:val="center"/>
            </w:pPr>
            <w:r>
              <w:rPr>
                <w:rFonts w:ascii="宋体" w:hAnsi="宋体"/>
                <w:color w:val="333333"/>
                <w:sz w:val="18"/>
              </w:rPr>
              <w:t>8</w:t>
            </w:r>
          </w:p>
        </w:tc>
      </w:tr>
    </w:tbl>
    <w:p w14:paraId="617DE858">
      <w:pPr>
        <w:spacing w:after="80"/>
      </w:pPr>
    </w:p>
    <w:p w14:paraId="1B6B1470"/>
    <w:p w14:paraId="2A4FADE9">
      <w:pPr>
        <w:spacing w:after="40" w:line="360" w:lineRule="auto"/>
        <w:ind w:firstLine="420"/>
      </w:pPr>
      <w:r>
        <w:rPr>
          <w:rFonts w:ascii="宋体" w:hAnsi="宋体"/>
          <w:b w:val="0"/>
          <w:sz w:val="24"/>
        </w:rPr>
        <w:t>表8报告了沃尔评分（修正版，营收增长率分档评分减少天花板效应）。赛力斯90.4分排名第一，主要得益于高营收增长率（54.8%）和高总资产周转率（1.402）。沃尔评分对高增长企业的偏好是其固有特点。</w:t>
      </w:r>
    </w:p>
    <w:tbl>
      <w:tblPr>
        <w:tblStyle w:val="32"/>
        <w:tblW w:w="0" w:type="auto"/>
        <w:jc w:val="center"/>
        <w:tblLayout w:type="autofit"/>
        <w:tblCellMar>
          <w:top w:w="0" w:type="dxa"/>
          <w:left w:w="108" w:type="dxa"/>
          <w:bottom w:w="0" w:type="dxa"/>
          <w:right w:w="108" w:type="dxa"/>
        </w:tblCellMar>
      </w:tblPr>
      <w:tblGrid>
        <w:gridCol w:w="623"/>
        <w:gridCol w:w="1050"/>
        <w:gridCol w:w="870"/>
        <w:gridCol w:w="1194"/>
        <w:gridCol w:w="1590"/>
        <w:gridCol w:w="1370"/>
        <w:gridCol w:w="1240"/>
        <w:gridCol w:w="1366"/>
      </w:tblGrid>
      <w:tr w14:paraId="288AF309">
        <w:tblPrEx>
          <w:tblCellMar>
            <w:top w:w="0" w:type="dxa"/>
            <w:left w:w="108" w:type="dxa"/>
            <w:bottom w:w="0" w:type="dxa"/>
            <w:right w:w="108" w:type="dxa"/>
          </w:tblCellMar>
        </w:tblPrEx>
        <w:trPr>
          <w:trHeight w:val="253" w:hRule="atLeast"/>
          <w:jc w:val="center"/>
        </w:trPr>
        <w:tc>
          <w:tcPr>
            <w:tcW w:w="623" w:type="dxa"/>
            <w:tcBorders>
              <w:top w:val="single" w:color="2E75B6" w:sz="8" w:space="0"/>
              <w:left w:val="single" w:color="CCCCCC" w:sz="4" w:space="0"/>
              <w:bottom w:val="single" w:color="CCCCCC" w:sz="4" w:space="0"/>
              <w:right w:val="single" w:color="CCCCCC" w:sz="4" w:space="0"/>
            </w:tcBorders>
            <w:shd w:val="clear" w:color="auto" w:fill="D5E8F0"/>
          </w:tcPr>
          <w:p w14:paraId="03C84985">
            <w:pPr>
              <w:jc w:val="center"/>
            </w:pPr>
            <w:r>
              <w:rPr>
                <w:rFonts w:ascii="黑体" w:hAnsi="黑体"/>
                <w:b/>
                <w:color w:val="1A4789"/>
                <w:sz w:val="18"/>
              </w:rPr>
              <w:t>排名</w:t>
            </w:r>
          </w:p>
        </w:tc>
        <w:tc>
          <w:tcPr>
            <w:tcW w:w="1050" w:type="dxa"/>
            <w:tcBorders>
              <w:top w:val="single" w:color="2E75B6" w:sz="8" w:space="0"/>
              <w:left w:val="single" w:color="CCCCCC" w:sz="4" w:space="0"/>
              <w:bottom w:val="single" w:color="CCCCCC" w:sz="4" w:space="0"/>
              <w:right w:val="single" w:color="CCCCCC" w:sz="4" w:space="0"/>
            </w:tcBorders>
            <w:shd w:val="clear" w:color="auto" w:fill="D5E8F0"/>
          </w:tcPr>
          <w:p w14:paraId="54C63121">
            <w:pPr>
              <w:jc w:val="center"/>
            </w:pPr>
            <w:r>
              <w:rPr>
                <w:rFonts w:ascii="黑体" w:hAnsi="黑体"/>
                <w:b/>
                <w:color w:val="1A4789"/>
                <w:sz w:val="18"/>
              </w:rPr>
              <w:t>企业</w:t>
            </w:r>
          </w:p>
        </w:tc>
        <w:tc>
          <w:tcPr>
            <w:tcW w:w="870" w:type="dxa"/>
            <w:tcBorders>
              <w:top w:val="single" w:color="2E75B6" w:sz="8" w:space="0"/>
              <w:left w:val="single" w:color="CCCCCC" w:sz="4" w:space="0"/>
              <w:bottom w:val="single" w:color="CCCCCC" w:sz="4" w:space="0"/>
              <w:right w:val="single" w:color="CCCCCC" w:sz="4" w:space="0"/>
            </w:tcBorders>
            <w:shd w:val="clear" w:color="auto" w:fill="D5E8F0"/>
          </w:tcPr>
          <w:p w14:paraId="0E59C37B">
            <w:pPr>
              <w:jc w:val="center"/>
            </w:pPr>
            <w:r>
              <w:rPr>
                <w:rFonts w:ascii="黑体" w:hAnsi="黑体"/>
                <w:b/>
                <w:color w:val="1A4789"/>
                <w:sz w:val="18"/>
              </w:rPr>
              <w:t>总分</w:t>
            </w:r>
          </w:p>
        </w:tc>
        <w:tc>
          <w:tcPr>
            <w:tcW w:w="1194" w:type="dxa"/>
            <w:tcBorders>
              <w:top w:val="single" w:color="2E75B6" w:sz="8" w:space="0"/>
              <w:left w:val="single" w:color="CCCCCC" w:sz="4" w:space="0"/>
              <w:bottom w:val="single" w:color="CCCCCC" w:sz="4" w:space="0"/>
              <w:right w:val="single" w:color="CCCCCC" w:sz="4" w:space="0"/>
            </w:tcBorders>
            <w:shd w:val="clear" w:color="auto" w:fill="D5E8F0"/>
          </w:tcPr>
          <w:p w14:paraId="76F97614">
            <w:pPr>
              <w:jc w:val="center"/>
            </w:pPr>
            <w:r>
              <w:rPr>
                <w:rFonts w:ascii="黑体" w:hAnsi="黑体"/>
                <w:b/>
                <w:color w:val="1A4789"/>
                <w:sz w:val="18"/>
              </w:rPr>
              <w:t>毛利率(15)</w:t>
            </w:r>
          </w:p>
        </w:tc>
        <w:tc>
          <w:tcPr>
            <w:tcW w:w="1590" w:type="dxa"/>
            <w:tcBorders>
              <w:top w:val="single" w:color="2E75B6" w:sz="8" w:space="0"/>
              <w:left w:val="single" w:color="CCCCCC" w:sz="4" w:space="0"/>
              <w:bottom w:val="single" w:color="CCCCCC" w:sz="4" w:space="0"/>
              <w:right w:val="single" w:color="CCCCCC" w:sz="4" w:space="0"/>
            </w:tcBorders>
            <w:shd w:val="clear" w:color="auto" w:fill="D5E8F0"/>
          </w:tcPr>
          <w:p w14:paraId="44CC2867">
            <w:pPr>
              <w:jc w:val="center"/>
            </w:pPr>
            <w:r>
              <w:rPr>
                <w:rFonts w:ascii="黑体" w:hAnsi="黑体"/>
                <w:b/>
                <w:color w:val="1A4789"/>
                <w:sz w:val="18"/>
              </w:rPr>
              <w:t>有息负债率(25)</w:t>
            </w:r>
          </w:p>
        </w:tc>
        <w:tc>
          <w:tcPr>
            <w:tcW w:w="1370" w:type="dxa"/>
            <w:tcBorders>
              <w:top w:val="single" w:color="2E75B6" w:sz="8" w:space="0"/>
              <w:left w:val="single" w:color="CCCCCC" w:sz="4" w:space="0"/>
              <w:bottom w:val="single" w:color="CCCCCC" w:sz="4" w:space="0"/>
              <w:right w:val="single" w:color="CCCCCC" w:sz="4" w:space="0"/>
            </w:tcBorders>
            <w:shd w:val="clear" w:color="auto" w:fill="D5E8F0"/>
          </w:tcPr>
          <w:p w14:paraId="1CF87BA7">
            <w:pPr>
              <w:jc w:val="center"/>
            </w:pPr>
            <w:r>
              <w:rPr>
                <w:rFonts w:ascii="黑体" w:hAnsi="黑体"/>
                <w:b/>
                <w:color w:val="1A4789"/>
                <w:sz w:val="18"/>
              </w:rPr>
              <w:t>流动比率(25)</w:t>
            </w:r>
          </w:p>
        </w:tc>
        <w:tc>
          <w:tcPr>
            <w:tcW w:w="1240" w:type="dxa"/>
            <w:tcBorders>
              <w:top w:val="single" w:color="2E75B6" w:sz="8" w:space="0"/>
              <w:left w:val="single" w:color="CCCCCC" w:sz="4" w:space="0"/>
              <w:bottom w:val="single" w:color="CCCCCC" w:sz="4" w:space="0"/>
              <w:right w:val="single" w:color="CCCCCC" w:sz="4" w:space="0"/>
            </w:tcBorders>
            <w:shd w:val="clear" w:color="auto" w:fill="D5E8F0"/>
          </w:tcPr>
          <w:p w14:paraId="7107C510">
            <w:pPr>
              <w:jc w:val="center"/>
            </w:pPr>
            <w:r>
              <w:rPr>
                <w:rFonts w:ascii="黑体" w:hAnsi="黑体"/>
                <w:b/>
                <w:color w:val="1A4789"/>
                <w:sz w:val="18"/>
              </w:rPr>
              <w:t>周转率(15)</w:t>
            </w:r>
          </w:p>
        </w:tc>
        <w:tc>
          <w:tcPr>
            <w:tcW w:w="1366" w:type="dxa"/>
            <w:tcBorders>
              <w:top w:val="single" w:color="2E75B6" w:sz="8" w:space="0"/>
              <w:left w:val="single" w:color="CCCCCC" w:sz="4" w:space="0"/>
              <w:bottom w:val="single" w:color="CCCCCC" w:sz="4" w:space="0"/>
              <w:right w:val="single" w:color="CCCCCC" w:sz="4" w:space="0"/>
            </w:tcBorders>
            <w:shd w:val="clear" w:color="auto" w:fill="D5E8F0"/>
          </w:tcPr>
          <w:p w14:paraId="70981B63">
            <w:pPr>
              <w:jc w:val="center"/>
            </w:pPr>
            <w:r>
              <w:rPr>
                <w:rFonts w:ascii="黑体" w:hAnsi="黑体"/>
                <w:b/>
                <w:color w:val="1A4789"/>
                <w:sz w:val="18"/>
              </w:rPr>
              <w:t>营收增长(20)</w:t>
            </w:r>
          </w:p>
        </w:tc>
      </w:tr>
      <w:tr w14:paraId="187A507D">
        <w:tblPrEx>
          <w:tblCellMar>
            <w:top w:w="0" w:type="dxa"/>
            <w:left w:w="108" w:type="dxa"/>
            <w:bottom w:w="0" w:type="dxa"/>
            <w:right w:w="108" w:type="dxa"/>
          </w:tblCellMar>
        </w:tblPrEx>
        <w:trPr>
          <w:trHeight w:val="439" w:hRule="atLeast"/>
          <w:jc w:val="center"/>
        </w:trPr>
        <w:tc>
          <w:tcPr>
            <w:tcW w:w="623" w:type="dxa"/>
            <w:tcBorders>
              <w:top w:val="single" w:color="CCCCCC" w:sz="4" w:space="0"/>
              <w:left w:val="single" w:color="CCCCCC" w:sz="4" w:space="0"/>
              <w:bottom w:val="single" w:color="CCCCCC" w:sz="4" w:space="0"/>
              <w:right w:val="single" w:color="CCCCCC" w:sz="4" w:space="0"/>
            </w:tcBorders>
            <w:shd w:val="clear" w:color="auto" w:fill="F8F9FA"/>
          </w:tcPr>
          <w:p w14:paraId="5368CB0D">
            <w:pPr>
              <w:jc w:val="left"/>
            </w:pPr>
            <w:r>
              <w:rPr>
                <w:rFonts w:ascii="宋体" w:hAnsi="宋体"/>
                <w:color w:val="333333"/>
                <w:sz w:val="18"/>
              </w:rPr>
              <w:t>1</w:t>
            </w:r>
          </w:p>
        </w:tc>
        <w:tc>
          <w:tcPr>
            <w:tcW w:w="1050" w:type="dxa"/>
            <w:tcBorders>
              <w:top w:val="single" w:color="CCCCCC" w:sz="4" w:space="0"/>
              <w:left w:val="single" w:color="CCCCCC" w:sz="4" w:space="0"/>
              <w:bottom w:val="single" w:color="CCCCCC" w:sz="4" w:space="0"/>
              <w:right w:val="single" w:color="CCCCCC" w:sz="4" w:space="0"/>
            </w:tcBorders>
            <w:shd w:val="clear" w:color="auto" w:fill="F8F9FA"/>
          </w:tcPr>
          <w:p w14:paraId="22820F01">
            <w:pPr>
              <w:jc w:val="center"/>
            </w:pPr>
            <w:r>
              <w:rPr>
                <w:rFonts w:ascii="宋体" w:hAnsi="宋体"/>
                <w:color w:val="333333"/>
                <w:sz w:val="18"/>
              </w:rPr>
              <w:t>赛力斯</w:t>
            </w:r>
          </w:p>
        </w:tc>
        <w:tc>
          <w:tcPr>
            <w:tcW w:w="870" w:type="dxa"/>
            <w:tcBorders>
              <w:top w:val="single" w:color="CCCCCC" w:sz="4" w:space="0"/>
              <w:left w:val="single" w:color="CCCCCC" w:sz="4" w:space="0"/>
              <w:bottom w:val="single" w:color="CCCCCC" w:sz="4" w:space="0"/>
              <w:right w:val="single" w:color="CCCCCC" w:sz="4" w:space="0"/>
            </w:tcBorders>
            <w:shd w:val="clear" w:color="auto" w:fill="F8F9FA"/>
          </w:tcPr>
          <w:p w14:paraId="0B62DD0D">
            <w:pPr>
              <w:jc w:val="center"/>
            </w:pPr>
            <w:r>
              <w:rPr>
                <w:rFonts w:ascii="宋体" w:hAnsi="宋体"/>
                <w:color w:val="333333"/>
                <w:sz w:val="18"/>
              </w:rPr>
              <w:t>90.4</w:t>
            </w:r>
          </w:p>
        </w:tc>
        <w:tc>
          <w:tcPr>
            <w:tcW w:w="1194" w:type="dxa"/>
            <w:tcBorders>
              <w:top w:val="single" w:color="CCCCCC" w:sz="4" w:space="0"/>
              <w:left w:val="single" w:color="CCCCCC" w:sz="4" w:space="0"/>
              <w:bottom w:val="single" w:color="CCCCCC" w:sz="4" w:space="0"/>
              <w:right w:val="single" w:color="CCCCCC" w:sz="4" w:space="0"/>
            </w:tcBorders>
            <w:shd w:val="clear" w:color="auto" w:fill="F8F9FA"/>
          </w:tcPr>
          <w:p w14:paraId="7F0426C6">
            <w:pPr>
              <w:jc w:val="center"/>
            </w:pPr>
            <w:r>
              <w:rPr>
                <w:rFonts w:ascii="宋体" w:hAnsi="宋体"/>
                <w:color w:val="333333"/>
                <w:sz w:val="18"/>
              </w:rPr>
              <w:t>4.4</w:t>
            </w:r>
          </w:p>
        </w:tc>
        <w:tc>
          <w:tcPr>
            <w:tcW w:w="1590" w:type="dxa"/>
            <w:tcBorders>
              <w:top w:val="single" w:color="CCCCCC" w:sz="4" w:space="0"/>
              <w:left w:val="single" w:color="CCCCCC" w:sz="4" w:space="0"/>
              <w:bottom w:val="single" w:color="CCCCCC" w:sz="4" w:space="0"/>
              <w:right w:val="single" w:color="CCCCCC" w:sz="4" w:space="0"/>
            </w:tcBorders>
            <w:shd w:val="clear" w:color="auto" w:fill="F8F9FA"/>
          </w:tcPr>
          <w:p w14:paraId="5245D620">
            <w:pPr>
              <w:jc w:val="center"/>
            </w:pPr>
            <w:r>
              <w:rPr>
                <w:rFonts w:ascii="宋体" w:hAnsi="宋体"/>
                <w:color w:val="333333"/>
                <w:sz w:val="18"/>
              </w:rPr>
              <w:t>2.2</w:t>
            </w:r>
          </w:p>
        </w:tc>
        <w:tc>
          <w:tcPr>
            <w:tcW w:w="1370" w:type="dxa"/>
            <w:tcBorders>
              <w:top w:val="single" w:color="CCCCCC" w:sz="4" w:space="0"/>
              <w:left w:val="single" w:color="CCCCCC" w:sz="4" w:space="0"/>
              <w:bottom w:val="single" w:color="CCCCCC" w:sz="4" w:space="0"/>
              <w:right w:val="single" w:color="CCCCCC" w:sz="4" w:space="0"/>
            </w:tcBorders>
            <w:shd w:val="clear" w:color="auto" w:fill="F8F9FA"/>
          </w:tcPr>
          <w:p w14:paraId="2E6B4291">
            <w:pPr>
              <w:jc w:val="center"/>
            </w:pPr>
            <w:r>
              <w:rPr>
                <w:rFonts w:ascii="宋体" w:hAnsi="宋体"/>
                <w:color w:val="333333"/>
                <w:sz w:val="18"/>
              </w:rPr>
              <w:t>17.6</w:t>
            </w:r>
          </w:p>
        </w:tc>
        <w:tc>
          <w:tcPr>
            <w:tcW w:w="1240" w:type="dxa"/>
            <w:tcBorders>
              <w:top w:val="single" w:color="CCCCCC" w:sz="4" w:space="0"/>
              <w:left w:val="single" w:color="CCCCCC" w:sz="4" w:space="0"/>
              <w:bottom w:val="single" w:color="CCCCCC" w:sz="4" w:space="0"/>
              <w:right w:val="single" w:color="CCCCCC" w:sz="4" w:space="0"/>
            </w:tcBorders>
            <w:shd w:val="clear" w:color="auto" w:fill="F8F9FA"/>
          </w:tcPr>
          <w:p w14:paraId="50A469FF">
            <w:pPr>
              <w:jc w:val="center"/>
            </w:pPr>
            <w:r>
              <w:rPr>
                <w:rFonts w:ascii="宋体" w:hAnsi="宋体"/>
                <w:color w:val="333333"/>
                <w:sz w:val="18"/>
              </w:rPr>
              <w:t>26.3</w:t>
            </w:r>
          </w:p>
        </w:tc>
        <w:tc>
          <w:tcPr>
            <w:tcW w:w="1366" w:type="dxa"/>
            <w:tcBorders>
              <w:top w:val="single" w:color="CCCCCC" w:sz="4" w:space="0"/>
              <w:left w:val="single" w:color="CCCCCC" w:sz="4" w:space="0"/>
              <w:bottom w:val="single" w:color="CCCCCC" w:sz="4" w:space="0"/>
              <w:right w:val="single" w:color="CCCCCC" w:sz="4" w:space="0"/>
            </w:tcBorders>
            <w:shd w:val="clear" w:color="auto" w:fill="F8F9FA"/>
          </w:tcPr>
          <w:p w14:paraId="21C617FD">
            <w:pPr>
              <w:jc w:val="center"/>
            </w:pPr>
            <w:r>
              <w:rPr>
                <w:rFonts w:ascii="宋体" w:hAnsi="宋体"/>
                <w:color w:val="333333"/>
                <w:sz w:val="18"/>
              </w:rPr>
              <w:t>40.0</w:t>
            </w:r>
          </w:p>
        </w:tc>
      </w:tr>
      <w:tr w14:paraId="51FBE9C7">
        <w:tblPrEx>
          <w:tblCellMar>
            <w:top w:w="0" w:type="dxa"/>
            <w:left w:w="108" w:type="dxa"/>
            <w:bottom w:w="0" w:type="dxa"/>
            <w:right w:w="108" w:type="dxa"/>
          </w:tblCellMar>
        </w:tblPrEx>
        <w:trPr>
          <w:trHeight w:val="439" w:hRule="atLeast"/>
          <w:jc w:val="center"/>
        </w:trPr>
        <w:tc>
          <w:tcPr>
            <w:tcW w:w="623" w:type="dxa"/>
          </w:tcPr>
          <w:p w14:paraId="73BB6883">
            <w:pPr>
              <w:jc w:val="left"/>
            </w:pPr>
            <w:r>
              <w:rPr>
                <w:rFonts w:ascii="宋体" w:hAnsi="宋体"/>
                <w:color w:val="333333"/>
                <w:sz w:val="18"/>
              </w:rPr>
              <w:t>2</w:t>
            </w:r>
          </w:p>
        </w:tc>
        <w:tc>
          <w:tcPr>
            <w:tcW w:w="1050" w:type="dxa"/>
          </w:tcPr>
          <w:p w14:paraId="70F32257">
            <w:pPr>
              <w:jc w:val="center"/>
            </w:pPr>
            <w:r>
              <w:rPr>
                <w:rFonts w:ascii="宋体" w:hAnsi="宋体"/>
                <w:color w:val="333333"/>
                <w:sz w:val="18"/>
              </w:rPr>
              <w:t>长城汽车</w:t>
            </w:r>
          </w:p>
        </w:tc>
        <w:tc>
          <w:tcPr>
            <w:tcW w:w="870" w:type="dxa"/>
          </w:tcPr>
          <w:p w14:paraId="358B500F">
            <w:pPr>
              <w:jc w:val="center"/>
            </w:pPr>
            <w:r>
              <w:rPr>
                <w:rFonts w:ascii="宋体" w:hAnsi="宋体"/>
                <w:color w:val="333333"/>
                <w:sz w:val="18"/>
              </w:rPr>
              <w:t>84.9</w:t>
            </w:r>
          </w:p>
        </w:tc>
        <w:tc>
          <w:tcPr>
            <w:tcW w:w="1194" w:type="dxa"/>
          </w:tcPr>
          <w:p w14:paraId="0B6C11B6">
            <w:pPr>
              <w:jc w:val="center"/>
            </w:pPr>
            <w:r>
              <w:rPr>
                <w:rFonts w:ascii="宋体" w:hAnsi="宋体"/>
                <w:color w:val="333333"/>
                <w:sz w:val="18"/>
              </w:rPr>
              <w:t>3.2</w:t>
            </w:r>
          </w:p>
        </w:tc>
        <w:tc>
          <w:tcPr>
            <w:tcW w:w="1590" w:type="dxa"/>
          </w:tcPr>
          <w:p w14:paraId="44C54C62">
            <w:pPr>
              <w:jc w:val="center"/>
            </w:pPr>
            <w:r>
              <w:rPr>
                <w:rFonts w:ascii="宋体" w:hAnsi="宋体"/>
                <w:color w:val="333333"/>
                <w:sz w:val="18"/>
              </w:rPr>
              <w:t>4.0</w:t>
            </w:r>
          </w:p>
        </w:tc>
        <w:tc>
          <w:tcPr>
            <w:tcW w:w="1370" w:type="dxa"/>
          </w:tcPr>
          <w:p w14:paraId="0E0401EB">
            <w:pPr>
              <w:jc w:val="center"/>
            </w:pPr>
            <w:r>
              <w:rPr>
                <w:rFonts w:ascii="宋体" w:hAnsi="宋体"/>
                <w:color w:val="333333"/>
                <w:sz w:val="18"/>
              </w:rPr>
              <w:t>18.2</w:t>
            </w:r>
          </w:p>
        </w:tc>
        <w:tc>
          <w:tcPr>
            <w:tcW w:w="1240" w:type="dxa"/>
          </w:tcPr>
          <w:p w14:paraId="09C45BBE">
            <w:pPr>
              <w:jc w:val="center"/>
            </w:pPr>
            <w:r>
              <w:rPr>
                <w:rFonts w:ascii="宋体" w:hAnsi="宋体"/>
                <w:color w:val="333333"/>
                <w:sz w:val="18"/>
              </w:rPr>
              <w:t>19.4</w:t>
            </w:r>
          </w:p>
        </w:tc>
        <w:tc>
          <w:tcPr>
            <w:tcW w:w="1366" w:type="dxa"/>
          </w:tcPr>
          <w:p w14:paraId="4A4752B3">
            <w:pPr>
              <w:jc w:val="center"/>
            </w:pPr>
            <w:r>
              <w:rPr>
                <w:rFonts w:ascii="宋体" w:hAnsi="宋体"/>
                <w:color w:val="333333"/>
                <w:sz w:val="18"/>
              </w:rPr>
              <w:t>40.0</w:t>
            </w:r>
          </w:p>
        </w:tc>
      </w:tr>
      <w:tr w14:paraId="1727474F">
        <w:tblPrEx>
          <w:tblCellMar>
            <w:top w:w="0" w:type="dxa"/>
            <w:left w:w="108" w:type="dxa"/>
            <w:bottom w:w="0" w:type="dxa"/>
            <w:right w:w="108" w:type="dxa"/>
          </w:tblCellMar>
        </w:tblPrEx>
        <w:trPr>
          <w:trHeight w:val="439" w:hRule="atLeast"/>
          <w:jc w:val="center"/>
        </w:trPr>
        <w:tc>
          <w:tcPr>
            <w:tcW w:w="623" w:type="dxa"/>
            <w:tcBorders>
              <w:top w:val="single" w:color="CCCCCC" w:sz="4" w:space="0"/>
              <w:left w:val="single" w:color="CCCCCC" w:sz="4" w:space="0"/>
              <w:bottom w:val="single" w:color="CCCCCC" w:sz="4" w:space="0"/>
              <w:right w:val="single" w:color="CCCCCC" w:sz="4" w:space="0"/>
            </w:tcBorders>
            <w:shd w:val="clear" w:color="auto" w:fill="F8F9FA"/>
          </w:tcPr>
          <w:p w14:paraId="36CDBB12">
            <w:pPr>
              <w:jc w:val="left"/>
            </w:pPr>
            <w:r>
              <w:rPr>
                <w:rFonts w:ascii="宋体" w:hAnsi="宋体"/>
                <w:color w:val="333333"/>
                <w:sz w:val="18"/>
              </w:rPr>
              <w:t>3</w:t>
            </w:r>
          </w:p>
        </w:tc>
        <w:tc>
          <w:tcPr>
            <w:tcW w:w="1050" w:type="dxa"/>
            <w:tcBorders>
              <w:top w:val="single" w:color="CCCCCC" w:sz="4" w:space="0"/>
              <w:left w:val="single" w:color="CCCCCC" w:sz="4" w:space="0"/>
              <w:bottom w:val="single" w:color="CCCCCC" w:sz="4" w:space="0"/>
              <w:right w:val="single" w:color="CCCCCC" w:sz="4" w:space="0"/>
            </w:tcBorders>
            <w:shd w:val="clear" w:color="auto" w:fill="F8F9FA"/>
          </w:tcPr>
          <w:p w14:paraId="5B26BB6A">
            <w:pPr>
              <w:jc w:val="center"/>
            </w:pPr>
            <w:r>
              <w:rPr>
                <w:rFonts w:ascii="宋体" w:hAnsi="宋体"/>
                <w:color w:val="333333"/>
                <w:sz w:val="18"/>
              </w:rPr>
              <w:t>比亚迪</w:t>
            </w:r>
          </w:p>
        </w:tc>
        <w:tc>
          <w:tcPr>
            <w:tcW w:w="870" w:type="dxa"/>
            <w:tcBorders>
              <w:top w:val="single" w:color="CCCCCC" w:sz="4" w:space="0"/>
              <w:left w:val="single" w:color="CCCCCC" w:sz="4" w:space="0"/>
              <w:bottom w:val="single" w:color="CCCCCC" w:sz="4" w:space="0"/>
              <w:right w:val="single" w:color="CCCCCC" w:sz="4" w:space="0"/>
            </w:tcBorders>
            <w:shd w:val="clear" w:color="auto" w:fill="F8F9FA"/>
          </w:tcPr>
          <w:p w14:paraId="424BC60B">
            <w:pPr>
              <w:jc w:val="center"/>
            </w:pPr>
            <w:r>
              <w:rPr>
                <w:rFonts w:ascii="宋体" w:hAnsi="宋体"/>
                <w:color w:val="333333"/>
                <w:sz w:val="18"/>
              </w:rPr>
              <w:t>82.5</w:t>
            </w:r>
          </w:p>
        </w:tc>
        <w:tc>
          <w:tcPr>
            <w:tcW w:w="1194" w:type="dxa"/>
            <w:tcBorders>
              <w:top w:val="single" w:color="CCCCCC" w:sz="4" w:space="0"/>
              <w:left w:val="single" w:color="CCCCCC" w:sz="4" w:space="0"/>
              <w:bottom w:val="single" w:color="CCCCCC" w:sz="4" w:space="0"/>
              <w:right w:val="single" w:color="CCCCCC" w:sz="4" w:space="0"/>
            </w:tcBorders>
            <w:shd w:val="clear" w:color="auto" w:fill="F8F9FA"/>
          </w:tcPr>
          <w:p w14:paraId="6047711F">
            <w:pPr>
              <w:jc w:val="center"/>
            </w:pPr>
            <w:r>
              <w:rPr>
                <w:rFonts w:ascii="宋体" w:hAnsi="宋体"/>
                <w:color w:val="333333"/>
                <w:sz w:val="18"/>
              </w:rPr>
              <w:t>3.2</w:t>
            </w:r>
          </w:p>
        </w:tc>
        <w:tc>
          <w:tcPr>
            <w:tcW w:w="1590" w:type="dxa"/>
            <w:tcBorders>
              <w:top w:val="single" w:color="CCCCCC" w:sz="4" w:space="0"/>
              <w:left w:val="single" w:color="CCCCCC" w:sz="4" w:space="0"/>
              <w:bottom w:val="single" w:color="CCCCCC" w:sz="4" w:space="0"/>
              <w:right w:val="single" w:color="CCCCCC" w:sz="4" w:space="0"/>
            </w:tcBorders>
            <w:shd w:val="clear" w:color="auto" w:fill="F8F9FA"/>
          </w:tcPr>
          <w:p w14:paraId="30A175E7">
            <w:pPr>
              <w:jc w:val="center"/>
            </w:pPr>
            <w:r>
              <w:rPr>
                <w:rFonts w:ascii="宋体" w:hAnsi="宋体"/>
                <w:color w:val="333333"/>
                <w:sz w:val="18"/>
              </w:rPr>
              <w:t>7.8</w:t>
            </w:r>
          </w:p>
        </w:tc>
        <w:tc>
          <w:tcPr>
            <w:tcW w:w="1370" w:type="dxa"/>
            <w:tcBorders>
              <w:top w:val="single" w:color="CCCCCC" w:sz="4" w:space="0"/>
              <w:left w:val="single" w:color="CCCCCC" w:sz="4" w:space="0"/>
              <w:bottom w:val="single" w:color="CCCCCC" w:sz="4" w:space="0"/>
              <w:right w:val="single" w:color="CCCCCC" w:sz="4" w:space="0"/>
            </w:tcBorders>
            <w:shd w:val="clear" w:color="auto" w:fill="F8F9FA"/>
          </w:tcPr>
          <w:p w14:paraId="77F14FEC">
            <w:pPr>
              <w:jc w:val="center"/>
            </w:pPr>
            <w:r>
              <w:rPr>
                <w:rFonts w:ascii="宋体" w:hAnsi="宋体"/>
                <w:color w:val="333333"/>
                <w:sz w:val="18"/>
              </w:rPr>
              <w:t>13.2</w:t>
            </w:r>
          </w:p>
        </w:tc>
        <w:tc>
          <w:tcPr>
            <w:tcW w:w="1240" w:type="dxa"/>
            <w:tcBorders>
              <w:top w:val="single" w:color="CCCCCC" w:sz="4" w:space="0"/>
              <w:left w:val="single" w:color="CCCCCC" w:sz="4" w:space="0"/>
              <w:bottom w:val="single" w:color="CCCCCC" w:sz="4" w:space="0"/>
              <w:right w:val="single" w:color="CCCCCC" w:sz="4" w:space="0"/>
            </w:tcBorders>
            <w:shd w:val="clear" w:color="auto" w:fill="F8F9FA"/>
          </w:tcPr>
          <w:p w14:paraId="4BF5498D">
            <w:pPr>
              <w:jc w:val="center"/>
            </w:pPr>
            <w:r>
              <w:rPr>
                <w:rFonts w:ascii="宋体" w:hAnsi="宋体"/>
                <w:color w:val="333333"/>
                <w:sz w:val="18"/>
              </w:rPr>
              <w:t>18.3</w:t>
            </w:r>
          </w:p>
        </w:tc>
        <w:tc>
          <w:tcPr>
            <w:tcW w:w="1366" w:type="dxa"/>
            <w:tcBorders>
              <w:top w:val="single" w:color="CCCCCC" w:sz="4" w:space="0"/>
              <w:left w:val="single" w:color="CCCCCC" w:sz="4" w:space="0"/>
              <w:bottom w:val="single" w:color="CCCCCC" w:sz="4" w:space="0"/>
              <w:right w:val="single" w:color="CCCCCC" w:sz="4" w:space="0"/>
            </w:tcBorders>
            <w:shd w:val="clear" w:color="auto" w:fill="F8F9FA"/>
          </w:tcPr>
          <w:p w14:paraId="176C06DF">
            <w:pPr>
              <w:jc w:val="center"/>
            </w:pPr>
            <w:r>
              <w:rPr>
                <w:rFonts w:ascii="宋体" w:hAnsi="宋体"/>
                <w:color w:val="333333"/>
                <w:sz w:val="18"/>
              </w:rPr>
              <w:t>40.0</w:t>
            </w:r>
          </w:p>
        </w:tc>
      </w:tr>
      <w:tr w14:paraId="4E242E0C">
        <w:trPr>
          <w:trHeight w:val="439" w:hRule="atLeast"/>
          <w:jc w:val="center"/>
        </w:trPr>
        <w:tc>
          <w:tcPr>
            <w:tcW w:w="623" w:type="dxa"/>
          </w:tcPr>
          <w:p w14:paraId="5C7F1793">
            <w:pPr>
              <w:jc w:val="left"/>
            </w:pPr>
            <w:r>
              <w:rPr>
                <w:rFonts w:ascii="宋体" w:hAnsi="宋体"/>
                <w:color w:val="333333"/>
                <w:sz w:val="18"/>
              </w:rPr>
              <w:t>4</w:t>
            </w:r>
          </w:p>
        </w:tc>
        <w:tc>
          <w:tcPr>
            <w:tcW w:w="1050" w:type="dxa"/>
          </w:tcPr>
          <w:p w14:paraId="25FC19B1">
            <w:pPr>
              <w:jc w:val="center"/>
            </w:pPr>
            <w:r>
              <w:rPr>
                <w:rFonts w:ascii="宋体" w:hAnsi="宋体"/>
                <w:color w:val="333333"/>
                <w:sz w:val="18"/>
              </w:rPr>
              <w:t>北汽蓝谷</w:t>
            </w:r>
          </w:p>
        </w:tc>
        <w:tc>
          <w:tcPr>
            <w:tcW w:w="870" w:type="dxa"/>
          </w:tcPr>
          <w:p w14:paraId="2FC86837">
            <w:pPr>
              <w:jc w:val="center"/>
            </w:pPr>
            <w:r>
              <w:rPr>
                <w:rFonts w:ascii="宋体" w:hAnsi="宋体"/>
                <w:color w:val="333333"/>
                <w:sz w:val="18"/>
              </w:rPr>
              <w:t>78.8</w:t>
            </w:r>
          </w:p>
        </w:tc>
        <w:tc>
          <w:tcPr>
            <w:tcW w:w="1194" w:type="dxa"/>
          </w:tcPr>
          <w:p w14:paraId="2EE9DFE3">
            <w:pPr>
              <w:jc w:val="center"/>
            </w:pPr>
            <w:r>
              <w:rPr>
                <w:rFonts w:ascii="宋体" w:hAnsi="宋体"/>
                <w:color w:val="333333"/>
                <w:sz w:val="18"/>
              </w:rPr>
              <w:t>0.0</w:t>
            </w:r>
          </w:p>
        </w:tc>
        <w:tc>
          <w:tcPr>
            <w:tcW w:w="1590" w:type="dxa"/>
          </w:tcPr>
          <w:p w14:paraId="4BA0BD76">
            <w:pPr>
              <w:jc w:val="center"/>
            </w:pPr>
            <w:r>
              <w:rPr>
                <w:rFonts w:ascii="宋体" w:hAnsi="宋体"/>
                <w:color w:val="333333"/>
                <w:sz w:val="18"/>
              </w:rPr>
              <w:t>12.1</w:t>
            </w:r>
          </w:p>
        </w:tc>
        <w:tc>
          <w:tcPr>
            <w:tcW w:w="1370" w:type="dxa"/>
          </w:tcPr>
          <w:p w14:paraId="197CAD55">
            <w:pPr>
              <w:jc w:val="center"/>
            </w:pPr>
            <w:r>
              <w:rPr>
                <w:rFonts w:ascii="宋体" w:hAnsi="宋体"/>
                <w:color w:val="333333"/>
                <w:sz w:val="18"/>
              </w:rPr>
              <w:t>10.9</w:t>
            </w:r>
          </w:p>
        </w:tc>
        <w:tc>
          <w:tcPr>
            <w:tcW w:w="1240" w:type="dxa"/>
          </w:tcPr>
          <w:p w14:paraId="663787B6">
            <w:pPr>
              <w:jc w:val="center"/>
            </w:pPr>
            <w:r>
              <w:rPr>
                <w:rFonts w:ascii="宋体" w:hAnsi="宋体"/>
                <w:color w:val="333333"/>
                <w:sz w:val="18"/>
              </w:rPr>
              <w:t>15.8</w:t>
            </w:r>
          </w:p>
        </w:tc>
        <w:tc>
          <w:tcPr>
            <w:tcW w:w="1366" w:type="dxa"/>
          </w:tcPr>
          <w:p w14:paraId="4322CB41">
            <w:pPr>
              <w:jc w:val="center"/>
            </w:pPr>
            <w:r>
              <w:rPr>
                <w:rFonts w:ascii="宋体" w:hAnsi="宋体"/>
                <w:color w:val="333333"/>
                <w:sz w:val="18"/>
              </w:rPr>
              <w:t>40.0</w:t>
            </w:r>
          </w:p>
        </w:tc>
      </w:tr>
      <w:tr w14:paraId="1E2ED173">
        <w:tblPrEx>
          <w:tblCellMar>
            <w:top w:w="0" w:type="dxa"/>
            <w:left w:w="108" w:type="dxa"/>
            <w:bottom w:w="0" w:type="dxa"/>
            <w:right w:w="108" w:type="dxa"/>
          </w:tblCellMar>
        </w:tblPrEx>
        <w:trPr>
          <w:trHeight w:val="439" w:hRule="atLeast"/>
          <w:jc w:val="center"/>
        </w:trPr>
        <w:tc>
          <w:tcPr>
            <w:tcW w:w="623" w:type="dxa"/>
            <w:tcBorders>
              <w:top w:val="single" w:color="CCCCCC" w:sz="4" w:space="0"/>
              <w:left w:val="single" w:color="CCCCCC" w:sz="4" w:space="0"/>
              <w:bottom w:val="single" w:color="CCCCCC" w:sz="4" w:space="0"/>
              <w:right w:val="single" w:color="CCCCCC" w:sz="4" w:space="0"/>
            </w:tcBorders>
            <w:shd w:val="clear" w:color="auto" w:fill="F8F9FA"/>
          </w:tcPr>
          <w:p w14:paraId="4421C856">
            <w:pPr>
              <w:jc w:val="left"/>
            </w:pPr>
            <w:r>
              <w:rPr>
                <w:rFonts w:ascii="宋体" w:hAnsi="宋体"/>
                <w:color w:val="333333"/>
                <w:sz w:val="18"/>
              </w:rPr>
              <w:t>5</w:t>
            </w:r>
          </w:p>
        </w:tc>
        <w:tc>
          <w:tcPr>
            <w:tcW w:w="1050" w:type="dxa"/>
            <w:tcBorders>
              <w:top w:val="single" w:color="CCCCCC" w:sz="4" w:space="0"/>
              <w:left w:val="single" w:color="CCCCCC" w:sz="4" w:space="0"/>
              <w:bottom w:val="single" w:color="CCCCCC" w:sz="4" w:space="0"/>
              <w:right w:val="single" w:color="CCCCCC" w:sz="4" w:space="0"/>
            </w:tcBorders>
            <w:shd w:val="clear" w:color="auto" w:fill="F8F9FA"/>
          </w:tcPr>
          <w:p w14:paraId="68CECBF2">
            <w:pPr>
              <w:jc w:val="center"/>
            </w:pPr>
            <w:r>
              <w:rPr>
                <w:rFonts w:ascii="宋体" w:hAnsi="宋体"/>
                <w:color w:val="333333"/>
                <w:sz w:val="18"/>
              </w:rPr>
              <w:t>长安汽车</w:t>
            </w:r>
          </w:p>
        </w:tc>
        <w:tc>
          <w:tcPr>
            <w:tcW w:w="870" w:type="dxa"/>
            <w:tcBorders>
              <w:top w:val="single" w:color="CCCCCC" w:sz="4" w:space="0"/>
              <w:left w:val="single" w:color="CCCCCC" w:sz="4" w:space="0"/>
              <w:bottom w:val="single" w:color="CCCCCC" w:sz="4" w:space="0"/>
              <w:right w:val="single" w:color="CCCCCC" w:sz="4" w:space="0"/>
            </w:tcBorders>
            <w:shd w:val="clear" w:color="auto" w:fill="F8F9FA"/>
          </w:tcPr>
          <w:p w14:paraId="1BD43497">
            <w:pPr>
              <w:jc w:val="center"/>
            </w:pPr>
            <w:r>
              <w:rPr>
                <w:rFonts w:ascii="宋体" w:hAnsi="宋体"/>
                <w:color w:val="333333"/>
                <w:sz w:val="18"/>
              </w:rPr>
              <w:t>78.4</w:t>
            </w:r>
          </w:p>
        </w:tc>
        <w:tc>
          <w:tcPr>
            <w:tcW w:w="1194" w:type="dxa"/>
            <w:tcBorders>
              <w:top w:val="single" w:color="CCCCCC" w:sz="4" w:space="0"/>
              <w:left w:val="single" w:color="CCCCCC" w:sz="4" w:space="0"/>
              <w:bottom w:val="single" w:color="CCCCCC" w:sz="4" w:space="0"/>
              <w:right w:val="single" w:color="CCCCCC" w:sz="4" w:space="0"/>
            </w:tcBorders>
            <w:shd w:val="clear" w:color="auto" w:fill="F8F9FA"/>
          </w:tcPr>
          <w:p w14:paraId="7FEF21E3">
            <w:pPr>
              <w:jc w:val="center"/>
            </w:pPr>
            <w:r>
              <w:rPr>
                <w:rFonts w:ascii="宋体" w:hAnsi="宋体"/>
                <w:color w:val="333333"/>
                <w:sz w:val="18"/>
              </w:rPr>
              <w:t>1.6</w:t>
            </w:r>
          </w:p>
        </w:tc>
        <w:tc>
          <w:tcPr>
            <w:tcW w:w="1590" w:type="dxa"/>
            <w:tcBorders>
              <w:top w:val="single" w:color="CCCCCC" w:sz="4" w:space="0"/>
              <w:left w:val="single" w:color="CCCCCC" w:sz="4" w:space="0"/>
              <w:bottom w:val="single" w:color="CCCCCC" w:sz="4" w:space="0"/>
              <w:right w:val="single" w:color="CCCCCC" w:sz="4" w:space="0"/>
            </w:tcBorders>
            <w:shd w:val="clear" w:color="auto" w:fill="F8F9FA"/>
          </w:tcPr>
          <w:p w14:paraId="1536A445">
            <w:pPr>
              <w:jc w:val="center"/>
            </w:pPr>
            <w:r>
              <w:rPr>
                <w:rFonts w:ascii="宋体" w:hAnsi="宋体"/>
                <w:color w:val="333333"/>
                <w:sz w:val="18"/>
              </w:rPr>
              <w:t>0.7</w:t>
            </w:r>
          </w:p>
        </w:tc>
        <w:tc>
          <w:tcPr>
            <w:tcW w:w="1370" w:type="dxa"/>
            <w:tcBorders>
              <w:top w:val="single" w:color="CCCCCC" w:sz="4" w:space="0"/>
              <w:left w:val="single" w:color="CCCCCC" w:sz="4" w:space="0"/>
              <w:bottom w:val="single" w:color="CCCCCC" w:sz="4" w:space="0"/>
              <w:right w:val="single" w:color="CCCCCC" w:sz="4" w:space="0"/>
            </w:tcBorders>
            <w:shd w:val="clear" w:color="auto" w:fill="F8F9FA"/>
          </w:tcPr>
          <w:p w14:paraId="23799D8E">
            <w:pPr>
              <w:jc w:val="center"/>
            </w:pPr>
            <w:r>
              <w:rPr>
                <w:rFonts w:ascii="宋体" w:hAnsi="宋体"/>
                <w:color w:val="333333"/>
                <w:sz w:val="18"/>
              </w:rPr>
              <w:t>20.2</w:t>
            </w:r>
          </w:p>
        </w:tc>
        <w:tc>
          <w:tcPr>
            <w:tcW w:w="1240" w:type="dxa"/>
            <w:tcBorders>
              <w:top w:val="single" w:color="CCCCCC" w:sz="4" w:space="0"/>
              <w:left w:val="single" w:color="CCCCCC" w:sz="4" w:space="0"/>
              <w:bottom w:val="single" w:color="CCCCCC" w:sz="4" w:space="0"/>
              <w:right w:val="single" w:color="CCCCCC" w:sz="4" w:space="0"/>
            </w:tcBorders>
            <w:shd w:val="clear" w:color="auto" w:fill="F8F9FA"/>
          </w:tcPr>
          <w:p w14:paraId="1C2C6740">
            <w:pPr>
              <w:jc w:val="center"/>
            </w:pPr>
            <w:r>
              <w:rPr>
                <w:rFonts w:ascii="宋体" w:hAnsi="宋体"/>
                <w:color w:val="333333"/>
                <w:sz w:val="18"/>
              </w:rPr>
              <w:t>15.9</w:t>
            </w:r>
          </w:p>
        </w:tc>
        <w:tc>
          <w:tcPr>
            <w:tcW w:w="1366" w:type="dxa"/>
            <w:tcBorders>
              <w:top w:val="single" w:color="CCCCCC" w:sz="4" w:space="0"/>
              <w:left w:val="single" w:color="CCCCCC" w:sz="4" w:space="0"/>
              <w:bottom w:val="single" w:color="CCCCCC" w:sz="4" w:space="0"/>
              <w:right w:val="single" w:color="CCCCCC" w:sz="4" w:space="0"/>
            </w:tcBorders>
            <w:shd w:val="clear" w:color="auto" w:fill="F8F9FA"/>
          </w:tcPr>
          <w:p w14:paraId="497A3BBD">
            <w:pPr>
              <w:jc w:val="center"/>
            </w:pPr>
            <w:r>
              <w:rPr>
                <w:rFonts w:ascii="宋体" w:hAnsi="宋体"/>
                <w:color w:val="333333"/>
                <w:sz w:val="18"/>
              </w:rPr>
              <w:t>40.0</w:t>
            </w:r>
          </w:p>
        </w:tc>
      </w:tr>
      <w:tr w14:paraId="56587F90">
        <w:tblPrEx>
          <w:tblCellMar>
            <w:top w:w="0" w:type="dxa"/>
            <w:left w:w="108" w:type="dxa"/>
            <w:bottom w:w="0" w:type="dxa"/>
            <w:right w:w="108" w:type="dxa"/>
          </w:tblCellMar>
        </w:tblPrEx>
        <w:trPr>
          <w:trHeight w:val="439" w:hRule="atLeast"/>
          <w:jc w:val="center"/>
        </w:trPr>
        <w:tc>
          <w:tcPr>
            <w:tcW w:w="623" w:type="dxa"/>
          </w:tcPr>
          <w:p w14:paraId="032AD40D">
            <w:pPr>
              <w:jc w:val="left"/>
            </w:pPr>
            <w:r>
              <w:rPr>
                <w:rFonts w:ascii="宋体" w:hAnsi="宋体"/>
                <w:color w:val="333333"/>
                <w:sz w:val="18"/>
              </w:rPr>
              <w:t>6</w:t>
            </w:r>
          </w:p>
        </w:tc>
        <w:tc>
          <w:tcPr>
            <w:tcW w:w="1050" w:type="dxa"/>
          </w:tcPr>
          <w:p w14:paraId="393DAF97">
            <w:pPr>
              <w:jc w:val="center"/>
            </w:pPr>
            <w:r>
              <w:rPr>
                <w:rFonts w:ascii="宋体" w:hAnsi="宋体"/>
                <w:color w:val="333333"/>
                <w:sz w:val="18"/>
              </w:rPr>
              <w:t>上汽集团</w:t>
            </w:r>
          </w:p>
        </w:tc>
        <w:tc>
          <w:tcPr>
            <w:tcW w:w="870" w:type="dxa"/>
          </w:tcPr>
          <w:p w14:paraId="0561C8CB">
            <w:pPr>
              <w:jc w:val="center"/>
            </w:pPr>
            <w:r>
              <w:rPr>
                <w:rFonts w:ascii="宋体" w:hAnsi="宋体"/>
                <w:color w:val="333333"/>
                <w:sz w:val="18"/>
              </w:rPr>
              <w:t>78.4</w:t>
            </w:r>
          </w:p>
        </w:tc>
        <w:tc>
          <w:tcPr>
            <w:tcW w:w="1194" w:type="dxa"/>
          </w:tcPr>
          <w:p w14:paraId="15CA17A0">
            <w:pPr>
              <w:jc w:val="center"/>
            </w:pPr>
            <w:r>
              <w:rPr>
                <w:rFonts w:ascii="宋体" w:hAnsi="宋体"/>
                <w:color w:val="333333"/>
                <w:sz w:val="18"/>
              </w:rPr>
              <w:t>0.0</w:t>
            </w:r>
          </w:p>
        </w:tc>
        <w:tc>
          <w:tcPr>
            <w:tcW w:w="1590" w:type="dxa"/>
          </w:tcPr>
          <w:p w14:paraId="35D382AD">
            <w:pPr>
              <w:jc w:val="center"/>
            </w:pPr>
            <w:r>
              <w:rPr>
                <w:rFonts w:ascii="宋体" w:hAnsi="宋体"/>
                <w:color w:val="333333"/>
                <w:sz w:val="18"/>
              </w:rPr>
              <w:t>5.8</w:t>
            </w:r>
          </w:p>
        </w:tc>
        <w:tc>
          <w:tcPr>
            <w:tcW w:w="1370" w:type="dxa"/>
          </w:tcPr>
          <w:p w14:paraId="69C8D34E">
            <w:pPr>
              <w:jc w:val="center"/>
            </w:pPr>
            <w:r>
              <w:rPr>
                <w:rFonts w:ascii="宋体" w:hAnsi="宋体"/>
                <w:color w:val="333333"/>
                <w:sz w:val="18"/>
              </w:rPr>
              <w:t>19.9</w:t>
            </w:r>
          </w:p>
        </w:tc>
        <w:tc>
          <w:tcPr>
            <w:tcW w:w="1240" w:type="dxa"/>
          </w:tcPr>
          <w:p w14:paraId="49FA8A09">
            <w:pPr>
              <w:jc w:val="center"/>
            </w:pPr>
            <w:r>
              <w:rPr>
                <w:rFonts w:ascii="宋体" w:hAnsi="宋体"/>
                <w:color w:val="333333"/>
                <w:sz w:val="18"/>
              </w:rPr>
              <w:t>12.6</w:t>
            </w:r>
          </w:p>
        </w:tc>
        <w:tc>
          <w:tcPr>
            <w:tcW w:w="1366" w:type="dxa"/>
          </w:tcPr>
          <w:p w14:paraId="6AEDBD7D">
            <w:pPr>
              <w:jc w:val="center"/>
            </w:pPr>
            <w:r>
              <w:rPr>
                <w:rFonts w:ascii="宋体" w:hAnsi="宋体"/>
                <w:color w:val="333333"/>
                <w:sz w:val="18"/>
              </w:rPr>
              <w:t>40.0</w:t>
            </w:r>
          </w:p>
        </w:tc>
      </w:tr>
      <w:tr w14:paraId="00D60B27">
        <w:tblPrEx>
          <w:tblCellMar>
            <w:top w:w="0" w:type="dxa"/>
            <w:left w:w="108" w:type="dxa"/>
            <w:bottom w:w="0" w:type="dxa"/>
            <w:right w:w="108" w:type="dxa"/>
          </w:tblCellMar>
        </w:tblPrEx>
        <w:trPr>
          <w:trHeight w:val="439" w:hRule="atLeast"/>
          <w:jc w:val="center"/>
        </w:trPr>
        <w:tc>
          <w:tcPr>
            <w:tcW w:w="623" w:type="dxa"/>
            <w:tcBorders>
              <w:top w:val="single" w:color="CCCCCC" w:sz="4" w:space="0"/>
              <w:left w:val="single" w:color="CCCCCC" w:sz="4" w:space="0"/>
              <w:bottom w:val="single" w:color="CCCCCC" w:sz="4" w:space="0"/>
              <w:right w:val="single" w:color="CCCCCC" w:sz="4" w:space="0"/>
            </w:tcBorders>
            <w:shd w:val="clear" w:color="auto" w:fill="F8F9FA"/>
          </w:tcPr>
          <w:p w14:paraId="6654C6EE">
            <w:pPr>
              <w:jc w:val="left"/>
            </w:pPr>
            <w:r>
              <w:rPr>
                <w:rFonts w:ascii="宋体" w:hAnsi="宋体"/>
                <w:color w:val="333333"/>
                <w:sz w:val="18"/>
              </w:rPr>
              <w:t>7</w:t>
            </w:r>
          </w:p>
        </w:tc>
        <w:tc>
          <w:tcPr>
            <w:tcW w:w="1050" w:type="dxa"/>
            <w:tcBorders>
              <w:top w:val="single" w:color="CCCCCC" w:sz="4" w:space="0"/>
              <w:left w:val="single" w:color="CCCCCC" w:sz="4" w:space="0"/>
              <w:bottom w:val="single" w:color="CCCCCC" w:sz="4" w:space="0"/>
              <w:right w:val="single" w:color="CCCCCC" w:sz="4" w:space="0"/>
            </w:tcBorders>
            <w:shd w:val="clear" w:color="auto" w:fill="F8F9FA"/>
          </w:tcPr>
          <w:p w14:paraId="28862B70">
            <w:pPr>
              <w:jc w:val="center"/>
            </w:pPr>
            <w:r>
              <w:rPr>
                <w:rFonts w:ascii="宋体" w:hAnsi="宋体"/>
                <w:color w:val="333333"/>
                <w:sz w:val="18"/>
              </w:rPr>
              <w:t>江淮汽车</w:t>
            </w:r>
          </w:p>
        </w:tc>
        <w:tc>
          <w:tcPr>
            <w:tcW w:w="870" w:type="dxa"/>
            <w:tcBorders>
              <w:top w:val="single" w:color="CCCCCC" w:sz="4" w:space="0"/>
              <w:left w:val="single" w:color="CCCCCC" w:sz="4" w:space="0"/>
              <w:bottom w:val="single" w:color="CCCCCC" w:sz="4" w:space="0"/>
              <w:right w:val="single" w:color="CCCCCC" w:sz="4" w:space="0"/>
            </w:tcBorders>
            <w:shd w:val="clear" w:color="auto" w:fill="F8F9FA"/>
          </w:tcPr>
          <w:p w14:paraId="3D430E3A">
            <w:pPr>
              <w:jc w:val="center"/>
            </w:pPr>
            <w:r>
              <w:rPr>
                <w:rFonts w:ascii="宋体" w:hAnsi="宋体"/>
                <w:color w:val="333333"/>
                <w:sz w:val="18"/>
              </w:rPr>
              <w:t>78.2</w:t>
            </w:r>
          </w:p>
        </w:tc>
        <w:tc>
          <w:tcPr>
            <w:tcW w:w="1194" w:type="dxa"/>
            <w:tcBorders>
              <w:top w:val="single" w:color="CCCCCC" w:sz="4" w:space="0"/>
              <w:left w:val="single" w:color="CCCCCC" w:sz="4" w:space="0"/>
              <w:bottom w:val="single" w:color="CCCCCC" w:sz="4" w:space="0"/>
              <w:right w:val="single" w:color="CCCCCC" w:sz="4" w:space="0"/>
            </w:tcBorders>
            <w:shd w:val="clear" w:color="auto" w:fill="F8F9FA"/>
          </w:tcPr>
          <w:p w14:paraId="5108A974">
            <w:pPr>
              <w:jc w:val="center"/>
            </w:pPr>
            <w:r>
              <w:rPr>
                <w:rFonts w:ascii="宋体" w:hAnsi="宋体"/>
                <w:color w:val="333333"/>
                <w:sz w:val="18"/>
              </w:rPr>
              <w:t>0.0</w:t>
            </w:r>
          </w:p>
        </w:tc>
        <w:tc>
          <w:tcPr>
            <w:tcW w:w="1590" w:type="dxa"/>
            <w:tcBorders>
              <w:top w:val="single" w:color="CCCCCC" w:sz="4" w:space="0"/>
              <w:left w:val="single" w:color="CCCCCC" w:sz="4" w:space="0"/>
              <w:bottom w:val="single" w:color="CCCCCC" w:sz="4" w:space="0"/>
              <w:right w:val="single" w:color="CCCCCC" w:sz="4" w:space="0"/>
            </w:tcBorders>
            <w:shd w:val="clear" w:color="auto" w:fill="F8F9FA"/>
          </w:tcPr>
          <w:p w14:paraId="660F0A01">
            <w:pPr>
              <w:jc w:val="center"/>
            </w:pPr>
            <w:r>
              <w:rPr>
                <w:rFonts w:ascii="宋体" w:hAnsi="宋体"/>
                <w:color w:val="333333"/>
                <w:sz w:val="18"/>
              </w:rPr>
              <w:t>7.6</w:t>
            </w:r>
          </w:p>
        </w:tc>
        <w:tc>
          <w:tcPr>
            <w:tcW w:w="1370" w:type="dxa"/>
            <w:tcBorders>
              <w:top w:val="single" w:color="CCCCCC" w:sz="4" w:space="0"/>
              <w:left w:val="single" w:color="CCCCCC" w:sz="4" w:space="0"/>
              <w:bottom w:val="single" w:color="CCCCCC" w:sz="4" w:space="0"/>
              <w:right w:val="single" w:color="CCCCCC" w:sz="4" w:space="0"/>
            </w:tcBorders>
            <w:shd w:val="clear" w:color="auto" w:fill="F8F9FA"/>
          </w:tcPr>
          <w:p w14:paraId="2F9F97F8">
            <w:pPr>
              <w:jc w:val="center"/>
            </w:pPr>
            <w:r>
              <w:rPr>
                <w:rFonts w:ascii="宋体" w:hAnsi="宋体"/>
                <w:color w:val="333333"/>
                <w:sz w:val="18"/>
              </w:rPr>
              <w:t>13.4</w:t>
            </w:r>
          </w:p>
        </w:tc>
        <w:tc>
          <w:tcPr>
            <w:tcW w:w="1240" w:type="dxa"/>
            <w:tcBorders>
              <w:top w:val="single" w:color="CCCCCC" w:sz="4" w:space="0"/>
              <w:left w:val="single" w:color="CCCCCC" w:sz="4" w:space="0"/>
              <w:bottom w:val="single" w:color="CCCCCC" w:sz="4" w:space="0"/>
              <w:right w:val="single" w:color="CCCCCC" w:sz="4" w:space="0"/>
            </w:tcBorders>
            <w:shd w:val="clear" w:color="auto" w:fill="F8F9FA"/>
          </w:tcPr>
          <w:p w14:paraId="705EFF54">
            <w:pPr>
              <w:jc w:val="center"/>
            </w:pPr>
            <w:r>
              <w:rPr>
                <w:rFonts w:ascii="宋体" w:hAnsi="宋体"/>
                <w:color w:val="333333"/>
                <w:sz w:val="18"/>
              </w:rPr>
              <w:t>17.2</w:t>
            </w:r>
          </w:p>
        </w:tc>
        <w:tc>
          <w:tcPr>
            <w:tcW w:w="1366" w:type="dxa"/>
            <w:tcBorders>
              <w:top w:val="single" w:color="CCCCCC" w:sz="4" w:space="0"/>
              <w:left w:val="single" w:color="CCCCCC" w:sz="4" w:space="0"/>
              <w:bottom w:val="single" w:color="CCCCCC" w:sz="4" w:space="0"/>
              <w:right w:val="single" w:color="CCCCCC" w:sz="4" w:space="0"/>
            </w:tcBorders>
            <w:shd w:val="clear" w:color="auto" w:fill="F8F9FA"/>
          </w:tcPr>
          <w:p w14:paraId="41BDEF77">
            <w:pPr>
              <w:jc w:val="center"/>
            </w:pPr>
            <w:r>
              <w:rPr>
                <w:rFonts w:ascii="宋体" w:hAnsi="宋体"/>
                <w:color w:val="333333"/>
                <w:sz w:val="18"/>
              </w:rPr>
              <w:t>40.0</w:t>
            </w:r>
          </w:p>
        </w:tc>
      </w:tr>
      <w:tr w14:paraId="5EA708FF">
        <w:tblPrEx>
          <w:tblCellMar>
            <w:top w:w="0" w:type="dxa"/>
            <w:left w:w="108" w:type="dxa"/>
            <w:bottom w:w="0" w:type="dxa"/>
            <w:right w:w="108" w:type="dxa"/>
          </w:tblCellMar>
        </w:tblPrEx>
        <w:trPr>
          <w:trHeight w:val="439" w:hRule="atLeast"/>
          <w:jc w:val="center"/>
        </w:trPr>
        <w:tc>
          <w:tcPr>
            <w:tcW w:w="623" w:type="dxa"/>
          </w:tcPr>
          <w:p w14:paraId="12EAA17D">
            <w:pPr>
              <w:jc w:val="left"/>
            </w:pPr>
            <w:r>
              <w:rPr>
                <w:rFonts w:ascii="宋体" w:hAnsi="宋体"/>
                <w:color w:val="333333"/>
                <w:sz w:val="18"/>
              </w:rPr>
              <w:t>8</w:t>
            </w:r>
          </w:p>
        </w:tc>
        <w:tc>
          <w:tcPr>
            <w:tcW w:w="1050" w:type="dxa"/>
          </w:tcPr>
          <w:p w14:paraId="27E9E480">
            <w:pPr>
              <w:jc w:val="center"/>
            </w:pPr>
            <w:r>
              <w:rPr>
                <w:rFonts w:ascii="宋体" w:hAnsi="宋体"/>
                <w:color w:val="333333"/>
                <w:sz w:val="18"/>
              </w:rPr>
              <w:t>广汽集团</w:t>
            </w:r>
          </w:p>
        </w:tc>
        <w:tc>
          <w:tcPr>
            <w:tcW w:w="870" w:type="dxa"/>
          </w:tcPr>
          <w:p w14:paraId="75AE9427">
            <w:pPr>
              <w:jc w:val="center"/>
            </w:pPr>
            <w:r>
              <w:rPr>
                <w:rFonts w:ascii="宋体" w:hAnsi="宋体"/>
                <w:color w:val="333333"/>
                <w:sz w:val="18"/>
              </w:rPr>
              <w:t>77.5</w:t>
            </w:r>
          </w:p>
        </w:tc>
        <w:tc>
          <w:tcPr>
            <w:tcW w:w="1194" w:type="dxa"/>
          </w:tcPr>
          <w:p w14:paraId="64D27CDF">
            <w:pPr>
              <w:jc w:val="center"/>
            </w:pPr>
            <w:r>
              <w:rPr>
                <w:rFonts w:ascii="宋体" w:hAnsi="宋体"/>
                <w:color w:val="333333"/>
                <w:sz w:val="18"/>
              </w:rPr>
              <w:t>0.0</w:t>
            </w:r>
          </w:p>
        </w:tc>
        <w:tc>
          <w:tcPr>
            <w:tcW w:w="1590" w:type="dxa"/>
          </w:tcPr>
          <w:p w14:paraId="4F3F021E">
            <w:pPr>
              <w:jc w:val="center"/>
            </w:pPr>
            <w:r>
              <w:rPr>
                <w:rFonts w:ascii="宋体" w:hAnsi="宋体"/>
                <w:color w:val="333333"/>
                <w:sz w:val="18"/>
              </w:rPr>
              <w:t>11.3</w:t>
            </w:r>
          </w:p>
        </w:tc>
        <w:tc>
          <w:tcPr>
            <w:tcW w:w="1370" w:type="dxa"/>
          </w:tcPr>
          <w:p w14:paraId="6F82684F">
            <w:pPr>
              <w:jc w:val="center"/>
            </w:pPr>
            <w:r>
              <w:rPr>
                <w:rFonts w:ascii="宋体" w:hAnsi="宋体"/>
                <w:color w:val="333333"/>
                <w:sz w:val="18"/>
              </w:rPr>
              <w:t>19.1</w:t>
            </w:r>
          </w:p>
        </w:tc>
        <w:tc>
          <w:tcPr>
            <w:tcW w:w="1240" w:type="dxa"/>
          </w:tcPr>
          <w:p w14:paraId="45CF0534">
            <w:pPr>
              <w:jc w:val="center"/>
            </w:pPr>
            <w:r>
              <w:rPr>
                <w:rFonts w:ascii="宋体" w:hAnsi="宋体"/>
                <w:color w:val="333333"/>
                <w:sz w:val="18"/>
              </w:rPr>
              <w:t>8.2</w:t>
            </w:r>
          </w:p>
        </w:tc>
        <w:tc>
          <w:tcPr>
            <w:tcW w:w="1366" w:type="dxa"/>
          </w:tcPr>
          <w:p w14:paraId="6E11A49F">
            <w:pPr>
              <w:jc w:val="center"/>
            </w:pPr>
            <w:r>
              <w:rPr>
                <w:rFonts w:ascii="宋体" w:hAnsi="宋体"/>
                <w:color w:val="333333"/>
                <w:sz w:val="18"/>
              </w:rPr>
              <w:t>38.9</w:t>
            </w:r>
          </w:p>
        </w:tc>
      </w:tr>
    </w:tbl>
    <w:p w14:paraId="405D4FF6">
      <w:pPr>
        <w:spacing w:after="80"/>
      </w:pPr>
    </w:p>
    <w:p w14:paraId="74C05C3E">
      <w:pPr>
        <w:spacing w:before="240" w:after="120"/>
        <w:outlineLvl w:val="1"/>
      </w:pPr>
      <w:r>
        <w:rPr>
          <w:rFonts w:ascii="黑体" w:hAnsi="黑体"/>
          <w:b/>
          <w:color w:val="000000"/>
          <w:sz w:val="28"/>
        </w:rPr>
        <w:t>（八）销量结构与综合风险</w:t>
      </w:r>
    </w:p>
    <w:p w14:paraId="12C33CEE">
      <w:pPr>
        <w:jc w:val="center"/>
      </w:pPr>
      <w:r>
        <w:drawing>
          <wp:inline distT="0" distB="0" distL="114300" distR="114300">
            <wp:extent cx="5399405" cy="2081530"/>
            <wp:effectExtent l="0" t="0" r="1079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400000" cy="2081564"/>
                    </a:xfrm>
                    <a:prstGeom prst="rect">
                      <a:avLst/>
                    </a:prstGeom>
                  </pic:spPr>
                </pic:pic>
              </a:graphicData>
            </a:graphic>
          </wp:inline>
        </w:drawing>
      </w:r>
    </w:p>
    <w:p w14:paraId="39E23E64">
      <w:pPr>
        <w:spacing w:after="120"/>
        <w:jc w:val="center"/>
      </w:pPr>
      <w:r>
        <w:rPr>
          <w:rFonts w:ascii="宋体" w:hAnsi="宋体"/>
          <w:sz w:val="18"/>
        </w:rPr>
        <w:t>图21  赛力斯vs长安销量结构对比</w:t>
      </w:r>
    </w:p>
    <w:p w14:paraId="053B21E8">
      <w:pPr>
        <w:spacing w:after="40" w:line="360" w:lineRule="auto"/>
        <w:ind w:firstLine="420"/>
      </w:pPr>
      <w:r>
        <w:rPr>
          <w:rFonts w:ascii="宋体" w:hAnsi="宋体"/>
          <w:b w:val="0"/>
          <w:sz w:val="24"/>
        </w:rPr>
        <w:t>赛力斯问界占比从57.8%（2022）升至约95%（2025），品牌集中度是最大非财务风险——华为合作策略的任何变化都可能产生系统性影响。长安新能源占比从7.8%升至约26%，多品牌布局提供风险分散。十年趋势（图22-23）显示赛力斯在毛利率和ROE上的波动远大于长安，与NEV行业景气度高度同步——赛力斯的爆发增长和回调都发生在行业景气度的阶段性高点。</w:t>
      </w:r>
    </w:p>
    <w:p w14:paraId="431020FA">
      <w:pPr>
        <w:jc w:val="center"/>
      </w:pPr>
      <w:r>
        <w:drawing>
          <wp:inline distT="0" distB="0" distL="114300" distR="114300">
            <wp:extent cx="4186555" cy="3442970"/>
            <wp:effectExtent l="0" t="0" r="444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186555" cy="3442970"/>
                    </a:xfrm>
                    <a:prstGeom prst="rect">
                      <a:avLst/>
                    </a:prstGeom>
                  </pic:spPr>
                </pic:pic>
              </a:graphicData>
            </a:graphic>
          </wp:inline>
        </w:drawing>
      </w:r>
    </w:p>
    <w:p w14:paraId="4F4A576D">
      <w:pPr>
        <w:spacing w:after="120"/>
        <w:jc w:val="center"/>
      </w:pPr>
      <w:r>
        <w:rPr>
          <w:rFonts w:ascii="宋体" w:hAnsi="宋体"/>
          <w:sz w:val="18"/>
        </w:rPr>
        <w:t>图22  综合风险雷达图</w:t>
      </w:r>
    </w:p>
    <w:p w14:paraId="5015D56B">
      <w:pPr>
        <w:jc w:val="center"/>
      </w:pPr>
      <w:r>
        <w:drawing>
          <wp:inline distT="0" distB="0" distL="114300" distR="114300">
            <wp:extent cx="5039995" cy="4807585"/>
            <wp:effectExtent l="0" t="0" r="444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040000" cy="4807645"/>
                    </a:xfrm>
                    <a:prstGeom prst="rect">
                      <a:avLst/>
                    </a:prstGeom>
                  </pic:spPr>
                </pic:pic>
              </a:graphicData>
            </a:graphic>
          </wp:inline>
        </w:drawing>
      </w:r>
    </w:p>
    <w:p w14:paraId="2C967328">
      <w:pPr>
        <w:spacing w:after="120"/>
        <w:jc w:val="center"/>
      </w:pPr>
      <w:r>
        <w:rPr>
          <w:rFonts w:ascii="宋体" w:hAnsi="宋体"/>
          <w:sz w:val="18"/>
        </w:rPr>
        <w:t>图23  赛力斯vs长安五指标十年趋势</w:t>
      </w:r>
    </w:p>
    <w:p w14:paraId="7DF01ACA">
      <w:pPr>
        <w:spacing w:before="360" w:after="240"/>
        <w:jc w:val="center"/>
        <w:outlineLvl w:val="0"/>
      </w:pPr>
      <w:r>
        <w:rPr>
          <w:rFonts w:ascii="黑体" w:hAnsi="黑体"/>
          <w:b/>
          <w:color w:val="000000"/>
          <w:sz w:val="32"/>
        </w:rPr>
        <w:t>六、结论与建议</w:t>
      </w:r>
    </w:p>
    <w:p w14:paraId="7F7022CA">
      <w:pPr>
        <w:spacing w:before="240" w:after="120"/>
        <w:outlineLvl w:val="1"/>
      </w:pPr>
      <w:r>
        <w:rPr>
          <w:rFonts w:ascii="黑体" w:hAnsi="黑体"/>
          <w:b/>
          <w:color w:val="000000"/>
          <w:sz w:val="28"/>
        </w:rPr>
        <w:t>（一）主要结论</w:t>
      </w:r>
    </w:p>
    <w:p w14:paraId="6FF7BA34">
      <w:pPr>
        <w:spacing w:after="40" w:line="360" w:lineRule="auto"/>
        <w:ind w:firstLine="420"/>
      </w:pPr>
      <w:r>
        <w:rPr>
          <w:rFonts w:ascii="宋体" w:hAnsi="宋体"/>
          <w:b w:val="0"/>
          <w:sz w:val="24"/>
        </w:rPr>
        <w:t>通过对8家A股上市车企314个季度财务数据的多维度分析，本文得出以下主要结论：</w:t>
      </w:r>
    </w:p>
    <w:p w14:paraId="15650920">
      <w:pPr>
        <w:spacing w:after="40" w:line="360" w:lineRule="auto"/>
        <w:ind w:firstLine="420"/>
      </w:pPr>
      <w:r>
        <w:rPr>
          <w:rFonts w:ascii="宋体" w:hAnsi="宋体"/>
          <w:b w:val="0"/>
          <w:sz w:val="24"/>
        </w:rPr>
        <w:t>第一，赛力斯与长安汽车代表了两种截然不同的财务风险特征。赛力斯ROE波动剧烈（-45.7%→38.7%→15.0%），高ROE部分由高杠杆驱动（权益乘数曾达7.69），去杠杆（-17.8pp）和周转率下降（-11.2pp）是ROE回落主因。长安汽车ROE温和下降（12.3%→4.1%），最大年度变动仅5.3pp，净利率持续下滑（贡献-3.9pp）是唯一主因。</w:t>
      </w:r>
    </w:p>
    <w:p w14:paraId="234A1E43">
      <w:pPr>
        <w:spacing w:after="40" w:line="360" w:lineRule="auto"/>
        <w:ind w:firstLine="420"/>
      </w:pPr>
      <w:r>
        <w:rPr>
          <w:rFonts w:ascii="宋体" w:hAnsi="宋体"/>
          <w:b w:val="0"/>
          <w:sz w:val="24"/>
        </w:rPr>
        <w:t>第二，六种预测方法中，Ridge回归对资产负债率预测最为可靠（MAPE 2.4%-19.2%），优于LSTM和三次指数平滑（小样本严重过拟合）。MAPE回测（2026Q1）显示资产负债率预测可靠，毛利率因接近零时MAPE放大。</w:t>
      </w:r>
    </w:p>
    <w:p w14:paraId="7ECABBF6">
      <w:pPr>
        <w:spacing w:after="40" w:line="360" w:lineRule="auto"/>
        <w:ind w:firstLine="420"/>
      </w:pPr>
      <w:r>
        <w:rPr>
          <w:rFonts w:ascii="宋体" w:hAnsi="宋体"/>
          <w:b w:val="0"/>
          <w:sz w:val="24"/>
        </w:rPr>
        <w:t>第三，现金流三组合揭示了经营模式的本质差异——赛力斯为成长期（经营+筹资），长安为"造血偏弱"型成熟期，长城为成熟期典范（自给自足），广汽经营现金流为负。</w:t>
      </w:r>
    </w:p>
    <w:p w14:paraId="55235930">
      <w:pPr>
        <w:spacing w:after="40" w:line="360" w:lineRule="auto"/>
        <w:ind w:firstLine="420"/>
      </w:pPr>
      <w:r>
        <w:rPr>
          <w:rFonts w:ascii="宋体" w:hAnsi="宋体"/>
          <w:b w:val="0"/>
          <w:sz w:val="24"/>
        </w:rPr>
        <w:t>第四，NEV行业景气度联动显示，赛力斯超涨后偏离度收窄至均值，先发优势弱化；行业增速换挡至20%-30%意味两种模式都需从增长驱动转向效率驱动。</w:t>
      </w:r>
    </w:p>
    <w:p w14:paraId="721D1AA7">
      <w:pPr>
        <w:spacing w:before="240" w:after="120"/>
        <w:outlineLvl w:val="1"/>
      </w:pPr>
      <w:r>
        <w:rPr>
          <w:rFonts w:ascii="黑体" w:hAnsi="黑体"/>
          <w:b/>
          <w:color w:val="000000"/>
          <w:sz w:val="28"/>
        </w:rPr>
        <w:t>（二）对策建议</w:t>
      </w:r>
    </w:p>
    <w:p w14:paraId="6836E76B">
      <w:pPr>
        <w:spacing w:after="40" w:line="360" w:lineRule="auto"/>
        <w:ind w:firstLine="420"/>
      </w:pPr>
      <w:r>
        <w:rPr>
          <w:rFonts w:ascii="宋体" w:hAnsi="宋体"/>
          <w:b w:val="0"/>
          <w:sz w:val="24"/>
        </w:rPr>
        <w:t>赛力斯：降低问界品牌集中度（~95%→70%以下），通过股权融资替代债务融资降低资产负债率（70.91%），关注资产周转效率（贡献-11.2pp），保持净利率改善趋势（3.3%→3.7%），认识NEV增速换挡并提前制定策略。</w:t>
      </w:r>
    </w:p>
    <w:p w14:paraId="631BDCF7">
      <w:pPr>
        <w:spacing w:after="40" w:line="360" w:lineRule="auto"/>
        <w:ind w:firstLine="420"/>
      </w:pPr>
      <w:r>
        <w:rPr>
          <w:rFonts w:ascii="宋体" w:hAnsi="宋体"/>
          <w:b w:val="0"/>
          <w:sz w:val="24"/>
        </w:rPr>
        <w:t>长安汽车：加快新能源渗透率（~26%→50%），改善毛利率（1.61%→5%+），增强经营现金净流量（18.4亿→翻倍），保持财务稳健优势（Z-score 1.82，负债率59.61%）。</w:t>
      </w:r>
    </w:p>
    <w:p w14:paraId="7F92683A">
      <w:pPr>
        <w:spacing w:before="240" w:after="120"/>
        <w:outlineLvl w:val="1"/>
      </w:pPr>
      <w:r>
        <w:rPr>
          <w:rFonts w:ascii="黑体" w:hAnsi="黑体"/>
          <w:b/>
          <w:color w:val="000000"/>
          <w:sz w:val="28"/>
        </w:rPr>
        <w:t>（三）研究局限与展望</w:t>
      </w:r>
    </w:p>
    <w:p w14:paraId="5CCE0B78">
      <w:pPr>
        <w:spacing w:after="40" w:line="360" w:lineRule="auto"/>
        <w:ind w:firstLine="420"/>
      </w:pPr>
      <w:r>
        <w:rPr>
          <w:rFonts w:ascii="宋体" w:hAnsi="宋体"/>
          <w:b w:val="0"/>
          <w:sz w:val="24"/>
        </w:rPr>
        <w:t>样本仅8家A股企业；39个季度限制深度学习方法有效性；毛利率MAPE因接近零时放大；Altman Z-score基于1968年美国数据；Prophet因CmdStan错误未运行。未来可扩展样本至港股美股、采用更长窗口、引入半参数方法改善小样本预测精度。</w:t>
      </w:r>
    </w:p>
    <w:p w14:paraId="66C01CC0">
      <w:r>
        <w:br w:type="page"/>
      </w:r>
    </w:p>
    <w:p w14:paraId="0A42AB8A">
      <w:pPr>
        <w:spacing w:before="360" w:after="240"/>
        <w:jc w:val="center"/>
        <w:outlineLvl w:val="2"/>
      </w:pPr>
      <w:r>
        <w:rPr>
          <w:rFonts w:ascii="黑体" w:hAnsi="黑体"/>
          <w:b/>
          <w:color w:val="000000"/>
          <w:sz w:val="32"/>
        </w:rPr>
        <w:t>参考文献</w:t>
      </w:r>
    </w:p>
    <w:p w14:paraId="4D6BB40A">
      <w:pPr>
        <w:spacing w:line="360" w:lineRule="auto"/>
      </w:pPr>
      <w:r>
        <w:rPr>
          <w:rFonts w:ascii="宋体" w:hAnsi="宋体"/>
          <w:sz w:val="21"/>
        </w:rPr>
        <w:t>[1] 郭苏敬, 崔杰, 马会娟, 等. 财务报告分析（微课版）[M]. 北京: 清华大学出版社, 2022.</w:t>
      </w:r>
    </w:p>
    <w:p w14:paraId="19FC67CA">
      <w:pPr>
        <w:spacing w:line="360" w:lineRule="auto"/>
      </w:pPr>
      <w:r>
        <w:rPr>
          <w:rFonts w:ascii="宋体" w:hAnsi="宋体"/>
          <w:sz w:val="21"/>
        </w:rPr>
        <w:t>[2] Altman E I. Financial ratios, discriminant analysis and the prediction of corporate bankruptcy[J]. The Journal of Finance, 1968, 23(4): 589-609.</w:t>
      </w:r>
    </w:p>
    <w:p w14:paraId="15B55F4C">
      <w:pPr>
        <w:spacing w:line="360" w:lineRule="auto"/>
      </w:pPr>
      <w:r>
        <w:rPr>
          <w:rFonts w:ascii="宋体" w:hAnsi="宋体"/>
          <w:sz w:val="21"/>
        </w:rPr>
        <w:t>[3] Taylor S J, Letham B. Forecasting at scale[J]. The American Statistician, 2018, 72(1): 37-45.</w:t>
      </w:r>
    </w:p>
    <w:p w14:paraId="67D1C626">
      <w:pPr>
        <w:spacing w:line="360" w:lineRule="auto"/>
      </w:pPr>
      <w:r>
        <w:rPr>
          <w:rFonts w:ascii="宋体" w:hAnsi="宋体"/>
          <w:sz w:val="21"/>
        </w:rPr>
        <w:t>[4] Hoerl A E, Kennard R W. Ridge regression: Biased estimation for nonorthogonal problems[J]. Technometrics, 1970, 12(1): 55-67.</w:t>
      </w:r>
    </w:p>
    <w:p w14:paraId="1D1A3B84">
      <w:pPr>
        <w:spacing w:line="360" w:lineRule="auto"/>
      </w:pPr>
      <w:r>
        <w:rPr>
          <w:rFonts w:ascii="宋体" w:hAnsi="宋体"/>
          <w:sz w:val="21"/>
        </w:rPr>
        <w:t>[5] Liu F T, Ting K M, Zhou Z H. Isolation forest[C]. 2008 Eighth IEEE International Conference on Data Mining, 2008: 413-422.</w:t>
      </w:r>
    </w:p>
    <w:p w14:paraId="3E2F6D4F">
      <w:pPr>
        <w:spacing w:line="360" w:lineRule="auto"/>
      </w:pPr>
      <w:r>
        <w:rPr>
          <w:rFonts w:ascii="宋体" w:hAnsi="宋体"/>
          <w:sz w:val="21"/>
        </w:rPr>
        <w:t>[6] 中国证监会. 上市公司信息披露管理办法[S]. 2021.</w:t>
      </w:r>
    </w:p>
    <w:p w14:paraId="389734F9">
      <w:pPr>
        <w:spacing w:line="360" w:lineRule="auto"/>
      </w:pPr>
      <w:r>
        <w:rPr>
          <w:rFonts w:ascii="宋体" w:hAnsi="宋体"/>
          <w:sz w:val="21"/>
        </w:rPr>
        <w:t>[7] 财政部. 企业会计准则——基本准则[S]. 2014.</w:t>
      </w:r>
    </w:p>
    <w:p w14:paraId="4529E238">
      <w:pPr>
        <w:spacing w:line="360" w:lineRule="auto"/>
      </w:pPr>
      <w:r>
        <w:rPr>
          <w:rFonts w:ascii="宋体" w:hAnsi="宋体"/>
          <w:sz w:val="21"/>
        </w:rPr>
        <w:t>[8] AkShare. Python financial data interface[EB/OL]. https://github.com/akfamily/akshare.</w:t>
      </w:r>
    </w:p>
    <w:p w14:paraId="7CC5C421">
      <w:pPr>
        <w:spacing w:line="360" w:lineRule="auto"/>
      </w:pPr>
      <w:r>
        <w:rPr>
          <w:rFonts w:ascii="宋体" w:hAnsi="宋体"/>
          <w:sz w:val="21"/>
        </w:rPr>
        <w:t>[9] 中国汽车工业协会. 汽车工业经济运行情况[R]. 2016-2025.</w:t>
      </w:r>
    </w:p>
    <w:p w14:paraId="75E13E8E">
      <w:r>
        <w:br w:type="page"/>
      </w:r>
    </w:p>
    <w:p w14:paraId="5B13B311">
      <w:pPr>
        <w:spacing w:before="360" w:after="240"/>
        <w:jc w:val="center"/>
      </w:pPr>
      <w:r>
        <w:rPr>
          <w:rFonts w:ascii="黑体" w:hAnsi="黑体"/>
          <w:b/>
          <w:color w:val="000000"/>
          <w:sz w:val="32"/>
        </w:rPr>
        <w:t>附录A  18项财务指标计算公式</w:t>
      </w:r>
    </w:p>
    <w:tbl>
      <w:tblPr>
        <w:tblStyle w:val="32"/>
        <w:tblW w:w="0" w:type="auto"/>
        <w:jc w:val="center"/>
        <w:tblLayout w:type="autofit"/>
        <w:tblCellMar>
          <w:top w:w="0" w:type="dxa"/>
          <w:left w:w="108" w:type="dxa"/>
          <w:bottom w:w="0" w:type="dxa"/>
          <w:right w:w="108" w:type="dxa"/>
        </w:tblCellMar>
      </w:tblPr>
      <w:tblGrid>
        <w:gridCol w:w="681"/>
        <w:gridCol w:w="1587"/>
        <w:gridCol w:w="3969"/>
        <w:gridCol w:w="1134"/>
      </w:tblGrid>
      <w:tr w14:paraId="6AF35020">
        <w:tblPrEx>
          <w:tblCellMar>
            <w:top w:w="0" w:type="dxa"/>
            <w:left w:w="108" w:type="dxa"/>
            <w:bottom w:w="0" w:type="dxa"/>
            <w:right w:w="108" w:type="dxa"/>
          </w:tblCellMar>
        </w:tblPrEx>
        <w:trPr>
          <w:jc w:val="center"/>
        </w:trPr>
        <w:tc>
          <w:tcPr>
            <w:tcW w:w="681" w:type="dxa"/>
            <w:tcBorders>
              <w:top w:val="single" w:color="2E75B6" w:sz="8" w:space="0"/>
              <w:left w:val="single" w:color="CCCCCC" w:sz="4" w:space="0"/>
              <w:bottom w:val="single" w:color="CCCCCC" w:sz="4" w:space="0"/>
              <w:right w:val="single" w:color="CCCCCC" w:sz="4" w:space="0"/>
            </w:tcBorders>
            <w:shd w:val="clear" w:color="auto" w:fill="D5E8F0"/>
          </w:tcPr>
          <w:p w14:paraId="466E9EFB">
            <w:pPr>
              <w:jc w:val="center"/>
            </w:pPr>
            <w:r>
              <w:rPr>
                <w:rFonts w:ascii="黑体" w:hAnsi="黑体"/>
                <w:b/>
                <w:color w:val="1A4789"/>
                <w:sz w:val="18"/>
              </w:rPr>
              <w:t>序号</w:t>
            </w:r>
          </w:p>
        </w:tc>
        <w:tc>
          <w:tcPr>
            <w:tcW w:w="1587" w:type="dxa"/>
            <w:tcBorders>
              <w:top w:val="single" w:color="2E75B6" w:sz="8" w:space="0"/>
              <w:left w:val="single" w:color="CCCCCC" w:sz="4" w:space="0"/>
              <w:bottom w:val="single" w:color="CCCCCC" w:sz="4" w:space="0"/>
              <w:right w:val="single" w:color="CCCCCC" w:sz="4" w:space="0"/>
            </w:tcBorders>
            <w:shd w:val="clear" w:color="auto" w:fill="D5E8F0"/>
          </w:tcPr>
          <w:p w14:paraId="7836AED5">
            <w:pPr>
              <w:jc w:val="center"/>
            </w:pPr>
            <w:r>
              <w:rPr>
                <w:rFonts w:ascii="黑体" w:hAnsi="黑体"/>
                <w:b/>
                <w:color w:val="1A4789"/>
                <w:sz w:val="18"/>
              </w:rPr>
              <w:t>指标名称</w:t>
            </w:r>
          </w:p>
        </w:tc>
        <w:tc>
          <w:tcPr>
            <w:tcW w:w="3969" w:type="dxa"/>
            <w:tcBorders>
              <w:top w:val="single" w:color="2E75B6" w:sz="8" w:space="0"/>
              <w:left w:val="single" w:color="CCCCCC" w:sz="4" w:space="0"/>
              <w:bottom w:val="single" w:color="CCCCCC" w:sz="4" w:space="0"/>
              <w:right w:val="single" w:color="CCCCCC" w:sz="4" w:space="0"/>
            </w:tcBorders>
            <w:shd w:val="clear" w:color="auto" w:fill="D5E8F0"/>
          </w:tcPr>
          <w:p w14:paraId="55CF14DC">
            <w:pPr>
              <w:jc w:val="center"/>
            </w:pPr>
            <w:r>
              <w:rPr>
                <w:rFonts w:ascii="黑体" w:hAnsi="黑体"/>
                <w:b/>
                <w:color w:val="1A4789"/>
                <w:sz w:val="18"/>
              </w:rPr>
              <w:t>计算公式</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2964AD22">
            <w:pPr>
              <w:jc w:val="center"/>
            </w:pPr>
            <w:r>
              <w:rPr>
                <w:rFonts w:ascii="黑体" w:hAnsi="黑体"/>
                <w:b/>
                <w:color w:val="1A4789"/>
                <w:sz w:val="18"/>
              </w:rPr>
              <w:t>类别</w:t>
            </w:r>
          </w:p>
        </w:tc>
      </w:tr>
      <w:tr w14:paraId="4B47BC91">
        <w:tblPrEx>
          <w:tblCellMar>
            <w:top w:w="0" w:type="dxa"/>
            <w:left w:w="108" w:type="dxa"/>
            <w:bottom w:w="0" w:type="dxa"/>
            <w:right w:w="108" w:type="dxa"/>
          </w:tblCellMar>
        </w:tblPrEx>
        <w:trPr>
          <w:jc w:val="center"/>
        </w:trPr>
        <w:tc>
          <w:tcPr>
            <w:tcW w:w="681" w:type="dxa"/>
            <w:tcBorders>
              <w:top w:val="single" w:color="CCCCCC" w:sz="4" w:space="0"/>
              <w:left w:val="single" w:color="CCCCCC" w:sz="4" w:space="0"/>
              <w:bottom w:val="single" w:color="CCCCCC" w:sz="4" w:space="0"/>
              <w:right w:val="single" w:color="CCCCCC" w:sz="4" w:space="0"/>
            </w:tcBorders>
            <w:shd w:val="clear" w:color="auto" w:fill="F8F9FA"/>
          </w:tcPr>
          <w:p w14:paraId="0FB1C72C">
            <w:pPr>
              <w:jc w:val="left"/>
            </w:pPr>
            <w:r>
              <w:rPr>
                <w:rFonts w:ascii="宋体" w:hAnsi="宋体"/>
                <w:color w:val="333333"/>
                <w:sz w:val="18"/>
              </w:rPr>
              <w:t>1</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0E80AA5C">
            <w:pPr>
              <w:jc w:val="center"/>
            </w:pPr>
            <w:r>
              <w:rPr>
                <w:rFonts w:ascii="宋体" w:hAnsi="宋体"/>
                <w:color w:val="333333"/>
                <w:sz w:val="18"/>
              </w:rPr>
              <w:t>毛利率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1B288C0C">
            <w:pPr>
              <w:jc w:val="center"/>
            </w:pPr>
            <w:r>
              <w:rPr>
                <w:rFonts w:ascii="宋体" w:hAnsi="宋体"/>
                <w:color w:val="333333"/>
                <w:sz w:val="18"/>
              </w:rPr>
              <w:t>1-营业成本/营业收入</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6E7F1C37">
            <w:pPr>
              <w:jc w:val="center"/>
            </w:pPr>
            <w:r>
              <w:rPr>
                <w:rFonts w:ascii="宋体" w:hAnsi="宋体"/>
                <w:color w:val="333333"/>
                <w:sz w:val="18"/>
              </w:rPr>
              <w:t>盈利</w:t>
            </w:r>
          </w:p>
        </w:tc>
      </w:tr>
      <w:tr w14:paraId="3391D82A">
        <w:tblPrEx>
          <w:tblCellMar>
            <w:top w:w="0" w:type="dxa"/>
            <w:left w:w="108" w:type="dxa"/>
            <w:bottom w:w="0" w:type="dxa"/>
            <w:right w:w="108" w:type="dxa"/>
          </w:tblCellMar>
        </w:tblPrEx>
        <w:trPr>
          <w:jc w:val="center"/>
        </w:trPr>
        <w:tc>
          <w:tcPr>
            <w:tcW w:w="681" w:type="dxa"/>
          </w:tcPr>
          <w:p w14:paraId="14853E9C">
            <w:pPr>
              <w:jc w:val="left"/>
            </w:pPr>
            <w:r>
              <w:rPr>
                <w:rFonts w:ascii="宋体" w:hAnsi="宋体"/>
                <w:color w:val="333333"/>
                <w:sz w:val="18"/>
              </w:rPr>
              <w:t>2</w:t>
            </w:r>
          </w:p>
        </w:tc>
        <w:tc>
          <w:tcPr>
            <w:tcW w:w="1587" w:type="dxa"/>
          </w:tcPr>
          <w:p w14:paraId="5CC92D17">
            <w:pPr>
              <w:jc w:val="center"/>
            </w:pPr>
            <w:r>
              <w:rPr>
                <w:rFonts w:ascii="宋体" w:hAnsi="宋体"/>
                <w:color w:val="333333"/>
                <w:sz w:val="18"/>
              </w:rPr>
              <w:t>营业利润率</w:t>
            </w:r>
          </w:p>
        </w:tc>
        <w:tc>
          <w:tcPr>
            <w:tcW w:w="3969" w:type="dxa"/>
          </w:tcPr>
          <w:p w14:paraId="61583289">
            <w:pPr>
              <w:jc w:val="center"/>
            </w:pPr>
            <w:r>
              <w:rPr>
                <w:rFonts w:ascii="宋体" w:hAnsi="宋体"/>
                <w:color w:val="333333"/>
                <w:sz w:val="18"/>
              </w:rPr>
              <w:t>营业利润/营业收入</w:t>
            </w:r>
          </w:p>
        </w:tc>
        <w:tc>
          <w:tcPr>
            <w:tcW w:w="1134" w:type="dxa"/>
          </w:tcPr>
          <w:p w14:paraId="1D502659">
            <w:pPr>
              <w:jc w:val="center"/>
            </w:pPr>
            <w:r>
              <w:rPr>
                <w:rFonts w:ascii="宋体" w:hAnsi="宋体"/>
                <w:color w:val="333333"/>
                <w:sz w:val="18"/>
              </w:rPr>
              <w:t>盈利</w:t>
            </w:r>
          </w:p>
        </w:tc>
      </w:tr>
      <w:tr w14:paraId="148C4C65">
        <w:tblPrEx>
          <w:tblCellMar>
            <w:top w:w="0" w:type="dxa"/>
            <w:left w:w="108" w:type="dxa"/>
            <w:bottom w:w="0" w:type="dxa"/>
            <w:right w:w="108" w:type="dxa"/>
          </w:tblCellMar>
        </w:tblPrEx>
        <w:trPr>
          <w:jc w:val="center"/>
        </w:trPr>
        <w:tc>
          <w:tcPr>
            <w:tcW w:w="681" w:type="dxa"/>
            <w:tcBorders>
              <w:top w:val="single" w:color="CCCCCC" w:sz="4" w:space="0"/>
              <w:left w:val="single" w:color="CCCCCC" w:sz="4" w:space="0"/>
              <w:bottom w:val="single" w:color="CCCCCC" w:sz="4" w:space="0"/>
              <w:right w:val="single" w:color="CCCCCC" w:sz="4" w:space="0"/>
            </w:tcBorders>
            <w:shd w:val="clear" w:color="auto" w:fill="F8F9FA"/>
          </w:tcPr>
          <w:p w14:paraId="5331FC7B">
            <w:pPr>
              <w:jc w:val="left"/>
            </w:pPr>
            <w:r>
              <w:rPr>
                <w:rFonts w:ascii="宋体" w:hAnsi="宋体"/>
                <w:color w:val="333333"/>
                <w:sz w:val="18"/>
              </w:rPr>
              <w:t>3</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43B0B485">
            <w:pPr>
              <w:jc w:val="center"/>
            </w:pPr>
            <w:r>
              <w:rPr>
                <w:rFonts w:ascii="宋体" w:hAnsi="宋体"/>
                <w:color w:val="333333"/>
                <w:sz w:val="18"/>
              </w:rPr>
              <w:t>净利润率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2A8F657B">
            <w:pPr>
              <w:jc w:val="center"/>
            </w:pPr>
            <w:r>
              <w:rPr>
                <w:rFonts w:ascii="宋体" w:hAnsi="宋体"/>
                <w:color w:val="333333"/>
                <w:sz w:val="18"/>
              </w:rPr>
              <w:t>净利润/营业收入</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48A0FAAF">
            <w:pPr>
              <w:jc w:val="center"/>
            </w:pPr>
            <w:r>
              <w:rPr>
                <w:rFonts w:ascii="宋体" w:hAnsi="宋体"/>
                <w:color w:val="333333"/>
                <w:sz w:val="18"/>
              </w:rPr>
              <w:t>盈利</w:t>
            </w:r>
          </w:p>
        </w:tc>
      </w:tr>
      <w:tr w14:paraId="261F9B9B">
        <w:tblPrEx>
          <w:tblCellMar>
            <w:top w:w="0" w:type="dxa"/>
            <w:left w:w="108" w:type="dxa"/>
            <w:bottom w:w="0" w:type="dxa"/>
            <w:right w:w="108" w:type="dxa"/>
          </w:tblCellMar>
        </w:tblPrEx>
        <w:trPr>
          <w:jc w:val="center"/>
        </w:trPr>
        <w:tc>
          <w:tcPr>
            <w:tcW w:w="681" w:type="dxa"/>
          </w:tcPr>
          <w:p w14:paraId="137F1505">
            <w:pPr>
              <w:jc w:val="left"/>
            </w:pPr>
            <w:r>
              <w:rPr>
                <w:rFonts w:ascii="宋体" w:hAnsi="宋体"/>
                <w:color w:val="333333"/>
                <w:sz w:val="18"/>
              </w:rPr>
              <w:t>4</w:t>
            </w:r>
          </w:p>
        </w:tc>
        <w:tc>
          <w:tcPr>
            <w:tcW w:w="1587" w:type="dxa"/>
          </w:tcPr>
          <w:p w14:paraId="26B5F359">
            <w:pPr>
              <w:jc w:val="center"/>
            </w:pPr>
            <w:r>
              <w:rPr>
                <w:rFonts w:ascii="宋体" w:hAnsi="宋体"/>
                <w:color w:val="333333"/>
                <w:sz w:val="18"/>
              </w:rPr>
              <w:t>净资产收益率</w:t>
            </w:r>
          </w:p>
        </w:tc>
        <w:tc>
          <w:tcPr>
            <w:tcW w:w="3969" w:type="dxa"/>
          </w:tcPr>
          <w:p w14:paraId="7C156DFF">
            <w:pPr>
              <w:jc w:val="center"/>
            </w:pPr>
            <w:r>
              <w:rPr>
                <w:rFonts w:ascii="宋体" w:hAnsi="宋体"/>
                <w:color w:val="333333"/>
                <w:sz w:val="18"/>
              </w:rPr>
              <w:t>2×归母净利润/(期初+期末权益)</w:t>
            </w:r>
          </w:p>
        </w:tc>
        <w:tc>
          <w:tcPr>
            <w:tcW w:w="1134" w:type="dxa"/>
          </w:tcPr>
          <w:p w14:paraId="3BCF69DB">
            <w:pPr>
              <w:jc w:val="center"/>
            </w:pPr>
            <w:r>
              <w:rPr>
                <w:rFonts w:ascii="宋体" w:hAnsi="宋体"/>
                <w:color w:val="333333"/>
                <w:sz w:val="18"/>
              </w:rPr>
              <w:t>盈利</w:t>
            </w:r>
          </w:p>
        </w:tc>
      </w:tr>
      <w:tr w14:paraId="0307E15C">
        <w:tblPrEx>
          <w:tblCellMar>
            <w:top w:w="0" w:type="dxa"/>
            <w:left w:w="108" w:type="dxa"/>
            <w:bottom w:w="0" w:type="dxa"/>
            <w:right w:w="108" w:type="dxa"/>
          </w:tblCellMar>
        </w:tblPrEx>
        <w:trPr>
          <w:jc w:val="center"/>
        </w:trPr>
        <w:tc>
          <w:tcPr>
            <w:tcW w:w="681" w:type="dxa"/>
            <w:tcBorders>
              <w:top w:val="single" w:color="CCCCCC" w:sz="4" w:space="0"/>
              <w:left w:val="single" w:color="CCCCCC" w:sz="4" w:space="0"/>
              <w:bottom w:val="single" w:color="CCCCCC" w:sz="4" w:space="0"/>
              <w:right w:val="single" w:color="CCCCCC" w:sz="4" w:space="0"/>
            </w:tcBorders>
            <w:shd w:val="clear" w:color="auto" w:fill="F8F9FA"/>
          </w:tcPr>
          <w:p w14:paraId="315ED056">
            <w:pPr>
              <w:jc w:val="left"/>
            </w:pPr>
            <w:r>
              <w:rPr>
                <w:rFonts w:ascii="宋体" w:hAnsi="宋体"/>
                <w:color w:val="333333"/>
                <w:sz w:val="18"/>
              </w:rPr>
              <w:t>5</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32CD40CE">
            <w:pPr>
              <w:jc w:val="center"/>
            </w:pPr>
            <w:r>
              <w:rPr>
                <w:rFonts w:ascii="宋体" w:hAnsi="宋体"/>
                <w:color w:val="333333"/>
                <w:sz w:val="18"/>
              </w:rPr>
              <w:t>存货周转率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6B080383">
            <w:pPr>
              <w:jc w:val="center"/>
            </w:pPr>
            <w:r>
              <w:rPr>
                <w:rFonts w:ascii="宋体" w:hAnsi="宋体"/>
                <w:color w:val="333333"/>
                <w:sz w:val="18"/>
              </w:rPr>
              <w:t>2×营业成本/(期初+期末存货)</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3F8B9255">
            <w:pPr>
              <w:jc w:val="center"/>
            </w:pPr>
            <w:r>
              <w:rPr>
                <w:rFonts w:ascii="宋体" w:hAnsi="宋体"/>
                <w:color w:val="333333"/>
                <w:sz w:val="18"/>
              </w:rPr>
              <w:t>营运</w:t>
            </w:r>
          </w:p>
        </w:tc>
      </w:tr>
      <w:tr w14:paraId="4FE81321">
        <w:tblPrEx>
          <w:tblCellMar>
            <w:top w:w="0" w:type="dxa"/>
            <w:left w:w="108" w:type="dxa"/>
            <w:bottom w:w="0" w:type="dxa"/>
            <w:right w:w="108" w:type="dxa"/>
          </w:tblCellMar>
        </w:tblPrEx>
        <w:trPr>
          <w:jc w:val="center"/>
        </w:trPr>
        <w:tc>
          <w:tcPr>
            <w:tcW w:w="681" w:type="dxa"/>
          </w:tcPr>
          <w:p w14:paraId="1D89F60A">
            <w:pPr>
              <w:jc w:val="left"/>
            </w:pPr>
            <w:r>
              <w:rPr>
                <w:rFonts w:ascii="宋体" w:hAnsi="宋体"/>
                <w:color w:val="333333"/>
                <w:sz w:val="18"/>
              </w:rPr>
              <w:t>6</w:t>
            </w:r>
          </w:p>
        </w:tc>
        <w:tc>
          <w:tcPr>
            <w:tcW w:w="1587" w:type="dxa"/>
          </w:tcPr>
          <w:p w14:paraId="07CA31FE">
            <w:pPr>
              <w:jc w:val="center"/>
            </w:pPr>
            <w:r>
              <w:rPr>
                <w:rFonts w:ascii="宋体" w:hAnsi="宋体"/>
                <w:color w:val="333333"/>
                <w:sz w:val="18"/>
              </w:rPr>
              <w:t>总资产周转率</w:t>
            </w:r>
          </w:p>
        </w:tc>
        <w:tc>
          <w:tcPr>
            <w:tcW w:w="3969" w:type="dxa"/>
          </w:tcPr>
          <w:p w14:paraId="6F419B02">
            <w:pPr>
              <w:jc w:val="center"/>
            </w:pPr>
            <w:r>
              <w:rPr>
                <w:rFonts w:ascii="宋体" w:hAnsi="宋体"/>
                <w:color w:val="333333"/>
                <w:sz w:val="18"/>
              </w:rPr>
              <w:t>2×营业收入/(期初+期末总资产)</w:t>
            </w:r>
          </w:p>
        </w:tc>
        <w:tc>
          <w:tcPr>
            <w:tcW w:w="1134" w:type="dxa"/>
          </w:tcPr>
          <w:p w14:paraId="3EBF1B8D">
            <w:pPr>
              <w:jc w:val="center"/>
            </w:pPr>
            <w:r>
              <w:rPr>
                <w:rFonts w:ascii="宋体" w:hAnsi="宋体"/>
                <w:color w:val="333333"/>
                <w:sz w:val="18"/>
              </w:rPr>
              <w:t>营运</w:t>
            </w:r>
          </w:p>
        </w:tc>
      </w:tr>
      <w:tr w14:paraId="6DAC0E6B">
        <w:tblPrEx>
          <w:tblCellMar>
            <w:top w:w="0" w:type="dxa"/>
            <w:left w:w="108" w:type="dxa"/>
            <w:bottom w:w="0" w:type="dxa"/>
            <w:right w:w="108" w:type="dxa"/>
          </w:tblCellMar>
        </w:tblPrEx>
        <w:trPr>
          <w:jc w:val="center"/>
        </w:trPr>
        <w:tc>
          <w:tcPr>
            <w:tcW w:w="681" w:type="dxa"/>
            <w:tcBorders>
              <w:top w:val="single" w:color="CCCCCC" w:sz="4" w:space="0"/>
              <w:left w:val="single" w:color="CCCCCC" w:sz="4" w:space="0"/>
              <w:bottom w:val="single" w:color="CCCCCC" w:sz="4" w:space="0"/>
              <w:right w:val="single" w:color="CCCCCC" w:sz="4" w:space="0"/>
            </w:tcBorders>
            <w:shd w:val="clear" w:color="auto" w:fill="F8F9FA"/>
          </w:tcPr>
          <w:p w14:paraId="6CA7E28D">
            <w:pPr>
              <w:jc w:val="left"/>
            </w:pPr>
            <w:r>
              <w:rPr>
                <w:rFonts w:ascii="宋体" w:hAnsi="宋体"/>
                <w:color w:val="333333"/>
                <w:sz w:val="18"/>
              </w:rPr>
              <w:t>7</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2A0C0820">
            <w:pPr>
              <w:jc w:val="center"/>
            </w:pPr>
            <w:r>
              <w:rPr>
                <w:rFonts w:ascii="宋体" w:hAnsi="宋体"/>
                <w:color w:val="333333"/>
                <w:sz w:val="18"/>
              </w:rPr>
              <w:t>应收账款周转率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42574EE1">
            <w:pPr>
              <w:jc w:val="center"/>
            </w:pPr>
            <w:r>
              <w:rPr>
                <w:rFonts w:ascii="宋体" w:hAnsi="宋体"/>
                <w:color w:val="333333"/>
                <w:sz w:val="18"/>
              </w:rPr>
              <w:t>2×营业收入/(期初+期末应收)</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0F808D36">
            <w:pPr>
              <w:jc w:val="center"/>
            </w:pPr>
            <w:r>
              <w:rPr>
                <w:rFonts w:ascii="宋体" w:hAnsi="宋体"/>
                <w:color w:val="333333"/>
                <w:sz w:val="18"/>
              </w:rPr>
              <w:t>营运</w:t>
            </w:r>
          </w:p>
        </w:tc>
      </w:tr>
      <w:tr w14:paraId="2B88B67C">
        <w:tblPrEx>
          <w:tblCellMar>
            <w:top w:w="0" w:type="dxa"/>
            <w:left w:w="108" w:type="dxa"/>
            <w:bottom w:w="0" w:type="dxa"/>
            <w:right w:w="108" w:type="dxa"/>
          </w:tblCellMar>
        </w:tblPrEx>
        <w:trPr>
          <w:jc w:val="center"/>
        </w:trPr>
        <w:tc>
          <w:tcPr>
            <w:tcW w:w="681" w:type="dxa"/>
          </w:tcPr>
          <w:p w14:paraId="05BB80B0">
            <w:pPr>
              <w:jc w:val="left"/>
            </w:pPr>
            <w:r>
              <w:rPr>
                <w:rFonts w:ascii="宋体" w:hAnsi="宋体"/>
                <w:color w:val="333333"/>
                <w:sz w:val="18"/>
              </w:rPr>
              <w:t>8</w:t>
            </w:r>
          </w:p>
        </w:tc>
        <w:tc>
          <w:tcPr>
            <w:tcW w:w="1587" w:type="dxa"/>
          </w:tcPr>
          <w:p w14:paraId="1DBC97D7">
            <w:pPr>
              <w:jc w:val="center"/>
            </w:pPr>
            <w:r>
              <w:rPr>
                <w:rFonts w:ascii="宋体" w:hAnsi="宋体"/>
                <w:color w:val="333333"/>
                <w:sz w:val="18"/>
              </w:rPr>
              <w:t>流动比率</w:t>
            </w:r>
          </w:p>
        </w:tc>
        <w:tc>
          <w:tcPr>
            <w:tcW w:w="3969" w:type="dxa"/>
          </w:tcPr>
          <w:p w14:paraId="0986E159">
            <w:pPr>
              <w:jc w:val="center"/>
            </w:pPr>
            <w:r>
              <w:rPr>
                <w:rFonts w:ascii="宋体" w:hAnsi="宋体"/>
                <w:color w:val="333333"/>
                <w:sz w:val="18"/>
              </w:rPr>
              <w:t>流动资产/流动负债</w:t>
            </w:r>
          </w:p>
        </w:tc>
        <w:tc>
          <w:tcPr>
            <w:tcW w:w="1134" w:type="dxa"/>
          </w:tcPr>
          <w:p w14:paraId="3E8AC879">
            <w:pPr>
              <w:jc w:val="center"/>
            </w:pPr>
            <w:r>
              <w:rPr>
                <w:rFonts w:ascii="宋体" w:hAnsi="宋体"/>
                <w:color w:val="333333"/>
                <w:sz w:val="18"/>
              </w:rPr>
              <w:t>偿债</w:t>
            </w:r>
          </w:p>
        </w:tc>
      </w:tr>
      <w:tr w14:paraId="75B8D466">
        <w:tblPrEx>
          <w:tblCellMar>
            <w:top w:w="0" w:type="dxa"/>
            <w:left w:w="108" w:type="dxa"/>
            <w:bottom w:w="0" w:type="dxa"/>
            <w:right w:w="108" w:type="dxa"/>
          </w:tblCellMar>
        </w:tblPrEx>
        <w:trPr>
          <w:jc w:val="center"/>
        </w:trPr>
        <w:tc>
          <w:tcPr>
            <w:tcW w:w="681" w:type="dxa"/>
            <w:tcBorders>
              <w:top w:val="single" w:color="CCCCCC" w:sz="4" w:space="0"/>
              <w:left w:val="single" w:color="CCCCCC" w:sz="4" w:space="0"/>
              <w:bottom w:val="single" w:color="CCCCCC" w:sz="4" w:space="0"/>
              <w:right w:val="single" w:color="CCCCCC" w:sz="4" w:space="0"/>
            </w:tcBorders>
            <w:shd w:val="clear" w:color="auto" w:fill="F8F9FA"/>
          </w:tcPr>
          <w:p w14:paraId="31A2B78D">
            <w:pPr>
              <w:jc w:val="left"/>
            </w:pPr>
            <w:r>
              <w:rPr>
                <w:rFonts w:ascii="宋体" w:hAnsi="宋体"/>
                <w:color w:val="333333"/>
                <w:sz w:val="18"/>
              </w:rPr>
              <w:t>9</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5F25BAD8">
            <w:pPr>
              <w:jc w:val="center"/>
            </w:pPr>
            <w:r>
              <w:rPr>
                <w:rFonts w:ascii="宋体" w:hAnsi="宋体"/>
                <w:color w:val="333333"/>
                <w:sz w:val="18"/>
              </w:rPr>
              <w:t>速动比率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7485B26B">
            <w:pPr>
              <w:jc w:val="center"/>
            </w:pPr>
            <w:r>
              <w:rPr>
                <w:rFonts w:ascii="宋体" w:hAnsi="宋体"/>
                <w:color w:val="333333"/>
                <w:sz w:val="18"/>
              </w:rPr>
              <w:t>(流动资产-存货-预付)/流动负债</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C427586">
            <w:pPr>
              <w:jc w:val="center"/>
            </w:pPr>
            <w:r>
              <w:rPr>
                <w:rFonts w:ascii="宋体" w:hAnsi="宋体"/>
                <w:color w:val="333333"/>
                <w:sz w:val="18"/>
              </w:rPr>
              <w:t>偿债</w:t>
            </w:r>
          </w:p>
        </w:tc>
      </w:tr>
      <w:tr w14:paraId="5B9D2277">
        <w:tblPrEx>
          <w:tblCellMar>
            <w:top w:w="0" w:type="dxa"/>
            <w:left w:w="108" w:type="dxa"/>
            <w:bottom w:w="0" w:type="dxa"/>
            <w:right w:w="108" w:type="dxa"/>
          </w:tblCellMar>
        </w:tblPrEx>
        <w:trPr>
          <w:jc w:val="center"/>
        </w:trPr>
        <w:tc>
          <w:tcPr>
            <w:tcW w:w="681" w:type="dxa"/>
          </w:tcPr>
          <w:p w14:paraId="72E0B55A">
            <w:pPr>
              <w:jc w:val="left"/>
            </w:pPr>
            <w:r>
              <w:rPr>
                <w:rFonts w:ascii="宋体" w:hAnsi="宋体"/>
                <w:color w:val="333333"/>
                <w:sz w:val="18"/>
              </w:rPr>
              <w:t>10</w:t>
            </w:r>
          </w:p>
        </w:tc>
        <w:tc>
          <w:tcPr>
            <w:tcW w:w="1587" w:type="dxa"/>
          </w:tcPr>
          <w:p w14:paraId="7C1D5DC0">
            <w:pPr>
              <w:jc w:val="center"/>
            </w:pPr>
            <w:r>
              <w:rPr>
                <w:rFonts w:ascii="宋体" w:hAnsi="宋体"/>
                <w:color w:val="333333"/>
                <w:sz w:val="18"/>
              </w:rPr>
              <w:t>利息保障倍数</w:t>
            </w:r>
          </w:p>
        </w:tc>
        <w:tc>
          <w:tcPr>
            <w:tcW w:w="3969" w:type="dxa"/>
          </w:tcPr>
          <w:p w14:paraId="69F2963A">
            <w:pPr>
              <w:jc w:val="center"/>
            </w:pPr>
            <w:r>
              <w:rPr>
                <w:rFonts w:ascii="宋体" w:hAnsi="宋体"/>
                <w:color w:val="333333"/>
                <w:sz w:val="18"/>
              </w:rPr>
              <w:t>(营业利润+利息)/利息费用</w:t>
            </w:r>
          </w:p>
        </w:tc>
        <w:tc>
          <w:tcPr>
            <w:tcW w:w="1134" w:type="dxa"/>
          </w:tcPr>
          <w:p w14:paraId="227AD0AB">
            <w:pPr>
              <w:jc w:val="center"/>
            </w:pPr>
            <w:r>
              <w:rPr>
                <w:rFonts w:ascii="宋体" w:hAnsi="宋体"/>
                <w:color w:val="333333"/>
                <w:sz w:val="18"/>
              </w:rPr>
              <w:t>偿债</w:t>
            </w:r>
          </w:p>
        </w:tc>
      </w:tr>
      <w:tr w14:paraId="65D280DF">
        <w:tblPrEx>
          <w:tblCellMar>
            <w:top w:w="0" w:type="dxa"/>
            <w:left w:w="108" w:type="dxa"/>
            <w:bottom w:w="0" w:type="dxa"/>
            <w:right w:w="108" w:type="dxa"/>
          </w:tblCellMar>
        </w:tblPrEx>
        <w:trPr>
          <w:jc w:val="center"/>
        </w:trPr>
        <w:tc>
          <w:tcPr>
            <w:tcW w:w="681" w:type="dxa"/>
            <w:tcBorders>
              <w:top w:val="single" w:color="CCCCCC" w:sz="4" w:space="0"/>
              <w:left w:val="single" w:color="CCCCCC" w:sz="4" w:space="0"/>
              <w:bottom w:val="single" w:color="CCCCCC" w:sz="4" w:space="0"/>
              <w:right w:val="single" w:color="CCCCCC" w:sz="4" w:space="0"/>
            </w:tcBorders>
            <w:shd w:val="clear" w:color="auto" w:fill="F8F9FA"/>
          </w:tcPr>
          <w:p w14:paraId="40B63A99">
            <w:pPr>
              <w:jc w:val="left"/>
            </w:pPr>
            <w:r>
              <w:rPr>
                <w:rFonts w:ascii="宋体" w:hAnsi="宋体"/>
                <w:color w:val="333333"/>
                <w:sz w:val="18"/>
              </w:rPr>
              <w:t>11</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66F8CCCD">
            <w:pPr>
              <w:jc w:val="center"/>
            </w:pPr>
            <w:r>
              <w:rPr>
                <w:rFonts w:ascii="宋体" w:hAnsi="宋体"/>
                <w:color w:val="333333"/>
                <w:sz w:val="18"/>
              </w:rPr>
              <w:t>资产负债率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3BAB0DE6">
            <w:pPr>
              <w:jc w:val="center"/>
            </w:pPr>
            <w:r>
              <w:rPr>
                <w:rFonts w:ascii="宋体" w:hAnsi="宋体"/>
                <w:color w:val="333333"/>
                <w:sz w:val="18"/>
              </w:rPr>
              <w:t>负债合计/资产合计</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53F8D1F8">
            <w:pPr>
              <w:jc w:val="center"/>
            </w:pPr>
            <w:r>
              <w:rPr>
                <w:rFonts w:ascii="宋体" w:hAnsi="宋体"/>
                <w:color w:val="333333"/>
                <w:sz w:val="18"/>
              </w:rPr>
              <w:t>偿债</w:t>
            </w:r>
          </w:p>
        </w:tc>
      </w:tr>
      <w:tr w14:paraId="0FE2DDBC">
        <w:tblPrEx>
          <w:tblCellMar>
            <w:top w:w="0" w:type="dxa"/>
            <w:left w:w="108" w:type="dxa"/>
            <w:bottom w:w="0" w:type="dxa"/>
            <w:right w:w="108" w:type="dxa"/>
          </w:tblCellMar>
        </w:tblPrEx>
        <w:trPr>
          <w:jc w:val="center"/>
        </w:trPr>
        <w:tc>
          <w:tcPr>
            <w:tcW w:w="681" w:type="dxa"/>
          </w:tcPr>
          <w:p w14:paraId="0BF5697D">
            <w:pPr>
              <w:jc w:val="left"/>
            </w:pPr>
            <w:r>
              <w:rPr>
                <w:rFonts w:ascii="宋体" w:hAnsi="宋体"/>
                <w:color w:val="333333"/>
                <w:sz w:val="18"/>
              </w:rPr>
              <w:t>12</w:t>
            </w:r>
          </w:p>
        </w:tc>
        <w:tc>
          <w:tcPr>
            <w:tcW w:w="1587" w:type="dxa"/>
          </w:tcPr>
          <w:p w14:paraId="7C392114">
            <w:pPr>
              <w:jc w:val="center"/>
            </w:pPr>
            <w:r>
              <w:rPr>
                <w:rFonts w:ascii="宋体" w:hAnsi="宋体"/>
                <w:color w:val="333333"/>
                <w:sz w:val="18"/>
              </w:rPr>
              <w:t>营收增长率</w:t>
            </w:r>
          </w:p>
        </w:tc>
        <w:tc>
          <w:tcPr>
            <w:tcW w:w="3969" w:type="dxa"/>
          </w:tcPr>
          <w:p w14:paraId="5AA4AB9B">
            <w:pPr>
              <w:jc w:val="center"/>
            </w:pPr>
            <w:r>
              <w:rPr>
                <w:rFonts w:ascii="宋体" w:hAnsi="宋体"/>
                <w:color w:val="333333"/>
                <w:sz w:val="18"/>
              </w:rPr>
              <w:t>营收/上期营收-1</w:t>
            </w:r>
          </w:p>
        </w:tc>
        <w:tc>
          <w:tcPr>
            <w:tcW w:w="1134" w:type="dxa"/>
          </w:tcPr>
          <w:p w14:paraId="6DCF788E">
            <w:pPr>
              <w:jc w:val="center"/>
            </w:pPr>
            <w:r>
              <w:rPr>
                <w:rFonts w:ascii="宋体" w:hAnsi="宋体"/>
                <w:color w:val="333333"/>
                <w:sz w:val="18"/>
              </w:rPr>
              <w:t>成长</w:t>
            </w:r>
          </w:p>
        </w:tc>
      </w:tr>
      <w:tr w14:paraId="05302C9B">
        <w:tblPrEx>
          <w:tblCellMar>
            <w:top w:w="0" w:type="dxa"/>
            <w:left w:w="108" w:type="dxa"/>
            <w:bottom w:w="0" w:type="dxa"/>
            <w:right w:w="108" w:type="dxa"/>
          </w:tblCellMar>
        </w:tblPrEx>
        <w:trPr>
          <w:jc w:val="center"/>
        </w:trPr>
        <w:tc>
          <w:tcPr>
            <w:tcW w:w="681" w:type="dxa"/>
            <w:tcBorders>
              <w:top w:val="single" w:color="CCCCCC" w:sz="4" w:space="0"/>
              <w:left w:val="single" w:color="CCCCCC" w:sz="4" w:space="0"/>
              <w:bottom w:val="single" w:color="CCCCCC" w:sz="4" w:space="0"/>
              <w:right w:val="single" w:color="CCCCCC" w:sz="4" w:space="0"/>
            </w:tcBorders>
            <w:shd w:val="clear" w:color="auto" w:fill="F8F9FA"/>
          </w:tcPr>
          <w:p w14:paraId="3AD67A7A">
            <w:pPr>
              <w:jc w:val="left"/>
            </w:pPr>
            <w:r>
              <w:rPr>
                <w:rFonts w:ascii="宋体" w:hAnsi="宋体"/>
                <w:color w:val="333333"/>
                <w:sz w:val="18"/>
              </w:rPr>
              <w:t>13</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18602A42">
            <w:pPr>
              <w:jc w:val="center"/>
            </w:pPr>
            <w:r>
              <w:rPr>
                <w:rFonts w:ascii="宋体" w:hAnsi="宋体"/>
                <w:color w:val="333333"/>
                <w:sz w:val="18"/>
              </w:rPr>
              <w:t>营业利润增长率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7A33F33F">
            <w:pPr>
              <w:jc w:val="center"/>
            </w:pPr>
            <w:r>
              <w:rPr>
                <w:rFonts w:ascii="宋体" w:hAnsi="宋体"/>
                <w:color w:val="333333"/>
                <w:sz w:val="18"/>
              </w:rPr>
              <w:t>营业利润/上期营业利润-1</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733E8431">
            <w:pPr>
              <w:jc w:val="center"/>
            </w:pPr>
            <w:r>
              <w:rPr>
                <w:rFonts w:ascii="宋体" w:hAnsi="宋体"/>
                <w:color w:val="333333"/>
                <w:sz w:val="18"/>
              </w:rPr>
              <w:t>成长</w:t>
            </w:r>
          </w:p>
        </w:tc>
      </w:tr>
      <w:tr w14:paraId="768525C0">
        <w:tblPrEx>
          <w:tblCellMar>
            <w:top w:w="0" w:type="dxa"/>
            <w:left w:w="108" w:type="dxa"/>
            <w:bottom w:w="0" w:type="dxa"/>
            <w:right w:w="108" w:type="dxa"/>
          </w:tblCellMar>
        </w:tblPrEx>
        <w:trPr>
          <w:jc w:val="center"/>
        </w:trPr>
        <w:tc>
          <w:tcPr>
            <w:tcW w:w="681" w:type="dxa"/>
          </w:tcPr>
          <w:p w14:paraId="56D7606A">
            <w:pPr>
              <w:jc w:val="left"/>
            </w:pPr>
            <w:r>
              <w:rPr>
                <w:rFonts w:ascii="宋体" w:hAnsi="宋体"/>
                <w:color w:val="333333"/>
                <w:sz w:val="18"/>
              </w:rPr>
              <w:t>14</w:t>
            </w:r>
          </w:p>
        </w:tc>
        <w:tc>
          <w:tcPr>
            <w:tcW w:w="1587" w:type="dxa"/>
          </w:tcPr>
          <w:p w14:paraId="0AEF0D2A">
            <w:pPr>
              <w:jc w:val="center"/>
            </w:pPr>
            <w:r>
              <w:rPr>
                <w:rFonts w:ascii="宋体" w:hAnsi="宋体"/>
                <w:color w:val="333333"/>
                <w:sz w:val="18"/>
              </w:rPr>
              <w:t>净利润增长率</w:t>
            </w:r>
          </w:p>
        </w:tc>
        <w:tc>
          <w:tcPr>
            <w:tcW w:w="3969" w:type="dxa"/>
          </w:tcPr>
          <w:p w14:paraId="4656FF5E">
            <w:pPr>
              <w:jc w:val="center"/>
            </w:pPr>
            <w:r>
              <w:rPr>
                <w:rFonts w:ascii="宋体" w:hAnsi="宋体"/>
                <w:color w:val="333333"/>
                <w:sz w:val="18"/>
              </w:rPr>
              <w:t>净利润/上期净利润-1</w:t>
            </w:r>
          </w:p>
        </w:tc>
        <w:tc>
          <w:tcPr>
            <w:tcW w:w="1134" w:type="dxa"/>
          </w:tcPr>
          <w:p w14:paraId="7D2338AE">
            <w:pPr>
              <w:jc w:val="center"/>
            </w:pPr>
            <w:r>
              <w:rPr>
                <w:rFonts w:ascii="宋体" w:hAnsi="宋体"/>
                <w:color w:val="333333"/>
                <w:sz w:val="18"/>
              </w:rPr>
              <w:t>成长</w:t>
            </w:r>
          </w:p>
        </w:tc>
      </w:tr>
      <w:tr w14:paraId="54D02F0A">
        <w:tblPrEx>
          <w:tblCellMar>
            <w:top w:w="0" w:type="dxa"/>
            <w:left w:w="108" w:type="dxa"/>
            <w:bottom w:w="0" w:type="dxa"/>
            <w:right w:w="108" w:type="dxa"/>
          </w:tblCellMar>
        </w:tblPrEx>
        <w:trPr>
          <w:jc w:val="center"/>
        </w:trPr>
        <w:tc>
          <w:tcPr>
            <w:tcW w:w="681" w:type="dxa"/>
            <w:tcBorders>
              <w:top w:val="single" w:color="CCCCCC" w:sz="4" w:space="0"/>
              <w:left w:val="single" w:color="CCCCCC" w:sz="4" w:space="0"/>
              <w:bottom w:val="single" w:color="CCCCCC" w:sz="4" w:space="0"/>
              <w:right w:val="single" w:color="CCCCCC" w:sz="4" w:space="0"/>
            </w:tcBorders>
            <w:shd w:val="clear" w:color="auto" w:fill="F8F9FA"/>
          </w:tcPr>
          <w:p w14:paraId="367136E0">
            <w:pPr>
              <w:jc w:val="left"/>
            </w:pPr>
            <w:r>
              <w:rPr>
                <w:rFonts w:ascii="宋体" w:hAnsi="宋体"/>
                <w:color w:val="333333"/>
                <w:sz w:val="18"/>
              </w:rPr>
              <w:t>15</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342F3F37">
            <w:pPr>
              <w:jc w:val="center"/>
            </w:pPr>
            <w:r>
              <w:rPr>
                <w:rFonts w:ascii="宋体" w:hAnsi="宋体"/>
                <w:color w:val="333333"/>
                <w:sz w:val="18"/>
              </w:rPr>
              <w:t>有息负债率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1587FA9A">
            <w:pPr>
              <w:jc w:val="center"/>
            </w:pPr>
            <w:r>
              <w:rPr>
                <w:rFonts w:ascii="宋体" w:hAnsi="宋体"/>
                <w:color w:val="333333"/>
                <w:sz w:val="18"/>
              </w:rPr>
              <w:t>(短借+长借+应付债券+一年到期非流负)/资产</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779166DA">
            <w:pPr>
              <w:jc w:val="center"/>
            </w:pPr>
            <w:r>
              <w:rPr>
                <w:rFonts w:ascii="宋体" w:hAnsi="宋体"/>
                <w:color w:val="333333"/>
                <w:sz w:val="18"/>
              </w:rPr>
              <w:t>补充</w:t>
            </w:r>
          </w:p>
        </w:tc>
      </w:tr>
      <w:tr w14:paraId="2DD6D971">
        <w:tblPrEx>
          <w:tblCellMar>
            <w:top w:w="0" w:type="dxa"/>
            <w:left w:w="108" w:type="dxa"/>
            <w:bottom w:w="0" w:type="dxa"/>
            <w:right w:w="108" w:type="dxa"/>
          </w:tblCellMar>
        </w:tblPrEx>
        <w:trPr>
          <w:jc w:val="center"/>
        </w:trPr>
        <w:tc>
          <w:tcPr>
            <w:tcW w:w="681" w:type="dxa"/>
          </w:tcPr>
          <w:p w14:paraId="735DEAEE">
            <w:pPr>
              <w:jc w:val="left"/>
            </w:pPr>
            <w:r>
              <w:rPr>
                <w:rFonts w:ascii="宋体" w:hAnsi="宋体"/>
                <w:color w:val="333333"/>
                <w:sz w:val="18"/>
              </w:rPr>
              <w:t>16</w:t>
            </w:r>
          </w:p>
        </w:tc>
        <w:tc>
          <w:tcPr>
            <w:tcW w:w="1587" w:type="dxa"/>
          </w:tcPr>
          <w:p w14:paraId="626593CC">
            <w:pPr>
              <w:jc w:val="center"/>
            </w:pPr>
            <w:r>
              <w:rPr>
                <w:rFonts w:ascii="宋体" w:hAnsi="宋体"/>
                <w:color w:val="333333"/>
                <w:sz w:val="18"/>
              </w:rPr>
              <w:t>经营CF/营收</w:t>
            </w:r>
          </w:p>
        </w:tc>
        <w:tc>
          <w:tcPr>
            <w:tcW w:w="3969" w:type="dxa"/>
          </w:tcPr>
          <w:p w14:paraId="113E4C93">
            <w:pPr>
              <w:jc w:val="center"/>
            </w:pPr>
            <w:r>
              <w:rPr>
                <w:rFonts w:ascii="宋体" w:hAnsi="宋体"/>
                <w:color w:val="333333"/>
                <w:sz w:val="18"/>
              </w:rPr>
              <w:t>经营活动现金净流量/营业收入</w:t>
            </w:r>
          </w:p>
        </w:tc>
        <w:tc>
          <w:tcPr>
            <w:tcW w:w="1134" w:type="dxa"/>
          </w:tcPr>
          <w:p w14:paraId="550D2F1B">
            <w:pPr>
              <w:jc w:val="center"/>
            </w:pPr>
            <w:r>
              <w:rPr>
                <w:rFonts w:ascii="宋体" w:hAnsi="宋体"/>
                <w:color w:val="333333"/>
                <w:sz w:val="18"/>
              </w:rPr>
              <w:t>补充</w:t>
            </w:r>
          </w:p>
        </w:tc>
      </w:tr>
      <w:tr w14:paraId="2C3C8BB1">
        <w:tblPrEx>
          <w:tblCellMar>
            <w:top w:w="0" w:type="dxa"/>
            <w:left w:w="108" w:type="dxa"/>
            <w:bottom w:w="0" w:type="dxa"/>
            <w:right w:w="108" w:type="dxa"/>
          </w:tblCellMar>
        </w:tblPrEx>
        <w:trPr>
          <w:jc w:val="center"/>
        </w:trPr>
        <w:tc>
          <w:tcPr>
            <w:tcW w:w="681" w:type="dxa"/>
            <w:tcBorders>
              <w:top w:val="single" w:color="CCCCCC" w:sz="4" w:space="0"/>
              <w:left w:val="single" w:color="CCCCCC" w:sz="4" w:space="0"/>
              <w:bottom w:val="single" w:color="CCCCCC" w:sz="4" w:space="0"/>
              <w:right w:val="single" w:color="CCCCCC" w:sz="4" w:space="0"/>
            </w:tcBorders>
            <w:shd w:val="clear" w:color="auto" w:fill="F8F9FA"/>
          </w:tcPr>
          <w:p w14:paraId="24DC10AC">
            <w:pPr>
              <w:jc w:val="left"/>
            </w:pPr>
            <w:r>
              <w:rPr>
                <w:rFonts w:ascii="宋体" w:hAnsi="宋体"/>
                <w:color w:val="333333"/>
                <w:sz w:val="18"/>
              </w:rPr>
              <w:t>17</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21121F30">
            <w:pPr>
              <w:jc w:val="center"/>
            </w:pPr>
            <w:r>
              <w:rPr>
                <w:rFonts w:ascii="宋体" w:hAnsi="宋体"/>
                <w:color w:val="333333"/>
                <w:sz w:val="18"/>
              </w:rPr>
              <w:t>权益乘数</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350B785D">
            <w:pPr>
              <w:jc w:val="center"/>
            </w:pPr>
            <w:r>
              <w:rPr>
                <w:rFonts w:ascii="宋体" w:hAnsi="宋体"/>
                <w:color w:val="333333"/>
                <w:sz w:val="18"/>
              </w:rPr>
              <w:t>资产合计/归母权益</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C9ACE40">
            <w:pPr>
              <w:jc w:val="center"/>
            </w:pPr>
            <w:r>
              <w:rPr>
                <w:rFonts w:ascii="宋体" w:hAnsi="宋体"/>
                <w:color w:val="333333"/>
                <w:sz w:val="18"/>
              </w:rPr>
              <w:t>补充</w:t>
            </w:r>
          </w:p>
        </w:tc>
      </w:tr>
      <w:tr w14:paraId="2A48980C">
        <w:tblPrEx>
          <w:tblCellMar>
            <w:top w:w="0" w:type="dxa"/>
            <w:left w:w="108" w:type="dxa"/>
            <w:bottom w:w="0" w:type="dxa"/>
            <w:right w:w="108" w:type="dxa"/>
          </w:tblCellMar>
        </w:tblPrEx>
        <w:trPr>
          <w:jc w:val="center"/>
        </w:trPr>
        <w:tc>
          <w:tcPr>
            <w:tcW w:w="681" w:type="dxa"/>
          </w:tcPr>
          <w:p w14:paraId="3438AB04">
            <w:pPr>
              <w:jc w:val="left"/>
            </w:pPr>
            <w:r>
              <w:rPr>
                <w:rFonts w:ascii="宋体" w:hAnsi="宋体"/>
                <w:color w:val="333333"/>
                <w:sz w:val="18"/>
              </w:rPr>
              <w:t>18</w:t>
            </w:r>
          </w:p>
        </w:tc>
        <w:tc>
          <w:tcPr>
            <w:tcW w:w="1587" w:type="dxa"/>
          </w:tcPr>
          <w:p w14:paraId="22BB8EB9">
            <w:pPr>
              <w:jc w:val="center"/>
            </w:pPr>
            <w:r>
              <w:rPr>
                <w:rFonts w:ascii="宋体" w:hAnsi="宋体"/>
                <w:color w:val="333333"/>
                <w:sz w:val="18"/>
              </w:rPr>
              <w:t>货币资金占比</w:t>
            </w:r>
          </w:p>
        </w:tc>
        <w:tc>
          <w:tcPr>
            <w:tcW w:w="3969" w:type="dxa"/>
          </w:tcPr>
          <w:p w14:paraId="33B4B7F4">
            <w:pPr>
              <w:jc w:val="center"/>
            </w:pPr>
            <w:r>
              <w:rPr>
                <w:rFonts w:ascii="宋体" w:hAnsi="宋体"/>
                <w:color w:val="333333"/>
                <w:sz w:val="18"/>
              </w:rPr>
              <w:t>货币资金/资产合计</w:t>
            </w:r>
          </w:p>
        </w:tc>
        <w:tc>
          <w:tcPr>
            <w:tcW w:w="1134" w:type="dxa"/>
          </w:tcPr>
          <w:p w14:paraId="3AA61B59">
            <w:pPr>
              <w:jc w:val="center"/>
            </w:pPr>
            <w:r>
              <w:rPr>
                <w:rFonts w:ascii="宋体" w:hAnsi="宋体"/>
                <w:color w:val="333333"/>
                <w:sz w:val="18"/>
              </w:rPr>
              <w:t>补充</w:t>
            </w:r>
          </w:p>
        </w:tc>
      </w:tr>
    </w:tbl>
    <w:p w14:paraId="7C2F3B45">
      <w:pPr>
        <w:spacing w:after="80"/>
      </w:pPr>
    </w:p>
    <w:p w14:paraId="7169F66C">
      <w:r>
        <w:br w:type="page"/>
      </w:r>
    </w:p>
    <w:p w14:paraId="214FF4AE">
      <w:pPr>
        <w:spacing w:before="360" w:after="240"/>
        <w:jc w:val="center"/>
      </w:pPr>
      <w:r>
        <w:rPr>
          <w:rFonts w:ascii="黑体" w:hAnsi="黑体"/>
          <w:b/>
          <w:color w:val="000000"/>
          <w:sz w:val="32"/>
        </w:rPr>
        <w:t>附录B  六种预测方法参数设置</w:t>
      </w:r>
    </w:p>
    <w:tbl>
      <w:tblPr>
        <w:tblStyle w:val="32"/>
        <w:tblW w:w="0" w:type="auto"/>
        <w:jc w:val="center"/>
        <w:tblLayout w:type="autofit"/>
        <w:tblCellMar>
          <w:top w:w="0" w:type="dxa"/>
          <w:left w:w="108" w:type="dxa"/>
          <w:bottom w:w="0" w:type="dxa"/>
          <w:right w:w="108" w:type="dxa"/>
        </w:tblCellMar>
      </w:tblPr>
      <w:tblGrid>
        <w:gridCol w:w="1417"/>
        <w:gridCol w:w="1746"/>
        <w:gridCol w:w="2736"/>
        <w:gridCol w:w="2835"/>
      </w:tblGrid>
      <w:tr w14:paraId="15327FF9">
        <w:tblPrEx>
          <w:tblCellMar>
            <w:top w:w="0" w:type="dxa"/>
            <w:left w:w="108" w:type="dxa"/>
            <w:bottom w:w="0" w:type="dxa"/>
            <w:right w:w="108" w:type="dxa"/>
          </w:tblCellMar>
        </w:tblPrEx>
        <w:trPr>
          <w:jc w:val="center"/>
        </w:trPr>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484687F8">
            <w:pPr>
              <w:jc w:val="center"/>
            </w:pPr>
            <w:r>
              <w:rPr>
                <w:rFonts w:ascii="黑体" w:hAnsi="黑体"/>
                <w:b/>
                <w:color w:val="1A4789"/>
                <w:sz w:val="18"/>
              </w:rPr>
              <w:t>方法</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7BFE7531">
            <w:pPr>
              <w:jc w:val="center"/>
            </w:pPr>
            <w:r>
              <w:rPr>
                <w:rFonts w:ascii="黑体" w:hAnsi="黑体"/>
                <w:b/>
                <w:color w:val="1A4789"/>
                <w:sz w:val="18"/>
              </w:rPr>
              <w:t>实现库</w:t>
            </w:r>
          </w:p>
        </w:tc>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6B9381A2">
            <w:pPr>
              <w:jc w:val="center"/>
            </w:pPr>
            <w:r>
              <w:rPr>
                <w:rFonts w:ascii="黑体" w:hAnsi="黑体"/>
                <w:b/>
                <w:color w:val="1A4789"/>
                <w:sz w:val="18"/>
              </w:rPr>
              <w:t>超参数</w:t>
            </w:r>
          </w:p>
        </w:tc>
        <w:tc>
          <w:tcPr>
            <w:tcW w:w="2835" w:type="dxa"/>
            <w:tcBorders>
              <w:top w:val="single" w:color="2E75B6" w:sz="8" w:space="0"/>
              <w:left w:val="single" w:color="CCCCCC" w:sz="4" w:space="0"/>
              <w:bottom w:val="single" w:color="CCCCCC" w:sz="4" w:space="0"/>
              <w:right w:val="single" w:color="CCCCCC" w:sz="4" w:space="0"/>
            </w:tcBorders>
            <w:shd w:val="clear" w:color="auto" w:fill="D5E8F0"/>
          </w:tcPr>
          <w:p w14:paraId="2EA9ED82">
            <w:pPr>
              <w:jc w:val="center"/>
            </w:pPr>
            <w:r>
              <w:rPr>
                <w:rFonts w:ascii="黑体" w:hAnsi="黑体"/>
                <w:b/>
                <w:color w:val="1A4789"/>
                <w:sz w:val="18"/>
              </w:rPr>
              <w:t>说明</w:t>
            </w:r>
          </w:p>
        </w:tc>
      </w:tr>
      <w:tr w14:paraId="606D2112">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379CBB3">
            <w:pPr>
              <w:jc w:val="left"/>
            </w:pPr>
            <w:r>
              <w:rPr>
                <w:rFonts w:ascii="宋体" w:hAnsi="宋体"/>
                <w:color w:val="333333"/>
                <w:sz w:val="18"/>
              </w:rPr>
              <w:t>Ridge回归</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05C5023">
            <w:pPr>
              <w:jc w:val="center"/>
            </w:pPr>
            <w:r>
              <w:rPr>
                <w:rFonts w:ascii="宋体" w:hAnsi="宋体"/>
                <w:color w:val="333333"/>
                <w:sz w:val="18"/>
              </w:rPr>
              <w:t>sklearn</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7FEAC2FC">
            <w:pPr>
              <w:jc w:val="center"/>
            </w:pPr>
            <w:r>
              <w:rPr>
                <w:rFonts w:ascii="宋体" w:hAnsi="宋体"/>
                <w:color w:val="333333"/>
                <w:sz w:val="18"/>
              </w:rPr>
              <w:t>degree=2,alpha=1.0</w:t>
            </w:r>
          </w:p>
        </w:tc>
        <w:tc>
          <w:tcPr>
            <w:tcW w:w="2835" w:type="dxa"/>
            <w:tcBorders>
              <w:top w:val="single" w:color="CCCCCC" w:sz="4" w:space="0"/>
              <w:left w:val="single" w:color="CCCCCC" w:sz="4" w:space="0"/>
              <w:bottom w:val="single" w:color="CCCCCC" w:sz="4" w:space="0"/>
              <w:right w:val="single" w:color="CCCCCC" w:sz="4" w:space="0"/>
            </w:tcBorders>
            <w:shd w:val="clear" w:color="auto" w:fill="F8F9FA"/>
          </w:tcPr>
          <w:p w14:paraId="223536F7">
            <w:pPr>
              <w:jc w:val="center"/>
            </w:pPr>
            <w:r>
              <w:rPr>
                <w:rFonts w:ascii="宋体" w:hAnsi="宋体"/>
                <w:color w:val="333333"/>
                <w:sz w:val="18"/>
              </w:rPr>
              <w:t>L2正则化+多项式+季节性</w:t>
            </w:r>
          </w:p>
        </w:tc>
      </w:tr>
      <w:tr w14:paraId="1C54B164">
        <w:tblPrEx>
          <w:tblCellMar>
            <w:top w:w="0" w:type="dxa"/>
            <w:left w:w="108" w:type="dxa"/>
            <w:bottom w:w="0" w:type="dxa"/>
            <w:right w:w="108" w:type="dxa"/>
          </w:tblCellMar>
        </w:tblPrEx>
        <w:trPr>
          <w:jc w:val="center"/>
        </w:trPr>
        <w:tc>
          <w:tcPr>
            <w:tcW w:w="1417" w:type="dxa"/>
          </w:tcPr>
          <w:p w14:paraId="1942B208">
            <w:pPr>
              <w:jc w:val="left"/>
            </w:pPr>
            <w:r>
              <w:rPr>
                <w:rFonts w:ascii="宋体" w:hAnsi="宋体"/>
                <w:color w:val="333333"/>
                <w:sz w:val="18"/>
              </w:rPr>
              <w:t>Prophet</w:t>
            </w:r>
          </w:p>
        </w:tc>
        <w:tc>
          <w:tcPr>
            <w:tcW w:w="1417" w:type="dxa"/>
          </w:tcPr>
          <w:p w14:paraId="0D5215A9">
            <w:pPr>
              <w:jc w:val="center"/>
            </w:pPr>
            <w:r>
              <w:rPr>
                <w:rFonts w:ascii="宋体" w:hAnsi="宋体"/>
                <w:color w:val="333333"/>
                <w:sz w:val="18"/>
              </w:rPr>
              <w:t>prophet</w:t>
            </w:r>
          </w:p>
        </w:tc>
        <w:tc>
          <w:tcPr>
            <w:tcW w:w="1701" w:type="dxa"/>
          </w:tcPr>
          <w:p w14:paraId="570BC0ED">
            <w:pPr>
              <w:jc w:val="center"/>
            </w:pPr>
            <w:r>
              <w:rPr>
                <w:rFonts w:ascii="宋体" w:hAnsi="宋体"/>
                <w:color w:val="333333"/>
                <w:sz w:val="18"/>
              </w:rPr>
              <w:t>yearly_seasonality=False</w:t>
            </w:r>
          </w:p>
        </w:tc>
        <w:tc>
          <w:tcPr>
            <w:tcW w:w="2835" w:type="dxa"/>
          </w:tcPr>
          <w:p w14:paraId="2479BDAD">
            <w:pPr>
              <w:jc w:val="center"/>
            </w:pPr>
            <w:r>
              <w:rPr>
                <w:rFonts w:ascii="宋体" w:hAnsi="宋体"/>
                <w:color w:val="333333"/>
                <w:sz w:val="18"/>
              </w:rPr>
              <w:t>cap/floor约束毛利率</w:t>
            </w:r>
          </w:p>
        </w:tc>
      </w:tr>
      <w:tr w14:paraId="684AAC1E">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C53E04A">
            <w:pPr>
              <w:jc w:val="left"/>
            </w:pPr>
            <w:r>
              <w:rPr>
                <w:rFonts w:ascii="宋体" w:hAnsi="宋体"/>
                <w:color w:val="333333"/>
                <w:sz w:val="18"/>
              </w:rPr>
              <w:t>LSTM</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895787C">
            <w:pPr>
              <w:jc w:val="center"/>
            </w:pPr>
            <w:r>
              <w:rPr>
                <w:rFonts w:ascii="宋体" w:hAnsi="宋体"/>
                <w:color w:val="333333"/>
                <w:sz w:val="18"/>
              </w:rPr>
              <w:t>PyTorch/numpy</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030B0269">
            <w:pPr>
              <w:jc w:val="center"/>
            </w:pPr>
            <w:r>
              <w:rPr>
                <w:rFonts w:ascii="宋体" w:hAnsi="宋体"/>
                <w:color w:val="333333"/>
                <w:sz w:val="18"/>
              </w:rPr>
              <w:t>window=3,hidden=16</w:t>
            </w:r>
          </w:p>
        </w:tc>
        <w:tc>
          <w:tcPr>
            <w:tcW w:w="2835" w:type="dxa"/>
            <w:tcBorders>
              <w:top w:val="single" w:color="CCCCCC" w:sz="4" w:space="0"/>
              <w:left w:val="single" w:color="CCCCCC" w:sz="4" w:space="0"/>
              <w:bottom w:val="single" w:color="CCCCCC" w:sz="4" w:space="0"/>
              <w:right w:val="single" w:color="CCCCCC" w:sz="4" w:space="0"/>
            </w:tcBorders>
            <w:shd w:val="clear" w:color="auto" w:fill="F8F9FA"/>
          </w:tcPr>
          <w:p w14:paraId="259208C8">
            <w:pPr>
              <w:jc w:val="center"/>
            </w:pPr>
            <w:r>
              <w:rPr>
                <w:rFonts w:ascii="宋体" w:hAnsi="宋体"/>
                <w:color w:val="333333"/>
                <w:sz w:val="18"/>
              </w:rPr>
              <w:t>小样本降epochs,无PyTorch回退</w:t>
            </w:r>
          </w:p>
        </w:tc>
      </w:tr>
      <w:tr w14:paraId="4D7B753D">
        <w:tblPrEx>
          <w:tblCellMar>
            <w:top w:w="0" w:type="dxa"/>
            <w:left w:w="108" w:type="dxa"/>
            <w:bottom w:w="0" w:type="dxa"/>
            <w:right w:w="108" w:type="dxa"/>
          </w:tblCellMar>
        </w:tblPrEx>
        <w:trPr>
          <w:jc w:val="center"/>
        </w:trPr>
        <w:tc>
          <w:tcPr>
            <w:tcW w:w="1417" w:type="dxa"/>
          </w:tcPr>
          <w:p w14:paraId="72237ABC">
            <w:pPr>
              <w:jc w:val="left"/>
            </w:pPr>
            <w:r>
              <w:rPr>
                <w:rFonts w:ascii="宋体" w:hAnsi="宋体"/>
                <w:color w:val="333333"/>
                <w:sz w:val="18"/>
              </w:rPr>
              <w:t>三次指数平滑</w:t>
            </w:r>
          </w:p>
        </w:tc>
        <w:tc>
          <w:tcPr>
            <w:tcW w:w="1417" w:type="dxa"/>
          </w:tcPr>
          <w:p w14:paraId="08568C41">
            <w:pPr>
              <w:jc w:val="center"/>
            </w:pPr>
            <w:r>
              <w:rPr>
                <w:rFonts w:ascii="宋体" w:hAnsi="宋体"/>
                <w:color w:val="333333"/>
                <w:sz w:val="18"/>
              </w:rPr>
              <w:t>statsmodels/numpy</w:t>
            </w:r>
          </w:p>
        </w:tc>
        <w:tc>
          <w:tcPr>
            <w:tcW w:w="1701" w:type="dxa"/>
          </w:tcPr>
          <w:p w14:paraId="4411EB1C">
            <w:pPr>
              <w:jc w:val="center"/>
            </w:pPr>
            <w:r>
              <w:rPr>
                <w:rFonts w:ascii="宋体" w:hAnsi="宋体"/>
                <w:color w:val="333333"/>
                <w:sz w:val="18"/>
              </w:rPr>
              <w:t>trend/seasonal=add</w:t>
            </w:r>
          </w:p>
        </w:tc>
        <w:tc>
          <w:tcPr>
            <w:tcW w:w="2835" w:type="dxa"/>
          </w:tcPr>
          <w:p w14:paraId="7109D146">
            <w:pPr>
              <w:jc w:val="center"/>
            </w:pPr>
            <w:r>
              <w:rPr>
                <w:rFonts w:ascii="宋体" w:hAnsi="宋体"/>
                <w:color w:val="333333"/>
                <w:sz w:val="18"/>
              </w:rPr>
              <w:t>无库时NumPy简化(α=0.3)</w:t>
            </w:r>
          </w:p>
        </w:tc>
      </w:tr>
      <w:tr w14:paraId="7299815E">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66A522E">
            <w:pPr>
              <w:jc w:val="left"/>
            </w:pPr>
            <w:r>
              <w:rPr>
                <w:rFonts w:ascii="宋体" w:hAnsi="宋体"/>
                <w:color w:val="333333"/>
                <w:sz w:val="18"/>
              </w:rPr>
              <w:t>ARIMA</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D62FE52">
            <w:pPr>
              <w:jc w:val="center"/>
            </w:pPr>
            <w:r>
              <w:rPr>
                <w:rFonts w:ascii="宋体" w:hAnsi="宋体"/>
                <w:color w:val="333333"/>
                <w:sz w:val="18"/>
              </w:rPr>
              <w:t>statsmodels/numpy</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5944E6DE">
            <w:pPr>
              <w:jc w:val="center"/>
            </w:pPr>
            <w:r>
              <w:rPr>
                <w:rFonts w:ascii="宋体" w:hAnsi="宋体"/>
                <w:color w:val="333333"/>
                <w:sz w:val="18"/>
              </w:rPr>
              <w:t>order=(2,1,2)fallback(1,1,0)</w:t>
            </w:r>
          </w:p>
        </w:tc>
        <w:tc>
          <w:tcPr>
            <w:tcW w:w="2835" w:type="dxa"/>
            <w:tcBorders>
              <w:top w:val="single" w:color="CCCCCC" w:sz="4" w:space="0"/>
              <w:left w:val="single" w:color="CCCCCC" w:sz="4" w:space="0"/>
              <w:bottom w:val="single" w:color="CCCCCC" w:sz="4" w:space="0"/>
              <w:right w:val="single" w:color="CCCCCC" w:sz="4" w:space="0"/>
            </w:tcBorders>
            <w:shd w:val="clear" w:color="auto" w:fill="F8F9FA"/>
          </w:tcPr>
          <w:p w14:paraId="1E71108A">
            <w:pPr>
              <w:jc w:val="center"/>
            </w:pPr>
            <w:r>
              <w:rPr>
                <w:rFonts w:ascii="宋体" w:hAnsi="宋体"/>
                <w:color w:val="333333"/>
                <w:sz w:val="18"/>
              </w:rPr>
              <w:t>无库时AR(1)回退</w:t>
            </w:r>
          </w:p>
        </w:tc>
      </w:tr>
      <w:tr w14:paraId="6143B46D">
        <w:tblPrEx>
          <w:tblCellMar>
            <w:top w:w="0" w:type="dxa"/>
            <w:left w:w="108" w:type="dxa"/>
            <w:bottom w:w="0" w:type="dxa"/>
            <w:right w:w="108" w:type="dxa"/>
          </w:tblCellMar>
        </w:tblPrEx>
        <w:trPr>
          <w:jc w:val="center"/>
        </w:trPr>
        <w:tc>
          <w:tcPr>
            <w:tcW w:w="1417" w:type="dxa"/>
          </w:tcPr>
          <w:p w14:paraId="0DE25426">
            <w:pPr>
              <w:jc w:val="left"/>
            </w:pPr>
            <w:r>
              <w:rPr>
                <w:rFonts w:ascii="宋体" w:hAnsi="宋体"/>
                <w:color w:val="333333"/>
                <w:sz w:val="18"/>
              </w:rPr>
              <w:t>线性回归</w:t>
            </w:r>
          </w:p>
        </w:tc>
        <w:tc>
          <w:tcPr>
            <w:tcW w:w="1417" w:type="dxa"/>
          </w:tcPr>
          <w:p w14:paraId="01A8C064">
            <w:pPr>
              <w:jc w:val="center"/>
            </w:pPr>
            <w:r>
              <w:rPr>
                <w:rFonts w:ascii="宋体" w:hAnsi="宋体"/>
                <w:color w:val="333333"/>
                <w:sz w:val="18"/>
              </w:rPr>
              <w:t>sklearn</w:t>
            </w:r>
          </w:p>
        </w:tc>
        <w:tc>
          <w:tcPr>
            <w:tcW w:w="1701" w:type="dxa"/>
          </w:tcPr>
          <w:p w14:paraId="6F2A43DA">
            <w:pPr>
              <w:jc w:val="center"/>
            </w:pPr>
            <w:r>
              <w:rPr>
                <w:rFonts w:ascii="宋体" w:hAnsi="宋体"/>
                <w:color w:val="333333"/>
                <w:sz w:val="18"/>
              </w:rPr>
              <w:t>默认</w:t>
            </w:r>
          </w:p>
        </w:tc>
        <w:tc>
          <w:tcPr>
            <w:tcW w:w="2835" w:type="dxa"/>
          </w:tcPr>
          <w:p w14:paraId="4C4D9F6F">
            <w:pPr>
              <w:jc w:val="center"/>
            </w:pPr>
            <w:r>
              <w:rPr>
                <w:rFonts w:ascii="宋体" w:hAnsi="宋体"/>
                <w:color w:val="333333"/>
                <w:sz w:val="18"/>
              </w:rPr>
              <w:t>基线方法</w:t>
            </w:r>
          </w:p>
        </w:tc>
      </w:tr>
    </w:tbl>
    <w:p w14:paraId="58DC1D70">
      <w:pPr>
        <w:spacing w:after="80"/>
      </w:pPr>
    </w:p>
    <w:p w14:paraId="6E835C8B">
      <w:r>
        <w:br w:type="page"/>
      </w:r>
    </w:p>
    <w:p w14:paraId="6F54A1F4">
      <w:pPr>
        <w:spacing w:before="360" w:after="240"/>
        <w:jc w:val="center"/>
      </w:pPr>
      <w:r>
        <w:rPr>
          <w:rFonts w:ascii="黑体" w:hAnsi="黑体"/>
          <w:b/>
          <w:color w:val="000000"/>
          <w:sz w:val="32"/>
        </w:rPr>
        <w:t>附录C  数据与代码说明</w:t>
      </w:r>
    </w:p>
    <w:p w14:paraId="4CDA4C0F">
      <w:pPr>
        <w:spacing w:before="240" w:after="120"/>
        <w:outlineLvl w:val="1"/>
      </w:pPr>
      <w:r>
        <w:rPr>
          <w:rFonts w:ascii="黑体" w:hAnsi="黑体"/>
          <w:b/>
          <w:color w:val="000000"/>
          <w:sz w:val="28"/>
        </w:rPr>
        <w:t>（一）数据来源与采集</w:t>
      </w:r>
    </w:p>
    <w:p w14:paraId="64DD51EB">
      <w:pPr>
        <w:spacing w:after="40" w:line="360" w:lineRule="auto"/>
        <w:ind w:firstLine="420"/>
      </w:pPr>
      <w:r>
        <w:rPr>
          <w:rFonts w:ascii="宋体" w:hAnsi="宋体"/>
          <w:b w:val="0"/>
          <w:sz w:val="21"/>
        </w:rPr>
        <w:t>财务数据通过AkShare自动采集：collect_financial_data.py（8家企业2016-2025年三张报表）、collect_2026q1_for_mape.py（追加2026Q1回测数据）、add_company_sales.py/extract_sales_structure.py（销量结构数据）。行业NEV数据：中国汽车行业多维销量数据库.xlsx，基于CAAM月度发布汇总。以上脚本位于项目data/目录。</w:t>
      </w:r>
    </w:p>
    <w:p w14:paraId="5655A738">
      <w:pPr>
        <w:spacing w:before="240" w:after="120"/>
        <w:outlineLvl w:val="1"/>
      </w:pPr>
      <w:r>
        <w:rPr>
          <w:rFonts w:ascii="黑体" w:hAnsi="黑体"/>
          <w:b/>
          <w:color w:val="000000"/>
          <w:sz w:val="28"/>
        </w:rPr>
        <w:t>（二）分析代码</w:t>
      </w:r>
    </w:p>
    <w:p w14:paraId="2D43E816">
      <w:pPr>
        <w:spacing w:after="40" w:line="360" w:lineRule="auto"/>
        <w:ind w:firstLine="420"/>
      </w:pPr>
      <w:r>
        <w:rPr>
          <w:rFonts w:ascii="宋体" w:hAnsi="宋体"/>
          <w:b w:val="0"/>
          <w:sz w:val="21"/>
        </w:rPr>
        <w:t>核心分析模块：lib/financial_metrics.py，导出compute_ratios(18项指标)、extract_kmeans_features(5维聚类特征)、compute_zscore(Z-score)、compute_walle_score(沃尔评分)、compute_dupont(杜邦连环替代)、compare_all_forecasts(六方法统一接口)等函数。NEV分析模块：work/nev_industry_analysis.py，独立运行生成9张行业分析图表。主分析流程以Jupyter Notebook组织（.ipynb），所有单元格可在配置好依赖环境后逐次运行复现全部结果。</w:t>
      </w:r>
    </w:p>
    <w:p w14:paraId="389D2E88">
      <w:pPr>
        <w:spacing w:before="240" w:after="120"/>
        <w:outlineLvl w:val="1"/>
      </w:pPr>
      <w:r>
        <w:rPr>
          <w:rFonts w:ascii="黑体" w:hAnsi="黑体"/>
          <w:b/>
          <w:color w:val="000000"/>
          <w:sz w:val="28"/>
        </w:rPr>
        <w:t>（三）运行环境</w:t>
      </w:r>
    </w:p>
    <w:p w14:paraId="3351219F">
      <w:pPr>
        <w:spacing w:after="40" w:line="360" w:lineRule="auto"/>
        <w:ind w:firstLine="420"/>
      </w:pPr>
      <w:r>
        <w:rPr>
          <w:rFonts w:ascii="宋体" w:hAnsi="宋体"/>
          <w:b w:val="0"/>
          <w:sz w:val="21"/>
        </w:rPr>
        <w:t>Python 3.1</w:t>
      </w:r>
      <w:r>
        <w:rPr>
          <w:rFonts w:hint="eastAsia" w:ascii="宋体" w:hAnsi="宋体" w:eastAsia="宋体"/>
          <w:b w:val="0"/>
          <w:sz w:val="21"/>
          <w:lang w:val="en-US" w:eastAsia="zh-CN"/>
        </w:rPr>
        <w:t>4</w:t>
      </w:r>
      <w:r>
        <w:rPr>
          <w:rFonts w:ascii="宋体" w:hAnsi="宋体"/>
          <w:b w:val="0"/>
          <w:sz w:val="21"/>
        </w:rPr>
        <w:t>，主要依赖：pandas&gt;=2.0, numpy&gt;=1.24, scikit-learn&gt;=1.3, matplotlib&gt;=3.7, openpyxl&gt;=3.1, akshare&gt;=1.12, prophet&gt;=1.1（可选）。完整依赖：requirements.txt。</w:t>
      </w:r>
    </w:p>
    <w:p w14:paraId="451BC92A">
      <w:pPr>
        <w:spacing w:before="240" w:after="120"/>
        <w:outlineLvl w:val="1"/>
      </w:pPr>
      <w:r>
        <w:rPr>
          <w:rFonts w:ascii="黑体" w:hAnsi="黑体"/>
          <w:b/>
          <w:color w:val="000000"/>
          <w:sz w:val="28"/>
        </w:rPr>
        <w:t>（四）数据文件清单</w:t>
      </w:r>
    </w:p>
    <w:p w14:paraId="2C14095B">
      <w:pPr>
        <w:spacing w:after="40" w:line="360" w:lineRule="auto"/>
        <w:ind w:firstLine="420"/>
      </w:pPr>
      <w:r>
        <w:rPr>
          <w:rFonts w:ascii="宋体" w:hAnsi="宋体"/>
          <w:b w:val="0"/>
          <w:sz w:val="21"/>
        </w:rPr>
        <w:t>data/*_财务数据.xlsx（8个文件）：每家车企含资产负债表/利润表/现金流量表/财务指标表/合并报表。data/赛力斯_季度销量结构.xlsx、data/长安汽车_季度销量结构.xlsx：季度销量明细。data/新能源汽车行业销量数据.xlsx、data/中国汽车行业多维销量数据库.xlsx：行业NEV数据。reports/目录（3个子目录，39张分析图表）：pictures/15张、nb_charts/15张、nev_industry_analysis/9张。</w:t>
      </w:r>
    </w:p>
    <w:p w14:paraId="69FE693B"/>
    <w:p w14:paraId="5C7FD533">
      <w:pPr>
        <w:jc w:val="center"/>
        <w:outlineLvl w:val="0"/>
      </w:pPr>
      <w:r>
        <w:rPr>
          <w:rFonts w:ascii="黑体" w:hAnsi="黑体"/>
          <w:b/>
          <w:sz w:val="28"/>
        </w:rPr>
        <w:t>— 报告结束 —</w:t>
      </w:r>
    </w:p>
    <w:sectPr>
      <w:pgSz w:w="12240" w:h="15840"/>
      <w:pgMar w:top="1417" w:right="1247" w:bottom="1417"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panose1 w:val="02010609030101010101"/>
    <w:charset w:val="86"/>
    <w:family w:val="auto"/>
    <w:pitch w:val="default"/>
    <w:sig w:usb0="00000001" w:usb1="080E0000" w:usb2="00000000" w:usb3="00000000" w:csb0="00040000" w:csb1="00000000"/>
  </w:font>
  <w:font w:name="标准粗黑">
    <w:panose1 w:val="02000503000000000000"/>
    <w:charset w:val="86"/>
    <w:family w:val="auto"/>
    <w:pitch w:val="default"/>
    <w:sig w:usb0="8000002F" w:usb1="084164FA" w:usb2="00000012" w:usb3="00000000" w:csb0="00040001" w:csb1="00000000"/>
  </w:font>
  <w:font w:name="汉仪大宋简">
    <w:panose1 w:val="02010600000101010101"/>
    <w:charset w:val="86"/>
    <w:family w:val="auto"/>
    <w:pitch w:val="default"/>
    <w:sig w:usb0="00000001" w:usb1="080E0800" w:usb2="00000002" w:usb3="00000000" w:csb0="00040000" w:csb1="00000000"/>
  </w:font>
  <w:font w:name="汉仪铸字美心体简">
    <w:panose1 w:val="00020600040101010101"/>
    <w:charset w:val="86"/>
    <w:family w:val="auto"/>
    <w:pitch w:val="default"/>
    <w:sig w:usb0="8000003F" w:usb1="0ACB7C5A" w:usb2="00000016" w:usb3="00000000" w:csb0="0004009F" w:csb1="00000000"/>
  </w:font>
  <w:font w:name="汉仪颜楷简">
    <w:panose1 w:val="00020600040101010101"/>
    <w:charset w:val="86"/>
    <w:family w:val="auto"/>
    <w:pitch w:val="default"/>
    <w:sig w:usb0="800000EF" w:usb1="0A417C9A" w:usb2="00000016" w:usb3="00000000" w:csb0="0004009F" w:csb1="00000000"/>
  </w:font>
  <w:font w:name="仿宋_GB2312">
    <w:panose1 w:val="02010609030101010101"/>
    <w:charset w:val="86"/>
    <w:family w:val="auto"/>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新宋体">
    <w:panose1 w:val="02010609030101010101"/>
    <w:charset w:val="86"/>
    <w:family w:val="auto"/>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7734D5"/>
    <w:rsid w:val="52A06F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1421</Words>
  <Characters>1694</Characters>
  <Lines>0</Lines>
  <Paragraphs>0</Paragraphs>
  <TotalTime>11</TotalTime>
  <ScaleCrop>false</ScaleCrop>
  <LinksUpToDate>false</LinksUpToDate>
  <CharactersWithSpaces>1698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cp:lastModifiedBy>
  <dcterms:modified xsi:type="dcterms:W3CDTF">2026-07-31T19:50:19Z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eyJoZGlkIjoiNjRmZGI5ZDg5YTZjM2E4Y2NlNGQ2YWEzNGYzMmJmZjMiLCJ1c2VySWQiOiIxMzQ2MTU5NzM3In0=</vt:lpwstr>
  </property>
  <property fmtid="{D5CDD505-2E9C-101B-9397-08002B2CF9AE}" pid="3" name="KSOProductBuildVer">
    <vt:lpwstr>2052-12.1.0.19770</vt:lpwstr>
  </property>
  <property fmtid="{D5CDD505-2E9C-101B-9397-08002B2CF9AE}" pid="4" name="ICV">
    <vt:lpwstr>D7A4E4F44EB14AC6B6A13D9B29CF62A3_12</vt:lpwstr>
  </property>
</Properties>
</file>