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/>
          <w:b/>
          <w:sz w:val="44"/>
        </w:rPr>
        <w:t>基于K-Means聚类与多模型时序预测的</w:t>
      </w:r>
    </w:p>
    <w:p>
      <w:pPr>
        <w:jc w:val="center"/>
      </w:pPr>
      <w:r>
        <w:rPr>
          <w:rFonts w:ascii="黑体" w:hAnsi="黑体"/>
          <w:b/>
          <w:sz w:val="44"/>
        </w:rPr>
        <w:t>重庆上市车企财务智能预警研究</w:t>
      </w:r>
    </w:p>
    <w:p/>
    <w:p>
      <w:pPr>
        <w:jc w:val="center"/>
      </w:pPr>
      <w:r>
        <w:rPr>
          <w:rFonts w:ascii="黑体" w:hAnsi="黑体"/>
          <w:sz w:val="28"/>
        </w:rPr>
        <w:t>——赛力斯外部协同经营模式对标长安自主研发模式</w:t>
      </w:r>
    </w:p>
    <w:p/>
    <w:p/>
    <w:p/>
    <w:p/>
    <w:p>
      <w:pPr>
        <w:jc w:val="center"/>
      </w:pPr>
      <w:r>
        <w:rPr>
          <w:rFonts w:ascii="宋体" w:hAnsi="宋体"/>
          <w:sz w:val="24"/>
        </w:rPr>
        <w:t>第六届重庆市大学生企业财务大数据智能决策应用赛·参赛作品</w:t>
      </w:r>
    </w:p>
    <w:p>
      <w:pPr>
        <w:jc w:val="center"/>
      </w:pPr>
      <w:r>
        <w:rPr>
          <w:rFonts w:ascii="宋体" w:hAnsi="宋体"/>
          <w:sz w:val="24"/>
        </w:rPr>
        <w:t>重庆师范大学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摘  要</w:t>
      </w:r>
    </w:p>
    <w:p>
      <w:pPr>
        <w:spacing w:after="160" w:line="360" w:lineRule="auto"/>
        <w:ind w:firstLine="420"/>
      </w:pPr>
      <w:r>
        <w:rPr>
          <w:rFonts w:ascii="宋体" w:hAnsi="宋体"/>
          <w:b w:val="0"/>
          <w:sz w:val="24"/>
        </w:rPr>
        <w:t>本文选取8家A股上市乘用车企业2016Q1至2025Q4共314个季度财务数据，对比赛力斯（华为智选/外部协同）与长安汽车（自主研发）两种新能源转型模式的财务风险差异。综合运用K-Means聚类、孤立森林异常检测、六种时序预测方法对比、熵权法与三种权重方案评分、2026Q1样本外一步前向回测、杜邦连环替代与瀑布图、Altman Z-score、沃尔评分、现金流三组合和NEV行业景气度联动分析。研究发现：赛力斯净资产收益率波动剧烈（-45.7%→38.7%→15.0%），去杠杆贡献-17.8个百分点是2024-2025年回落主因；长安汽车净资产收益率温和下降（12.3%→4.1%）。样本内Ridge回归综合分排名第一（三种权重方案一致确认），但2026Q1样本外回测显示LSTM和ARIMA的MAE最低（0.04-0.05），方向命中率由Prophet和线性回归领先（0.75）。资产负债率可精确预警（MAPE&lt;20%），毛利率因2026Q1近零值仅作方向判断。NEV偏离度分析显示赛力斯前期超涨后面临均值回归，行业增速换挡至20%-30%。</w:t>
      </w: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关键词</w:t>
      </w:r>
    </w:p>
    <w:p>
      <w:pPr>
        <w:spacing w:after="160" w:line="360" w:lineRule="auto"/>
      </w:pPr>
      <w:r>
        <w:rPr>
          <w:rFonts w:ascii="宋体" w:hAnsi="宋体"/>
          <w:b w:val="0"/>
          <w:sz w:val="21"/>
        </w:rPr>
        <w:t>财务预警；K-Means聚类；多模型时序预测；熵权法；杜邦分析；Z-score；sMAPE；新能源汽车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一、引言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重庆是中国西部汽车工业重镇，拥有长安汽车（000625）和赛力斯（601127）两家代表性上市车企。2020年至2025年，中国新能源汽车渗透率从5.4%升至超过50%，行业从补贴驱动转向市场驱动。赛力斯2021年起与华为合作推出AITO问界系列，长安汽车坚持自主研发推出深蓝、阿维塔、启源三品牌。两种模式孰优孰劣，谁的财务风险更高，是业界和学界共同关注的问题。本文以8家A股上市乘用车企业为样本，综合运用六种时序预测方法、熵权法与多权重方案、样本外回测验证等手段进行对比分析。</w:t>
      </w: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二、文献综述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财务报告分析的理论基础来自郭苏敬等(2022)的四阶段框架。在破产预警领域，Altman(1968)的Z-score模型至今是基准方法。在机器学习方面，Liu等(2008)的孤立森林算法在小样本下表现优异；Hoerl和Kennard(1970)的Ridge回归通过L2正则化解决小样本过拟合。Taylor和Letham(2018)的Prophet模型对数据量有要求。在误差评估方面，sMAPE通过归一化到[0,200%]避免MAPE近零爆炸问题。熵权法(Shannon, 1948)提供客观赋权方案。本研究将多元分析方法与客观赋权、样本外回测整合，构建完整的财务智能预警体系。</w:t>
      </w: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三、数据来源与说明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财务数据源自AkShare接口，行业NEV销量来自CAAM月度发布。样本选取8家A股乘用车整车企业，时间区间2016Q1-2025Q4，合计314个有效季度观测。2026Q1数据仅采集赛力斯和长安，用于样本外回测。数据与代码见附录C。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变量类别</w:t>
            </w:r>
          </w:p>
        </w:tc>
        <w:tc>
          <w:tcPr>
            <w:tcW w:type="dxa" w:w="2835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变量名称</w:t>
            </w:r>
          </w:p>
        </w:tc>
        <w:tc>
          <w:tcPr>
            <w:tcW w:type="dxa" w:w="2268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数据来源</w:t>
            </w:r>
          </w:p>
        </w:tc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观测数</w:t>
            </w:r>
          </w:p>
        </w:tc>
      </w:tr>
      <w:tr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被解释变量</w:t>
            </w:r>
          </w:p>
        </w:tc>
        <w:tc>
          <w:tcPr>
            <w:tcW w:type="dxa" w:w="2835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净资产收益率、毛利率、资产负债率</w:t>
            </w:r>
          </w:p>
        </w:tc>
        <w:tc>
          <w:tcPr>
            <w:tcW w:type="dxa" w:w="2268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AkShare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314季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聚类特征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毛利率/经营CF/营收等5维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AkShare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314季</w:t>
            </w:r>
          </w:p>
        </w:tc>
      </w:tr>
      <w:tr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预测指标</w:t>
            </w:r>
          </w:p>
        </w:tc>
        <w:tc>
          <w:tcPr>
            <w:tcW w:type="dxa" w:w="2835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毛利率、资产负债率</w:t>
            </w:r>
          </w:p>
        </w:tc>
        <w:tc>
          <w:tcPr>
            <w:tcW w:type="dxa" w:w="2268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AkShare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39-41季/企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行业景气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NEV月度销量/渗透率/同比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CAAM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114月</w:t>
            </w:r>
          </w:p>
        </w:tc>
      </w:tr>
    </w:tbl>
    <w:p>
      <w:pPr>
        <w:spacing w:after="80"/>
      </w:pP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四、研究方法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本文构建"聚类分群→异常检测→多模型预测→权重评分→样本外回测→因素分解→综合评价→景气联动"八步框架。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（一）K-Means聚类与孤立森林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K-Means：5个标准化特征，肘部法则K=3，轮廓系数评估质量，PCA降维可视化。孤立森林：异常比例0.10，异常率30%红色预警。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（二）六种时序预测方法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针对39-41季度小样本：Ridge回归(L2/α=1.0/二次多项式+季节哑变量)、Prophet(yearly_seasonality=False/cap-floor约束)、LSTM(window=3/hidden=16)、三次指数平滑(Holt-Winters/周期=4)、ARIMA((2,1,2)fallback(1,1,0))、线性回归(基线)。预测期4季度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（三）熵权法与三种权重方案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基于R²/sMAPE/σ三指标，信息熵客观赋权。sMAPE(0-200%有界)替代MAPE。比较35/45/20、40/40/20和熵权三种方案。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（四）2026Q1样本外一步前向回测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训练集剔除2026Q1，预测单期值。评估MAE/sMAPE/MAPE/方向命中率，区分样本内拟合优度与样本外预测精度。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（五）杜邦连环替代与瀑布图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ROE=净利率×周转率×权益乘数。连环替代法量化各因素贡献(pp)，瀑布图绿色正贡献/红色负贡献。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（六）Z-score、沃尔评分与现金流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Z-score(Altman,1968)，传统阈值/新能源参照阈值。沃尔评分5指标100分，分档评分。现金流三组合判断生命周期。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（七）NEV景气度联动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基于CAAM月度数据，分析趋势/渗透率/偏离度/季节性模式。</w:t>
      </w: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五、实证分析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（一）财务指标描述性统计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701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公司</w:t>
            </w:r>
          </w:p>
        </w:tc>
        <w:tc>
          <w:tcPr>
            <w:tcW w:type="dxa" w:w="124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毛利率</w:t>
            </w:r>
          </w:p>
        </w:tc>
        <w:tc>
          <w:tcPr>
            <w:tcW w:type="dxa" w:w="1304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净利润率</w:t>
            </w:r>
          </w:p>
        </w:tc>
        <w:tc>
          <w:tcPr>
            <w:tcW w:type="dxa" w:w="158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净资产收益率</w:t>
            </w:r>
          </w:p>
        </w:tc>
        <w:tc>
          <w:tcPr>
            <w:tcW w:type="dxa" w:w="158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资产负债率</w:t>
            </w:r>
          </w:p>
        </w:tc>
        <w:tc>
          <w:tcPr>
            <w:tcW w:type="dxa" w:w="124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流动比率</w:t>
            </w:r>
          </w:p>
        </w:tc>
      </w:tr>
      <w:tr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赛力斯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4.36%</w:t>
            </w:r>
          </w:p>
        </w:tc>
        <w:tc>
          <w:tcPr>
            <w:tcW w:type="dxa" w:w="130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3.72%</w:t>
            </w:r>
          </w:p>
        </w:tc>
        <w:tc>
          <w:tcPr>
            <w:tcW w:type="dxa" w:w="158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21.90%</w:t>
            </w:r>
          </w:p>
        </w:tc>
        <w:tc>
          <w:tcPr>
            <w:tcW w:type="dxa" w:w="158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70.91%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1.05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长安汽车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1.61%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1.93%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5.43%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59.61%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1.21</w:t>
            </w:r>
          </w:p>
        </w:tc>
      </w:tr>
      <w:tr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比亚迪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3.16%</w:t>
            </w:r>
          </w:p>
        </w:tc>
        <w:tc>
          <w:tcPr>
            <w:tcW w:type="dxa" w:w="130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4.20%</w:t>
            </w:r>
          </w:p>
        </w:tc>
        <w:tc>
          <w:tcPr>
            <w:tcW w:type="dxa" w:w="158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16.24%</w:t>
            </w:r>
          </w:p>
        </w:tc>
        <w:tc>
          <w:tcPr>
            <w:tcW w:type="dxa" w:w="158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70.74%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0.79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长城汽车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3.25%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4.43%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11.94%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60.99%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1.09</w:t>
            </w:r>
          </w:p>
        </w:tc>
      </w:tr>
      <w:tr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上汽集团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-0.43%</w:t>
            </w:r>
          </w:p>
        </w:tc>
        <w:tc>
          <w:tcPr>
            <w:tcW w:type="dxa" w:w="130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2.70%</w:t>
            </w:r>
          </w:p>
        </w:tc>
        <w:tc>
          <w:tcPr>
            <w:tcW w:type="dxa" w:w="158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3.42%</w:t>
            </w:r>
          </w:p>
        </w:tc>
        <w:tc>
          <w:tcPr>
            <w:tcW w:type="dxa" w:w="158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62.37%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1.20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广汽集团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-15.68%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-12.00%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-8.02%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48.97%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1.14</w:t>
            </w:r>
          </w:p>
        </w:tc>
      </w:tr>
      <w:tr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江淮汽车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-3.50%</w:t>
            </w:r>
          </w:p>
        </w:tc>
        <w:tc>
          <w:tcPr>
            <w:tcW w:type="dxa" w:w="130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-3.81%</w:t>
            </w:r>
          </w:p>
        </w:tc>
        <w:tc>
          <w:tcPr>
            <w:tcW w:type="dxa" w:w="158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-14.53%</w:t>
            </w:r>
          </w:p>
        </w:tc>
        <w:tc>
          <w:tcPr>
            <w:tcW w:type="dxa" w:w="158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79.07%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0.80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北汽蓝谷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-21.55%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-22.84%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-332.24%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88.47%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0.65</w:t>
            </w:r>
          </w:p>
        </w:tc>
      </w:tr>
    </w:tbl>
    <w:p>
      <w:pPr>
        <w:spacing w:after="80"/>
      </w:pP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90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metric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0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图1  8家车企核心财务指标热力图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8家中4家毛利率为负，赛力斯ROE 21.90%最高但负债率70.91%也位居前列。北汽蓝谷四项异常。长城汽车最均衡。研发投入（图2）：赛力斯2025年研发费用79.5亿元(率4.82%)首次超过长安(71.6亿元/4.36%)。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57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d_expens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5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图2  赛力斯vs长安研发投入趋势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（二）K-Means聚类与孤立森林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聚类5特征，肘部法则K=3(图3)，轮廓系数0.609，CH指数119.8。群1(3季)和群2(24季)均为北汽蓝谷极端季度，群0含全部8家287季。赛力斯和长安均位于群0。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030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bow_metho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图3  肘部法则确定K=3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12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p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图4  K-Means聚类PCA可视化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孤立森林异常检测(图5)显示北汽蓝谷异常率74%远超30%警戒线。赛力斯7%非零，长安0%。图6以箱线图展示各企业异常得分分布，直观呈现企业间财务稳定性的差异。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238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box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图5  孤立森林异常检测结果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238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box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图6  异常得分箱线图分布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（三）六种预测方法样本内对比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图7-10展示赛力斯和长安在毛利率、资产负债率上的六方法拟合结果。综合排名按35/45/20方案(sMAPE为误差指标)。Ridge回归在三种权重方案(35/45/20、40/40/20、熵权)下均排名第一。熵权法测定客观权重为R² 42.9%、sMAPE 31.5%、σ 25.7%。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057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6method_赛力斯_毛利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图7  赛力斯毛利率六方法对比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057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6method_赛力斯_资产负债率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图8  赛力斯资产负债率六方法对比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057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6method_长安汽车_毛利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图9  长安汽车毛利率六方法对比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057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6method_长安汽车_资产负债率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图10  长安汽车资产负债率六方法对比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85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排名</w:t>
            </w:r>
          </w:p>
        </w:tc>
        <w:tc>
          <w:tcPr>
            <w:tcW w:type="dxa" w:w="1701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方法</w:t>
            </w:r>
          </w:p>
        </w:tc>
        <w:tc>
          <w:tcPr>
            <w:tcW w:type="dxa" w:w="85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R²</w:t>
            </w:r>
          </w:p>
        </w:tc>
        <w:tc>
          <w:tcPr>
            <w:tcW w:type="dxa" w:w="85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sMAPE</w:t>
            </w:r>
          </w:p>
        </w:tc>
        <w:tc>
          <w:tcPr>
            <w:tcW w:type="dxa" w:w="85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σ</w:t>
            </w:r>
          </w:p>
        </w:tc>
        <w:tc>
          <w:tcPr>
            <w:tcW w:type="dxa" w:w="1134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35/45/20分</w:t>
            </w:r>
          </w:p>
        </w:tc>
        <w:tc>
          <w:tcPr>
            <w:tcW w:type="dxa" w:w="1134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40/40/20排名</w:t>
            </w:r>
          </w:p>
        </w:tc>
        <w:tc>
          <w:tcPr>
            <w:tcW w:type="dxa" w:w="1134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熵权排名</w:t>
            </w:r>
          </w:p>
        </w:tc>
      </w:tr>
      <w:tr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Ridge回归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0.29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57.23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0.05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85.83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线性回归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67.52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69.17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3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Prophet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-0.02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67.89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0.06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52.50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ARIMA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-2.39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92.91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35.83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5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LSTM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-392.46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146.95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0.04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22.50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5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5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三次指数平滑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-338.12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108.64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0.70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19.17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6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（四）2026Q1样本外一步前向回测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样本外回测结果(图11、表4)与样本内形成鲜明对比。LSTM和ARIMA的MAE最低(0.04和0.05)，Ridge仅第5(MAE=0.10)。方向命中率Prophet/线性回归/三次指数平滑达0.75，LSTM/ARIMA/Ridge为0.50。资产负债率预测良好(MAPE 8.7%-26.7%)，毛利率因实际值近零仅作方向判断。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468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6method_2026q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6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图11  2026Q1六方法一步前向回测对比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方法</w:t>
            </w:r>
          </w:p>
        </w:tc>
        <w:tc>
          <w:tcPr>
            <w:tcW w:type="dxa" w:w="85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平均MAE</w:t>
            </w:r>
          </w:p>
        </w:tc>
        <w:tc>
          <w:tcPr>
            <w:tcW w:type="dxa" w:w="102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平均sMAPE</w:t>
            </w:r>
          </w:p>
        </w:tc>
        <w:tc>
          <w:tcPr>
            <w:tcW w:type="dxa" w:w="102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方向命中率</w:t>
            </w:r>
          </w:p>
        </w:tc>
        <w:tc>
          <w:tcPr>
            <w:tcW w:type="dxa" w:w="1134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负债率MAPE</w:t>
            </w:r>
          </w:p>
        </w:tc>
        <w:tc>
          <w:tcPr>
            <w:tcW w:type="dxa" w:w="102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毛利率MAE</w:t>
            </w:r>
          </w:p>
        </w:tc>
        <w:tc>
          <w:tcPr>
            <w:tcW w:type="dxa" w:w="85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最优次数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LSTM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0.04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104.03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0.50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8.70%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0.03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ARIMA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104.28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9.18%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Prophet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0.07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101.57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0.75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12.20%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0.07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线性回归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101.98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0.75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13.04%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Ridge回归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0.10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108.08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0.50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17.95%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0.08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三次指数平滑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0.15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113.34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0.75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26.66%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0.13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核心发现：综合分衡量拟合优度而非预测精度。实务预警应以样本外回测为主。资产负债率可精确预警(LSTM/ARIMA MAPE约8.7%-9.2%)，毛利率仅作方向判断。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（五）杜邦分析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期间</w:t>
            </w:r>
          </w:p>
        </w:tc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ROE变动</w:t>
            </w:r>
          </w:p>
        </w:tc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净利率贡献</w:t>
            </w:r>
          </w:p>
        </w:tc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周转率贡献</w:t>
            </w:r>
          </w:p>
        </w:tc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杠杆贡献</w:t>
            </w:r>
          </w:p>
        </w:tc>
      </w:tr>
      <w:tr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赛力斯 2022→2023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+9.3pp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+11.1pp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+1.2pp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-3.0pp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赛力斯 2023→2024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+75.1pp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+46.7pp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+12.3pp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+16.1pp</w:t>
            </w:r>
          </w:p>
        </w:tc>
      </w:tr>
      <w:tr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赛力斯 2024→2025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-23.6pp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+5.4pp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-11.2pp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-17.8pp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长安 2022→2023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+0.9pp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-0.2pp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-0.5pp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+1.6pp</w:t>
            </w:r>
          </w:p>
        </w:tc>
      </w:tr>
      <w:tr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长安 2023→2024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-5.3pp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-5.2pp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-0.3pp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+0.2pp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长安 2024→2025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-3.9pp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-3.9pp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+0.2pp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-0.1pp</w:t>
            </w:r>
          </w:p>
        </w:tc>
      </w:tr>
    </w:tbl>
    <w:p>
      <w:pPr>
        <w:spacing w:after="80"/>
      </w:pP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赛力斯ROE过山车波动：2023-2024年三因素共振(+75.1pp)，2024-2025年去杠杆(-17.8pp)+周转下降(-11.2pp)推动ROE回落至15.0%。净利率改善(+5.4pp)部分抵消。长安ROE 12.3%→4.1%，净利率下滑(6.4%→1.9%)是唯一主因——一个多因素大幅摆动，一个单因素缓慢下降。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611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pont_analysis_waterf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图12  杜邦分析ROE因素分解瀑布图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（六）现金流量分析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公司</w:t>
            </w:r>
          </w:p>
        </w:tc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经营CF(亿)</w:t>
            </w:r>
          </w:p>
        </w:tc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投资CF(亿)</w:t>
            </w:r>
          </w:p>
        </w:tc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筹资CF(亿)</w:t>
            </w:r>
          </w:p>
        </w:tc>
        <w:tc>
          <w:tcPr>
            <w:tcW w:type="dxa" w:w="1701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组合模式</w:t>
            </w:r>
          </w:p>
        </w:tc>
        <w:tc>
          <w:tcPr>
            <w:tcW w:type="dxa" w:w="1701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阶段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赛力斯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289.1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-50.3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182.8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经营+/投资-/筹资+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成长期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比亚迪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591.4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-1974.6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1046.1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经营+/投资-/筹资+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成长期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长城汽车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403.6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-291.5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-134.4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经营+/投资-/筹资-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成熟期典范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上汽集团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343.1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-275.6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-532.2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经营+/投资-/筹资-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成熟期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长安汽车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18.4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-122.2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-1.9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经营+/投资-/筹资-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成熟期(造血偏弱)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江淮汽车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34.0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10.6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-17.1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经营+/投资+/筹资-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成熟期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广汽集团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-150.3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-56.4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55.1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经营-/投资-/筹资+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需关注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北汽蓝谷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19.3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-29.7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-26.1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经营+/投资-/筹资-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需关注</w:t>
            </w:r>
          </w:p>
        </w:tc>
      </w:tr>
    </w:tbl>
    <w:p>
      <w:pPr>
        <w:spacing w:after="80"/>
      </w:pP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赛力斯经营289亿+筹资183亿(成长期)，长城404亿自给自足(成熟期典范)，长安仅18.4亿(造血偏弱)，广汽-150亿唯一负值。现金流比利润更能揭示增长质量——赛力斯高ROE伴融资需求，长城高ROE伴自给现金流。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（七）NEV行业景气度与财务联动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424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v_monthly_tre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2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图13  NEV月度产销量趋势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887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v_yearly_grow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图14  NEV年度销量及同比增速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029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v_penetration_tre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2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图15  NEV月度渗透率趋势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三阶段：补贴期(2016-2019)→复苏期(2020-2021)→爆发期(2022-2025)，渗透率突破50%。月销120-130万辆，增速100%+→20%-30%。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404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vs_nev_indust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图16  企业vs行业NEV增速对标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赛力斯2022-2024超涨，2025回归均值。长安长期跑输，燃油车拖累总增速。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840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an_quarterly_struc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4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图17  长安季度销量结构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408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es_quarterly_structu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0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图18  赛力斯季度销量结构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8407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ly_comparis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4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图19  季度全面对标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长安新能源占比5.8%→27.3%(+21.5pp)，深蓝增长显著。赛力斯问界30.4%→93.8%(+63.4pp)，Q4冲量远超行业(环比&gt;40%)。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537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v_seasonal_heat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3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图20  季节性热力图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1051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v_yoy_growth_curv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1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图21  同比增速曲线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年末冲量与Q4财务高度同步。增速换挡100%+→20%-30%，企业成长性依赖份额争夺而非行业β。赛力斯先发优势弱化，长安跑输但多品牌缓冲。两种模式面临"跑马圈地→精耕细作"范式转换。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（八）Z-score、沃尔评分与综合风险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公司</w:t>
            </w:r>
          </w:p>
        </w:tc>
        <w:tc>
          <w:tcPr>
            <w:tcW w:type="dxa" w:w="1134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Z-score</w:t>
            </w:r>
          </w:p>
        </w:tc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判定</w:t>
            </w:r>
          </w:p>
        </w:tc>
        <w:tc>
          <w:tcPr>
            <w:tcW w:type="dxa" w:w="1134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排名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长城汽车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2.08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灰色区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长安汽车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1.82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灰色区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赛力斯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1.63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危险区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上汽集团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1.57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危险区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比亚迪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1.38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危险区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5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广汽集团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1.32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危险区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6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江淮汽车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0.84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危险区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7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北汽蓝谷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-1.44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危险区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8</w:t>
            </w:r>
          </w:p>
        </w:tc>
      </w:tr>
    </w:tbl>
    <w:p>
      <w:pPr>
        <w:spacing w:after="80"/>
      </w:pP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8家无一安全区，长城和长安"危险"更多是行业特征(高研发/轻资产)。沃尔评分赛力斯90.4分第1，长城84.9分第2，长安78.4分第5。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85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排名</w:t>
            </w:r>
          </w:p>
        </w:tc>
        <w:tc>
          <w:tcPr>
            <w:tcW w:type="dxa" w:w="124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企业</w:t>
            </w:r>
          </w:p>
        </w:tc>
        <w:tc>
          <w:tcPr>
            <w:tcW w:type="dxa" w:w="85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总分</w:t>
            </w:r>
          </w:p>
        </w:tc>
        <w:tc>
          <w:tcPr>
            <w:tcW w:type="dxa" w:w="102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毛利率</w:t>
            </w:r>
          </w:p>
        </w:tc>
        <w:tc>
          <w:tcPr>
            <w:tcW w:type="dxa" w:w="102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有息负债率</w:t>
            </w:r>
          </w:p>
        </w:tc>
        <w:tc>
          <w:tcPr>
            <w:tcW w:type="dxa" w:w="85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流动比率</w:t>
            </w:r>
          </w:p>
        </w:tc>
        <w:tc>
          <w:tcPr>
            <w:tcW w:type="dxa" w:w="85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周转率</w:t>
            </w:r>
          </w:p>
        </w:tc>
        <w:tc>
          <w:tcPr>
            <w:tcW w:type="dxa" w:w="1020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营收增长</w:t>
            </w:r>
          </w:p>
        </w:tc>
      </w:tr>
      <w:tr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赛力斯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90.4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4.4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2.2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17.6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26.3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40.0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长城汽车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84.9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3.2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18.2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19.4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40.0</w:t>
            </w:r>
          </w:p>
        </w:tc>
      </w:tr>
      <w:tr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3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比亚迪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82.5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3.2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7.8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13.2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18.3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40.0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北汽蓝谷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78.8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12.1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10.9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15.8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40.0</w:t>
            </w:r>
          </w:p>
        </w:tc>
      </w:tr>
      <w:tr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5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长安汽车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78.4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1.6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0.7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20.2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15.9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40.0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上汽集团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78.4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5.8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19.9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12.6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40.0</w:t>
            </w:r>
          </w:p>
        </w:tc>
      </w:tr>
      <w:tr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7</w:t>
            </w:r>
          </w:p>
        </w:tc>
        <w:tc>
          <w:tcPr>
            <w:tcW w:type="dxa" w:w="124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江淮汽车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78.2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7.6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13.4</w:t>
            </w:r>
          </w:p>
        </w:tc>
        <w:tc>
          <w:tcPr>
            <w:tcW w:type="dxa" w:w="85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17.2</w:t>
            </w:r>
          </w:p>
        </w:tc>
        <w:tc>
          <w:tcPr>
            <w:tcW w:type="dxa" w:w="1020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40.0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广汽集团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77.5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0.0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11.3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19.1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8.2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38.9</w:t>
            </w:r>
          </w:p>
        </w:tc>
      </w:tr>
    </w:tbl>
    <w:p>
      <w:pPr>
        <w:spacing w:after="80"/>
      </w:pP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8156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structu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1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图22  销量结构对比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55336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rada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/>
          <w:sz w:val="18"/>
        </w:rPr>
        <w:t>图23  综合风险雷达图</w:t>
      </w: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六、结论与建议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（一）主要结论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第一，赛力斯ROE过山车(-45.7%→38.7%→15.0%)，去杠杆(-17.8pp)和周转下降(-11.2pp)是回落主因；长安ROE温和下降(12.3%→4.1%)，净利率下滑(-3.9pp)是唯一主因。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第二，样本内Ridge回归三种权重方案均排名第一。2026Q1样本外回测显示LSTM/ARIMA的MAE最低(0.04-0.05)，方向命中率Prophet/线性回归0.75领先。综合分≠预测精度，实务以回测为准。资产负债率可精确预警(MAPE~8.7%-9.2%)，毛利率仅方向判断。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第三，现金流揭示本质——赛力斯成长期(经营+筹资)，长安造血偏弱，长城成熟期典范。NEV增速换挡至20%-30%，两种模式面临从增长驱动向效率驱动的范式转换。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（二）对策建议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赛力斯：降低问界集中度(~95%→70%)，股权融资降杠杆(70.91%)，关注周转效率(-11.2pp)，认识NEV增速换挡。长安：加快新能源渗透(~26%→50%)，改善毛利率(1.61%→5%+)，增强经营现金流(18.4亿→翻倍)，保持财务稳健(Z-score 1.82)。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（三）研究局限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4"/>
        </w:rPr>
        <w:t>样本8家A股；39季度限制深度学习；毛利率MAPE近零爆炸以sMAPE/MAE替代；Z-score基于1968年数据；Prophet因CmdStan错误未运行；单点回测(2026Q1)需扩展为滚动窗口。未来可扩展至港股美股、半参数方法、新能源专用Z-score。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参考文献</w:t>
      </w:r>
    </w:p>
    <w:p>
      <w:pPr>
        <w:spacing w:line="360" w:lineRule="auto"/>
      </w:pPr>
      <w:r>
        <w:rPr>
          <w:rFonts w:ascii="宋体" w:hAnsi="宋体"/>
          <w:sz w:val="21"/>
        </w:rPr>
        <w:t>[1] 郭苏敬等. 财务报告分析(微课版)[M]. 清华大学出版社, 2022.</w:t>
      </w:r>
    </w:p>
    <w:p>
      <w:pPr>
        <w:spacing w:line="360" w:lineRule="auto"/>
      </w:pPr>
      <w:r>
        <w:rPr>
          <w:rFonts w:ascii="宋体" w:hAnsi="宋体"/>
          <w:sz w:val="21"/>
        </w:rPr>
        <w:t>[2] Altman E I. Financial ratios, discriminant analysis and the prediction of corporate bankruptcy[J]. J Finance, 1968, 23(4):589-609.</w:t>
      </w:r>
    </w:p>
    <w:p>
      <w:pPr>
        <w:spacing w:line="360" w:lineRule="auto"/>
      </w:pPr>
      <w:r>
        <w:rPr>
          <w:rFonts w:ascii="宋体" w:hAnsi="宋体"/>
          <w:sz w:val="21"/>
        </w:rPr>
        <w:t>[3] Taylor S J, Letham B. Forecasting at scale[J]. The American Statistician, 2018, 72(1):37-45.</w:t>
      </w:r>
    </w:p>
    <w:p>
      <w:pPr>
        <w:spacing w:line="360" w:lineRule="auto"/>
      </w:pPr>
      <w:r>
        <w:rPr>
          <w:rFonts w:ascii="宋体" w:hAnsi="宋体"/>
          <w:sz w:val="21"/>
        </w:rPr>
        <w:t>[4] Hoerl A E, Kennard R W. Ridge regression[J]. Technometrics, 1970, 12(1):55-67.</w:t>
      </w:r>
    </w:p>
    <w:p>
      <w:pPr>
        <w:spacing w:line="360" w:lineRule="auto"/>
      </w:pPr>
      <w:r>
        <w:rPr>
          <w:rFonts w:ascii="宋体" w:hAnsi="宋体"/>
          <w:sz w:val="21"/>
        </w:rPr>
        <w:t>[5] Liu F T et al. Isolation forest[C]. ICDM, 2008:413-422.</w:t>
      </w:r>
    </w:p>
    <w:p>
      <w:pPr>
        <w:spacing w:line="360" w:lineRule="auto"/>
      </w:pPr>
      <w:r>
        <w:rPr>
          <w:rFonts w:ascii="宋体" w:hAnsi="宋体"/>
          <w:sz w:val="21"/>
        </w:rPr>
        <w:t>[6] Shannon C E. A mathematical theory of communication[J]. Bell System Technical Journal, 1948, 27(3):379-423.</w:t>
      </w:r>
    </w:p>
    <w:p>
      <w:pPr>
        <w:spacing w:line="360" w:lineRule="auto"/>
      </w:pPr>
      <w:r>
        <w:rPr>
          <w:rFonts w:ascii="宋体" w:hAnsi="宋体"/>
          <w:sz w:val="21"/>
        </w:rPr>
        <w:t>[7] 中国证监会. 上市公司信息披露管理办法[S]. 2021.</w:t>
      </w:r>
    </w:p>
    <w:p>
      <w:pPr>
        <w:spacing w:line="360" w:lineRule="auto"/>
      </w:pPr>
      <w:r>
        <w:rPr>
          <w:rFonts w:ascii="宋体" w:hAnsi="宋体"/>
          <w:sz w:val="21"/>
        </w:rPr>
        <w:t>[8] AkShare. Python financial data interface[EB/OL]. github.com/akfamily/akshare.</w:t>
      </w:r>
    </w:p>
    <w:p>
      <w:pPr>
        <w:spacing w:line="360" w:lineRule="auto"/>
      </w:pPr>
      <w:r>
        <w:rPr>
          <w:rFonts w:ascii="宋体" w:hAnsi="宋体"/>
          <w:sz w:val="21"/>
        </w:rPr>
        <w:t>[9] 中国汽车工业协会. 汽车工业经济运行情况[R]. 2016-2025.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附录A  18项财务指标计算公式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序号</w:t>
            </w:r>
          </w:p>
        </w:tc>
        <w:tc>
          <w:tcPr>
            <w:tcW w:type="dxa" w:w="1701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指标名称</w:t>
            </w:r>
          </w:p>
        </w:tc>
        <w:tc>
          <w:tcPr>
            <w:tcW w:type="dxa" w:w="3969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计算公式</w:t>
            </w:r>
          </w:p>
        </w:tc>
        <w:tc>
          <w:tcPr>
            <w:tcW w:type="dxa" w:w="1134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类别</w:t>
            </w:r>
          </w:p>
        </w:tc>
      </w:tr>
      <w:tr>
        <w:tc>
          <w:tcPr>
            <w:tcW w:type="dxa" w:w="56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毛利率</w:t>
            </w:r>
          </w:p>
        </w:tc>
        <w:tc>
          <w:tcPr>
            <w:tcW w:type="dxa" w:w="3969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1-营业成本/营业收入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盈利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营业利润率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营业利润/营业收入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盈利</w:t>
            </w:r>
          </w:p>
        </w:tc>
      </w:tr>
      <w:tr>
        <w:tc>
          <w:tcPr>
            <w:tcW w:type="dxa" w:w="56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3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净利润率</w:t>
            </w:r>
          </w:p>
        </w:tc>
        <w:tc>
          <w:tcPr>
            <w:tcW w:type="dxa" w:w="3969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净利润/营业收入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盈利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净资产收益率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2×归母净利润/(期初+期末权益)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盈利</w:t>
            </w:r>
          </w:p>
        </w:tc>
      </w:tr>
      <w:tr>
        <w:tc>
          <w:tcPr>
            <w:tcW w:type="dxa" w:w="56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5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存货周转率</w:t>
            </w:r>
          </w:p>
        </w:tc>
        <w:tc>
          <w:tcPr>
            <w:tcW w:type="dxa" w:w="3969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2×营业成本/(期初+期末存货)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营运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总资产周转率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2×营业收入/(期初+期末总资产)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营运</w:t>
            </w:r>
          </w:p>
        </w:tc>
      </w:tr>
      <w:tr>
        <w:tc>
          <w:tcPr>
            <w:tcW w:type="dxa" w:w="56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7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应收账款周转率</w:t>
            </w:r>
          </w:p>
        </w:tc>
        <w:tc>
          <w:tcPr>
            <w:tcW w:type="dxa" w:w="3969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2×营业收入/(期初+期末应收)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营运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流动比率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流动资产/流动负债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偿债</w:t>
            </w:r>
          </w:p>
        </w:tc>
      </w:tr>
      <w:tr>
        <w:tc>
          <w:tcPr>
            <w:tcW w:type="dxa" w:w="56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9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速动比率</w:t>
            </w:r>
          </w:p>
        </w:tc>
        <w:tc>
          <w:tcPr>
            <w:tcW w:type="dxa" w:w="3969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(流动资产-存货-预付)/流动负债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偿债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利息保障倍数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(营业利润+利息)/利息费用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偿债</w:t>
            </w:r>
          </w:p>
        </w:tc>
      </w:tr>
      <w:tr>
        <w:tc>
          <w:tcPr>
            <w:tcW w:type="dxa" w:w="56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11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资产负债率</w:t>
            </w:r>
          </w:p>
        </w:tc>
        <w:tc>
          <w:tcPr>
            <w:tcW w:type="dxa" w:w="3969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负债合计/资产合计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偿债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营收增长率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营收/上期营收-1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成长</w:t>
            </w:r>
          </w:p>
        </w:tc>
      </w:tr>
      <w:tr>
        <w:tc>
          <w:tcPr>
            <w:tcW w:type="dxa" w:w="56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13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营业利润增长率</w:t>
            </w:r>
          </w:p>
        </w:tc>
        <w:tc>
          <w:tcPr>
            <w:tcW w:type="dxa" w:w="3969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营业利润/上期营业利润-1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成长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净利润增长率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净利润/上期净利润-1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成长</w:t>
            </w:r>
          </w:p>
        </w:tc>
      </w:tr>
      <w:tr>
        <w:tc>
          <w:tcPr>
            <w:tcW w:type="dxa" w:w="56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15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有息负债率</w:t>
            </w:r>
          </w:p>
        </w:tc>
        <w:tc>
          <w:tcPr>
            <w:tcW w:type="dxa" w:w="3969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(短借+长借+应付债券+一年到期非流负)/资产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补充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经营CF/营收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经营CF/营业收入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补充</w:t>
            </w:r>
          </w:p>
        </w:tc>
      </w:tr>
      <w:tr>
        <w:tc>
          <w:tcPr>
            <w:tcW w:type="dxa" w:w="56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17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权益乘数</w:t>
            </w:r>
          </w:p>
        </w:tc>
        <w:tc>
          <w:tcPr>
            <w:tcW w:type="dxa" w:w="3969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资产合计/归母权益</w:t>
            </w:r>
          </w:p>
        </w:tc>
        <w:tc>
          <w:tcPr>
            <w:tcW w:type="dxa" w:w="1134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补充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18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货币资金占比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货币资金/资产合计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补充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附录B  预测方法与评估指标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方法</w:t>
            </w:r>
          </w:p>
        </w:tc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实现库</w:t>
            </w:r>
          </w:p>
        </w:tc>
        <w:tc>
          <w:tcPr>
            <w:tcW w:type="dxa" w:w="1701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超参数</w:t>
            </w:r>
          </w:p>
        </w:tc>
        <w:tc>
          <w:tcPr>
            <w:tcW w:type="dxa" w:w="2835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说明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Ridge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sklearn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degree=2,α=1.0</w:t>
            </w:r>
          </w:p>
        </w:tc>
        <w:tc>
          <w:tcPr>
            <w:tcW w:type="dxa" w:w="2835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L2+多项式+季节性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Prophet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prophet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yearly_seasonality=False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cap/floor约束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LSTM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PyTorch/numpy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window=3,hidden=16</w:t>
            </w:r>
          </w:p>
        </w:tc>
        <w:tc>
          <w:tcPr>
            <w:tcW w:type="dxa" w:w="2835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小样本降epochs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Holt-Winters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statsmodels/numpy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trend/seasonal=add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NumPy回退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ARIMA</w:t>
            </w:r>
          </w:p>
        </w:tc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statsmodels/numpy</w:t>
            </w:r>
          </w:p>
        </w:tc>
        <w:tc>
          <w:tcPr>
            <w:tcW w:type="dxa" w:w="170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(2,1,2)→(1,1,0)</w:t>
            </w:r>
          </w:p>
        </w:tc>
        <w:tc>
          <w:tcPr>
            <w:tcW w:type="dxa" w:w="2835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AR(1)回退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线性回归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sklearn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默认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基线</w:t>
            </w:r>
          </w:p>
        </w:tc>
      </w:tr>
    </w:tbl>
    <w:p>
      <w:pPr>
        <w:spacing w:after="80"/>
      </w:pPr>
    </w:p>
    <w:p/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评估指标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指标</w:t>
            </w:r>
          </w:p>
        </w:tc>
        <w:tc>
          <w:tcPr>
            <w:tcW w:type="dxa" w:w="2551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公式</w:t>
            </w:r>
          </w:p>
        </w:tc>
        <w:tc>
          <w:tcPr>
            <w:tcW w:type="dxa" w:w="2268"/>
            <w:shd w:fill="D5E8F0" w:val="clear"/>
            <w:tcBorders>
              <w:top w:val="single" w:sz="8" w:color="2E75B6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/>
                <w:b/>
                <w:color w:val="1A4789"/>
                <w:sz w:val="18"/>
              </w:rPr>
              <w:t>特点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MAPE</w:t>
            </w:r>
          </w:p>
        </w:tc>
        <w:tc>
          <w:tcPr>
            <w:tcW w:type="dxa" w:w="255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|P-A|/|A|×100%</w:t>
            </w:r>
          </w:p>
        </w:tc>
        <w:tc>
          <w:tcPr>
            <w:tcW w:type="dxa" w:w="2268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近零爆炸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sMAPE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200|P-A|/(|A|+|P|)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有界0~200%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MAE</w:t>
            </w:r>
          </w:p>
        </w:tc>
        <w:tc>
          <w:tcPr>
            <w:tcW w:type="dxa" w:w="255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|P-A|</w:t>
            </w:r>
          </w:p>
        </w:tc>
        <w:tc>
          <w:tcPr>
            <w:tcW w:type="dxa" w:w="2268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绝对尺度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方向命中率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同号占比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方向价值</w:t>
            </w:r>
          </w:p>
        </w:tc>
      </w:tr>
      <w:tr>
        <w:tc>
          <w:tcPr>
            <w:tcW w:type="dxa" w:w="1417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rFonts w:ascii="宋体" w:hAnsi="宋体"/>
                <w:color w:val="333333"/>
                <w:sz w:val="18"/>
              </w:rPr>
              <w:t>R²</w:t>
            </w:r>
          </w:p>
        </w:tc>
        <w:tc>
          <w:tcPr>
            <w:tcW w:type="dxa" w:w="2551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1-SSres/SStot</w:t>
            </w:r>
          </w:p>
        </w:tc>
        <w:tc>
          <w:tcPr>
            <w:tcW w:type="dxa" w:w="2268"/>
            <w:shd w:fill="F8F9FA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/>
                <w:color w:val="333333"/>
                <w:sz w:val="18"/>
              </w:rPr>
              <w:t>拟合优度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/>
          <w:b/>
          <w:color w:val="000000"/>
          <w:sz w:val="32"/>
        </w:rPr>
        <w:t>附录C  数据与代码说明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（一）数据采集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1"/>
        </w:rPr>
        <w:t>data/目录：collect_financial_data.py(8家三表)、collect_2026q1_for_mape.py(2026Q1增量)、add_company_sales.py/extract_sales_structure.py/enrich_nev_data.py(销量/NEV校验)。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（二）分析代码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1"/>
        </w:rPr>
        <w:t>lib/financial_metrics.py导出compute_ratios(18项)、extract_kmeans_features(5维)、compute_zscore、compute_walle_score、compute_dupont、compare_all_forecasts(6方法)、entropy_weight_method(熵权)、score_methods(三方案)、compute_forecast_metrics(含sMAPE/方向命中率)。work/nev_industry_analysis.py生成9张NEV图表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（三）运行环境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1"/>
        </w:rPr>
        <w:t>Python 3.11+, pandas&gt;=2.0, scikit-learn&gt;=1.3, matplotlib&gt;=3.7。prophet/statsmodels/torch可选(自动回退)。</w:t>
      </w:r>
    </w:p>
    <w:p>
      <w:pPr>
        <w:spacing w:before="240" w:after="120"/>
      </w:pPr>
      <w:r>
        <w:rPr>
          <w:rFonts w:ascii="黑体" w:hAnsi="黑体"/>
          <w:b/>
          <w:color w:val="000000"/>
          <w:sz w:val="28"/>
        </w:rPr>
        <w:t>（四）数据文件</w:t>
      </w:r>
    </w:p>
    <w:p>
      <w:pPr>
        <w:spacing w:after="40" w:line="360" w:lineRule="auto"/>
        <w:ind w:firstLine="420"/>
      </w:pPr>
      <w:r>
        <w:rPr>
          <w:rFonts w:ascii="宋体" w:hAnsi="宋体"/>
          <w:b w:val="0"/>
          <w:sz w:val="21"/>
        </w:rPr>
        <w:t>data/*_财务数据.xlsx(×8)、data/赛力斯_季度销量结构.xlsx、data/长安汽车_季度销量结构.xlsx、data/中国汽车行业多维销量数据库.xlsx(22 Sheets)。reports/目录2子目录共23张图表。</w:t>
      </w:r>
    </w:p>
    <w:p/>
    <w:p>
      <w:pPr>
        <w:jc w:val="center"/>
      </w:pPr>
      <w:r>
        <w:rPr>
          <w:rFonts w:ascii="黑体" w:hAnsi="黑体"/>
          <w:b/>
          <w:sz w:val="28"/>
        </w:rPr>
        <w:t>— 报告结束 —</w:t>
      </w:r>
    </w:p>
    <w:sectPr w:rsidR="00FC693F" w:rsidRPr="0006063C" w:rsidSect="00034616">
      <w:pgSz w:w="12240" w:h="15840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