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C187F6"/>
    <w:p w14:paraId="5A9746D6"/>
    <w:p w14:paraId="38180BAF"/>
    <w:p w14:paraId="5479EDBE"/>
    <w:p w14:paraId="6F20C103"/>
    <w:p w14:paraId="1CB649F4"/>
    <w:p w14:paraId="6339E6CD">
      <w:pPr>
        <w:jc w:val="center"/>
      </w:pPr>
      <w:r>
        <w:rPr>
          <w:rFonts w:ascii="黑体" w:hAnsi="黑体"/>
          <w:b/>
          <w:sz w:val="44"/>
        </w:rPr>
        <w:t>基于K-Means聚类与Prophet时序预测的</w:t>
      </w:r>
    </w:p>
    <w:p w14:paraId="0B9E3EE1">
      <w:pPr>
        <w:jc w:val="center"/>
      </w:pPr>
      <w:r>
        <w:rPr>
          <w:rFonts w:ascii="黑体" w:hAnsi="黑体"/>
          <w:b/>
          <w:sz w:val="44"/>
        </w:rPr>
        <w:t>重庆上市车企财务智能预警研究</w:t>
      </w:r>
    </w:p>
    <w:p w14:paraId="457C4F03"/>
    <w:p w14:paraId="395A44E8">
      <w:pPr>
        <w:jc w:val="center"/>
      </w:pPr>
      <w:r>
        <w:rPr>
          <w:rFonts w:ascii="黑体" w:hAnsi="黑体"/>
          <w:sz w:val="28"/>
        </w:rPr>
        <w:t>——赛力斯外部协同经营模式对标长安自主研发模式</w:t>
      </w:r>
    </w:p>
    <w:p w14:paraId="3D3960E8"/>
    <w:p w14:paraId="1FCA2450"/>
    <w:p w14:paraId="3CEBD540"/>
    <w:p w14:paraId="380A0555"/>
    <w:p w14:paraId="34981ABD">
      <w:pPr>
        <w:jc w:val="center"/>
      </w:pPr>
      <w:r>
        <w:rPr>
          <w:rFonts w:ascii="宋体" w:hAnsi="宋体"/>
          <w:sz w:val="24"/>
        </w:rPr>
        <w:t>第六届重庆市大学生企业财务大数据智能决策应用赛 · 参赛作品</w:t>
      </w:r>
    </w:p>
    <w:p w14:paraId="0D1F491E">
      <w:pPr>
        <w:jc w:val="center"/>
      </w:pPr>
      <w:r>
        <w:rPr>
          <w:rFonts w:ascii="宋体" w:hAnsi="宋体"/>
          <w:sz w:val="24"/>
        </w:rPr>
        <w:t>重庆师范大学</w:t>
      </w:r>
    </w:p>
    <w:p w14:paraId="3345D623">
      <w:r>
        <w:br w:type="page"/>
      </w:r>
    </w:p>
    <w:p w14:paraId="21C7C8EA">
      <w:pPr>
        <w:spacing w:before="360" w:after="240"/>
        <w:jc w:val="center"/>
      </w:pPr>
      <w:r>
        <w:rPr>
          <w:rFonts w:ascii="黑体" w:hAnsi="黑体"/>
          <w:b/>
          <w:color w:val="000000"/>
          <w:sz w:val="32"/>
        </w:rPr>
        <w:t>摘  要</w:t>
      </w:r>
    </w:p>
    <w:p w14:paraId="725D4928">
      <w:pPr>
        <w:spacing w:after="160" w:line="360" w:lineRule="auto"/>
        <w:ind w:firstLine="420"/>
      </w:pPr>
      <w:r>
        <w:rPr>
          <w:rFonts w:ascii="宋体" w:hAnsi="宋体"/>
          <w:b w:val="0"/>
          <w:sz w:val="24"/>
        </w:rPr>
        <w:t>本文选取8家A股上市乘用车企业2016Q1至2025Q4共314个季度财务数据，对比赛力斯（华为智选/外部协同）与长安汽车（自主研发）两种新能源转型模式的财务风险差异。分析运用K-Means聚类、孤立森林异常检测、六种时序预测方法对比（Ridge/Prophet/LSTM/三次指数平滑/ARIMA/线性回归）、杜邦连环替代法、Altman Z-score、沃尔评分、经营现金净流量三组合分析以及NEV行业景气度联动分析。研究发现：赛力斯净资产收益率波动剧烈（-45.7%→38.7%→15.0%），2024-2025年下降23.6个百分点，去杠杆贡献-17.8个百分点；长安汽车净资产收益率波动温和（12.3%→4.1%），最大年度变动仅5.3个百分点，净利率持续下滑是唯一主因。六种预测方法中，Ridge回归对资产负债率的预测误差最小（MAPE 2.4%-5.2%），LSTM和三次指数平滑在小样本下严重过拟合。现金流组合分析表明赛力斯处于成长期（经营净流入289亿+筹资183亿），长城汽车为成熟期典范（经营404亿自给自足）。赛力斯NEV偏离度2025年收窄至行业均值，先发优势面临均值回归。建议赛力斯降低品牌集中度、优化资本结构；长安汽车加速新能源渗透、改善盈利能力。</w:t>
      </w:r>
    </w:p>
    <w:p w14:paraId="6238BFCD">
      <w:pPr>
        <w:spacing w:before="360" w:after="240"/>
        <w:jc w:val="center"/>
      </w:pPr>
      <w:r>
        <w:rPr>
          <w:rFonts w:ascii="黑体" w:hAnsi="黑体"/>
          <w:b/>
          <w:color w:val="000000"/>
          <w:sz w:val="32"/>
        </w:rPr>
        <w:t>关键词</w:t>
      </w:r>
    </w:p>
    <w:p w14:paraId="622CAB42">
      <w:pPr>
        <w:spacing w:after="160" w:line="360" w:lineRule="auto"/>
      </w:pPr>
      <w:r>
        <w:rPr>
          <w:rFonts w:ascii="宋体" w:hAnsi="宋体"/>
          <w:b w:val="0"/>
          <w:sz w:val="21"/>
        </w:rPr>
        <w:t>财务预警；K-Means聚类；时序预测；杜邦分析；Z-score；新能源汽车；赛力斯；长安汽车</w:t>
      </w:r>
    </w:p>
    <w:p w14:paraId="4F3F86AD">
      <w:r>
        <w:br w:type="page"/>
      </w:r>
    </w:p>
    <w:p w14:paraId="4FE2D8A5">
      <w:pPr>
        <w:spacing w:before="360" w:after="240"/>
        <w:jc w:val="center"/>
      </w:pPr>
      <w:r>
        <w:rPr>
          <w:rFonts w:ascii="黑体" w:hAnsi="黑体"/>
          <w:b/>
          <w:color w:val="000000"/>
          <w:sz w:val="32"/>
        </w:rPr>
        <w:t>一、引言</w:t>
      </w:r>
    </w:p>
    <w:p w14:paraId="31ADB495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重庆是中国西部汽车工业重镇，拥有长安汽车（000625）和赛力斯（601127）两家代表性上市车企。2020年至2025年，中国新能源汽车渗透率从5.4%快速升至超过50%，行业从补贴驱动全面转向市场驱动。在此变局中，两家企业采用了截然不同的发展路径：赛力斯2021年起与华为深度合作，借助华为的技术平台和渠道资源推出AITO问界系列（M5/M7/M9）；长安汽车坚持自主研发，先后推出深蓝、阿维塔、启源三个新能源品牌。两种模式孰优孰劣，谁的财务风险更高、更不稳定，是业界和学界共同关注的问题。</w:t>
      </w:r>
    </w:p>
    <w:p w14:paraId="19C84854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既有文献对企业财务预警的研究主要集中在三个方向：一是基于财务比率的传统预警模型，如Altman(1968)的Z-score模型及后续改进；二是基于机器学习的智能预警方法，如K-Means聚类、孤立森林和支持向量机等；三是基于时序预测的财务趋势分析，如ARIMA和Prophet等方法。然而，将多种方法整合用于新能源汽车行业、特别是对比赛力斯和长安汽车两种模式的专项研究尚不多见。</w:t>
      </w:r>
    </w:p>
    <w:p w14:paraId="792A31DF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本文以8家A股上市乘用车企业为样本，综合运用K-Means聚类、孤立森林、六种时序预测方法、杜邦连环替代、Z-score和沃尔评分等方法，结合NEV行业景气度联动分析，对两种模式的财务风险进行全面比较，以期为新能源汽车企业的财务管理和风险预警提供参考。</w:t>
      </w:r>
    </w:p>
    <w:p w14:paraId="29D93B87">
      <w:pPr>
        <w:spacing w:before="360" w:after="240"/>
        <w:jc w:val="center"/>
      </w:pPr>
      <w:r>
        <w:rPr>
          <w:rFonts w:ascii="黑体" w:hAnsi="黑体"/>
          <w:b/>
          <w:color w:val="000000"/>
          <w:sz w:val="32"/>
        </w:rPr>
        <w:t>二、文献综述</w:t>
      </w:r>
    </w:p>
    <w:p w14:paraId="18AD5A1F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财务报告分析的理论基础来自郭苏敬等(2022)的系统化框架，该框架将分析过程分为信息搜集、战略分析、财务分析和综合评价四个阶段，强调从数据还原企业经营真相的分析哲学。在企业财务预警领域，Altman(1968)基于制造业上市公司数据构建了经典的五变量Z-score模型，判定阈值历经半个多世纪的检验，至今仍是破产预警领域的基准方法。</w:t>
      </w:r>
    </w:p>
    <w:p w14:paraId="0E5F5268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在机器学习预警方法方面，Liu等(2008)提出的孤立森林算法通过随机划分构建二叉树来识别异常点，在小样本和特征维度适中的场景下表现优异。Hoerl和Kennard(1970)提出的Ridge回归（岭回归）通过L2正则化有效解决多重共线性和小样本过拟合问题，为财务指标预测提供了比简单线性回归更稳健的替代方案。Taylor和Letham(2018)开发的Prophet模型将时间序列分解为趋势、季节性和节假日效应三个部分，在商业预测领域得到了广泛应用，但其对数据量的要求（通常需要2个完整周期以上）在季度财务数据场景下存在局限。</w:t>
      </w:r>
    </w:p>
    <w:p w14:paraId="13139C76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在新能源汽车行业研究方面，中国汽车工业协会的月度产销数据（CAAM，2016-2025）为分析NEV市场景气度与企业财务表现的联动关系提供了数据基础。既有研究表明，行业景气度对企业财务绩效存在显著的正向传导效应（市场份额扩张→规模效应→毛利率提升），但这种效应在高增长阶段更为显著，在增速换挡后趋于弱化。本研究在前人基础上，尝试将多元分析方法整合应用于重庆两家代表性车企的对比分析，弥补单一方法视角的不足。</w:t>
      </w:r>
    </w:p>
    <w:p w14:paraId="3EB6B286">
      <w:pPr>
        <w:spacing w:before="360" w:after="240"/>
        <w:jc w:val="center"/>
      </w:pPr>
      <w:r>
        <w:rPr>
          <w:rFonts w:ascii="黑体" w:hAnsi="黑体"/>
          <w:b/>
          <w:color w:val="000000"/>
          <w:sz w:val="32"/>
        </w:rPr>
        <w:t>三、数据来源与说明</w:t>
      </w:r>
    </w:p>
    <w:p w14:paraId="2860E604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本文的研究数据来自两个渠道。财务数据源自AkShare金融数据接口[8]，该接口提供中国A股交易所披露的标准财务报表数据，数据经注册会计师审计鉴证，具有较高的可靠性。行业NEV销量数据来自中国汽车工业协会（CAAM）月度发布的《汽车工业经济运行情况》[9]及《中国汽车行业多维销量数据库》。</w:t>
      </w:r>
    </w:p>
    <w:p w14:paraId="063AEFFE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样本选取8家A股乘用车整车企业：赛力斯（601127）、长安汽车（000625）、比亚迪（002594）、上汽集团（600104）、长城汽车（601633）、广汽集团（601238）、江淮汽车（600418）、北汽蓝谷（600733）。时间区间为2016年第一季至2025年第四季，共10年40个季度。剔除各企业上市前和退市后的数据缺失期间，合计有效观测314个季度。2026年第一季度数据仅采集赛力斯和长安汽车两家，用于预测回测验证。所有数据的采集、处理和分析代码见附录C。</w:t>
      </w:r>
    </w:p>
    <w:p w14:paraId="526ABB4E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表1列出本文使用的核心变量。</w:t>
      </w:r>
    </w:p>
    <w:p w14:paraId="69A5FEA3"/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175"/>
        <w:gridCol w:w="1928"/>
        <w:gridCol w:w="1417"/>
      </w:tblGrid>
      <w:tr w14:paraId="68C941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3774E6E1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变量类别</w:t>
            </w:r>
          </w:p>
        </w:tc>
        <w:tc>
          <w:tcPr>
            <w:tcW w:w="3175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B058823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变量名称</w:t>
            </w:r>
          </w:p>
        </w:tc>
        <w:tc>
          <w:tcPr>
            <w:tcW w:w="1928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60E875E0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数据来源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7A0D8096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观测数</w:t>
            </w:r>
          </w:p>
        </w:tc>
      </w:tr>
      <w:tr w14:paraId="350B93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8A47412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被解释变量</w:t>
            </w:r>
          </w:p>
        </w:tc>
        <w:tc>
          <w:tcPr>
            <w:tcW w:w="317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FA816A1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净资产收益率、毛利率、资产负债率</w:t>
            </w:r>
          </w:p>
        </w:tc>
        <w:tc>
          <w:tcPr>
            <w:tcW w:w="192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F7CEB68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AkShare/财务报表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63C7F2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314季度</w:t>
            </w:r>
          </w:p>
        </w:tc>
      </w:tr>
      <w:tr w14:paraId="297DCA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5E215BB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聚类特征</w:t>
            </w:r>
          </w:p>
        </w:tc>
        <w:tc>
          <w:tcPr>
            <w:tcW w:w="3175" w:type="dxa"/>
          </w:tcPr>
          <w:p w14:paraId="5FAA666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毛利率/经营CF/营收、有息负债率、存货周转率、权益乘数</w:t>
            </w:r>
          </w:p>
        </w:tc>
        <w:tc>
          <w:tcPr>
            <w:tcW w:w="1928" w:type="dxa"/>
          </w:tcPr>
          <w:p w14:paraId="20DDA3C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AkShare/财务报表</w:t>
            </w:r>
          </w:p>
        </w:tc>
        <w:tc>
          <w:tcPr>
            <w:tcW w:w="1417" w:type="dxa"/>
          </w:tcPr>
          <w:p w14:paraId="073D1E7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314季度</w:t>
            </w:r>
          </w:p>
        </w:tc>
      </w:tr>
      <w:tr w14:paraId="7C4CD7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13D3BA7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预测指标</w:t>
            </w:r>
          </w:p>
        </w:tc>
        <w:tc>
          <w:tcPr>
            <w:tcW w:w="317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DCF7CA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毛利率、资产负债率</w:t>
            </w:r>
          </w:p>
        </w:tc>
        <w:tc>
          <w:tcPr>
            <w:tcW w:w="192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94B89F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AkShare/财务报表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9B6D55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39-41季/企</w:t>
            </w:r>
          </w:p>
        </w:tc>
      </w:tr>
      <w:tr w14:paraId="648AB7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6287522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行业景气</w:t>
            </w:r>
          </w:p>
        </w:tc>
        <w:tc>
          <w:tcPr>
            <w:tcW w:w="3175" w:type="dxa"/>
          </w:tcPr>
          <w:p w14:paraId="50FB960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NEV月度销量、渗透率、同比增速</w:t>
            </w:r>
          </w:p>
        </w:tc>
        <w:tc>
          <w:tcPr>
            <w:tcW w:w="1928" w:type="dxa"/>
          </w:tcPr>
          <w:p w14:paraId="1BB4334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CAAM月度发布</w:t>
            </w:r>
          </w:p>
        </w:tc>
        <w:tc>
          <w:tcPr>
            <w:tcW w:w="1417" w:type="dxa"/>
          </w:tcPr>
          <w:p w14:paraId="5BEC61E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114月</w:t>
            </w:r>
          </w:p>
        </w:tc>
      </w:tr>
      <w:tr w14:paraId="053F3B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AA3DE89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销量结构</w:t>
            </w:r>
          </w:p>
        </w:tc>
        <w:tc>
          <w:tcPr>
            <w:tcW w:w="317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8CDED1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问界占比、长安新能源占比</w:t>
            </w:r>
          </w:p>
        </w:tc>
        <w:tc>
          <w:tcPr>
            <w:tcW w:w="192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6A2106A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公司公告/数据库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612A01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16季</w:t>
            </w:r>
          </w:p>
        </w:tc>
      </w:tr>
    </w:tbl>
    <w:p w14:paraId="3AEE5B7D">
      <w:pPr>
        <w:spacing w:after="80"/>
      </w:pPr>
    </w:p>
    <w:p w14:paraId="4D942638">
      <w:pPr>
        <w:spacing w:before="360" w:after="240"/>
        <w:jc w:val="center"/>
      </w:pPr>
      <w:r>
        <w:rPr>
          <w:rFonts w:ascii="黑体" w:hAnsi="黑体"/>
          <w:b/>
          <w:color w:val="000000"/>
          <w:sz w:val="32"/>
        </w:rPr>
        <w:t>四、研究方法</w:t>
      </w:r>
    </w:p>
    <w:p w14:paraId="1AECE387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本文采用定性与定量相结合的方法，构建了"聚类分群→异常检测→时序预测→因素分解→综合评价→景气联动"六步分析框架。各方法的技术细节如下：</w:t>
      </w:r>
    </w:p>
    <w:p w14:paraId="2841D6AC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（一）K-Means聚类</w:t>
      </w:r>
    </w:p>
    <w:p w14:paraId="44DF5759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选取5个财务特征变量：毛利率、经营现金净流量/营收、有息负债率、存货周转率、权益乘数。所有变量经Z-score标准化处理后，采用肘部法则确定最优聚类数K=3。聚类效果以轮廓系数（Silhouette Score）和CH指数（Calinski-Harabasz Index）评估。PCA降维至2维用于可视化展示。</w:t>
      </w:r>
    </w:p>
    <w:p w14:paraId="724241B9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（二）孤立森林异常检测</w:t>
      </w:r>
    </w:p>
    <w:p w14:paraId="0423792D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基于与K-Means相同的5维特征矩阵，设定异常比例参数contamination=0.10。算法通过随机选择特征和随机划分值构建隔离树，计算每个样本的异常得分。得分越低（越接近-0.5），样本越容易被隔离，异常程度越高。以异常率30%为红色预警线，10%为黄色关注线。</w:t>
      </w:r>
    </w:p>
    <w:p w14:paraId="27B8CBBD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（三）六种时序预测方法</w:t>
      </w:r>
    </w:p>
    <w:p w14:paraId="5FDAD692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针对每家企业39-41个季度观测的小样本约束，比较六种方法的预测表现。Ridge回归（L2正则化，alpha=1.0）：自变量为时间趋势的二次多项式，并加入季度季节性哑变量（Q1/Q2/Q3/Q4），以正则化防止过拟合。Prophet：关闭年度季节性（yearly_seasonality=False），降低变点灵敏度（changepoint_prior_scale=0.01），毛利率约束在[0,1]区间。LSTM：滑动窗口=3，隐藏层=16，小样本下降低训练轮数。三次指数平滑（Holt-Winters）：趋势和季节性分量均为加法模型，周期=4。ARIMA：先尝试(2,1,2)，失败降为(1,1,0)。线性回归：无正则化、无季节性的简单回归，作为基线方法。预测期统一为未来4个季度。回测采用2026年第一季度实际值进行MAPE评估。</w:t>
      </w:r>
    </w:p>
    <w:p w14:paraId="3250F51A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（四）杜邦连环替代分析</w:t>
      </w:r>
    </w:p>
    <w:p w14:paraId="07E0BE7D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将净资产收益率（ROE）分解为销售净利率、总资产周转率和权益乘数的乘积，使用连环替代法逐一替换各因素从基期值到报告期值，量化每个因素对ROE变动的贡献（以百分点pp为单位）。分析涵盖2022-2025年四个年报期，形成三期连环替代。</w:t>
      </w:r>
    </w:p>
    <w:p w14:paraId="400D50F2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（五）Z-score与沃尔评分</w:t>
      </w:r>
    </w:p>
    <w:p w14:paraId="2EF909BB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Z-score采用Altman(1968)制造业公式：Z=1.2X₁+1.4X₂+3.3X₃+0.6X₄+1.0X₅，其中X₁-X₅分别为营运资本/总资产、留存收益/总资产、息税前利润/总资产、股东权益市值/总负债和营业收入/总资产。传统判定阈值：Z&lt;1.81危险区，1.81≤Z≤2.99灰色区，Z&gt;2.99安全区。沃尔评分选取5个指标合计100分：毛利率15分、有息负债率25分、流动比率25分、总资产周转率15分、营业收入增长率20分，营业收入增长率采用分档评分。</w:t>
      </w:r>
    </w:p>
    <w:p w14:paraId="76BD9B3D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（六）经营现金净流量三组合分析</w:t>
      </w:r>
    </w:p>
    <w:p w14:paraId="65FAB214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根据经营活动、投资活动和筹资活动三类现金流净额的正负方向，将企业现金流特征分为8种组合模式。各模式对应企业生命周期的不同阶段（成长期/成熟期/衰退期/危机期），为判断利润质量和经营安全性提供收付实现制视角。</w:t>
      </w:r>
    </w:p>
    <w:p w14:paraId="178BD459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（七）NEV行业景气度联动分析</w:t>
      </w:r>
    </w:p>
    <w:p w14:paraId="08164F93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基于CAAM月度NEV销量数据，从四个方面分析行业景气度与企业财务表现的联动关系：月度和年度销量趋势分析、渗透率变化轨迹、企业增速对行业增速的偏离度（偏离度=企业年销量增速−行业NEV年销量增速）、季度销量结构的季节性模式。</w:t>
      </w:r>
    </w:p>
    <w:p w14:paraId="32157029">
      <w:pPr>
        <w:spacing w:before="360" w:after="240"/>
        <w:jc w:val="center"/>
      </w:pPr>
      <w:r>
        <w:rPr>
          <w:rFonts w:ascii="黑体" w:hAnsi="黑体"/>
          <w:b/>
          <w:color w:val="000000"/>
          <w:sz w:val="32"/>
        </w:rPr>
        <w:t>五、实证分析</w:t>
      </w:r>
    </w:p>
    <w:p w14:paraId="30BC7A29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（一）财务指标描述性统计</w:t>
      </w:r>
    </w:p>
    <w:p w14:paraId="4719B601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表2列出8家企业在2025年年报的五项核心财务指标。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247"/>
        <w:gridCol w:w="1304"/>
        <w:gridCol w:w="1587"/>
        <w:gridCol w:w="1587"/>
        <w:gridCol w:w="1247"/>
      </w:tblGrid>
      <w:tr w14:paraId="5FEAD5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1903220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公司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33112E31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毛利率</w:t>
            </w:r>
          </w:p>
        </w:tc>
        <w:tc>
          <w:tcPr>
            <w:tcW w:w="130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4A940DF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净利润率</w:t>
            </w:r>
          </w:p>
        </w:tc>
        <w:tc>
          <w:tcPr>
            <w:tcW w:w="158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8F3F2C1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净资产收益率</w:t>
            </w:r>
          </w:p>
        </w:tc>
        <w:tc>
          <w:tcPr>
            <w:tcW w:w="158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6E1103EC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资产负债率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02764C4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流动比率</w:t>
            </w:r>
          </w:p>
        </w:tc>
      </w:tr>
      <w:tr w14:paraId="4C619C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B64B694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赛力斯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05B7348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4.36%</w:t>
            </w:r>
          </w:p>
        </w:tc>
        <w:tc>
          <w:tcPr>
            <w:tcW w:w="130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D30021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3.72%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7B9256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21.90%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66775B1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70.91%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1117FA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1.05</w:t>
            </w:r>
          </w:p>
        </w:tc>
      </w:tr>
      <w:tr w14:paraId="03E550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692C7D7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长安汽车</w:t>
            </w:r>
          </w:p>
        </w:tc>
        <w:tc>
          <w:tcPr>
            <w:tcW w:w="1247" w:type="dxa"/>
          </w:tcPr>
          <w:p w14:paraId="56C95FB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1.61%</w:t>
            </w:r>
          </w:p>
        </w:tc>
        <w:tc>
          <w:tcPr>
            <w:tcW w:w="1304" w:type="dxa"/>
          </w:tcPr>
          <w:p w14:paraId="7A75F21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1.93%</w:t>
            </w:r>
          </w:p>
        </w:tc>
        <w:tc>
          <w:tcPr>
            <w:tcW w:w="1587" w:type="dxa"/>
          </w:tcPr>
          <w:p w14:paraId="71B3CE3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5.43%</w:t>
            </w:r>
          </w:p>
        </w:tc>
        <w:tc>
          <w:tcPr>
            <w:tcW w:w="1587" w:type="dxa"/>
          </w:tcPr>
          <w:p w14:paraId="009DAE2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59.61%</w:t>
            </w:r>
          </w:p>
        </w:tc>
        <w:tc>
          <w:tcPr>
            <w:tcW w:w="1247" w:type="dxa"/>
          </w:tcPr>
          <w:p w14:paraId="7527FCE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1.21</w:t>
            </w:r>
          </w:p>
        </w:tc>
      </w:tr>
      <w:tr w14:paraId="19A605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ECB339E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比亚迪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CA3BDC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3.16%</w:t>
            </w:r>
          </w:p>
        </w:tc>
        <w:tc>
          <w:tcPr>
            <w:tcW w:w="130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61D0F6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4.20%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037214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16.24%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99846CA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70.74%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D9E6F9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0.79</w:t>
            </w:r>
          </w:p>
        </w:tc>
      </w:tr>
      <w:tr w14:paraId="01EC2E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4B9A0C7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长城汽车</w:t>
            </w:r>
          </w:p>
        </w:tc>
        <w:tc>
          <w:tcPr>
            <w:tcW w:w="1247" w:type="dxa"/>
          </w:tcPr>
          <w:p w14:paraId="52998858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3.25%</w:t>
            </w:r>
          </w:p>
        </w:tc>
        <w:tc>
          <w:tcPr>
            <w:tcW w:w="1304" w:type="dxa"/>
          </w:tcPr>
          <w:p w14:paraId="537195C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4.43%</w:t>
            </w:r>
          </w:p>
        </w:tc>
        <w:tc>
          <w:tcPr>
            <w:tcW w:w="1587" w:type="dxa"/>
          </w:tcPr>
          <w:p w14:paraId="7F17E05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11.94%</w:t>
            </w:r>
          </w:p>
        </w:tc>
        <w:tc>
          <w:tcPr>
            <w:tcW w:w="1587" w:type="dxa"/>
          </w:tcPr>
          <w:p w14:paraId="195BD50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60.99%</w:t>
            </w:r>
          </w:p>
        </w:tc>
        <w:tc>
          <w:tcPr>
            <w:tcW w:w="1247" w:type="dxa"/>
          </w:tcPr>
          <w:p w14:paraId="46975CE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1.09</w:t>
            </w:r>
          </w:p>
        </w:tc>
      </w:tr>
      <w:tr w14:paraId="7CAD38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BBC48AF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上汽集团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0A09ED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-0.43%</w:t>
            </w:r>
          </w:p>
        </w:tc>
        <w:tc>
          <w:tcPr>
            <w:tcW w:w="130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DBD17F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2.70%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5FF2C7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3.42%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37494B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62.37%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168A5C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1.20</w:t>
            </w:r>
          </w:p>
        </w:tc>
      </w:tr>
      <w:tr w14:paraId="560DE0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65F5428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广汽集团</w:t>
            </w:r>
          </w:p>
        </w:tc>
        <w:tc>
          <w:tcPr>
            <w:tcW w:w="1247" w:type="dxa"/>
          </w:tcPr>
          <w:p w14:paraId="02CECDA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-15.68%</w:t>
            </w:r>
          </w:p>
        </w:tc>
        <w:tc>
          <w:tcPr>
            <w:tcW w:w="1304" w:type="dxa"/>
          </w:tcPr>
          <w:p w14:paraId="3E523C7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-12.00%</w:t>
            </w:r>
          </w:p>
        </w:tc>
        <w:tc>
          <w:tcPr>
            <w:tcW w:w="1587" w:type="dxa"/>
          </w:tcPr>
          <w:p w14:paraId="7C23F26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-8.02%</w:t>
            </w:r>
          </w:p>
        </w:tc>
        <w:tc>
          <w:tcPr>
            <w:tcW w:w="1587" w:type="dxa"/>
          </w:tcPr>
          <w:p w14:paraId="1013BCF1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48.97%</w:t>
            </w:r>
          </w:p>
        </w:tc>
        <w:tc>
          <w:tcPr>
            <w:tcW w:w="1247" w:type="dxa"/>
          </w:tcPr>
          <w:p w14:paraId="1FC3310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1.14</w:t>
            </w:r>
          </w:p>
        </w:tc>
      </w:tr>
      <w:tr w14:paraId="6D4CDE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A9CE153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江淮汽车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6EF08EA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-3.50%</w:t>
            </w:r>
          </w:p>
        </w:tc>
        <w:tc>
          <w:tcPr>
            <w:tcW w:w="130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2E031F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-3.81%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EA256DA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-14.53%</w:t>
            </w:r>
          </w:p>
        </w:tc>
        <w:tc>
          <w:tcPr>
            <w:tcW w:w="158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5126EA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79.07%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AC22F7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0.80</w:t>
            </w:r>
          </w:p>
        </w:tc>
      </w:tr>
      <w:tr w14:paraId="4B09BE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F4C0490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北汽蓝谷</w:t>
            </w:r>
          </w:p>
        </w:tc>
        <w:tc>
          <w:tcPr>
            <w:tcW w:w="1247" w:type="dxa"/>
          </w:tcPr>
          <w:p w14:paraId="710E1C8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-21.55%</w:t>
            </w:r>
          </w:p>
        </w:tc>
        <w:tc>
          <w:tcPr>
            <w:tcW w:w="1304" w:type="dxa"/>
          </w:tcPr>
          <w:p w14:paraId="4E1520E8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-22.84%</w:t>
            </w:r>
          </w:p>
        </w:tc>
        <w:tc>
          <w:tcPr>
            <w:tcW w:w="1587" w:type="dxa"/>
          </w:tcPr>
          <w:p w14:paraId="3DB642D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-332.24%</w:t>
            </w:r>
          </w:p>
        </w:tc>
        <w:tc>
          <w:tcPr>
            <w:tcW w:w="1587" w:type="dxa"/>
          </w:tcPr>
          <w:p w14:paraId="017FB5E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88.47%</w:t>
            </w:r>
          </w:p>
        </w:tc>
        <w:tc>
          <w:tcPr>
            <w:tcW w:w="1247" w:type="dxa"/>
          </w:tcPr>
          <w:p w14:paraId="0E84E8F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0.65</w:t>
            </w:r>
          </w:p>
        </w:tc>
      </w:tr>
    </w:tbl>
    <w:p w14:paraId="43A7379B">
      <w:pPr>
        <w:spacing w:after="80"/>
      </w:pPr>
    </w:p>
    <w:p w14:paraId="4576DBE2"/>
    <w:p w14:paraId="18CA11EB">
      <w:pPr>
        <w:jc w:val="center"/>
      </w:pPr>
      <w:r>
        <w:drawing>
          <wp:inline distT="0" distB="0" distL="114300" distR="114300">
            <wp:extent cx="5399405" cy="2560320"/>
            <wp:effectExtent l="0" t="0" r="1079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C3D2D">
      <w:pPr>
        <w:spacing w:after="120"/>
        <w:jc w:val="center"/>
      </w:pPr>
      <w:r>
        <w:rPr>
          <w:rFonts w:ascii="宋体" w:hAnsi="宋体"/>
          <w:sz w:val="18"/>
        </w:rPr>
        <w:t>图1  8家车企核心财务指标热力图</w:t>
      </w:r>
    </w:p>
    <w:p w14:paraId="7FE562A0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从表2可以看出，8家企业中4家毛利率为负（上汽、广汽、江淮、北汽蓝谷），行业整体盈利空间承压。赛力斯净资产收益率21.90%为全样本最高，但资产负债率70.91%也位居前列，高净资产收益率部分由杠杆驱动。北汽蓝谷四项指标均异常（毛利率-21.55%、净资产收益率-332.24%、资产负债率88.47%、流动比率0.65），财务健康度最差。长城汽车各项指标最为均衡（毛利率3.25%、净资产收益率11.94%、资产负债率60.99%、流动比率1.09）。赛力斯的高净资产收益率需要结合权益乘数理解——其权益乘数从7.69降至3.52的过程本身便解释了净资产收益率大幅回落的大部分原因。</w:t>
      </w:r>
    </w:p>
    <w:p w14:paraId="220DE480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研发投入方面（见图2），赛力斯2025年研发费用79.5亿元，研发费用率4.82%，首次超过长安汽车（71.6亿元/4.36%）。2021年华为合作启动后，赛力斯研发率从3.59%升至4.82%，合作推动了研发投入的快速增长。</w:t>
      </w:r>
    </w:p>
    <w:p w14:paraId="0B091330">
      <w:pPr>
        <w:jc w:val="center"/>
      </w:pPr>
      <w:r>
        <w:drawing>
          <wp:inline distT="0" distB="0" distL="114300" distR="114300">
            <wp:extent cx="5039995" cy="1657350"/>
            <wp:effectExtent l="0" t="0" r="444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41044">
      <w:pPr>
        <w:spacing w:after="120"/>
        <w:jc w:val="center"/>
      </w:pPr>
      <w:r>
        <w:rPr>
          <w:rFonts w:ascii="宋体" w:hAnsi="宋体"/>
          <w:sz w:val="18"/>
        </w:rPr>
        <w:t>图2  赛力斯vs长安研发投入趋势</w:t>
      </w:r>
    </w:p>
    <w:p w14:paraId="0BADAB21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（二）K-Means聚类与孤立森林分析</w:t>
      </w:r>
    </w:p>
    <w:p w14:paraId="7B32F6FC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1. K-Means聚类结果。聚类使用5个标准化特征变量，肘部法则确定K=3（见图3），轮廓系数0.609，CH指数119.8，群间分离度良好。</w:t>
      </w:r>
    </w:p>
    <w:p w14:paraId="2C38D8C0"/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1134"/>
        <w:gridCol w:w="1417"/>
        <w:gridCol w:w="1417"/>
        <w:gridCol w:w="1417"/>
      </w:tblGrid>
      <w:tr w14:paraId="1BE126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65F3524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群组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7828B42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所含企业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10BB524B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季度数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1B2C6C9D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毛利率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1278D399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经营CF/营收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4DD1263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有息负债率</w:t>
            </w:r>
          </w:p>
        </w:tc>
      </w:tr>
      <w:tr w14:paraId="09F615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5DE3E92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群0（稳健）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DF7BDAB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全部8家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A8D65A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287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66E979A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-0.011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1C7C48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-0.020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2221541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0.124</w:t>
            </w:r>
          </w:p>
        </w:tc>
      </w:tr>
      <w:tr w14:paraId="0EC559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788D18B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群1（异常）</w:t>
            </w:r>
          </w:p>
        </w:tc>
        <w:tc>
          <w:tcPr>
            <w:tcW w:w="1417" w:type="dxa"/>
          </w:tcPr>
          <w:p w14:paraId="43EAADC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北汽蓝谷</w:t>
            </w:r>
          </w:p>
        </w:tc>
        <w:tc>
          <w:tcPr>
            <w:tcW w:w="1134" w:type="dxa"/>
          </w:tcPr>
          <w:p w14:paraId="6C7C090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3</w:t>
            </w:r>
          </w:p>
        </w:tc>
        <w:tc>
          <w:tcPr>
            <w:tcW w:w="1417" w:type="dxa"/>
          </w:tcPr>
          <w:p w14:paraId="5895324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-1.075</w:t>
            </w:r>
          </w:p>
        </w:tc>
        <w:tc>
          <w:tcPr>
            <w:tcW w:w="1417" w:type="dxa"/>
          </w:tcPr>
          <w:p w14:paraId="1C4ADA7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-8.312</w:t>
            </w:r>
          </w:p>
        </w:tc>
        <w:tc>
          <w:tcPr>
            <w:tcW w:w="1417" w:type="dxa"/>
          </w:tcPr>
          <w:p w14:paraId="7B44C268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0.000</w:t>
            </w:r>
          </w:p>
        </w:tc>
      </w:tr>
      <w:tr w14:paraId="49534C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DD09292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群2（高杠杆）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A95215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北汽蓝谷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7A055E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24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F74C03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-0.528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649399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-0.208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F7F37A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0.382</w:t>
            </w:r>
          </w:p>
        </w:tc>
      </w:tr>
    </w:tbl>
    <w:p w14:paraId="5BB700D0">
      <w:pPr>
        <w:spacing w:after="80"/>
      </w:pPr>
    </w:p>
    <w:p w14:paraId="223A273C"/>
    <w:p w14:paraId="47D2B486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群1和群2均由北汽蓝谷的极端季度构成，群1毛利率-107.5%、经营CF/营收-831.2%为极端亏损和现金流恶化状态，群2权益乘数7.285为极高杠杆状态。群0包含全部8家企业287个季度，是行业"常态"区域。赛力斯和长安汽车均主要位于群0，仅从五维特征看二者同属行业正常区间——它们的差异不在聚类层面，而在具体指标的波动模式和驱动力上。</w:t>
      </w:r>
    </w:p>
    <w:p w14:paraId="4E8D98DA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2. 孤立森林异常检测。异常检测结果如表3和图5所示。以异常率30%为红色预警线，北汽蓝谷异常率74%远超线外。赛力斯异常率7%虽在正常范围但非零，长安汽车异常率0%。赛力斯少量异常波动与其高增长高波动的模式特征一致。长城汽车异常得分0.118为全行业最高，财务表现最为平稳。</w:t>
      </w:r>
    </w:p>
    <w:p w14:paraId="01E990CD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（三）六种时序预测方法对比</w:t>
      </w:r>
    </w:p>
    <w:p w14:paraId="2209757B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1. 单企业预测结果。每家企业仅39-41个有效季度观测，属于典型小样本场景。图6至图9分别展示了赛力斯和长安汽车在毛利率、资产负债率两个指标上六种方法的拟合与预测对比。</w:t>
      </w:r>
    </w:p>
    <w:p w14:paraId="57423533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2. 综合排名与讨论。表4汇总六种方法的平均表现。综合分=R²排名百分位×0.4+(1-MAPE排名百分位)×0.4+(1-σ排名百分位)×0.2。</w:t>
      </w:r>
    </w:p>
    <w:p w14:paraId="0D6F6BA2"/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984"/>
        <w:gridCol w:w="1417"/>
        <w:gridCol w:w="1417"/>
        <w:gridCol w:w="1417"/>
      </w:tblGrid>
      <w:tr w14:paraId="6A17A5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9DF4F5C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排名</w:t>
            </w:r>
          </w:p>
        </w:tc>
        <w:tc>
          <w:tcPr>
            <w:tcW w:w="198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9EEA6D2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方法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3505A1BD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平均R²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1C2E614C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平均MAPE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0288552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平均σ</w:t>
            </w:r>
          </w:p>
        </w:tc>
      </w:tr>
      <w:tr w14:paraId="2F67E9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1067BC0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1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321F62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线性回归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BC1BABA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0.096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2DEC6C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236.3%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1864B5A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0.056</w:t>
            </w:r>
          </w:p>
        </w:tc>
      </w:tr>
      <w:tr w14:paraId="7C6360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4E01030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2</w:t>
            </w:r>
          </w:p>
        </w:tc>
        <w:tc>
          <w:tcPr>
            <w:tcW w:w="1984" w:type="dxa"/>
          </w:tcPr>
          <w:p w14:paraId="5513253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Ridge回归</w:t>
            </w:r>
          </w:p>
        </w:tc>
        <w:tc>
          <w:tcPr>
            <w:tcW w:w="1417" w:type="dxa"/>
          </w:tcPr>
          <w:p w14:paraId="0949B70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0.288</w:t>
            </w:r>
          </w:p>
        </w:tc>
        <w:tc>
          <w:tcPr>
            <w:tcW w:w="1417" w:type="dxa"/>
          </w:tcPr>
          <w:p w14:paraId="199F784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237.8%</w:t>
            </w:r>
          </w:p>
        </w:tc>
        <w:tc>
          <w:tcPr>
            <w:tcW w:w="1417" w:type="dxa"/>
          </w:tcPr>
          <w:p w14:paraId="714FB12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0.046</w:t>
            </w:r>
          </w:p>
        </w:tc>
      </w:tr>
      <w:tr w14:paraId="1AC754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52F7134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3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15D4D1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ARIMA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3E735EB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-2.393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F59D8A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97.5%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6E8A4A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0.081</w:t>
            </w:r>
          </w:p>
        </w:tc>
      </w:tr>
      <w:tr w14:paraId="413010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B4A82DA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4</w:t>
            </w:r>
          </w:p>
        </w:tc>
        <w:tc>
          <w:tcPr>
            <w:tcW w:w="1984" w:type="dxa"/>
          </w:tcPr>
          <w:p w14:paraId="6AEE662B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Prophet</w:t>
            </w:r>
          </w:p>
        </w:tc>
        <w:tc>
          <w:tcPr>
            <w:tcW w:w="1417" w:type="dxa"/>
          </w:tcPr>
          <w:p w14:paraId="588715B8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-0.016</w:t>
            </w:r>
          </w:p>
        </w:tc>
        <w:tc>
          <w:tcPr>
            <w:tcW w:w="1417" w:type="dxa"/>
          </w:tcPr>
          <w:p w14:paraId="4F958F2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236.5%</w:t>
            </w:r>
          </w:p>
        </w:tc>
        <w:tc>
          <w:tcPr>
            <w:tcW w:w="1417" w:type="dxa"/>
          </w:tcPr>
          <w:p w14:paraId="3A8B865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0.058</w:t>
            </w:r>
          </w:p>
        </w:tc>
      </w:tr>
      <w:tr w14:paraId="434EE4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BFAD17B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5</w:t>
            </w:r>
          </w:p>
        </w:tc>
        <w:tc>
          <w:tcPr>
            <w:tcW w:w="198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1CD51C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LSTM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EA5E83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-392.46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6985C6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1339.9%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BA1C678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0.037</w:t>
            </w:r>
          </w:p>
        </w:tc>
      </w:tr>
      <w:tr w14:paraId="09DBA7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D3C112F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6</w:t>
            </w:r>
          </w:p>
        </w:tc>
        <w:tc>
          <w:tcPr>
            <w:tcW w:w="1984" w:type="dxa"/>
          </w:tcPr>
          <w:p w14:paraId="6B263C0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三次指数平滑</w:t>
            </w:r>
          </w:p>
        </w:tc>
        <w:tc>
          <w:tcPr>
            <w:tcW w:w="1417" w:type="dxa"/>
          </w:tcPr>
          <w:p w14:paraId="59A1846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-338.12</w:t>
            </w:r>
          </w:p>
        </w:tc>
        <w:tc>
          <w:tcPr>
            <w:tcW w:w="1417" w:type="dxa"/>
          </w:tcPr>
          <w:p w14:paraId="5BC388C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2631.9%</w:t>
            </w:r>
          </w:p>
        </w:tc>
        <w:tc>
          <w:tcPr>
            <w:tcW w:w="1417" w:type="dxa"/>
          </w:tcPr>
          <w:p w14:paraId="7DB5183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0.696</w:t>
            </w:r>
          </w:p>
        </w:tc>
      </w:tr>
    </w:tbl>
    <w:p w14:paraId="2804AAAA">
      <w:pPr>
        <w:spacing w:after="80"/>
      </w:pPr>
    </w:p>
    <w:p w14:paraId="7087BC37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线性回归因MAPE相对稳定排名第一；Ridge回归拟合R²（0.288）显著高于线性回归（0.096），在拟合优度上更优。LSTM和三次指数平滑R²为负值，表明39个季度观测不足以训练神经网络或估计复杂的季节性参数。结论是：在小样本财务预测场景中，正则化的线性方法（Ridge回归）比深度学习方法（LSTM）更可靠。</w:t>
      </w:r>
    </w:p>
    <w:p w14:paraId="20BBBF56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3. MAPE回测。以2026年第一季度实际数据验证预测效果：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417"/>
        <w:gridCol w:w="1134"/>
        <w:gridCol w:w="1134"/>
        <w:gridCol w:w="1134"/>
        <w:gridCol w:w="1417"/>
      </w:tblGrid>
      <w:tr w14:paraId="3F3B13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AB16A40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企业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F95FF9C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指标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32CBF910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实际值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17C83D1C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预测值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3C5CC94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MAPE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6E39DDA9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评估</w:t>
            </w:r>
          </w:p>
        </w:tc>
      </w:tr>
      <w:tr w14:paraId="594D9F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A1326C2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赛力斯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874B3E9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毛利率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05FDB9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-0.0046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592C108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-0.1047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CCA879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2176.3%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C732281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偏差大</w:t>
            </w:r>
          </w:p>
        </w:tc>
      </w:tr>
      <w:tr w14:paraId="441422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6B8F7E88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赛力斯</w:t>
            </w:r>
          </w:p>
        </w:tc>
        <w:tc>
          <w:tcPr>
            <w:tcW w:w="1417" w:type="dxa"/>
          </w:tcPr>
          <w:p w14:paraId="3A960C1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资产负债率</w:t>
            </w:r>
          </w:p>
        </w:tc>
        <w:tc>
          <w:tcPr>
            <w:tcW w:w="1134" w:type="dxa"/>
          </w:tcPr>
          <w:p w14:paraId="40A3F15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0.6592</w:t>
            </w:r>
          </w:p>
        </w:tc>
        <w:tc>
          <w:tcPr>
            <w:tcW w:w="1134" w:type="dxa"/>
          </w:tcPr>
          <w:p w14:paraId="3C52D0C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0.7860</w:t>
            </w:r>
          </w:p>
        </w:tc>
        <w:tc>
          <w:tcPr>
            <w:tcW w:w="1134" w:type="dxa"/>
          </w:tcPr>
          <w:p w14:paraId="4083A6E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19.2%</w:t>
            </w:r>
          </w:p>
        </w:tc>
        <w:tc>
          <w:tcPr>
            <w:tcW w:w="1417" w:type="dxa"/>
          </w:tcPr>
          <w:p w14:paraId="6CB6308B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可接受</w:t>
            </w:r>
          </w:p>
        </w:tc>
      </w:tr>
      <w:tr w14:paraId="193171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1DFB41E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长安汽车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FB7741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毛利率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9AEAA4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-0.0006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F4A8C0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0.0248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3EBE6D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4480.2%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FA497C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偏差大</w:t>
            </w:r>
          </w:p>
        </w:tc>
      </w:tr>
      <w:tr w14:paraId="079229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7C6BBDD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长安汽车</w:t>
            </w:r>
          </w:p>
        </w:tc>
        <w:tc>
          <w:tcPr>
            <w:tcW w:w="1417" w:type="dxa"/>
          </w:tcPr>
          <w:p w14:paraId="1F4A2A4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资产负债率</w:t>
            </w:r>
          </w:p>
        </w:tc>
        <w:tc>
          <w:tcPr>
            <w:tcW w:w="1134" w:type="dxa"/>
          </w:tcPr>
          <w:p w14:paraId="4726328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0.5715</w:t>
            </w:r>
          </w:p>
        </w:tc>
        <w:tc>
          <w:tcPr>
            <w:tcW w:w="1134" w:type="dxa"/>
          </w:tcPr>
          <w:p w14:paraId="79FABB8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0.5853</w:t>
            </w:r>
          </w:p>
        </w:tc>
        <w:tc>
          <w:tcPr>
            <w:tcW w:w="1134" w:type="dxa"/>
          </w:tcPr>
          <w:p w14:paraId="32E13C3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2.4%</w:t>
            </w:r>
          </w:p>
        </w:tc>
        <w:tc>
          <w:tcPr>
            <w:tcW w:w="1417" w:type="dxa"/>
          </w:tcPr>
          <w:p w14:paraId="261865F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好</w:t>
            </w:r>
          </w:p>
        </w:tc>
      </w:tr>
    </w:tbl>
    <w:p w14:paraId="0F9DA86C">
      <w:pPr>
        <w:spacing w:after="80"/>
      </w:pPr>
    </w:p>
    <w:p w14:paraId="7F2A0239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毛利率偏差大是因实际值接近零时相对误差被不合理放大。剔除毛利率后，资产负债率MAPE在2.4%-19.2%之间，预测效果可接受。</w:t>
      </w:r>
    </w:p>
    <w:p w14:paraId="37EDCEAE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（四）杜邦分析</w:t>
      </w:r>
    </w:p>
    <w:p w14:paraId="3042242A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表5和表6报告了赛力斯和长安汽车2022-2025年ROE因素的连环替代分解结果。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417"/>
        <w:gridCol w:w="1417"/>
        <w:gridCol w:w="1417"/>
        <w:gridCol w:w="1417"/>
      </w:tblGrid>
      <w:tr w14:paraId="0EF0AF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3BAF0589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期间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789C9843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ROE变动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1AA76FA7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净利率贡献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02A833E8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周转率贡献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D4AB4BD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杠杆贡献</w:t>
            </w:r>
          </w:p>
        </w:tc>
      </w:tr>
      <w:tr w14:paraId="26074D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C40E2DF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赛力斯 2022→2023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C3EB92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+9.3pp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A10333B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+11.1pp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0F1F50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+1.2pp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498D72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-3.0pp</w:t>
            </w:r>
          </w:p>
        </w:tc>
      </w:tr>
      <w:tr w14:paraId="39B7D9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C8B2234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赛力斯 2023→2024</w:t>
            </w:r>
          </w:p>
        </w:tc>
        <w:tc>
          <w:tcPr>
            <w:tcW w:w="1417" w:type="dxa"/>
          </w:tcPr>
          <w:p w14:paraId="2779F70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+75.1pp</w:t>
            </w:r>
          </w:p>
        </w:tc>
        <w:tc>
          <w:tcPr>
            <w:tcW w:w="1417" w:type="dxa"/>
          </w:tcPr>
          <w:p w14:paraId="3EF71E7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+46.7pp</w:t>
            </w:r>
          </w:p>
        </w:tc>
        <w:tc>
          <w:tcPr>
            <w:tcW w:w="1417" w:type="dxa"/>
          </w:tcPr>
          <w:p w14:paraId="2F947E8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+12.3pp</w:t>
            </w:r>
          </w:p>
        </w:tc>
        <w:tc>
          <w:tcPr>
            <w:tcW w:w="1417" w:type="dxa"/>
          </w:tcPr>
          <w:p w14:paraId="437DBBE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+16.1pp</w:t>
            </w:r>
          </w:p>
        </w:tc>
      </w:tr>
      <w:tr w14:paraId="6A3960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064711A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赛力斯 2024→2025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3F81EF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-23.6pp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F8FEA3B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+5.4pp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0A8027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-11.2pp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3F2543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-17.8pp</w:t>
            </w:r>
          </w:p>
        </w:tc>
      </w:tr>
      <w:tr w14:paraId="133BC4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91BD2FA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长安 2022→2023</w:t>
            </w:r>
          </w:p>
        </w:tc>
        <w:tc>
          <w:tcPr>
            <w:tcW w:w="1417" w:type="dxa"/>
          </w:tcPr>
          <w:p w14:paraId="6CDCFFF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+0.9pp</w:t>
            </w:r>
          </w:p>
        </w:tc>
        <w:tc>
          <w:tcPr>
            <w:tcW w:w="1417" w:type="dxa"/>
          </w:tcPr>
          <w:p w14:paraId="47AE06C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-0.2pp</w:t>
            </w:r>
          </w:p>
        </w:tc>
        <w:tc>
          <w:tcPr>
            <w:tcW w:w="1417" w:type="dxa"/>
          </w:tcPr>
          <w:p w14:paraId="484EDA7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-0.5pp</w:t>
            </w:r>
          </w:p>
        </w:tc>
        <w:tc>
          <w:tcPr>
            <w:tcW w:w="1417" w:type="dxa"/>
          </w:tcPr>
          <w:p w14:paraId="584E0F9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+1.6pp</w:t>
            </w:r>
          </w:p>
        </w:tc>
      </w:tr>
      <w:tr w14:paraId="06A3C3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26F24F7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长安 2023→2024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9DAA05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-5.3pp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3CEBF2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-5.2pp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F4FD2A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-0.3pp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641CF6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+0.2pp</w:t>
            </w:r>
          </w:p>
        </w:tc>
      </w:tr>
      <w:tr w14:paraId="55014E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E03DDC7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长安 2024→2025</w:t>
            </w:r>
          </w:p>
        </w:tc>
        <w:tc>
          <w:tcPr>
            <w:tcW w:w="1417" w:type="dxa"/>
          </w:tcPr>
          <w:p w14:paraId="0267155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-3.9pp</w:t>
            </w:r>
          </w:p>
        </w:tc>
        <w:tc>
          <w:tcPr>
            <w:tcW w:w="1417" w:type="dxa"/>
          </w:tcPr>
          <w:p w14:paraId="67434CFA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-3.9pp</w:t>
            </w:r>
          </w:p>
        </w:tc>
        <w:tc>
          <w:tcPr>
            <w:tcW w:w="1417" w:type="dxa"/>
          </w:tcPr>
          <w:p w14:paraId="7BA314C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+0.2pp</w:t>
            </w:r>
          </w:p>
        </w:tc>
        <w:tc>
          <w:tcPr>
            <w:tcW w:w="1417" w:type="dxa"/>
          </w:tcPr>
          <w:p w14:paraId="6E346B7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-0.1pp</w:t>
            </w:r>
          </w:p>
        </w:tc>
      </w:tr>
    </w:tbl>
    <w:p w14:paraId="461FECA4">
      <w:pPr>
        <w:spacing w:after="80"/>
      </w:pPr>
    </w:p>
    <w:p w14:paraId="57187957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赛力斯2023→2024年出现爆发增长：净利率转正（-11.6%→3.3%，贡献+46.7pp）、周转率翻倍（0.70→1.54，贡献+12.3pp）、权益乘数急升（4.49→7.69，贡献+16.1pp），三因素叠加推动ROE从-36.4%飙升至38.7%。2024→2025年出现回调：ROE回落23.6pp至15.0%，主因去杠杆（权益乘数7.69→3.52，贡献-17.8pp）和周转率下降（1.54→1.15，贡献-11.2pp），净利率继续改善（3.3%→3.7%，贡献+5.4pp）抵消了部分跌幅。</w:t>
      </w:r>
    </w:p>
    <w:p w14:paraId="4F70C987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长安汽车ROE 12.3%→13.2%→8.0%→4.1%，三年间最大年度变动仅5.3pp，显著低于赛力斯。净利率持续下滑（6.4%→6.3%→3.8%→1.9%）是ROE下降的唯一主因。周转率和权益乘数基本稳定，表明长安汽车维持了稳健的资本结构和资产运营策略。</w:t>
      </w:r>
    </w:p>
    <w:p w14:paraId="73B9221A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（五）现金流量分析</w:t>
      </w:r>
    </w:p>
    <w:p w14:paraId="540AF8AF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表7报告了8家企业最新年报的经营活动现金净流量三组合模式。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1417"/>
        <w:gridCol w:w="1417"/>
        <w:gridCol w:w="1701"/>
        <w:gridCol w:w="1417"/>
      </w:tblGrid>
      <w:tr w14:paraId="76D471FD">
        <w:trPr>
          <w:jc w:val="center"/>
        </w:trPr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13ADB047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公司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9C978A9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经营CF(亿)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0940D647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投资CF(亿)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6DEC678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筹资CF(亿)</w:t>
            </w:r>
          </w:p>
        </w:tc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5DB3EB3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组合模式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6925EDDD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阶段</w:t>
            </w:r>
          </w:p>
        </w:tc>
      </w:tr>
      <w:tr w14:paraId="4107E1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62F7195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赛力斯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364C60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289.1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67B91F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-50.3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0623F7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182.8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CFE1DE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经营+/投资-/筹资+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DD06BDA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成长期</w:t>
            </w:r>
          </w:p>
        </w:tc>
      </w:tr>
      <w:tr w14:paraId="2A7DD8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9C5C4C7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比亚迪</w:t>
            </w:r>
          </w:p>
        </w:tc>
        <w:tc>
          <w:tcPr>
            <w:tcW w:w="1417" w:type="dxa"/>
          </w:tcPr>
          <w:p w14:paraId="395B268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591.4</w:t>
            </w:r>
          </w:p>
        </w:tc>
        <w:tc>
          <w:tcPr>
            <w:tcW w:w="1417" w:type="dxa"/>
          </w:tcPr>
          <w:p w14:paraId="4FB9390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-1974.6</w:t>
            </w:r>
          </w:p>
        </w:tc>
        <w:tc>
          <w:tcPr>
            <w:tcW w:w="1417" w:type="dxa"/>
          </w:tcPr>
          <w:p w14:paraId="2F6E27B8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1046.1</w:t>
            </w:r>
          </w:p>
        </w:tc>
        <w:tc>
          <w:tcPr>
            <w:tcW w:w="1701" w:type="dxa"/>
          </w:tcPr>
          <w:p w14:paraId="69532BC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经营+/投资-/筹资+</w:t>
            </w:r>
          </w:p>
        </w:tc>
        <w:tc>
          <w:tcPr>
            <w:tcW w:w="1417" w:type="dxa"/>
          </w:tcPr>
          <w:p w14:paraId="1E5DAE5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成长期</w:t>
            </w:r>
          </w:p>
        </w:tc>
      </w:tr>
      <w:tr w14:paraId="72FF98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9615B28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长城汽车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36D8B9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403.6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283707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-291.5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1C88B3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-134.4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C827FB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经营+/投资-/筹资-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559381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成熟期</w:t>
            </w:r>
          </w:p>
        </w:tc>
      </w:tr>
      <w:tr w14:paraId="0ACA9B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F7C4AF3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上汽集团</w:t>
            </w:r>
          </w:p>
        </w:tc>
        <w:tc>
          <w:tcPr>
            <w:tcW w:w="1417" w:type="dxa"/>
          </w:tcPr>
          <w:p w14:paraId="3670769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343.1</w:t>
            </w:r>
          </w:p>
        </w:tc>
        <w:tc>
          <w:tcPr>
            <w:tcW w:w="1417" w:type="dxa"/>
          </w:tcPr>
          <w:p w14:paraId="2BA8219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-275.6</w:t>
            </w:r>
          </w:p>
        </w:tc>
        <w:tc>
          <w:tcPr>
            <w:tcW w:w="1417" w:type="dxa"/>
          </w:tcPr>
          <w:p w14:paraId="1646521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-532.2</w:t>
            </w:r>
          </w:p>
        </w:tc>
        <w:tc>
          <w:tcPr>
            <w:tcW w:w="1701" w:type="dxa"/>
          </w:tcPr>
          <w:p w14:paraId="51FD183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经营+/投资-/筹资-</w:t>
            </w:r>
          </w:p>
        </w:tc>
        <w:tc>
          <w:tcPr>
            <w:tcW w:w="1417" w:type="dxa"/>
          </w:tcPr>
          <w:p w14:paraId="0353E31A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成熟期</w:t>
            </w:r>
          </w:p>
        </w:tc>
      </w:tr>
      <w:tr w14:paraId="71584E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38A1A78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长安汽车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9AD865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18.4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BA942E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-122.2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9163F7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-1.9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C9F686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经营+/投资-/筹资-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384213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成熟期</w:t>
            </w:r>
          </w:p>
        </w:tc>
      </w:tr>
      <w:tr w14:paraId="2AC85A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CE81EAE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江淮汽车</w:t>
            </w:r>
          </w:p>
        </w:tc>
        <w:tc>
          <w:tcPr>
            <w:tcW w:w="1417" w:type="dxa"/>
          </w:tcPr>
          <w:p w14:paraId="79165F6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34.0</w:t>
            </w:r>
          </w:p>
        </w:tc>
        <w:tc>
          <w:tcPr>
            <w:tcW w:w="1417" w:type="dxa"/>
          </w:tcPr>
          <w:p w14:paraId="569EED9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10.6</w:t>
            </w:r>
          </w:p>
        </w:tc>
        <w:tc>
          <w:tcPr>
            <w:tcW w:w="1417" w:type="dxa"/>
          </w:tcPr>
          <w:p w14:paraId="2396EDF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-17.1</w:t>
            </w:r>
          </w:p>
        </w:tc>
        <w:tc>
          <w:tcPr>
            <w:tcW w:w="1701" w:type="dxa"/>
          </w:tcPr>
          <w:p w14:paraId="3115C07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经营+/投资+/筹资-</w:t>
            </w:r>
          </w:p>
        </w:tc>
        <w:tc>
          <w:tcPr>
            <w:tcW w:w="1417" w:type="dxa"/>
          </w:tcPr>
          <w:p w14:paraId="01259B28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成熟期</w:t>
            </w:r>
          </w:p>
        </w:tc>
      </w:tr>
      <w:tr w14:paraId="6288B3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4598929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广汽集团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715297B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-150.3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9A84F2A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-56.4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DF977A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55.1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F24339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经营-/投资-/筹资+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660662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需关注</w:t>
            </w:r>
          </w:p>
        </w:tc>
      </w:tr>
      <w:tr w14:paraId="3DC932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D26BE75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北汽蓝谷</w:t>
            </w:r>
          </w:p>
        </w:tc>
        <w:tc>
          <w:tcPr>
            <w:tcW w:w="1417" w:type="dxa"/>
          </w:tcPr>
          <w:p w14:paraId="00CBE20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19.3</w:t>
            </w:r>
          </w:p>
        </w:tc>
        <w:tc>
          <w:tcPr>
            <w:tcW w:w="1417" w:type="dxa"/>
          </w:tcPr>
          <w:p w14:paraId="26C522C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-29.7</w:t>
            </w:r>
          </w:p>
        </w:tc>
        <w:tc>
          <w:tcPr>
            <w:tcW w:w="1417" w:type="dxa"/>
          </w:tcPr>
          <w:p w14:paraId="30B9057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-26.1</w:t>
            </w:r>
          </w:p>
        </w:tc>
        <w:tc>
          <w:tcPr>
            <w:tcW w:w="1701" w:type="dxa"/>
          </w:tcPr>
          <w:p w14:paraId="00A17F4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经营+/投资-/筹资-</w:t>
            </w:r>
          </w:p>
        </w:tc>
        <w:tc>
          <w:tcPr>
            <w:tcW w:w="1417" w:type="dxa"/>
          </w:tcPr>
          <w:p w14:paraId="6DD34C4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需关注</w:t>
            </w:r>
          </w:p>
        </w:tc>
      </w:tr>
    </w:tbl>
    <w:p w14:paraId="4F97B9B6">
      <w:pPr>
        <w:spacing w:after="80"/>
      </w:pPr>
    </w:p>
    <w:p w14:paraId="5064EDC4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"经营+/投资-/筹资+"为成长期特征：经营活动净流入为正但不足以覆盖投资扩张，需外部融资。赛力斯和比亚迪属于此模式。赛力斯经营净流入289.1亿元，筹资183亿元补充投资。"经营+/投资-/筹资-"为成熟期典范：经营活动现金可完全覆盖投资和偿债。长城汽车404亿元经营净流入同时覆盖292亿元投资和134亿元偿债，无需外部融资，财务最为健康。</w:t>
      </w:r>
    </w:p>
    <w:p w14:paraId="2648F421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长安汽车经营净流入仅18.4亿元，虽为正但规模偏小，投资支出122.2亿元需消耗现金储备。广汽集团经营净流出-150.3亿元，是唯一经营现金流为负的企业，经营业务本身消耗现金，依赖筹资55.1亿元维持运营。经营现金净流量组合比利润指标更能揭示企业经营模式的本质差异——赛力斯的高ROE伴随后续融资需求，长城汽车的高ROE伴随自给自足的现金流，两者增长质量存在根本区别。</w:t>
      </w:r>
    </w:p>
    <w:p w14:paraId="10706586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（六）NEV行业景气度与财务联动分析</w:t>
      </w:r>
    </w:p>
    <w:p w14:paraId="630AF4D2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1. NEV市场行业景气度。中国新能源汽车市场经历了补贴驱动期（2016-2019，53万→119万辆）、疫情复苏期（2020-2021，突破350万辆）和爆发增长期（2022-2025，688万→预计超1500万辆）三个阶段。2025年渗透率首次突破50%，新能源车进入主流市场。当前月销量120-130万辆，同比增速从100%以上回落至20%-30%，行业处于高景气但增速放缓阶段。</w:t>
      </w:r>
    </w:p>
    <w:p w14:paraId="11ADBC6F">
      <w:pPr>
        <w:jc w:val="center"/>
      </w:pPr>
      <w:r>
        <w:drawing>
          <wp:inline distT="0" distB="0" distL="114300" distR="114300">
            <wp:extent cx="5399405" cy="2341880"/>
            <wp:effectExtent l="0" t="0" r="1079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4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FAFB">
      <w:pPr>
        <w:spacing w:after="120"/>
        <w:jc w:val="center"/>
      </w:pPr>
      <w:r>
        <w:rPr>
          <w:rFonts w:ascii="宋体" w:hAnsi="宋体"/>
          <w:sz w:val="18"/>
        </w:rPr>
        <w:t>图12  中国NEV月度产销量趋势</w:t>
      </w:r>
    </w:p>
    <w:p w14:paraId="19AE53F6">
      <w:pPr>
        <w:jc w:val="center"/>
      </w:pPr>
      <w:r>
        <w:drawing>
          <wp:inline distT="0" distB="0" distL="114300" distR="114300">
            <wp:extent cx="5399405" cy="2292350"/>
            <wp:effectExtent l="0" t="0" r="10795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9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E6A0D">
      <w:pPr>
        <w:spacing w:after="120"/>
        <w:jc w:val="center"/>
      </w:pPr>
      <w:r>
        <w:rPr>
          <w:rFonts w:ascii="宋体" w:hAnsi="宋体"/>
          <w:sz w:val="18"/>
        </w:rPr>
        <w:t>图13  NEV年度销量及同比增速</w:t>
      </w:r>
    </w:p>
    <w:p w14:paraId="3E2EF100">
      <w:pPr>
        <w:jc w:val="center"/>
      </w:pPr>
      <w:r>
        <w:drawing>
          <wp:inline distT="0" distB="0" distL="114300" distR="114300">
            <wp:extent cx="5399405" cy="2002790"/>
            <wp:effectExtent l="0" t="0" r="10795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0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E2EF7">
      <w:pPr>
        <w:spacing w:after="120"/>
        <w:jc w:val="center"/>
      </w:pPr>
      <w:r>
        <w:rPr>
          <w:rFonts w:ascii="宋体" w:hAnsi="宋体"/>
          <w:sz w:val="18"/>
        </w:rPr>
        <w:t>图14  NEV月度渗透率趋势</w:t>
      </w:r>
    </w:p>
    <w:p w14:paraId="7A797475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2. 企业增速与行业偏离度。偏离度=企业年销量增速−行业NEV年销量增速。赛力斯2022-2024年增速远超行业（偏离度为正），但2025年偏离度显著收窄至行业均值附近，高增长阶段可能见顶。长安汽车2021-2025年持续跑输行业（偏离度为负），新能源加速但燃油车基本盘拖累总增速。</w:t>
      </w:r>
    </w:p>
    <w:p w14:paraId="1130A838">
      <w:pPr>
        <w:jc w:val="center"/>
      </w:pPr>
      <w:r>
        <w:drawing>
          <wp:inline distT="0" distB="0" distL="114300" distR="114300">
            <wp:extent cx="5399405" cy="2345055"/>
            <wp:effectExtent l="0" t="0" r="10795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45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1255">
      <w:pPr>
        <w:spacing w:after="120"/>
        <w:jc w:val="center"/>
      </w:pPr>
      <w:r>
        <w:rPr>
          <w:rFonts w:ascii="宋体" w:hAnsi="宋体"/>
          <w:sz w:val="18"/>
        </w:rPr>
        <w:t>图15  赛力斯·长安与行业NEV增速对标</w:t>
      </w:r>
    </w:p>
    <w:p w14:paraId="4D4F244E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3. 季度销量结构深度分析。长安新能源占比从2023Q1的5.8%升至2025Q4的27.3%（+21.5pp），深蓝品牌增长最为显著（季度3万→12万辆）。但燃油及合资品牌仍占~73%，增速趋零。赛力斯问界占比从2022Q1的30.4%飙升至2025Q4的93.8%（+63.4pp），Q4冲量效应显著（2024Q4销量14.5万辆为全年峰值）。</w:t>
      </w:r>
    </w:p>
    <w:p w14:paraId="4E54E0F4">
      <w:pPr>
        <w:jc w:val="center"/>
      </w:pPr>
      <w:r>
        <w:drawing>
          <wp:inline distT="0" distB="0" distL="114300" distR="114300">
            <wp:extent cx="5399405" cy="3787140"/>
            <wp:effectExtent l="0" t="0" r="1079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EE71C">
      <w:pPr>
        <w:spacing w:after="120"/>
        <w:jc w:val="center"/>
      </w:pPr>
      <w:r>
        <w:rPr>
          <w:rFonts w:ascii="宋体" w:hAnsi="宋体"/>
          <w:sz w:val="18"/>
        </w:rPr>
        <w:t>图16  长安汽车季度销量结构</w:t>
      </w:r>
    </w:p>
    <w:p w14:paraId="70D36B0D">
      <w:pPr>
        <w:jc w:val="center"/>
      </w:pPr>
      <w:r>
        <w:drawing>
          <wp:inline distT="0" distB="0" distL="114300" distR="114300">
            <wp:extent cx="5399405" cy="3444875"/>
            <wp:effectExtent l="0" t="0" r="10795" b="146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4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87CBB">
      <w:pPr>
        <w:spacing w:after="120"/>
        <w:jc w:val="center"/>
      </w:pPr>
      <w:r>
        <w:rPr>
          <w:rFonts w:ascii="宋体" w:hAnsi="宋体"/>
          <w:sz w:val="18"/>
        </w:rPr>
        <w:t>图17  赛力斯季度销量结构</w:t>
      </w:r>
    </w:p>
    <w:p w14:paraId="49CE0AAD">
      <w:pPr>
        <w:jc w:val="center"/>
      </w:pPr>
      <w:r>
        <w:drawing>
          <wp:inline distT="0" distB="0" distL="114300" distR="114300">
            <wp:extent cx="5399405" cy="3785235"/>
            <wp:effectExtent l="0" t="0" r="1079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0436D">
      <w:pPr>
        <w:spacing w:after="120"/>
        <w:jc w:val="center"/>
      </w:pPr>
      <w:r>
        <w:rPr>
          <w:rFonts w:ascii="宋体" w:hAnsi="宋体"/>
          <w:sz w:val="18"/>
        </w:rPr>
        <w:t>图18  长安vs赛力斯季度全面对标</w:t>
      </w:r>
    </w:p>
    <w:p w14:paraId="522A5AF2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4. 月度季节性模式。NEV销量年末冲量效应显著（12月全年峰值，2月谷底）。赛力斯Q4冲量幅度远超行业均值（环比&gt;40%），这一季度间的剧烈波动是毛利率和ROE大幅摆动的重要外部驱动因素。同比增速换挡趋势明显（2022-2023年100%+→2024-2025年20%-30%），企业成长性将更多依赖份额争夺而非行业β。</w:t>
      </w:r>
    </w:p>
    <w:p w14:paraId="0C51A6E5">
      <w:pPr>
        <w:jc w:val="center"/>
      </w:pPr>
      <w:r>
        <w:drawing>
          <wp:inline distT="0" distB="0" distL="114300" distR="114300">
            <wp:extent cx="5399405" cy="3362325"/>
            <wp:effectExtent l="0" t="0" r="10795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5AD7C">
      <w:pPr>
        <w:spacing w:after="120"/>
        <w:jc w:val="center"/>
      </w:pPr>
      <w:r>
        <w:rPr>
          <w:rFonts w:ascii="宋体" w:hAnsi="宋体"/>
          <w:sz w:val="18"/>
        </w:rPr>
        <w:t>图19  NEV月度销量季节性热力图</w:t>
      </w:r>
    </w:p>
    <w:p w14:paraId="23072150">
      <w:pPr>
        <w:jc w:val="center"/>
      </w:pPr>
      <w:r>
        <w:drawing>
          <wp:inline distT="0" distB="0" distL="114300" distR="114300">
            <wp:extent cx="5399405" cy="2011045"/>
            <wp:effectExtent l="0" t="0" r="10795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11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FD2F4">
      <w:pPr>
        <w:spacing w:after="120"/>
        <w:jc w:val="center"/>
      </w:pPr>
      <w:r>
        <w:rPr>
          <w:rFonts w:ascii="宋体" w:hAnsi="宋体"/>
          <w:sz w:val="18"/>
        </w:rPr>
        <w:t>图20  NEV月度同比增速曲线</w:t>
      </w:r>
    </w:p>
    <w:p w14:paraId="403DBBC2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5. 联动小结。赛力斯前期超涨后偏离度收窄，先发优势弱化，高ROE可持续性面临增速放缓考验。长安长期跑输行业，转型偏慢，但多品牌均衡提供抗风险缓冲。Q4冲量拉高年末毛利率和ROE，季节性虚增在年初消退。行业增速换挡至20%-30%意味着两种模式都面临从"跑马圈地"到"精耕细作"的范式转换，分析焦点应从增长性指标转向效率性指标。</w:t>
      </w:r>
    </w:p>
    <w:p w14:paraId="5B36B87A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（七）Z-score与沃尔评分</w:t>
      </w:r>
    </w:p>
    <w:p w14:paraId="59B56242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表8为Altman Z-score计算结果。8家企业无一进入传统安全区（Z&gt;2.99），长城汽车Z=2.08最接近，北汽蓝谷Z=-1.44最低。但结合前文现金流和盈利能力分析，长城和长安的"危险区"判定更多是高研发、轻资产的行业特征所致。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134"/>
        <w:gridCol w:w="1417"/>
        <w:gridCol w:w="1134"/>
      </w:tblGrid>
      <w:tr w14:paraId="4201A7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1FC6DBB6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公司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699D5509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Z-score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FAEC17E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传统判定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2B8CFCB6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排名</w:t>
            </w:r>
          </w:p>
        </w:tc>
      </w:tr>
      <w:tr w14:paraId="68DD64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227130C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长城汽车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C0481E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2.08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D04832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灰色区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DF983E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</w:t>
            </w:r>
          </w:p>
        </w:tc>
      </w:tr>
      <w:tr w14:paraId="4B838F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C596CF4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长安汽车</w:t>
            </w:r>
          </w:p>
        </w:tc>
        <w:tc>
          <w:tcPr>
            <w:tcW w:w="1134" w:type="dxa"/>
          </w:tcPr>
          <w:p w14:paraId="1E2981AB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1.82</w:t>
            </w:r>
          </w:p>
        </w:tc>
        <w:tc>
          <w:tcPr>
            <w:tcW w:w="1417" w:type="dxa"/>
          </w:tcPr>
          <w:p w14:paraId="70BC4DD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灰色区</w:t>
            </w:r>
          </w:p>
        </w:tc>
        <w:tc>
          <w:tcPr>
            <w:tcW w:w="1134" w:type="dxa"/>
          </w:tcPr>
          <w:p w14:paraId="072E576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</w:t>
            </w:r>
          </w:p>
        </w:tc>
      </w:tr>
      <w:tr w14:paraId="63C6B2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14A5B58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赛力斯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A440B6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1.63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347841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危险区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5E1D34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3</w:t>
            </w:r>
          </w:p>
        </w:tc>
      </w:tr>
      <w:tr w14:paraId="046B31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B376696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上汽集团</w:t>
            </w:r>
          </w:p>
        </w:tc>
        <w:tc>
          <w:tcPr>
            <w:tcW w:w="1134" w:type="dxa"/>
          </w:tcPr>
          <w:p w14:paraId="3F290CE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1.57</w:t>
            </w:r>
          </w:p>
        </w:tc>
        <w:tc>
          <w:tcPr>
            <w:tcW w:w="1417" w:type="dxa"/>
          </w:tcPr>
          <w:p w14:paraId="4B38EF5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危险区</w:t>
            </w:r>
          </w:p>
        </w:tc>
        <w:tc>
          <w:tcPr>
            <w:tcW w:w="1134" w:type="dxa"/>
          </w:tcPr>
          <w:p w14:paraId="6066631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4</w:t>
            </w:r>
          </w:p>
        </w:tc>
      </w:tr>
      <w:tr w14:paraId="6786D8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AC6FF91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比亚迪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C6A2FE8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1.38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F47D3B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危险区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4E47F6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5</w:t>
            </w:r>
          </w:p>
        </w:tc>
      </w:tr>
      <w:tr w14:paraId="5855CF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C8ACC47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广汽集团</w:t>
            </w:r>
          </w:p>
        </w:tc>
        <w:tc>
          <w:tcPr>
            <w:tcW w:w="1134" w:type="dxa"/>
          </w:tcPr>
          <w:p w14:paraId="49BE09E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1.32</w:t>
            </w:r>
          </w:p>
        </w:tc>
        <w:tc>
          <w:tcPr>
            <w:tcW w:w="1417" w:type="dxa"/>
          </w:tcPr>
          <w:p w14:paraId="33DE4E1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危险区</w:t>
            </w:r>
          </w:p>
        </w:tc>
        <w:tc>
          <w:tcPr>
            <w:tcW w:w="1134" w:type="dxa"/>
          </w:tcPr>
          <w:p w14:paraId="61E6B5C1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6</w:t>
            </w:r>
          </w:p>
        </w:tc>
      </w:tr>
      <w:tr w14:paraId="25564F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D744A90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江淮汽车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256B90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0.84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F6932B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危险区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C4F8751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7</w:t>
            </w:r>
          </w:p>
        </w:tc>
      </w:tr>
      <w:tr w14:paraId="616B16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4FA6D22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北汽蓝谷</w:t>
            </w:r>
          </w:p>
        </w:tc>
        <w:tc>
          <w:tcPr>
            <w:tcW w:w="1134" w:type="dxa"/>
          </w:tcPr>
          <w:p w14:paraId="524B752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-1.44</w:t>
            </w:r>
          </w:p>
        </w:tc>
        <w:tc>
          <w:tcPr>
            <w:tcW w:w="1417" w:type="dxa"/>
          </w:tcPr>
          <w:p w14:paraId="6777C66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危险区</w:t>
            </w:r>
          </w:p>
        </w:tc>
        <w:tc>
          <w:tcPr>
            <w:tcW w:w="1134" w:type="dxa"/>
          </w:tcPr>
          <w:p w14:paraId="6C7C583A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8</w:t>
            </w:r>
          </w:p>
        </w:tc>
      </w:tr>
    </w:tbl>
    <w:p w14:paraId="27DDBE8A">
      <w:pPr>
        <w:spacing w:after="80"/>
      </w:pPr>
    </w:p>
    <w:p w14:paraId="495B41E7"/>
    <w:p w14:paraId="748C5A50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表9为沃尔评分（修正版）结果。赛力斯90.4分排名第一，主要得益于高营收增长率（54.8%）和高总资产周转率（1.402）。沃尔评分对高增长企业的偏好是其固有特点——几乎所有企业的营收增长率均为满分40分，天花板效应仍有影响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247"/>
        <w:gridCol w:w="850"/>
        <w:gridCol w:w="1134"/>
        <w:gridCol w:w="1134"/>
        <w:gridCol w:w="850"/>
        <w:gridCol w:w="850"/>
        <w:gridCol w:w="1134"/>
      </w:tblGrid>
      <w:tr w14:paraId="68088B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74322C46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排名</w:t>
            </w:r>
          </w:p>
        </w:tc>
        <w:tc>
          <w:tcPr>
            <w:tcW w:w="124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7F45BD52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企业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381C8793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总分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5A862A02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毛利率(15)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14760FDD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有息负债率(25)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3BCC4B43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流动比率(25)</w:t>
            </w:r>
          </w:p>
        </w:tc>
        <w:tc>
          <w:tcPr>
            <w:tcW w:w="850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F55C85C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周转率(15)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06FEBA71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营收增长(20)</w:t>
            </w:r>
          </w:p>
        </w:tc>
      </w:tr>
      <w:tr w14:paraId="432579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2982B29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1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C110739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赛力斯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59DF6D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90.4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D44C8C9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4.4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A5EEA6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2.2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BF69A8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17.6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B93527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26.3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85F5161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40.0</w:t>
            </w:r>
          </w:p>
        </w:tc>
      </w:tr>
      <w:tr w14:paraId="4864E0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114B77E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2</w:t>
            </w:r>
          </w:p>
        </w:tc>
        <w:tc>
          <w:tcPr>
            <w:tcW w:w="1247" w:type="dxa"/>
          </w:tcPr>
          <w:p w14:paraId="6367670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长城汽车</w:t>
            </w:r>
          </w:p>
        </w:tc>
        <w:tc>
          <w:tcPr>
            <w:tcW w:w="850" w:type="dxa"/>
          </w:tcPr>
          <w:p w14:paraId="512916F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84.9</w:t>
            </w:r>
          </w:p>
        </w:tc>
        <w:tc>
          <w:tcPr>
            <w:tcW w:w="1134" w:type="dxa"/>
          </w:tcPr>
          <w:p w14:paraId="51D7AA8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3.2</w:t>
            </w:r>
          </w:p>
        </w:tc>
        <w:tc>
          <w:tcPr>
            <w:tcW w:w="1134" w:type="dxa"/>
          </w:tcPr>
          <w:p w14:paraId="525F325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4.0</w:t>
            </w:r>
          </w:p>
        </w:tc>
        <w:tc>
          <w:tcPr>
            <w:tcW w:w="850" w:type="dxa"/>
          </w:tcPr>
          <w:p w14:paraId="659D18F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18.2</w:t>
            </w:r>
          </w:p>
        </w:tc>
        <w:tc>
          <w:tcPr>
            <w:tcW w:w="850" w:type="dxa"/>
          </w:tcPr>
          <w:p w14:paraId="768965A8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19.4</w:t>
            </w:r>
          </w:p>
        </w:tc>
        <w:tc>
          <w:tcPr>
            <w:tcW w:w="1134" w:type="dxa"/>
          </w:tcPr>
          <w:p w14:paraId="0605775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40.0</w:t>
            </w:r>
          </w:p>
        </w:tc>
      </w:tr>
      <w:tr w14:paraId="05AF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4209071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3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568539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比亚迪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D451EE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82.5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1ACEA31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3.2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31B520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7.8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7A1BDE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13.2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5A804F1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18.3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2FE3B7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40.0</w:t>
            </w:r>
          </w:p>
        </w:tc>
      </w:tr>
      <w:tr w14:paraId="3E4FD7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064E594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4</w:t>
            </w:r>
          </w:p>
        </w:tc>
        <w:tc>
          <w:tcPr>
            <w:tcW w:w="1247" w:type="dxa"/>
          </w:tcPr>
          <w:p w14:paraId="3C95449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北汽蓝谷</w:t>
            </w:r>
          </w:p>
        </w:tc>
        <w:tc>
          <w:tcPr>
            <w:tcW w:w="850" w:type="dxa"/>
          </w:tcPr>
          <w:p w14:paraId="4FA0690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78.8</w:t>
            </w:r>
          </w:p>
        </w:tc>
        <w:tc>
          <w:tcPr>
            <w:tcW w:w="1134" w:type="dxa"/>
          </w:tcPr>
          <w:p w14:paraId="3EBF2D4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0.0</w:t>
            </w:r>
          </w:p>
        </w:tc>
        <w:tc>
          <w:tcPr>
            <w:tcW w:w="1134" w:type="dxa"/>
          </w:tcPr>
          <w:p w14:paraId="09AE54F9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12.1</w:t>
            </w:r>
          </w:p>
        </w:tc>
        <w:tc>
          <w:tcPr>
            <w:tcW w:w="850" w:type="dxa"/>
          </w:tcPr>
          <w:p w14:paraId="3E966FD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10.9</w:t>
            </w:r>
          </w:p>
        </w:tc>
        <w:tc>
          <w:tcPr>
            <w:tcW w:w="850" w:type="dxa"/>
          </w:tcPr>
          <w:p w14:paraId="668DE2B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15.8</w:t>
            </w:r>
          </w:p>
        </w:tc>
        <w:tc>
          <w:tcPr>
            <w:tcW w:w="1134" w:type="dxa"/>
          </w:tcPr>
          <w:p w14:paraId="10BAC0EA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40.0</w:t>
            </w:r>
          </w:p>
        </w:tc>
      </w:tr>
      <w:tr w14:paraId="6B72CC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B19756C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5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22595F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长安汽车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226AC69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78.4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2F50778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1.6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8020F5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0.7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4CB979A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20.2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3D8BBB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15.9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799C23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40.0</w:t>
            </w:r>
          </w:p>
        </w:tc>
      </w:tr>
      <w:tr w14:paraId="2217CB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79FB599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6</w:t>
            </w:r>
          </w:p>
        </w:tc>
        <w:tc>
          <w:tcPr>
            <w:tcW w:w="1247" w:type="dxa"/>
          </w:tcPr>
          <w:p w14:paraId="3AD75E2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上汽集团</w:t>
            </w:r>
          </w:p>
        </w:tc>
        <w:tc>
          <w:tcPr>
            <w:tcW w:w="850" w:type="dxa"/>
          </w:tcPr>
          <w:p w14:paraId="08D821F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78.4</w:t>
            </w:r>
          </w:p>
        </w:tc>
        <w:tc>
          <w:tcPr>
            <w:tcW w:w="1134" w:type="dxa"/>
          </w:tcPr>
          <w:p w14:paraId="588EB9C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0.0</w:t>
            </w:r>
          </w:p>
        </w:tc>
        <w:tc>
          <w:tcPr>
            <w:tcW w:w="1134" w:type="dxa"/>
          </w:tcPr>
          <w:p w14:paraId="56BD6D7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5.8</w:t>
            </w:r>
          </w:p>
        </w:tc>
        <w:tc>
          <w:tcPr>
            <w:tcW w:w="850" w:type="dxa"/>
          </w:tcPr>
          <w:p w14:paraId="08DF888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19.9</w:t>
            </w:r>
          </w:p>
        </w:tc>
        <w:tc>
          <w:tcPr>
            <w:tcW w:w="850" w:type="dxa"/>
          </w:tcPr>
          <w:p w14:paraId="40CC7A1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12.6</w:t>
            </w:r>
          </w:p>
        </w:tc>
        <w:tc>
          <w:tcPr>
            <w:tcW w:w="1134" w:type="dxa"/>
          </w:tcPr>
          <w:p w14:paraId="470CA8A9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40.0</w:t>
            </w:r>
          </w:p>
        </w:tc>
      </w:tr>
      <w:tr w14:paraId="2DD44B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4B741B0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7</w:t>
            </w:r>
          </w:p>
        </w:tc>
        <w:tc>
          <w:tcPr>
            <w:tcW w:w="124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FE5B95A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江淮汽车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81F2D79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78.2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410D89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0.0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3859A9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7.6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3D905E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13.4</w:t>
            </w:r>
          </w:p>
        </w:tc>
        <w:tc>
          <w:tcPr>
            <w:tcW w:w="85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B8B4FB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17.2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F243DD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40.0</w:t>
            </w:r>
          </w:p>
        </w:tc>
      </w:tr>
      <w:tr w14:paraId="46B1E6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E3B786A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8</w:t>
            </w:r>
          </w:p>
        </w:tc>
        <w:tc>
          <w:tcPr>
            <w:tcW w:w="1247" w:type="dxa"/>
          </w:tcPr>
          <w:p w14:paraId="791D69F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广汽集团</w:t>
            </w:r>
          </w:p>
        </w:tc>
        <w:tc>
          <w:tcPr>
            <w:tcW w:w="850" w:type="dxa"/>
          </w:tcPr>
          <w:p w14:paraId="7D6FDFB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77.5</w:t>
            </w:r>
          </w:p>
        </w:tc>
        <w:tc>
          <w:tcPr>
            <w:tcW w:w="1134" w:type="dxa"/>
          </w:tcPr>
          <w:p w14:paraId="4AEF7E2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0.0</w:t>
            </w:r>
          </w:p>
        </w:tc>
        <w:tc>
          <w:tcPr>
            <w:tcW w:w="1134" w:type="dxa"/>
          </w:tcPr>
          <w:p w14:paraId="6F4ECDA8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11.3</w:t>
            </w:r>
          </w:p>
        </w:tc>
        <w:tc>
          <w:tcPr>
            <w:tcW w:w="850" w:type="dxa"/>
          </w:tcPr>
          <w:p w14:paraId="3363119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19.1</w:t>
            </w:r>
          </w:p>
        </w:tc>
        <w:tc>
          <w:tcPr>
            <w:tcW w:w="850" w:type="dxa"/>
          </w:tcPr>
          <w:p w14:paraId="4BACA989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8.2</w:t>
            </w:r>
          </w:p>
        </w:tc>
        <w:tc>
          <w:tcPr>
            <w:tcW w:w="1134" w:type="dxa"/>
          </w:tcPr>
          <w:p w14:paraId="1BA3F38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38.9</w:t>
            </w:r>
          </w:p>
        </w:tc>
      </w:tr>
    </w:tbl>
    <w:p w14:paraId="5F757D60">
      <w:pPr>
        <w:spacing w:after="80"/>
      </w:pPr>
    </w:p>
    <w:p w14:paraId="24A2D006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（八）销量结构与综合风险</w:t>
      </w:r>
    </w:p>
    <w:p w14:paraId="49B4076A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赛力斯问界占比从2022年57.8%升至2025年约95%，品牌集中度是最大非财务风险。长安新能源占比从7.8%升至约26%，多品牌布局提供天然风险分散。十年趋势图（图22）显示赛力斯在毛利率和ROE上的波动远大于长安，与NEV行业景气度变化高度同步。</w:t>
      </w:r>
    </w:p>
    <w:p w14:paraId="4D711F62">
      <w:pPr>
        <w:spacing w:before="360" w:after="240"/>
        <w:jc w:val="center"/>
      </w:pPr>
      <w:r>
        <w:rPr>
          <w:rFonts w:ascii="黑体" w:hAnsi="黑体"/>
          <w:b/>
          <w:color w:val="000000"/>
          <w:sz w:val="32"/>
        </w:rPr>
        <w:t>六、结论与建议</w:t>
      </w:r>
    </w:p>
    <w:p w14:paraId="4A183A51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（一）主要结论</w:t>
      </w:r>
    </w:p>
    <w:p w14:paraId="0D1B7582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本文通过对8家A股上市车企314个季度财务数据的多维度分析，得出以下主要结论：</w:t>
      </w:r>
    </w:p>
    <w:p w14:paraId="2F9AD0AD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第一，赛力斯与长安汽车代表了两种截然不同的财务风险特征。赛力斯ROE波动剧烈（-45.7%→38.7%→15.0%），其高ROE部分由高杠杆驱动（权益乘数曾达7.69），去杠杆和周转率下降是ROE回落的主因（分别贡献-17.8pp和-11.2pp）。长安汽车ROE温和下降（12.3%→4.1%），最大年度变动仅5.3pp，净利率持续下滑是唯一主因（贡献-3.9pp）。</w:t>
      </w:r>
    </w:p>
    <w:p w14:paraId="40443089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第二，在六种预测方法中，Ridge回归（L2正则化+多项式+季节性）对资产负债率的预测最为可靠（MAPE 2.4%-19.2%）。LSTM和三次指数平滑在小样本下严重过拟合（R²为负数十至数百倍），不适用于季度财务数据预测。MAPE回测（2026Q1）显示毛利率预测偏差大但资产负债率预测可靠。</w:t>
      </w:r>
    </w:p>
    <w:p w14:paraId="4D056A20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第三，经营现金净流量三组合分析揭示了两种模式的本质差异——赛力斯为成长期（经营289亿+筹资183亿），长安为成熟期（经营18亿造血偏弱）。长城汽车为成熟期典范（经营404亿自给自足），广汽集团经营现金流为负（-150亿）。</w:t>
      </w:r>
    </w:p>
    <w:p w14:paraId="7493A255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第四，NEV行业景气度分析表明，赛力斯超涨后偏离度收窄至行业均值，先发优势面临均值回归；长安长期跑输，转型速度偏慢。行业增速从100%+回落至20%-30%，两种模式都面临从"跑马圈地"到"精耕细作"的范式转换。</w:t>
      </w:r>
    </w:p>
    <w:p w14:paraId="451D6E48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（二）对策建议</w:t>
      </w:r>
    </w:p>
    <w:p w14:paraId="16E60A5B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对赛力斯：降低问界品牌集中度（~95%→70%以下），通过股权融资替代债务融资降低资产负债率（70.91%），关注资产周转效率（周转率贡献-11.2pp），保持净利率改善趋势（3.3%→3.7%），充分认识NEV增速换挡趋势并提前制定应对策略。</w:t>
      </w:r>
    </w:p>
    <w:p w14:paraId="2E770DCD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对长安汽车：加快新能源渗透率提升（~26%→50%，3年目标），改善毛利率（1.61%→5%+，通过产品结构优化和成本管控），增强经营现金净流量（18.4亿→翻倍，通过应收账款和存货管理），在加速转型过程中保持资产负债率59.61%的稳健优势。</w:t>
      </w:r>
    </w:p>
    <w:p w14:paraId="57CD789E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（三）研究局限与展望</w:t>
      </w:r>
    </w:p>
    <w:p w14:paraId="3497DDA1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本研究存在以下局限：样本仅8家A股企业，普适性有限；39个季度限制深度学习方法有效性；毛利率MAPE因接近零时相对误差放大；Altman Z-score基于1968年美国数据对新能源车企适用性有局限；Prophet因CmdStan环境错误未正常运行。未来研究可考虑扩展样本至港股和美股车企、采用更长的训练时间窗口、引入半参数或贝叶斯方法改善小样本预测精度、以及构建针对新能源行业的改进Z-score模型。</w:t>
      </w:r>
    </w:p>
    <w:p w14:paraId="19412A23">
      <w:r>
        <w:br w:type="page"/>
      </w:r>
    </w:p>
    <w:p w14:paraId="512C85F1">
      <w:pPr>
        <w:spacing w:before="360" w:after="240"/>
        <w:jc w:val="center"/>
      </w:pPr>
      <w:r>
        <w:rPr>
          <w:rFonts w:ascii="黑体" w:hAnsi="黑体"/>
          <w:b/>
          <w:color w:val="000000"/>
          <w:sz w:val="32"/>
        </w:rPr>
        <w:t>参考文献</w:t>
      </w:r>
    </w:p>
    <w:p w14:paraId="2E9EDB58">
      <w:pPr>
        <w:spacing w:line="360" w:lineRule="auto"/>
      </w:pPr>
      <w:r>
        <w:rPr>
          <w:rFonts w:ascii="宋体" w:hAnsi="宋体"/>
          <w:sz w:val="21"/>
        </w:rPr>
        <w:t>[1] 郭苏敬, 崔杰, 马会娟, 等. 财务报告分析（微课版）[M]. 北京: 清华大学出版社, 2022.</w:t>
      </w:r>
    </w:p>
    <w:p w14:paraId="1A138081">
      <w:pPr>
        <w:spacing w:line="360" w:lineRule="auto"/>
      </w:pPr>
      <w:r>
        <w:rPr>
          <w:rFonts w:ascii="宋体" w:hAnsi="宋体"/>
          <w:sz w:val="21"/>
        </w:rPr>
        <w:t>[2] Altman E I. Financial ratios, discriminant analysis and the prediction of corporate bankruptcy[J]. The Journal of Finance, 1968, 23(4): 589-609.</w:t>
      </w:r>
    </w:p>
    <w:p w14:paraId="6BC5111F">
      <w:pPr>
        <w:spacing w:line="360" w:lineRule="auto"/>
      </w:pPr>
      <w:r>
        <w:rPr>
          <w:rFonts w:ascii="宋体" w:hAnsi="宋体"/>
          <w:sz w:val="21"/>
        </w:rPr>
        <w:t>[3] Taylor S J, Letham B. Forecasting at scale[J]. The American Statistician, 2018, 72(1): 37-45.</w:t>
      </w:r>
    </w:p>
    <w:p w14:paraId="4238C958">
      <w:pPr>
        <w:spacing w:line="360" w:lineRule="auto"/>
      </w:pPr>
      <w:r>
        <w:rPr>
          <w:rFonts w:ascii="宋体" w:hAnsi="宋体"/>
          <w:sz w:val="21"/>
        </w:rPr>
        <w:t>[4] Hoerl A E, Kennard R W. Ridge regression: Biased estimation for nonorthogonal problems[J]. Technometrics, 1970, 12(1): 55-67.</w:t>
      </w:r>
    </w:p>
    <w:p w14:paraId="0F5EA7A0">
      <w:pPr>
        <w:spacing w:line="360" w:lineRule="auto"/>
      </w:pPr>
      <w:r>
        <w:rPr>
          <w:rFonts w:ascii="宋体" w:hAnsi="宋体"/>
          <w:sz w:val="21"/>
        </w:rPr>
        <w:t>[5] Liu F T, Ting K M, Zhou Z H. Isolation forest[C]. 2008 Eighth IEEE International Conference on Data Mining, 2008: 413-422.</w:t>
      </w:r>
    </w:p>
    <w:p w14:paraId="0B7F5FF0">
      <w:pPr>
        <w:spacing w:line="360" w:lineRule="auto"/>
      </w:pPr>
      <w:r>
        <w:rPr>
          <w:rFonts w:ascii="宋体" w:hAnsi="宋体"/>
          <w:sz w:val="21"/>
        </w:rPr>
        <w:t>[6] 中国证监会. 上市公司信息披露管理办法[S]. 2021.</w:t>
      </w:r>
    </w:p>
    <w:p w14:paraId="1EBCD753">
      <w:pPr>
        <w:spacing w:line="360" w:lineRule="auto"/>
      </w:pPr>
      <w:r>
        <w:rPr>
          <w:rFonts w:ascii="宋体" w:hAnsi="宋体"/>
          <w:sz w:val="21"/>
        </w:rPr>
        <w:t>[7] 财政部. 企业会计准则——基本准则[S]. 2014.</w:t>
      </w:r>
    </w:p>
    <w:p w14:paraId="30E3893C">
      <w:pPr>
        <w:spacing w:line="360" w:lineRule="auto"/>
      </w:pPr>
      <w:r>
        <w:rPr>
          <w:rFonts w:ascii="宋体" w:hAnsi="宋体"/>
          <w:sz w:val="21"/>
        </w:rPr>
        <w:t>[8] AkShare. Python financial data interface[EB/OL]. https://github.com/akfamily/akshare.</w:t>
      </w:r>
    </w:p>
    <w:p w14:paraId="767995C3">
      <w:pPr>
        <w:spacing w:line="360" w:lineRule="auto"/>
      </w:pPr>
      <w:r>
        <w:rPr>
          <w:rFonts w:ascii="宋体" w:hAnsi="宋体"/>
          <w:sz w:val="21"/>
        </w:rPr>
        <w:t>[9] 中国汽车工业协会. 汽车工业经济运行情况[R]. 2016-2025.</w:t>
      </w:r>
    </w:p>
    <w:p w14:paraId="0B95C10F">
      <w:r>
        <w:br w:type="page"/>
      </w:r>
    </w:p>
    <w:p w14:paraId="2BCD5D7B">
      <w:pPr>
        <w:spacing w:before="360" w:after="240"/>
        <w:jc w:val="center"/>
      </w:pPr>
      <w:r>
        <w:rPr>
          <w:rFonts w:ascii="黑体" w:hAnsi="黑体"/>
          <w:b/>
          <w:color w:val="000000"/>
          <w:sz w:val="32"/>
        </w:rPr>
        <w:t>附录A  18项财务指标计算公式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701"/>
        <w:gridCol w:w="3969"/>
        <w:gridCol w:w="1134"/>
      </w:tblGrid>
      <w:tr w14:paraId="395FB5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35B1D137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序号</w:t>
            </w:r>
          </w:p>
        </w:tc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4632C143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指标名称</w:t>
            </w:r>
          </w:p>
        </w:tc>
        <w:tc>
          <w:tcPr>
            <w:tcW w:w="3969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18EFC0A5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计算公式</w:t>
            </w:r>
          </w:p>
        </w:tc>
        <w:tc>
          <w:tcPr>
            <w:tcW w:w="1134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1E7D50A2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类别</w:t>
            </w:r>
          </w:p>
        </w:tc>
      </w:tr>
      <w:tr w14:paraId="1BE81B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DE46036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1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2F58A6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毛利率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BD8579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1-营业成本/营业收入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656FB2B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盈利</w:t>
            </w:r>
          </w:p>
        </w:tc>
      </w:tr>
      <w:tr w14:paraId="24CAC8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A3EE972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2</w:t>
            </w:r>
          </w:p>
        </w:tc>
        <w:tc>
          <w:tcPr>
            <w:tcW w:w="1701" w:type="dxa"/>
          </w:tcPr>
          <w:p w14:paraId="7B8F61C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营业利润率</w:t>
            </w:r>
          </w:p>
        </w:tc>
        <w:tc>
          <w:tcPr>
            <w:tcW w:w="3969" w:type="dxa"/>
          </w:tcPr>
          <w:p w14:paraId="2DC1745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营业利润/营业收入</w:t>
            </w:r>
          </w:p>
        </w:tc>
        <w:tc>
          <w:tcPr>
            <w:tcW w:w="1134" w:type="dxa"/>
          </w:tcPr>
          <w:p w14:paraId="1758050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盈利</w:t>
            </w:r>
          </w:p>
        </w:tc>
      </w:tr>
      <w:tr w14:paraId="496BD2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9FBC891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3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A587979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净利润率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5A8EE5A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净利润/营业收入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DD3493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盈利</w:t>
            </w:r>
          </w:p>
        </w:tc>
      </w:tr>
      <w:tr w14:paraId="2A0F93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E1EA7CE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4</w:t>
            </w:r>
          </w:p>
        </w:tc>
        <w:tc>
          <w:tcPr>
            <w:tcW w:w="1701" w:type="dxa"/>
          </w:tcPr>
          <w:p w14:paraId="1198D101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净资产收益率</w:t>
            </w:r>
          </w:p>
        </w:tc>
        <w:tc>
          <w:tcPr>
            <w:tcW w:w="3969" w:type="dxa"/>
          </w:tcPr>
          <w:p w14:paraId="5D43306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2×归母净利润/(期初权益+期末权益)</w:t>
            </w:r>
          </w:p>
        </w:tc>
        <w:tc>
          <w:tcPr>
            <w:tcW w:w="1134" w:type="dxa"/>
          </w:tcPr>
          <w:p w14:paraId="47A4EE99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盈利</w:t>
            </w:r>
          </w:p>
        </w:tc>
      </w:tr>
      <w:tr w14:paraId="354D55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4417FDE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5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1DCFB44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存货周转率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3FAC7C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2×营业成本/(期初存货+期末存货)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E871E99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营运</w:t>
            </w:r>
          </w:p>
        </w:tc>
      </w:tr>
      <w:tr w14:paraId="2E6DB3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E1CEB2E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6</w:t>
            </w:r>
          </w:p>
        </w:tc>
        <w:tc>
          <w:tcPr>
            <w:tcW w:w="1701" w:type="dxa"/>
          </w:tcPr>
          <w:p w14:paraId="42D319DA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总资产周转率</w:t>
            </w:r>
          </w:p>
        </w:tc>
        <w:tc>
          <w:tcPr>
            <w:tcW w:w="3969" w:type="dxa"/>
          </w:tcPr>
          <w:p w14:paraId="4A84743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2×营业收入/(期初总资产+期末总资产)</w:t>
            </w:r>
          </w:p>
        </w:tc>
        <w:tc>
          <w:tcPr>
            <w:tcW w:w="1134" w:type="dxa"/>
          </w:tcPr>
          <w:p w14:paraId="509EEB7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营运</w:t>
            </w:r>
          </w:p>
        </w:tc>
      </w:tr>
      <w:tr w14:paraId="3C5C5F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DF5F5EA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7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C66D13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应收账款周转率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2B7A86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2×营业收入/(期初应收+期末应收)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8305AA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营运</w:t>
            </w:r>
          </w:p>
        </w:tc>
      </w:tr>
      <w:tr w14:paraId="333EB2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AD70F14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8</w:t>
            </w:r>
          </w:p>
        </w:tc>
        <w:tc>
          <w:tcPr>
            <w:tcW w:w="1701" w:type="dxa"/>
          </w:tcPr>
          <w:p w14:paraId="1617C91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流动比率</w:t>
            </w:r>
          </w:p>
        </w:tc>
        <w:tc>
          <w:tcPr>
            <w:tcW w:w="3969" w:type="dxa"/>
          </w:tcPr>
          <w:p w14:paraId="63015DFB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流动资产/流动负债</w:t>
            </w:r>
          </w:p>
        </w:tc>
        <w:tc>
          <w:tcPr>
            <w:tcW w:w="1134" w:type="dxa"/>
          </w:tcPr>
          <w:p w14:paraId="2AFD5CE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偿债</w:t>
            </w:r>
          </w:p>
        </w:tc>
      </w:tr>
      <w:tr w14:paraId="14A575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4998FBC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9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A1CB00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速动比率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BA35DB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(流动资产-存货-预付)/流动负债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1B5F41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偿债</w:t>
            </w:r>
          </w:p>
        </w:tc>
      </w:tr>
      <w:tr w14:paraId="6F485E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F01920C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10</w:t>
            </w:r>
          </w:p>
        </w:tc>
        <w:tc>
          <w:tcPr>
            <w:tcW w:w="1701" w:type="dxa"/>
          </w:tcPr>
          <w:p w14:paraId="06B0D24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利息保障倍数</w:t>
            </w:r>
          </w:p>
        </w:tc>
        <w:tc>
          <w:tcPr>
            <w:tcW w:w="3969" w:type="dxa"/>
          </w:tcPr>
          <w:p w14:paraId="745773D3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(营业利润+利息)/利息费用</w:t>
            </w:r>
          </w:p>
        </w:tc>
        <w:tc>
          <w:tcPr>
            <w:tcW w:w="1134" w:type="dxa"/>
          </w:tcPr>
          <w:p w14:paraId="03E8C91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偿债</w:t>
            </w:r>
          </w:p>
        </w:tc>
      </w:tr>
      <w:tr w14:paraId="508D6E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2EAA010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11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4EAB709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资产负债率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D15AE3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负债合计/资产合计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382ACE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偿债</w:t>
            </w:r>
          </w:p>
        </w:tc>
      </w:tr>
      <w:tr w14:paraId="664E1E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26030F9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12</w:t>
            </w:r>
          </w:p>
        </w:tc>
        <w:tc>
          <w:tcPr>
            <w:tcW w:w="1701" w:type="dxa"/>
          </w:tcPr>
          <w:p w14:paraId="7EB5874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营收增长率</w:t>
            </w:r>
          </w:p>
        </w:tc>
        <w:tc>
          <w:tcPr>
            <w:tcW w:w="3969" w:type="dxa"/>
          </w:tcPr>
          <w:p w14:paraId="1BF6267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营收/上期营收-1</w:t>
            </w:r>
          </w:p>
        </w:tc>
        <w:tc>
          <w:tcPr>
            <w:tcW w:w="1134" w:type="dxa"/>
          </w:tcPr>
          <w:p w14:paraId="4D664AF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成长</w:t>
            </w:r>
          </w:p>
        </w:tc>
      </w:tr>
      <w:tr w14:paraId="05D0EE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6FD50BB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13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88F79B9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营业利润增长率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5E66178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营业利润/上期营业利润-1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5C27DC1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成长</w:t>
            </w:r>
          </w:p>
        </w:tc>
      </w:tr>
      <w:tr w14:paraId="597663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F886D14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14</w:t>
            </w:r>
          </w:p>
        </w:tc>
        <w:tc>
          <w:tcPr>
            <w:tcW w:w="1701" w:type="dxa"/>
          </w:tcPr>
          <w:p w14:paraId="14605AC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净利润增长率</w:t>
            </w:r>
          </w:p>
        </w:tc>
        <w:tc>
          <w:tcPr>
            <w:tcW w:w="3969" w:type="dxa"/>
          </w:tcPr>
          <w:p w14:paraId="763FF74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净利润/上期净利润-1</w:t>
            </w:r>
          </w:p>
        </w:tc>
        <w:tc>
          <w:tcPr>
            <w:tcW w:w="1134" w:type="dxa"/>
          </w:tcPr>
          <w:p w14:paraId="74B4CC9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成长</w:t>
            </w:r>
          </w:p>
        </w:tc>
      </w:tr>
      <w:tr w14:paraId="01C918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0779617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15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0F88B54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有息负债率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3423259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(短借+长借+应付债券+一年到期非流负)/资产合计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D3B4508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补充</w:t>
            </w:r>
          </w:p>
        </w:tc>
      </w:tr>
      <w:tr w14:paraId="0E19D6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0D1710D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16</w:t>
            </w:r>
          </w:p>
        </w:tc>
        <w:tc>
          <w:tcPr>
            <w:tcW w:w="1701" w:type="dxa"/>
          </w:tcPr>
          <w:p w14:paraId="3064C69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经营CF/营收</w:t>
            </w:r>
          </w:p>
        </w:tc>
        <w:tc>
          <w:tcPr>
            <w:tcW w:w="3969" w:type="dxa"/>
          </w:tcPr>
          <w:p w14:paraId="6BFE818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经营活动现金净流量/营业收入</w:t>
            </w:r>
          </w:p>
        </w:tc>
        <w:tc>
          <w:tcPr>
            <w:tcW w:w="1134" w:type="dxa"/>
          </w:tcPr>
          <w:p w14:paraId="4A758B9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补充</w:t>
            </w:r>
          </w:p>
        </w:tc>
      </w:tr>
      <w:tr w14:paraId="15053B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4EA2F77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17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837199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权益乘数</w:t>
            </w:r>
          </w:p>
        </w:tc>
        <w:tc>
          <w:tcPr>
            <w:tcW w:w="3969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36C02F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资产合计/归属母公司所有者权益</w:t>
            </w:r>
          </w:p>
        </w:tc>
        <w:tc>
          <w:tcPr>
            <w:tcW w:w="113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9D8929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补充</w:t>
            </w:r>
          </w:p>
        </w:tc>
      </w:tr>
      <w:tr w14:paraId="325FF6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E780866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18</w:t>
            </w:r>
          </w:p>
        </w:tc>
        <w:tc>
          <w:tcPr>
            <w:tcW w:w="1701" w:type="dxa"/>
          </w:tcPr>
          <w:p w14:paraId="153EEF9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货币资金占比</w:t>
            </w:r>
          </w:p>
        </w:tc>
        <w:tc>
          <w:tcPr>
            <w:tcW w:w="3969" w:type="dxa"/>
          </w:tcPr>
          <w:p w14:paraId="0AD2D55D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货币资金/资产合计</w:t>
            </w:r>
          </w:p>
        </w:tc>
        <w:tc>
          <w:tcPr>
            <w:tcW w:w="1134" w:type="dxa"/>
          </w:tcPr>
          <w:p w14:paraId="3C3F20DC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补充</w:t>
            </w:r>
          </w:p>
        </w:tc>
      </w:tr>
    </w:tbl>
    <w:p w14:paraId="7CD4C099">
      <w:pPr>
        <w:spacing w:after="80"/>
      </w:pPr>
    </w:p>
    <w:p w14:paraId="53386EEF">
      <w:r>
        <w:br w:type="page"/>
      </w:r>
    </w:p>
    <w:p w14:paraId="4852106B">
      <w:pPr>
        <w:spacing w:before="360" w:after="240"/>
        <w:jc w:val="center"/>
      </w:pPr>
      <w:r>
        <w:rPr>
          <w:rFonts w:ascii="黑体" w:hAnsi="黑体"/>
          <w:b/>
          <w:color w:val="000000"/>
          <w:sz w:val="32"/>
        </w:rPr>
        <w:t>附录B  六种预测方法参数设置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46"/>
        <w:gridCol w:w="2646"/>
        <w:gridCol w:w="2835"/>
      </w:tblGrid>
      <w:tr w14:paraId="43C416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18AB2DC3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方法</w:t>
            </w:r>
          </w:p>
        </w:tc>
        <w:tc>
          <w:tcPr>
            <w:tcW w:w="1417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3D24C388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实现库</w:t>
            </w:r>
          </w:p>
        </w:tc>
        <w:tc>
          <w:tcPr>
            <w:tcW w:w="1701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19C16EE8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超参数</w:t>
            </w:r>
          </w:p>
        </w:tc>
        <w:tc>
          <w:tcPr>
            <w:tcW w:w="2835" w:type="dxa"/>
            <w:tcBorders>
              <w:top w:val="single" w:color="2E75B6" w:sz="8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D5E8F0"/>
          </w:tcPr>
          <w:p w14:paraId="6B0061D1">
            <w:pPr>
              <w:jc w:val="center"/>
            </w:pPr>
            <w:r>
              <w:rPr>
                <w:rFonts w:ascii="黑体" w:hAnsi="黑体"/>
                <w:b/>
                <w:color w:val="1A4789"/>
                <w:sz w:val="18"/>
              </w:rPr>
              <w:t>说明</w:t>
            </w:r>
          </w:p>
        </w:tc>
      </w:tr>
      <w:tr w14:paraId="6EB5F5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0993EC9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Ridge回归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2CEF5F4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sklearn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56BC917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degree=2,alpha=1.0</w:t>
            </w:r>
          </w:p>
        </w:tc>
        <w:tc>
          <w:tcPr>
            <w:tcW w:w="2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7C8943F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L2正则化+多项式趋势+季度季节性哑变量</w:t>
            </w:r>
          </w:p>
        </w:tc>
      </w:tr>
      <w:tr w14:paraId="520D7A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AD0B8BE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Prophet</w:t>
            </w:r>
          </w:p>
        </w:tc>
        <w:tc>
          <w:tcPr>
            <w:tcW w:w="1417" w:type="dxa"/>
          </w:tcPr>
          <w:p w14:paraId="3E090DA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prophet</w:t>
            </w:r>
          </w:p>
        </w:tc>
        <w:tc>
          <w:tcPr>
            <w:tcW w:w="1701" w:type="dxa"/>
          </w:tcPr>
          <w:p w14:paraId="060448E1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yearly_seasonality=False</w:t>
            </w:r>
          </w:p>
        </w:tc>
        <w:tc>
          <w:tcPr>
            <w:tcW w:w="2835" w:type="dxa"/>
          </w:tcPr>
          <w:p w14:paraId="66D4884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cap/floor约束毛利率，降低变点灵敏度</w:t>
            </w:r>
          </w:p>
        </w:tc>
      </w:tr>
      <w:tr w14:paraId="7E7A3C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42E46C5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LSTM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F1C372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PyTorch/numpy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8DBE40B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window=3,hidden=16</w:t>
            </w:r>
          </w:p>
        </w:tc>
        <w:tc>
          <w:tcPr>
            <w:tcW w:w="2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35BBCBF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小样本自动降低epochs，无PyTorch回退Ridge</w:t>
            </w:r>
          </w:p>
        </w:tc>
      </w:tr>
      <w:tr w14:paraId="34B58D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CE60594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三次指数平滑</w:t>
            </w:r>
          </w:p>
        </w:tc>
        <w:tc>
          <w:tcPr>
            <w:tcW w:w="1417" w:type="dxa"/>
          </w:tcPr>
          <w:p w14:paraId="43DDF23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statsmodels/numpy</w:t>
            </w:r>
          </w:p>
        </w:tc>
        <w:tc>
          <w:tcPr>
            <w:tcW w:w="1701" w:type="dxa"/>
          </w:tcPr>
          <w:p w14:paraId="37899731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trend/seasonal=add,period=4</w:t>
            </w:r>
          </w:p>
        </w:tc>
        <w:tc>
          <w:tcPr>
            <w:tcW w:w="2835" w:type="dxa"/>
          </w:tcPr>
          <w:p w14:paraId="10A9E456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无库时NumPy简化(α=0.3,β=0.05,γ=0.3)</w:t>
            </w:r>
          </w:p>
        </w:tc>
      </w:tr>
      <w:tr w14:paraId="10E41C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4996634B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ARIMA</w:t>
            </w:r>
          </w:p>
        </w:tc>
        <w:tc>
          <w:tcPr>
            <w:tcW w:w="1417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BC1EF9E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statsmodels/numpy</w:t>
            </w:r>
          </w:p>
        </w:tc>
        <w:tc>
          <w:tcPr>
            <w:tcW w:w="170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048012C9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order=(2,1,2)</w:t>
            </w:r>
          </w:p>
        </w:tc>
        <w:tc>
          <w:tcPr>
            <w:tcW w:w="283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F8F9FA"/>
          </w:tcPr>
          <w:p w14:paraId="61FDE2B2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失败降(1,1,0)，无库时简化AR(1)回退</w:t>
            </w:r>
          </w:p>
        </w:tc>
      </w:tr>
      <w:tr w14:paraId="0450E5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F3C12BF">
            <w:pPr>
              <w:jc w:val="left"/>
            </w:pPr>
            <w:r>
              <w:rPr>
                <w:rFonts w:ascii="宋体" w:hAnsi="宋体"/>
                <w:color w:val="333333"/>
                <w:sz w:val="18"/>
              </w:rPr>
              <w:t>线性回归</w:t>
            </w:r>
          </w:p>
        </w:tc>
        <w:tc>
          <w:tcPr>
            <w:tcW w:w="1417" w:type="dxa"/>
          </w:tcPr>
          <w:p w14:paraId="67DC7180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sklearn</w:t>
            </w:r>
          </w:p>
        </w:tc>
        <w:tc>
          <w:tcPr>
            <w:tcW w:w="1701" w:type="dxa"/>
          </w:tcPr>
          <w:p w14:paraId="26C4B23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默认参数</w:t>
            </w:r>
          </w:p>
        </w:tc>
        <w:tc>
          <w:tcPr>
            <w:tcW w:w="2835" w:type="dxa"/>
          </w:tcPr>
          <w:p w14:paraId="153C2125">
            <w:pPr>
              <w:jc w:val="center"/>
            </w:pPr>
            <w:r>
              <w:rPr>
                <w:rFonts w:ascii="宋体" w:hAnsi="宋体"/>
                <w:color w:val="333333"/>
                <w:sz w:val="18"/>
              </w:rPr>
              <w:t>无正则化基线方法</w:t>
            </w:r>
          </w:p>
        </w:tc>
      </w:tr>
    </w:tbl>
    <w:p w14:paraId="7F056F0B">
      <w:pPr>
        <w:spacing w:after="80"/>
      </w:pPr>
    </w:p>
    <w:p w14:paraId="0A40D434">
      <w:r>
        <w:br w:type="page"/>
      </w:r>
    </w:p>
    <w:p w14:paraId="4736FB1A">
      <w:pPr>
        <w:spacing w:before="360" w:after="240"/>
        <w:jc w:val="center"/>
      </w:pPr>
      <w:r>
        <w:rPr>
          <w:rFonts w:ascii="黑体" w:hAnsi="黑体"/>
          <w:b/>
          <w:color w:val="000000"/>
          <w:sz w:val="32"/>
        </w:rPr>
        <w:t>附录C  数据与代码说明</w:t>
      </w:r>
    </w:p>
    <w:p w14:paraId="45674905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（一）数据来源与采集</w:t>
      </w:r>
    </w:p>
    <w:p w14:paraId="7782D369">
      <w:pPr>
        <w:spacing w:after="40" w:line="360" w:lineRule="auto"/>
        <w:ind w:firstLine="420"/>
      </w:pPr>
      <w:r>
        <w:rPr>
          <w:rFonts w:ascii="宋体" w:hAnsi="宋体"/>
          <w:b w:val="0"/>
          <w:sz w:val="24"/>
        </w:rPr>
        <w:t>财务数据通过AkShare接口自动采集，采集脚本位于项目data/目录下：</w:t>
      </w:r>
    </w:p>
    <w:p w14:paraId="24A3F52F">
      <w:pPr>
        <w:spacing w:after="40" w:line="360" w:lineRule="auto"/>
        <w:ind w:firstLine="420"/>
      </w:pPr>
      <w:r>
        <w:rPr>
          <w:rFonts w:ascii="宋体" w:hAnsi="宋体"/>
          <w:b w:val="0"/>
          <w:sz w:val="21"/>
        </w:rPr>
        <w:t>collect_financial_data.py：批量采集8家车企2016-2025年三张财务报表，输出为Excel文件（*_财务数据.xlsx）</w:t>
      </w:r>
    </w:p>
    <w:p w14:paraId="795E2B22">
      <w:pPr>
        <w:spacing w:after="40" w:line="360" w:lineRule="auto"/>
        <w:ind w:firstLine="420"/>
      </w:pPr>
      <w:r>
        <w:rPr>
          <w:rFonts w:ascii="宋体" w:hAnsi="宋体"/>
          <w:b w:val="0"/>
          <w:sz w:val="21"/>
        </w:rPr>
        <w:t>collect_2026q1_for_mape.py：追加采集赛力斯和长安汽车2026Q1数据，用于预测回测验证</w:t>
      </w:r>
    </w:p>
    <w:p w14:paraId="07B45888">
      <w:pPr>
        <w:spacing w:after="40" w:line="360" w:lineRule="auto"/>
        <w:ind w:firstLine="420"/>
      </w:pPr>
      <w:r>
        <w:rPr>
          <w:rFonts w:ascii="宋体" w:hAnsi="宋体"/>
          <w:b w:val="0"/>
          <w:sz w:val="21"/>
        </w:rPr>
        <w:t>add_company_sales.py、extract_sales_structure.py：采集和分析公司销量结构数据</w:t>
      </w:r>
    </w:p>
    <w:p w14:paraId="2BCB49E3">
      <w:pPr>
        <w:spacing w:after="40" w:line="360" w:lineRule="auto"/>
        <w:ind w:firstLine="420"/>
      </w:pPr>
      <w:r>
        <w:rPr>
          <w:rFonts w:ascii="宋体" w:hAnsi="宋体"/>
          <w:b w:val="0"/>
          <w:sz w:val="21"/>
        </w:rPr>
        <w:t>行业NEV数据源：中国汽车行业多维销量数据库.xlsx，基于CAAM月度发布汇总</w:t>
      </w:r>
    </w:p>
    <w:p w14:paraId="61D2EBE4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（二）分析代码</w:t>
      </w:r>
    </w:p>
    <w:p w14:paraId="5AE93746">
      <w:pPr>
        <w:spacing w:after="40" w:line="360" w:lineRule="auto"/>
        <w:ind w:firstLine="420"/>
      </w:pPr>
      <w:r>
        <w:rPr>
          <w:rFonts w:ascii="宋体" w:hAnsi="宋体"/>
          <w:b w:val="0"/>
          <w:sz w:val="21"/>
        </w:rPr>
        <w:t>核心分析模块位于lib/financial_metrics.py，导出以下函数：compute_ratios(18项财务指标)、extract_kmeans_features(5维聚类特征)、compute_zscore(Altman Z-score)、compute_walle_score(沃尔评分)、compute_dupont(杜邦连环替代)、compare_all_forecasts(六种预测方法统一接口)、forecast_ridge/forecast_linear/forecast_exp_smoothing/forecast_arima/forecast_lstm/forecast_prophet_method(各预测方法)。</w:t>
      </w:r>
    </w:p>
    <w:p w14:paraId="0B8FDE37">
      <w:pPr>
        <w:spacing w:after="40" w:line="360" w:lineRule="auto"/>
        <w:ind w:firstLine="420"/>
      </w:pPr>
      <w:r>
        <w:rPr>
          <w:rFonts w:ascii="宋体" w:hAnsi="宋体"/>
          <w:b w:val="0"/>
          <w:sz w:val="21"/>
        </w:rPr>
        <w:t>NEV行业分析模块位于work/nev_industry_analysis.py，独立运行可生成9张行业分析图表。</w:t>
      </w:r>
    </w:p>
    <w:p w14:paraId="7E5D8C4B">
      <w:pPr>
        <w:spacing w:after="40" w:line="360" w:lineRule="auto"/>
        <w:ind w:firstLine="420"/>
      </w:pPr>
      <w:r>
        <w:rPr>
          <w:rFonts w:ascii="宋体" w:hAnsi="宋体"/>
          <w:b w:val="0"/>
          <w:sz w:val="21"/>
        </w:rPr>
        <w:t>主分析流程以Jupyter Notebook形式组织（.ipynb），按"数据加载→指标计算→聚类分析→预测对比→综合评价"顺序编排，所有Cell均可在配置好依赖环境后逐次运行复现全部结果。</w:t>
      </w:r>
    </w:p>
    <w:p w14:paraId="1A6EAC13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（三）运行环境</w:t>
      </w:r>
    </w:p>
    <w:p w14:paraId="13246B22">
      <w:pPr>
        <w:spacing w:after="40" w:line="360" w:lineRule="auto"/>
        <w:ind w:firstLine="420"/>
      </w:pPr>
      <w:r>
        <w:rPr>
          <w:rFonts w:ascii="宋体" w:hAnsi="宋体"/>
          <w:b w:val="0"/>
          <w:sz w:val="21"/>
        </w:rPr>
        <w:t>Python 3.11+，主要依赖：pandas&gt;=2.0, numpy&gt;=1.24, scikit-learn&gt;=1.3, matplotlib&gt;=3.7, openpyxl&gt;=3.1, akshare&gt;=1.12, prophet&gt;=1.1（可选，无Prophet时自动回退线性回归）。完整依赖见requirements.txt。虚拟环境配置：python -m venv .venv &amp;&amp; .venv\Scripts\activate &amp;&amp; pip install -r requirements.txt</w:t>
      </w:r>
    </w:p>
    <w:p w14:paraId="7E5EBF8A">
      <w:pPr>
        <w:spacing w:before="240" w:after="120"/>
      </w:pPr>
      <w:r>
        <w:rPr>
          <w:rFonts w:ascii="黑体" w:hAnsi="黑体"/>
          <w:b/>
          <w:color w:val="000000"/>
          <w:sz w:val="28"/>
        </w:rPr>
        <w:t>（四）原始数据文件清单</w:t>
      </w:r>
    </w:p>
    <w:p w14:paraId="2C27B5B0">
      <w:pPr>
        <w:spacing w:after="40" w:line="360" w:lineRule="auto"/>
        <w:ind w:firstLine="420"/>
      </w:pPr>
      <w:r>
        <w:rPr>
          <w:rFonts w:ascii="宋体" w:hAnsi="宋体"/>
          <w:b w:val="0"/>
          <w:sz w:val="21"/>
        </w:rPr>
        <w:t>data/*_财务数据.xlsx（8个文件）：每家车企含资产负</w:t>
      </w:r>
      <w:bookmarkStart w:id="0" w:name="_GoBack"/>
      <w:bookmarkEnd w:id="0"/>
      <w:r>
        <w:rPr>
          <w:rFonts w:ascii="宋体" w:hAnsi="宋体"/>
          <w:b w:val="0"/>
          <w:sz w:val="21"/>
        </w:rPr>
        <w:t>债表、利润表、现金流量表、财务指标表、合并报表等Sheet。</w:t>
      </w:r>
    </w:p>
    <w:p w14:paraId="22AD36E4">
      <w:pPr>
        <w:spacing w:after="40" w:line="360" w:lineRule="auto"/>
        <w:ind w:firstLine="420"/>
      </w:pPr>
      <w:r>
        <w:rPr>
          <w:rFonts w:ascii="宋体" w:hAnsi="宋体"/>
          <w:b w:val="0"/>
          <w:sz w:val="21"/>
        </w:rPr>
        <w:t>data/赛力斯_季度销量结构.xlsx、data/长安汽车_季度销量结构.xlsx：季度销量明细。</w:t>
      </w:r>
    </w:p>
    <w:p w14:paraId="412D199B">
      <w:pPr>
        <w:spacing w:after="40" w:line="360" w:lineRule="auto"/>
        <w:ind w:firstLine="420"/>
      </w:pPr>
      <w:r>
        <w:rPr>
          <w:rFonts w:ascii="宋体" w:hAnsi="宋体"/>
          <w:b w:val="0"/>
          <w:sz w:val="21"/>
        </w:rPr>
        <w:t>data/新能源汽车行业销量数据.xlsx、data/中国汽车行业多维销量数据库.xlsx：行业NEV数据。</w:t>
      </w:r>
    </w:p>
    <w:p w14:paraId="253E0CE3">
      <w:pPr>
        <w:spacing w:after="40" w:line="360" w:lineRule="auto"/>
        <w:ind w:firstLine="420"/>
      </w:pPr>
      <w:r>
        <w:rPr>
          <w:rFonts w:ascii="宋体" w:hAnsi="宋体"/>
          <w:b w:val="0"/>
          <w:sz w:val="21"/>
        </w:rPr>
        <w:t>reports/目录：共3个子目录（pictures/15张、nb_charts/15张、nev_industry_analysis/9张），合计39张分析图表。</w:t>
      </w:r>
    </w:p>
    <w:p w14:paraId="652CECB6"/>
    <w:p w14:paraId="0EB41E09">
      <w:pPr>
        <w:jc w:val="center"/>
      </w:pPr>
      <w:r>
        <w:rPr>
          <w:rFonts w:ascii="黑体" w:hAnsi="黑体"/>
          <w:b/>
          <w:sz w:val="28"/>
        </w:rPr>
        <w:t>— 报告结束 —</w:t>
      </w:r>
    </w:p>
    <w:sectPr>
      <w:pgSz w:w="12240" w:h="15840"/>
      <w:pgMar w:top="1417" w:right="1247" w:bottom="1417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08B5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numbering" Target="numbering.xml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1388</Words>
  <Characters>1686</Characters>
  <Lines>0</Lines>
  <Paragraphs>0</Paragraphs>
  <TotalTime>1</TotalTime>
  <ScaleCrop>false</ScaleCrop>
  <LinksUpToDate>false</LinksUpToDate>
  <CharactersWithSpaces>1692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</cp:lastModifiedBy>
  <dcterms:modified xsi:type="dcterms:W3CDTF">2026-07-31T14:31:28Z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eyJoZGlkIjoiNjRmZGI5ZDg5YTZjM2E4Y2NlNGQ2YWEzNGYzMmJmZjMiLCJ1c2VySWQiOiIxMzQ2MTU5NzM3In0=</vt:lpwstr>
  </property>
  <property fmtid="{D5CDD505-2E9C-101B-9397-08002B2CF9AE}" pid="3" name="KSOProductBuildVer">
    <vt:lpwstr>2052-12.1.0.19770</vt:lpwstr>
  </property>
  <property fmtid="{D5CDD505-2E9C-101B-9397-08002B2CF9AE}" pid="4" name="ICV">
    <vt:lpwstr>34334F5AB63B4A73A09BBD0C0994D643_12</vt:lpwstr>
  </property>
</Properties>
</file>