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A6074">
      <w:pPr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  <w:t>重庆机电职业技术大学</w:t>
      </w:r>
    </w:p>
    <w:p w14:paraId="14F3286C">
      <w:pPr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  <w:t>经济与管理学院</w:t>
      </w:r>
    </w:p>
    <w:p w14:paraId="4F626863">
      <w:pPr>
        <w:spacing w:before="312" w:beforeLines="100" w:after="312" w:afterLines="100" w:line="360" w:lineRule="auto"/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  <w:t>实践报告</w:t>
      </w:r>
    </w:p>
    <w:p w14:paraId="0D4B7DCD">
      <w:pPr>
        <w:spacing w:line="360" w:lineRule="auto"/>
        <w:jc w:val="center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（2025-2026学年第二学期）</w:t>
      </w:r>
    </w:p>
    <w:p w14:paraId="2425E12A">
      <w:pPr>
        <w:spacing w:line="332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46985" cy="2546985"/>
            <wp:effectExtent l="0" t="0" r="5715" b="5715"/>
            <wp:docPr id="1" name="图片 1" descr="_cgi-bin_mmwebwx-bin_webwxgetmsgimg__&amp;MsgID=7036020977026424423&amp;skey=@crypt_7f70bf59_834284b0fe169f26e762a84a5da69e78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_cgi-bin_mmwebwx-bin_webwxgetmsgimg__&amp;MsgID=7036020977026424423&amp;skey=@crypt_7f70bf59_834284b0fe169f26e762a84a5da69e78&amp;mmweb_appid=wx_webfilehelp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CADE"/>
    <w:p w14:paraId="7CE292D7"/>
    <w:p w14:paraId="1B284D66">
      <w:pPr>
        <w:spacing w:before="312" w:beforeLines="100"/>
      </w:pPr>
    </w:p>
    <w:p w14:paraId="742E0F4E">
      <w:pPr>
        <w:spacing w:line="360" w:lineRule="auto"/>
      </w:pPr>
    </w:p>
    <w:tbl>
      <w:tblPr>
        <w:tblStyle w:val="9"/>
        <w:tblW w:w="0" w:type="auto"/>
        <w:tblInd w:w="12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4560"/>
      </w:tblGrid>
      <w:tr w14:paraId="308EC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vAlign w:val="center"/>
          </w:tcPr>
          <w:p w14:paraId="260E0798">
            <w:pPr>
              <w:pStyle w:val="13"/>
              <w:widowControl w:val="0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课程名称</w:t>
            </w:r>
          </w:p>
        </w:tc>
        <w:tc>
          <w:tcPr>
            <w:tcW w:w="4560" w:type="dxa"/>
            <w:vAlign w:val="center"/>
          </w:tcPr>
          <w:p w14:paraId="03460732">
            <w:pPr>
              <w:pStyle w:val="13"/>
              <w:widowControl w:val="0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  <w:t>Python在财务管理中的应用</w:t>
            </w:r>
          </w:p>
        </w:tc>
      </w:tr>
      <w:tr w14:paraId="400CD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vAlign w:val="center"/>
          </w:tcPr>
          <w:p w14:paraId="7151B572">
            <w:pPr>
              <w:pStyle w:val="13"/>
              <w:widowControl w:val="0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  <w:t>专业班级</w:t>
            </w:r>
          </w:p>
        </w:tc>
        <w:tc>
          <w:tcPr>
            <w:tcW w:w="4560" w:type="dxa"/>
            <w:vAlign w:val="center"/>
          </w:tcPr>
          <w:p w14:paraId="66AAC322">
            <w:pPr>
              <w:pStyle w:val="13"/>
              <w:widowControl w:val="0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  <w:t>25级大数据与财务管理03班</w:t>
            </w:r>
          </w:p>
        </w:tc>
      </w:tr>
      <w:tr w14:paraId="68D8A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vAlign w:val="center"/>
          </w:tcPr>
          <w:p w14:paraId="48CB093A">
            <w:pPr>
              <w:pStyle w:val="13"/>
              <w:widowControl w:val="0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  <w:tc>
          <w:tcPr>
            <w:tcW w:w="4560" w:type="dxa"/>
            <w:vAlign w:val="center"/>
          </w:tcPr>
          <w:p w14:paraId="302DD1DC">
            <w:pPr>
              <w:pStyle w:val="13"/>
              <w:widowControl w:val="0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  <w:t>12607320270457</w:t>
            </w:r>
          </w:p>
        </w:tc>
      </w:tr>
      <w:tr w14:paraId="5A57A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vAlign w:val="center"/>
          </w:tcPr>
          <w:p w14:paraId="5B4990F9">
            <w:pPr>
              <w:pStyle w:val="13"/>
              <w:widowControl w:val="0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4560" w:type="dxa"/>
            <w:vAlign w:val="center"/>
          </w:tcPr>
          <w:p w14:paraId="304B786D">
            <w:pPr>
              <w:pStyle w:val="13"/>
              <w:widowControl w:val="0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  <w:t>滕宇豪</w:t>
            </w:r>
          </w:p>
        </w:tc>
      </w:tr>
      <w:tr w14:paraId="55F2B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vAlign w:val="center"/>
          </w:tcPr>
          <w:p w14:paraId="70355747">
            <w:pPr>
              <w:pStyle w:val="13"/>
              <w:widowControl w:val="0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  <w:t>指导教师</w:t>
            </w:r>
          </w:p>
        </w:tc>
        <w:tc>
          <w:tcPr>
            <w:tcW w:w="4560" w:type="dxa"/>
            <w:vAlign w:val="center"/>
          </w:tcPr>
          <w:p w14:paraId="49622A04">
            <w:pPr>
              <w:pStyle w:val="13"/>
              <w:widowControl w:val="0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  <w:t>邓茗丹</w:t>
            </w:r>
          </w:p>
        </w:tc>
      </w:tr>
      <w:tr w14:paraId="1BA31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48" w:type="dxa"/>
            <w:vAlign w:val="center"/>
          </w:tcPr>
          <w:p w14:paraId="5ABA5493">
            <w:pPr>
              <w:pStyle w:val="13"/>
              <w:widowControl w:val="0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  <w:t>完成日期</w:t>
            </w:r>
          </w:p>
        </w:tc>
        <w:tc>
          <w:tcPr>
            <w:tcW w:w="4560" w:type="dxa"/>
            <w:vAlign w:val="center"/>
          </w:tcPr>
          <w:p w14:paraId="394B5FB3">
            <w:pPr>
              <w:pStyle w:val="13"/>
              <w:widowControl w:val="0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  <w:t>2026年 9 月 15 日</w:t>
            </w:r>
          </w:p>
        </w:tc>
      </w:tr>
    </w:tbl>
    <w:p w14:paraId="5AAD34A5">
      <w:pPr>
        <w:rPr>
          <w:rFonts w:eastAsia="宋体"/>
          <w:b/>
          <w:bCs/>
          <w:sz w:val="28"/>
          <w:szCs w:val="28"/>
          <w:lang w:eastAsia="zh-CN"/>
        </w:rPr>
      </w:pPr>
      <w:r>
        <w:rPr>
          <w:rFonts w:hint="eastAsia" w:eastAsia="宋体"/>
          <w:b/>
          <w:bCs/>
          <w:sz w:val="28"/>
          <w:szCs w:val="28"/>
          <w:lang w:eastAsia="zh-CN"/>
        </w:rPr>
        <w:br w:type="page"/>
      </w:r>
    </w:p>
    <w:p w14:paraId="41C976CE">
      <w:pPr>
        <w:pStyle w:val="2"/>
        <w:shd w:val="clear" w:color="auto" w:fill="FFFFFF"/>
        <w:spacing w:before="480" w:beforeAutospacing="0" w:after="240" w:afterAutospacing="0" w:line="480" w:lineRule="atLeast"/>
        <w:rPr>
          <w:sz w:val="28"/>
          <w:szCs w:val="28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一、</w:t>
      </w:r>
      <w:r>
        <w:rPr>
          <w:rFonts w:ascii="Segoe UI" w:hAnsi="Segoe UI" w:cs="Segoe UI"/>
          <w:color w:val="0F1115"/>
          <w:sz w:val="33"/>
          <w:szCs w:val="33"/>
          <w:shd w:val="clear" w:color="auto" w:fill="FFFFFF"/>
        </w:rPr>
        <w:t>实践目的与任务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3A8B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716E053">
            <w:pPr>
              <w:pStyle w:val="4"/>
              <w:widowControl w:val="0"/>
              <w:spacing w:before="282" w:after="80" w:line="360" w:lineRule="auto"/>
              <w:ind w:left="3" w:firstLine="420"/>
              <w:jc w:val="both"/>
              <w:rPr>
                <w:rFonts w:ascii="Segoe UI" w:hAnsi="Segoe UI" w:eastAsia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本实践任务依托 Python 编程工具，可使用 Anaconda 或 </w:t>
            </w:r>
            <w:r>
              <w:rPr>
                <w:rFonts w:hint="eastAsia" w:ascii="Times New Roman" w:hAnsi="Times New Roman" w:eastAsia="宋体"/>
                <w:b w:val="0"/>
                <w:i w:val="0"/>
                <w:sz w:val="21"/>
                <w:lang w:val="en-US" w:eastAsia="zh-CN"/>
              </w:rPr>
              <w:t>VSCode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运行 Python 程序。任务围绕教材第三章至第十二章的核心内容，设置五项递进式实践任务：（1）货币时间价值与资本成本计算器——编程实现复利现值/终值、年金及 WACC 的自动计算；（2）投资项目全流程评价系统——构建 NPV、IRR、回收期等多指标综合评价模型，支持互斥方案比选与敏感性分析；（3）综合成本与经营决策分析平台——实现本量利分析、EOQ 存货模型与营运资金优化；（4）财务报表分析报告——采集上市公司近五年财务数据，完成结构分析、趋势分析与杜邦分析；（5）财务预测与预算管理——基于历史数据完成经营预测与全面预算编制。</w:t>
            </w:r>
          </w:p>
          <w:p w14:paraId="7FD9C3E8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bCs/>
                <w:i w:val="0"/>
                <w:sz w:val="21"/>
              </w:rPr>
              <w:t>实践目的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：把教材中抽象的财务模型转化为可运行、可验证的 Python 程序，在做中学——加深对货币时间价值、资本成本、投资决策、成本性态、报表分析与财务预测等核心方法的理解；同时训练"用数据说话、以验证为准"的专业习惯，初步建立财务管理场景下的编程能力与工程素养。</w:t>
            </w:r>
          </w:p>
          <w:p w14:paraId="3404703B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bCs/>
                <w:i w:val="0"/>
                <w:sz w:val="21"/>
              </w:rPr>
              <w:t>实践环境与工具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：操作系统为 Windows 11；Python 3.11配合 PyCharm 集成开发环境；主要依赖 pandas、numpy、matplotlib、scipy、statsmodels、openpyxl 等第三方库；报告与图表分别由 python-docx 与 matplotlib 自动生成。全部代码、数据与图表成果保存在 works 目录下对应的五个工程文件夹中。五项实践任务的基本情况如下表所示。</w:t>
            </w:r>
          </w:p>
          <w:p w14:paraId="01016263">
            <w:pPr>
              <w:keepNext/>
              <w:widowControl w:val="0"/>
              <w:spacing w:before="160" w:after="60" w:line="288" w:lineRule="auto"/>
              <w:jc w:val="center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表 1　五项实践任务一览</w:t>
            </w:r>
          </w:p>
          <w:tbl>
            <w:tblPr>
              <w:tblStyle w:val="9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75"/>
              <w:gridCol w:w="1265"/>
              <w:gridCol w:w="3544"/>
              <w:gridCol w:w="2412"/>
            </w:tblGrid>
            <w:tr w14:paraId="7200E1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75" w:type="dxa"/>
                  <w:shd w:val="clear" w:color="auto" w:fill="DCE6F1"/>
                </w:tcPr>
                <w:p w14:paraId="67BB2821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19"/>
                    </w:rPr>
                    <w:t>序号</w:t>
                  </w:r>
                </w:p>
              </w:tc>
              <w:tc>
                <w:tcPr>
                  <w:tcW w:w="1265" w:type="dxa"/>
                  <w:shd w:val="clear" w:color="auto" w:fill="DCE6F1"/>
                </w:tcPr>
                <w:p w14:paraId="4E911823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19"/>
                    </w:rPr>
                    <w:t>任务名称</w:t>
                  </w:r>
                </w:p>
              </w:tc>
              <w:tc>
                <w:tcPr>
                  <w:tcW w:w="3544" w:type="dxa"/>
                  <w:shd w:val="clear" w:color="auto" w:fill="DCE6F1"/>
                </w:tcPr>
                <w:p w14:paraId="624498C8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19"/>
                    </w:rPr>
                    <w:t>核心技术点</w:t>
                  </w:r>
                </w:p>
              </w:tc>
              <w:tc>
                <w:tcPr>
                  <w:tcW w:w="2412" w:type="dxa"/>
                  <w:shd w:val="clear" w:color="auto" w:fill="DCE6F1"/>
                </w:tcPr>
                <w:p w14:paraId="05C1163F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19"/>
                    </w:rPr>
                    <w:t>主要产出</w:t>
                  </w:r>
                </w:p>
              </w:tc>
            </w:tr>
            <w:tr w14:paraId="527BEF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75" w:type="dxa"/>
                </w:tcPr>
                <w:p w14:paraId="63D05D36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任务一</w:t>
                  </w:r>
                </w:p>
              </w:tc>
              <w:tc>
                <w:tcPr>
                  <w:tcW w:w="1265" w:type="dxa"/>
                </w:tcPr>
                <w:p w14:paraId="7B8104D0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货币时间价值与资本成本计算器</w:t>
                  </w:r>
                </w:p>
              </w:tc>
              <w:tc>
                <w:tcPr>
                  <w:tcW w:w="3544" w:type="dxa"/>
                </w:tcPr>
                <w:p w14:paraId="242B8E6A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复利与年金、实际年利率 EAR、等额本息还款计划、债券 YTM 牛顿迭代、CAPM/DDM、WACC 与资本结构优化</w:t>
                  </w:r>
                </w:p>
              </w:tc>
              <w:tc>
                <w:tcPr>
                  <w:tcW w:w="2412" w:type="dxa"/>
                </w:tcPr>
                <w:p w14:paraId="52D40084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三层架构程序包、GUI 运行界面、参数校验规则库、测试用例与可视化图表</w:t>
                  </w:r>
                </w:p>
              </w:tc>
            </w:tr>
            <w:tr w14:paraId="0B8849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75" w:type="dxa"/>
                </w:tcPr>
                <w:p w14:paraId="16645D36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任务二</w:t>
                  </w:r>
                </w:p>
              </w:tc>
              <w:tc>
                <w:tcPr>
                  <w:tcW w:w="1265" w:type="dxa"/>
                </w:tcPr>
                <w:p w14:paraId="2837D352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投资项目全流程评价系统</w:t>
                  </w:r>
                </w:p>
              </w:tc>
              <w:tc>
                <w:tcPr>
                  <w:tcW w:w="3544" w:type="dxa"/>
                </w:tcPr>
                <w:p w14:paraId="22C73A55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NPV/IRR/ANCF/PI/回收期、互斥方案优选、资本限额组合优化、敏感性分析</w:t>
                  </w:r>
                </w:p>
              </w:tc>
              <w:tc>
                <w:tcPr>
                  <w:tcW w:w="2412" w:type="dxa"/>
                </w:tcPr>
                <w:p w14:paraId="2062E88C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6 个教学案例、39 张图表、Word/Markdown 双格式评价报告、57 项测试断言</w:t>
                  </w:r>
                </w:p>
              </w:tc>
            </w:tr>
            <w:tr w14:paraId="4E6F24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75" w:type="dxa"/>
                </w:tcPr>
                <w:p w14:paraId="3BF5E182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任务三</w:t>
                  </w:r>
                </w:p>
              </w:tc>
              <w:tc>
                <w:tcPr>
                  <w:tcW w:w="1265" w:type="dxa"/>
                </w:tcPr>
                <w:p w14:paraId="7FC6CCC7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综合成本与经营决策分析平台</w:t>
                  </w:r>
                </w:p>
              </w:tc>
              <w:tc>
                <w:tcPr>
                  <w:tcW w:w="3544" w:type="dxa"/>
                </w:tcPr>
                <w:p w14:paraId="3ED0BE2C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辅助生产费用分配、作业成本法、品种/分批/分步法、标准成本差异、本量利与经营杠杆、短期经营决策</w:t>
                  </w:r>
                </w:p>
              </w:tc>
              <w:tc>
                <w:tcPr>
                  <w:tcW w:w="2412" w:type="dxa"/>
                </w:tcPr>
                <w:p w14:paraId="2D6BB2CB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10 个功能模块、17 张图表、2 份 Excel 底稿、2 份场景分析报告、51 项测试</w:t>
                  </w:r>
                </w:p>
              </w:tc>
            </w:tr>
            <w:tr w14:paraId="37AF4D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75" w:type="dxa"/>
                </w:tcPr>
                <w:p w14:paraId="0F09EB5F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任务四</w:t>
                  </w:r>
                </w:p>
              </w:tc>
              <w:tc>
                <w:tcPr>
                  <w:tcW w:w="1265" w:type="dxa"/>
                </w:tcPr>
                <w:p w14:paraId="47FE30AA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财务报表分析报告</w:t>
                  </w:r>
                </w:p>
              </w:tc>
              <w:tc>
                <w:tcPr>
                  <w:tcW w:w="3544" w:type="dxa"/>
                </w:tcPr>
                <w:p w14:paraId="4759262A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共同比与趋势分析、40 项财务指标体系、杜邦三因素与五因素分解、连环替代法归因</w:t>
                  </w:r>
                </w:p>
              </w:tc>
              <w:tc>
                <w:tcPr>
                  <w:tcW w:w="2412" w:type="dxa"/>
                </w:tcPr>
                <w:p w14:paraId="3E00B770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15 个工作表汇总、12 张图表、HTML 图文分析报告</w:t>
                  </w:r>
                </w:p>
              </w:tc>
            </w:tr>
            <w:tr w14:paraId="26B7AA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75" w:type="dxa"/>
                </w:tcPr>
                <w:p w14:paraId="3D0D8609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任务五</w:t>
                  </w:r>
                </w:p>
              </w:tc>
              <w:tc>
                <w:tcPr>
                  <w:tcW w:w="1265" w:type="dxa"/>
                </w:tcPr>
                <w:p w14:paraId="1092C105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财务预测与预算管理</w:t>
                  </w:r>
                </w:p>
              </w:tc>
              <w:tc>
                <w:tcPr>
                  <w:tcW w:w="3544" w:type="dxa"/>
                </w:tcPr>
                <w:p w14:paraId="1AC79F02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多模型组合预测与滚动回测、成本性态分解、全面预算编制、情景分析与敏感性矩阵</w:t>
                  </w:r>
                </w:p>
              </w:tc>
              <w:tc>
                <w:tcPr>
                  <w:tcW w:w="2412" w:type="dxa"/>
                </w:tcPr>
                <w:p w14:paraId="327E5119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八阶段自动化流水线、十年历史分析、2026 年预算与情景分析报告</w:t>
                  </w:r>
                </w:p>
              </w:tc>
            </w:tr>
          </w:tbl>
          <w:p w14:paraId="2C7DDC13">
            <w:pPr>
              <w:widowControl w:val="0"/>
              <w:jc w:val="both"/>
            </w:pPr>
          </w:p>
          <w:p w14:paraId="58FFF09E">
            <w:pPr>
              <w:widowControl w:val="0"/>
              <w:jc w:val="both"/>
            </w:pPr>
          </w:p>
        </w:tc>
      </w:tr>
    </w:tbl>
    <w:p w14:paraId="2BD5A12F">
      <w:pPr>
        <w:pStyle w:val="2"/>
        <w:shd w:val="clear" w:color="auto" w:fill="FFFFFF"/>
        <w:spacing w:before="480" w:beforeAutospacing="0" w:after="240" w:afterAutospacing="0" w:line="480" w:lineRule="atLeast"/>
        <w:rPr>
          <w:rFonts w:hint="default" w:ascii="Segoe UI" w:hAnsi="Segoe UI" w:cs="Segoe UI"/>
          <w:color w:val="0F1115"/>
          <w:sz w:val="33"/>
          <w:szCs w:val="33"/>
          <w:shd w:val="clear" w:color="auto" w:fill="FFFFFF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二、</w:t>
      </w:r>
      <w:r>
        <w:rPr>
          <w:rFonts w:ascii="Segoe UI" w:hAnsi="Segoe UI" w:cs="Segoe UI"/>
          <w:color w:val="0F1115"/>
          <w:sz w:val="33"/>
          <w:szCs w:val="33"/>
          <w:shd w:val="clear" w:color="auto" w:fill="FFFFFF"/>
        </w:rPr>
        <w:t>实践内容与过程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46B7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D955387">
            <w:pPr>
              <w:pStyle w:val="4"/>
              <w:widowControl w:val="0"/>
              <w:spacing w:before="282" w:after="120" w:line="360" w:lineRule="auto"/>
              <w:ind w:left="3" w:firstLine="420"/>
              <w:jc w:val="both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本次实践共完成五项递进式任务，全部程序均按"明确题目要求 → 设计程序结构 → 编码实现 → 运行调试 → 结果验证与可视化 → 财务分析阐述"的流程推进，每个任务都是一个可一键复现、带单元测试的完整程序包。以下按任务逐一说明题目要求、程序实现、运行结果与结果分析。</w:t>
            </w:r>
          </w:p>
          <w:p w14:paraId="4D2CDAF3">
            <w:pPr>
              <w:keepNext/>
              <w:widowControl w:val="0"/>
              <w:pBdr>
                <w:bottom w:val="single" w:color="A6A6A6" w:sz="6" w:space="3"/>
              </w:pBdr>
              <w:spacing w:before="320" w:after="160" w:line="312" w:lineRule="auto"/>
              <w:jc w:val="both"/>
            </w:pPr>
            <w:r>
              <w:rPr>
                <w:rFonts w:ascii="黑体" w:hAnsi="黑体" w:eastAsia="黑体"/>
                <w:b/>
                <w:i w:val="0"/>
                <w:sz w:val="28"/>
              </w:rPr>
              <w:t>任务一　货币时间价值与资本成本计算器</w:t>
            </w:r>
          </w:p>
          <w:p w14:paraId="48EB6ADA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1. 题目要求。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编程实现复利终值/现值、普通与预付年金终值/现值、永续年金、实际年利率 EAR、贷款等额本息还款计划，以及债权资本成本（含税盾）、股权资本成本（CAPM/DDM）与加权平均资本成本 WACC 的自动计算，要求具备参数校验、AI 辅助解释与可视化输出。</w:t>
            </w:r>
          </w:p>
          <w:p w14:paraId="269BA763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2. 程序实现。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程序采用"计算层—校验层—表现层"三层解耦架构：core.py 封装 13 个纯计算函数；validators.py 实现三层参数校验规则库（12 类参数、10 类规则）与 4 类业务解释引擎；visualize.py 与 report.py 负责图表和 Excel/Markdown 输出。核心函数示例：</w:t>
            </w:r>
          </w:p>
          <w:p w14:paraId="149E6C9C">
            <w:pPr>
              <w:widowControl w:val="0"/>
              <w:shd w:val="clear" w:color="auto" w:fill="F2F2F2"/>
              <w:spacing w:before="0" w:after="0" w:line="240" w:lineRule="auto"/>
              <w:ind w:left="360"/>
              <w:jc w:val="both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def fv_compound(pv, r, n, m=1):</w:t>
            </w:r>
          </w:p>
          <w:p w14:paraId="4E3FF825">
            <w:pPr>
              <w:widowControl w:val="0"/>
              <w:shd w:val="clear" w:color="auto" w:fill="F2F2F2"/>
              <w:spacing w:before="0" w:after="0" w:line="240" w:lineRule="auto"/>
              <w:ind w:left="360"/>
              <w:jc w:val="both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"""复利终值 FV = PV * (1 + r/m) ** (n*m)"""</w:t>
            </w:r>
          </w:p>
          <w:p w14:paraId="3AB10367">
            <w:pPr>
              <w:widowControl w:val="0"/>
              <w:shd w:val="clear" w:color="auto" w:fill="F2F2F2"/>
              <w:spacing w:before="0" w:after="0" w:line="240" w:lineRule="auto"/>
              <w:ind w:left="360"/>
              <w:jc w:val="both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return pv * (1 + r / m) ** (n * m)</w:t>
            </w:r>
          </w:p>
          <w:p w14:paraId="1E773577">
            <w:pPr>
              <w:widowControl w:val="0"/>
              <w:shd w:val="clear" w:color="auto" w:fill="F2F2F2"/>
              <w:spacing w:before="0" w:after="0" w:line="240" w:lineRule="auto"/>
              <w:ind w:left="360"/>
              <w:jc w:val="both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</w:t>
            </w:r>
          </w:p>
          <w:p w14:paraId="33EA9B1D">
            <w:pPr>
              <w:widowControl w:val="0"/>
              <w:shd w:val="clear" w:color="auto" w:fill="F2F2F2"/>
              <w:spacing w:before="0" w:after="0" w:line="240" w:lineRule="auto"/>
              <w:ind w:left="360"/>
              <w:jc w:val="both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def wacc(we, ks, wd, kd_before, wp=0, kp=0, t=0.25):</w:t>
            </w:r>
          </w:p>
          <w:p w14:paraId="26A06862">
            <w:pPr>
              <w:widowControl w:val="0"/>
              <w:shd w:val="clear" w:color="auto" w:fill="F2F2F2"/>
              <w:spacing w:before="0" w:after="0" w:line="240" w:lineRule="auto"/>
              <w:ind w:left="360"/>
              <w:jc w:val="both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"""加权平均资本成本，债务必须使用税后成本"""</w:t>
            </w:r>
          </w:p>
          <w:p w14:paraId="38CF199D">
            <w:pPr>
              <w:widowControl w:val="0"/>
              <w:shd w:val="clear" w:color="auto" w:fill="F2F2F2"/>
              <w:spacing w:before="0" w:after="0" w:line="240" w:lineRule="auto"/>
              <w:ind w:left="360"/>
              <w:jc w:val="both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kd_after = kd_before * (1 - t)</w:t>
            </w:r>
            <w:bookmarkStart w:id="0" w:name="_GoBack"/>
            <w:bookmarkEnd w:id="0"/>
          </w:p>
          <w:p w14:paraId="617906D3">
            <w:pPr>
              <w:widowControl w:val="0"/>
              <w:shd w:val="clear" w:color="auto" w:fill="F2F2F2"/>
              <w:spacing w:before="0" w:after="0" w:line="240" w:lineRule="auto"/>
              <w:ind w:left="360"/>
              <w:jc w:val="both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return we * ks + wd * kd_after + wp * kp</w:t>
            </w:r>
          </w:p>
          <w:p w14:paraId="567CCA65">
            <w:pPr>
              <w:widowControl w:val="0"/>
              <w:spacing w:before="0"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债务成本求解未依赖外部财务库，而是自实现牛顿迭代法求债券 YTM，迭代 200 次不收敛时自动退化为区间二分法兜底，收敛精度达 1e-13 量级；对"期间利率与年化利率"通过计息频率参数 freq 统一换算，从设计上杜绝口径错配。</w:t>
            </w:r>
          </w:p>
          <w:p w14:paraId="5B294D5C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3. 运行结果。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程序内置 7 组测试用例并全部通过数值断言，关键结果如下：</w:t>
            </w:r>
          </w:p>
          <w:p w14:paraId="5A8377B8">
            <w:pPr>
              <w:keepNext/>
              <w:widowControl w:val="0"/>
              <w:spacing w:before="160" w:after="60" w:line="288" w:lineRule="auto"/>
              <w:jc w:val="center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表 2　任务一 货币时间价值与资本成本模块测试用例验证结果</w:t>
            </w:r>
          </w:p>
          <w:tbl>
            <w:tblPr>
              <w:tblStyle w:val="9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29"/>
              <w:gridCol w:w="1327"/>
              <w:gridCol w:w="3104"/>
              <w:gridCol w:w="1036"/>
            </w:tblGrid>
            <w:tr w14:paraId="2B8117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29" w:type="dxa"/>
                  <w:shd w:val="clear" w:color="auto" w:fill="DCE6F1"/>
                </w:tcPr>
                <w:p w14:paraId="66B6970C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19"/>
                    </w:rPr>
                    <w:t>验证项</w:t>
                  </w:r>
                </w:p>
              </w:tc>
              <w:tc>
                <w:tcPr>
                  <w:tcW w:w="1327" w:type="dxa"/>
                  <w:shd w:val="clear" w:color="auto" w:fill="DCE6F1"/>
                </w:tcPr>
                <w:p w14:paraId="5A6C39A6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19"/>
                    </w:rPr>
                    <w:t>计算结果</w:t>
                  </w:r>
                </w:p>
              </w:tc>
              <w:tc>
                <w:tcPr>
                  <w:tcW w:w="3104" w:type="dxa"/>
                  <w:shd w:val="clear" w:color="auto" w:fill="DCE6F1"/>
                </w:tcPr>
                <w:p w14:paraId="4344B4B6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19"/>
                    </w:rPr>
                    <w:t>对照基准</w:t>
                  </w:r>
                </w:p>
              </w:tc>
              <w:tc>
                <w:tcPr>
                  <w:tcW w:w="1036" w:type="dxa"/>
                  <w:shd w:val="clear" w:color="auto" w:fill="DCE6F1"/>
                </w:tcPr>
                <w:p w14:paraId="7AEE5FB9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19"/>
                    </w:rPr>
                    <w:t>结论</w:t>
                  </w:r>
                </w:p>
              </w:tc>
            </w:tr>
            <w:tr w14:paraId="768FE3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29" w:type="dxa"/>
                </w:tcPr>
                <w:p w14:paraId="22776239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年金现值系数 (P/A,5%,10)</w:t>
                  </w:r>
                </w:p>
              </w:tc>
              <w:tc>
                <w:tcPr>
                  <w:tcW w:w="1327" w:type="dxa"/>
                </w:tcPr>
                <w:p w14:paraId="72DC3067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7.721735</w:t>
                  </w:r>
                </w:p>
              </w:tc>
              <w:tc>
                <w:tcPr>
                  <w:tcW w:w="3104" w:type="dxa"/>
                </w:tcPr>
                <w:p w14:paraId="6EA55761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教材附表 7.7217</w:t>
                  </w:r>
                </w:p>
              </w:tc>
              <w:tc>
                <w:tcPr>
                  <w:tcW w:w="1036" w:type="dxa"/>
                </w:tcPr>
                <w:p w14:paraId="554AEAAB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一致</w:t>
                  </w:r>
                </w:p>
              </w:tc>
            </w:tr>
            <w:tr w14:paraId="11F6FB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29" w:type="dxa"/>
                </w:tcPr>
                <w:p w14:paraId="121B856D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债务成本（精确法/近似法）</w:t>
                  </w:r>
                </w:p>
              </w:tc>
              <w:tc>
                <w:tcPr>
                  <w:tcW w:w="1327" w:type="dxa"/>
                </w:tcPr>
                <w:p w14:paraId="7EB18FF5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7.2269% / 7.1795%</w:t>
                  </w:r>
                </w:p>
              </w:tc>
              <w:tc>
                <w:tcPr>
                  <w:tcW w:w="3104" w:type="dxa"/>
                </w:tcPr>
                <w:p w14:paraId="6A103704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双引擎互验，差 0.047pp</w:t>
                  </w:r>
                </w:p>
              </w:tc>
              <w:tc>
                <w:tcPr>
                  <w:tcW w:w="1036" w:type="dxa"/>
                </w:tcPr>
                <w:p w14:paraId="483C3244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互为验证</w:t>
                  </w:r>
                </w:p>
              </w:tc>
            </w:tr>
            <w:tr w14:paraId="40CB33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29" w:type="dxa"/>
                </w:tcPr>
                <w:p w14:paraId="1E4D662C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WACC（股权60%、债权40%）</w:t>
                  </w:r>
                </w:p>
              </w:tc>
              <w:tc>
                <w:tcPr>
                  <w:tcW w:w="1327" w:type="dxa"/>
                </w:tcPr>
                <w:p w14:paraId="4C654294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8.2743%</w:t>
                  </w:r>
                </w:p>
              </w:tc>
              <w:tc>
                <w:tcPr>
                  <w:tcW w:w="3104" w:type="dxa"/>
                </w:tcPr>
                <w:p w14:paraId="68BC79A3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贡献分解 6.3300+1.9443</w:t>
                  </w:r>
                </w:p>
              </w:tc>
              <w:tc>
                <w:tcPr>
                  <w:tcW w:w="1036" w:type="dxa"/>
                </w:tcPr>
                <w:p w14:paraId="520931DC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完全可加</w:t>
                  </w:r>
                </w:p>
              </w:tc>
            </w:tr>
            <w:tr w14:paraId="580B25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29" w:type="dxa"/>
                </w:tcPr>
                <w:p w14:paraId="59FE4961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房贷月供（100万、20年、月息0.35%）</w:t>
                  </w:r>
                </w:p>
              </w:tc>
              <w:tc>
                <w:tcPr>
                  <w:tcW w:w="1327" w:type="dxa"/>
                </w:tcPr>
                <w:p w14:paraId="39EB694A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6165.71 元</w:t>
                  </w:r>
                </w:p>
              </w:tc>
              <w:tc>
                <w:tcPr>
                  <w:tcW w:w="3104" w:type="dxa"/>
                </w:tcPr>
                <w:p w14:paraId="1412CAD6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逆向折现误差 &lt; 0.000001 元</w:t>
                  </w:r>
                </w:p>
              </w:tc>
              <w:tc>
                <w:tcPr>
                  <w:tcW w:w="1036" w:type="dxa"/>
                </w:tcPr>
                <w:p w14:paraId="075949F8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精确闭环</w:t>
                  </w:r>
                </w:p>
              </w:tc>
            </w:tr>
          </w:tbl>
          <w:p w14:paraId="6A950D14">
            <w:pPr>
              <w:widowControl w:val="0"/>
              <w:jc w:val="both"/>
            </w:pPr>
          </w:p>
          <w:p w14:paraId="7241E54C">
            <w:pPr>
              <w:widowControl w:val="0"/>
              <w:jc w:val="center"/>
            </w:pPr>
            <w:r>
              <w:drawing>
                <wp:inline distT="0" distB="0" distL="114300" distR="114300">
                  <wp:extent cx="4014470" cy="3066415"/>
                  <wp:effectExtent l="0" t="0" r="8890" b="1206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470" cy="306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8395A7">
            <w:pPr>
              <w:widowControl w:val="0"/>
              <w:spacing w:before="0" w:after="20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 xml:space="preserve">图 1　财务计算器 </w:t>
            </w:r>
            <w:r>
              <w:rPr>
                <w:rFonts w:hint="eastAsia" w:ascii="Times New Roman" w:hAnsi="Times New Roman" w:eastAsia="宋体"/>
                <w:b w:val="0"/>
                <w:i w:val="0"/>
                <w:color w:val="595959"/>
                <w:sz w:val="18"/>
                <w:lang w:val="en-US" w:eastAsia="zh-CN"/>
              </w:rPr>
              <w:t>C</w:t>
            </w: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>UI 程序运行界面</w:t>
            </w:r>
          </w:p>
          <w:p w14:paraId="76356BA1">
            <w:pPr>
              <w:keepNext/>
              <w:widowControl w:val="0"/>
              <w:spacing w:before="160" w:after="40" w:line="240" w:lineRule="auto"/>
              <w:jc w:val="center"/>
            </w:pPr>
            <w:r>
              <w:drawing>
                <wp:inline distT="0" distB="0" distL="114300" distR="114300">
                  <wp:extent cx="4499610" cy="2874645"/>
                  <wp:effectExtent l="0" t="0" r="11430" b="571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8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17F9E">
            <w:pPr>
              <w:widowControl w:val="0"/>
              <w:spacing w:before="0" w:after="20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>图 1</w:t>
            </w:r>
            <w:r>
              <w:rPr>
                <w:rFonts w:hint="eastAsia" w:ascii="Times New Roman" w:hAnsi="Times New Roman" w:eastAsia="宋体"/>
                <w:b w:val="0"/>
                <w:i w:val="0"/>
                <w:color w:val="595959"/>
                <w:sz w:val="18"/>
                <w:lang w:val="en-US" w:eastAsia="zh-CN"/>
              </w:rPr>
              <w:t>-1</w:t>
            </w: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>　财务计算器 GUI 程序运行界面（总览页）</w:t>
            </w:r>
          </w:p>
          <w:p w14:paraId="10C71996">
            <w:pPr>
              <w:keepNext/>
              <w:widowControl w:val="0"/>
              <w:spacing w:before="160" w:after="40" w:line="240" w:lineRule="auto"/>
              <w:jc w:val="center"/>
            </w:pPr>
            <w:r>
              <w:drawing>
                <wp:inline distT="0" distB="0" distL="114300" distR="114300">
                  <wp:extent cx="4499610" cy="2511425"/>
                  <wp:effectExtent l="0" t="0" r="11430" b="317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51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6112A">
            <w:pPr>
              <w:widowControl w:val="0"/>
              <w:spacing w:before="0" w:after="20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>图 2　普通年金现金流时间轴与折现贡献：越远期的现金流现值衰减越快</w:t>
            </w:r>
          </w:p>
          <w:p w14:paraId="6D4E8623">
            <w:pPr>
              <w:keepNext/>
              <w:widowControl w:val="0"/>
              <w:spacing w:before="160" w:after="40" w:line="240" w:lineRule="auto"/>
              <w:jc w:val="center"/>
            </w:pPr>
            <w:r>
              <w:drawing>
                <wp:inline distT="0" distB="0" distL="114300" distR="114300">
                  <wp:extent cx="4499610" cy="1708785"/>
                  <wp:effectExtent l="0" t="0" r="11430" b="1333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709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61A60">
            <w:pPr>
              <w:widowControl w:val="0"/>
              <w:spacing w:before="0" w:after="20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>图 3　WACC 资本结构分解：各来源成本对比、税盾效应与加权贡献</w:t>
            </w:r>
          </w:p>
          <w:p w14:paraId="0EA3AACE">
            <w:pPr>
              <w:keepNext/>
              <w:widowControl w:val="0"/>
              <w:spacing w:before="160" w:after="40" w:line="240" w:lineRule="auto"/>
              <w:jc w:val="center"/>
            </w:pPr>
            <w:r>
              <w:drawing>
                <wp:inline distT="0" distB="0" distL="114300" distR="114300">
                  <wp:extent cx="4499610" cy="2199640"/>
                  <wp:effectExtent l="0" t="0" r="11430" b="1016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200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E8D11">
            <w:pPr>
              <w:widowControl w:val="0"/>
              <w:spacing w:before="0" w:after="20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>图 4　不同负债比例下的 WACC（U 型曲线，40% 负债率处最低）</w:t>
            </w:r>
          </w:p>
          <w:p w14:paraId="5FF570FE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4. 结果分析。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资本结构模拟显示 WACC 呈典型 U 型曲线：负债率 40% 时 WACC 最低（8.274%），超过 60% 后因财务风险加速上升（80% 负债时达 10.196%），定量验证了"适度负债降低资本成本、过度负债反而抬高成本"的资本结构理论；债务税前成本 6.48% 降至税后 4.86%，直观体现利息税盾对债务融资的补贴作用。程序运行界面与部分输出图表如下：</w:t>
            </w:r>
          </w:p>
          <w:p w14:paraId="1BC4BC05">
            <w:pPr>
              <w:keepNext/>
              <w:widowControl w:val="0"/>
              <w:pBdr>
                <w:bottom w:val="single" w:color="A6A6A6" w:sz="6" w:space="3"/>
              </w:pBdr>
              <w:spacing w:before="320" w:after="160" w:line="312" w:lineRule="auto"/>
              <w:jc w:val="both"/>
            </w:pPr>
            <w:r>
              <w:rPr>
                <w:rFonts w:ascii="黑体" w:hAnsi="黑体" w:eastAsia="黑体"/>
                <w:b/>
                <w:i w:val="0"/>
                <w:sz w:val="28"/>
              </w:rPr>
              <w:t>任务二　投资项目全流程评价系统</w:t>
            </w:r>
          </w:p>
          <w:p w14:paraId="68052CD4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1. 题目要求。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构建 NPV、IRR、年金净流量、盈利指数、回收期等多指标评价模型，实现互斥方案优选、资本限额下的项目组合决策与投资敏感性分析，并由 AI 辅助生成项目现金流数据与决策建议，输出对比图表与评价报告。</w:t>
            </w:r>
          </w:p>
          <w:p w14:paraId="3C630FC1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2. 程序实现。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核心算法在 finance_core.py 中实现：NPV 支持任意期数不等额现金流；IRR 采用"网格扫描 + Brent 精解"策略，在 (-99%, 500%] 区间以 2000 点扫描变号区间后逐段精确定位，可同时捕获非常规现金流的全部多重实根；寿命不等的互斥方案用年金净流量法（ANCF = NPV·r / [1-(1+r)^-n]）统一口径；资本限额组合同时实现排序法（PI 贪心）、组合穷举（DFS+剪枝）与 0-1 背包动态规划三种方法交叉验证。AI 数据生成采用"行业原型约束 + 固定种子参数化采样"，保证数据商业上合理且完全可复现；决策建议以规则引擎为主通道（8 类风险规则），大模型仅作文案润色，确保结论零幻觉、可复核。</w:t>
            </w:r>
          </w:p>
          <w:p w14:paraId="0A3ABF6F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3. 运行结果。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系统一键运行 6 个教学案例，输出 39 张图表和 Markdown/Word 双格式评价报告，57 项单元测试断言全部通过。关键决策结论如下：</w:t>
            </w:r>
          </w:p>
          <w:p w14:paraId="1B67CFA0">
            <w:pPr>
              <w:keepNext/>
              <w:widowControl w:val="0"/>
              <w:spacing w:before="160" w:after="60" w:line="288" w:lineRule="auto"/>
              <w:jc w:val="center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表 3　任务二 六个教学案例关键决策结论汇总</w:t>
            </w:r>
          </w:p>
          <w:tbl>
            <w:tblPr>
              <w:tblStyle w:val="9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60"/>
              <w:gridCol w:w="2764"/>
              <w:gridCol w:w="2772"/>
            </w:tblGrid>
            <w:tr w14:paraId="7BDFBA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  <w:shd w:val="clear" w:color="auto" w:fill="DCE6F1"/>
                </w:tcPr>
                <w:p w14:paraId="4504159B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19"/>
                    </w:rPr>
                    <w:t>案例</w:t>
                  </w:r>
                </w:p>
              </w:tc>
              <w:tc>
                <w:tcPr>
                  <w:tcW w:w="2841" w:type="dxa"/>
                  <w:shd w:val="clear" w:color="auto" w:fill="DCE6F1"/>
                </w:tcPr>
                <w:p w14:paraId="7281A1F1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19"/>
                    </w:rPr>
                    <w:t>关键结果</w:t>
                  </w:r>
                </w:p>
              </w:tc>
              <w:tc>
                <w:tcPr>
                  <w:tcW w:w="2841" w:type="dxa"/>
                  <w:shd w:val="clear" w:color="auto" w:fill="DCE6F1"/>
                </w:tcPr>
                <w:p w14:paraId="606B29D8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19"/>
                    </w:rPr>
                    <w:t>决策结论</w:t>
                  </w:r>
                </w:p>
              </w:tc>
            </w:tr>
            <w:tr w14:paraId="7A4DEC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3BDB7793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CASE-2 互斥优选（规模冲突）</w:t>
                  </w:r>
                </w:p>
              </w:tc>
              <w:tc>
                <w:tcPr>
                  <w:tcW w:w="2841" w:type="dxa"/>
                </w:tcPr>
                <w:p w14:paraId="08FF1F6F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IRR 法选 P、NPV 法选 Q，增量 IRR = 14.25% &gt; 10%</w:t>
                  </w:r>
                </w:p>
              </w:tc>
              <w:tc>
                <w:tcPr>
                  <w:tcW w:w="2841" w:type="dxa"/>
                </w:tcPr>
                <w:p w14:paraId="3311DC28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以 NPV 为准选 Q</w:t>
                  </w:r>
                </w:p>
              </w:tc>
            </w:tr>
            <w:tr w14:paraId="5C50AA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73B55BBB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CASE-2 互斥优选（寿命冲突）</w:t>
                  </w:r>
                </w:p>
              </w:tc>
              <w:tc>
                <w:tcPr>
                  <w:tcW w:w="2841" w:type="dxa"/>
                </w:tcPr>
                <w:p w14:paraId="4F96CF91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NPV 法选 Y、年金净流量法选 X</w:t>
                  </w:r>
                </w:p>
              </w:tc>
              <w:tc>
                <w:tcPr>
                  <w:tcW w:w="2841" w:type="dxa"/>
                </w:tcPr>
                <w:p w14:paraId="0689D01F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寿命不等必须用 ANCF，选 X</w:t>
                  </w:r>
                </w:p>
              </w:tc>
            </w:tr>
            <w:tr w14:paraId="44DB64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472FA735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CASE-3 资本限额 3000 万</w:t>
                  </w:r>
                </w:p>
              </w:tc>
              <w:tc>
                <w:tcPr>
                  <w:tcW w:w="2841" w:type="dxa"/>
                </w:tcPr>
                <w:p w14:paraId="5D34AB49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排序法仅得 1370 万且闲置 200 万额度</w:t>
                  </w:r>
                </w:p>
              </w:tc>
              <w:tc>
                <w:tcPr>
                  <w:tcW w:w="2841" w:type="dxa"/>
                </w:tcPr>
                <w:p w14:paraId="553CC34C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组合穷举得 1460 万（B+C），多创造 90 万</w:t>
                  </w:r>
                </w:p>
              </w:tc>
            </w:tr>
            <w:tr w14:paraId="257F1F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22421F97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CASE-4 非常规现金流</w:t>
                  </w:r>
                </w:p>
              </w:tc>
              <w:tc>
                <w:tcPr>
                  <w:tcW w:w="2841" w:type="dxa"/>
                </w:tcPr>
                <w:p w14:paraId="16BFC7D4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UNC-A 双重 IRR 为 10% 与 60%，NPV 随折现率先升后降</w:t>
                  </w:r>
                </w:p>
              </w:tc>
              <w:tc>
                <w:tcPr>
                  <w:tcW w:w="2841" w:type="dxa"/>
                </w:tcPr>
                <w:p w14:paraId="6E26BC02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多重 IRR 时只能以 NPV 判别可行性</w:t>
                  </w:r>
                </w:p>
              </w:tc>
            </w:tr>
            <w:tr w14:paraId="722E2E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7B1FD259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CASE-5 敏感性对比</w:t>
                  </w:r>
                </w:p>
              </w:tc>
              <w:tc>
                <w:tcPr>
                  <w:tcW w:w="2841" w:type="dxa"/>
                </w:tcPr>
                <w:p w14:paraId="22930BD6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强方案安全边际 6.00pp；弱方案仅 0.70pp，折现率升至 15% 时 NPV 由 +139.35 转为 -737.07 万元</w:t>
                  </w:r>
                </w:p>
              </w:tc>
              <w:tc>
                <w:tcPr>
                  <w:tcW w:w="2841" w:type="dxa"/>
                </w:tcPr>
                <w:p w14:paraId="1E6693AB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弱方案抗风险能力极弱，应谨慎或分期投入</w:t>
                  </w:r>
                </w:p>
              </w:tc>
            </w:tr>
          </w:tbl>
          <w:p w14:paraId="75D2E308">
            <w:pPr>
              <w:widowControl w:val="0"/>
              <w:jc w:val="both"/>
            </w:pPr>
          </w:p>
          <w:p w14:paraId="5A6BC8DA">
            <w:pPr>
              <w:widowControl w:val="0"/>
              <w:jc w:val="both"/>
            </w:pPr>
          </w:p>
          <w:p w14:paraId="5CC0EFDA">
            <w:pPr>
              <w:keepNext/>
              <w:widowControl w:val="0"/>
              <w:spacing w:before="160" w:after="40" w:line="240" w:lineRule="auto"/>
              <w:jc w:val="center"/>
            </w:pPr>
            <w:r>
              <w:drawing>
                <wp:inline distT="0" distB="0" distL="114300" distR="114300">
                  <wp:extent cx="4499610" cy="2774315"/>
                  <wp:effectExtent l="0" t="0" r="11430" b="1460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774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BB696">
            <w:pPr>
              <w:widowControl w:val="0"/>
              <w:spacing w:before="0" w:after="20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>图 5　CASE-2 互斥方案 NPV 对比：IRR 与 NPV 排序冲突时以 NPV 为准</w:t>
            </w:r>
          </w:p>
          <w:p w14:paraId="4EC8ADCB">
            <w:pPr>
              <w:keepNext/>
              <w:widowControl w:val="0"/>
              <w:spacing w:before="160" w:after="40" w:line="240" w:lineRule="auto"/>
              <w:jc w:val="center"/>
            </w:pPr>
            <w:r>
              <w:drawing>
                <wp:inline distT="0" distB="0" distL="114300" distR="114300">
                  <wp:extent cx="4499610" cy="2044700"/>
                  <wp:effectExtent l="0" t="0" r="11430" b="1270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044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FCFE9">
            <w:pPr>
              <w:widowControl w:val="0"/>
              <w:spacing w:before="0" w:after="20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>图 6　CASE-3 资本限额下的项目组合占用：组合穷举得全局最优 1460 万元</w:t>
            </w:r>
          </w:p>
          <w:p w14:paraId="5F9DAC4C">
            <w:pPr>
              <w:keepNext/>
              <w:widowControl w:val="0"/>
              <w:spacing w:before="160" w:after="40" w:line="240" w:lineRule="auto"/>
              <w:jc w:val="center"/>
            </w:pPr>
            <w:r>
              <w:drawing>
                <wp:inline distT="0" distB="0" distL="114300" distR="114300">
                  <wp:extent cx="4499610" cy="2885440"/>
                  <wp:effectExtent l="0" t="0" r="11430" b="1016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886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80D7D">
            <w:pPr>
              <w:widowControl w:val="0"/>
              <w:spacing w:before="0" w:after="20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>图 7　CASE-5 强方案敏感性龙卷风图：安全边际 6.00pp，抗风险能力较强</w:t>
            </w:r>
          </w:p>
          <w:p w14:paraId="58876B34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4. 结果分析。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实验直观呈现了教材中的两个重要结论：其一，IRR 与 NPV 在互斥方案上可能出现排序冲突，根源在于再投资假设不同，此时应以价值增量（NPV 或增量 IRR）为决策依据；其二，排序法隐含"资金可任意分割"假设，当项目不可分割时，高 PI 的小额项目会先把额度"打碎"，导致全局次优，这正是组合穷举法多创造 90 万元净现值的原因。部分输出图表如下：</w:t>
            </w:r>
          </w:p>
          <w:p w14:paraId="2678AE7A">
            <w:pPr>
              <w:keepNext/>
              <w:widowControl w:val="0"/>
              <w:pBdr>
                <w:bottom w:val="single" w:color="A6A6A6" w:sz="6" w:space="3"/>
              </w:pBdr>
              <w:spacing w:before="320" w:after="160" w:line="312" w:lineRule="auto"/>
              <w:jc w:val="both"/>
            </w:pPr>
            <w:r>
              <w:rPr>
                <w:rFonts w:ascii="黑体" w:hAnsi="黑体" w:eastAsia="黑体"/>
                <w:b/>
                <w:i w:val="0"/>
                <w:sz w:val="28"/>
              </w:rPr>
              <w:t>任务三　综合成本与经营决策分析平台</w:t>
            </w:r>
          </w:p>
          <w:p w14:paraId="225CF382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1. 题目要求。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现生产费用归集与分配（含辅助生产三法、作业成本法）、品种法/分批法/分步法成本计算、标准成本差异分析、混合成本分解、本量利分析（保本点、安全边际、经营杠杆、利润敏感性），以及追加订单、约束资源利用、定价、自制外购等短期经营决策，输出图表、Excel 底稿与分析报告。</w:t>
            </w:r>
          </w:p>
          <w:p w14:paraId="18B6292A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2. 程序实现。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平台按教材第 7/8/9 章组织 10 个功能模块，51 个单元测试全部以教材手算值为基准（而非运行结果快照），保证测试能够检出公式错误而非仅发现"结果变了"。针对成本核算中常见的两类误差，专门实现了会计舍入纪律模块：以 Decimal + ROUND_HALF_UP 替代 Python 内置银行家舍入；坚持"先算后舍"，中间过程保持全精度、仅在报表层舍入到分；互补两项采用"倒挤"消尾差，使勾稽关系在"分"位严格成立。各模块同时自动校验勾稽关系，如"价格类差异 + 数量类差异 = 总差异""利润率 = 安全边际率 × 边际贡献率""DOL = 1 ÷ 安全边际率"等。</w:t>
            </w:r>
          </w:p>
          <w:p w14:paraId="71208BF4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3. 运行结果。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平台运行两大场景，输出 17 张图表、2 份 Excel 底稿和 2 份场景分析报告。场景一关键结果：单位边际贡献 144.00 元、边际贡献率 37.89%，保本量 8333.33 件、保本额 316.67 万元；当前销量下安全边际率仅 12.28%，按五级评价属于"要警惕"区间，经营杠杆系数 8.14，利润对收入变动高度敏感。作业成本法与传统成本法对比显示部分产品存在明显的"成本交叉补贴"：传统法以单一工时标准分摊制造费用，使高复杂度产品的成本被低估，可能误导定价与接单决策。差异诊断模块定位影响最大的差异为甲产品直接材料超支 2540.00 元（差异率 4.2%），属"价格主导"型不利差异，建议由采购部门牵头处理。场景二对追加特殊订单（含机会成本）、约束资源排序与线性规划、成本加成与目标成本定价、自制外购与亏损产品停产等决策给出了量化对比与最优方案。</w:t>
            </w:r>
          </w:p>
          <w:p w14:paraId="72836BAE">
            <w:pPr>
              <w:keepNext/>
              <w:widowControl w:val="0"/>
              <w:spacing w:before="160" w:after="40" w:line="240" w:lineRule="auto"/>
              <w:jc w:val="center"/>
            </w:pPr>
            <w:r>
              <w:drawing>
                <wp:inline distT="0" distB="0" distL="114300" distR="114300">
                  <wp:extent cx="4499610" cy="1902460"/>
                  <wp:effectExtent l="0" t="0" r="11430" b="254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90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CDC18">
            <w:pPr>
              <w:widowControl w:val="0"/>
              <w:spacing w:before="0" w:after="20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>图 8　本量利分析图：保本点、安全边际与利润区间</w:t>
            </w:r>
          </w:p>
          <w:p w14:paraId="3A1CFBD7">
            <w:pPr>
              <w:keepNext/>
              <w:widowControl w:val="0"/>
              <w:spacing w:before="160" w:after="40" w:line="240" w:lineRule="auto"/>
              <w:jc w:val="center"/>
            </w:pPr>
            <w:r>
              <w:drawing>
                <wp:inline distT="0" distB="0" distL="114300" distR="114300">
                  <wp:extent cx="4499610" cy="2967990"/>
                  <wp:effectExtent l="0" t="0" r="11430" b="381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968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EA757">
            <w:pPr>
              <w:widowControl w:val="0"/>
              <w:spacing w:before="0" w:after="20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>图 9　作业成本法与传统成本法单位成本对比：揭示成本交叉补贴现象</w:t>
            </w:r>
          </w:p>
          <w:p w14:paraId="1F210A4C">
            <w:pPr>
              <w:keepNext/>
              <w:widowControl w:val="0"/>
              <w:spacing w:before="160" w:after="40" w:line="240" w:lineRule="auto"/>
              <w:jc w:val="center"/>
            </w:pPr>
            <w:r>
              <w:drawing>
                <wp:inline distT="0" distB="0" distL="114300" distR="114300">
                  <wp:extent cx="4499610" cy="2868295"/>
                  <wp:effectExtent l="0" t="0" r="11430" b="1206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868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3599F">
            <w:pPr>
              <w:widowControl w:val="0"/>
              <w:spacing w:before="0" w:after="20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>图 10　标准成本差异的价差/量差分解对比</w:t>
            </w:r>
          </w:p>
          <w:p w14:paraId="776EE07F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4. 结果分析。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本任务使我体会到管理会计结论对"口径与顺序"的敏感：同样是分摊制造费用，ABC 法与传统法会给出方向相反的产品盈利信号；同样 12.28% 的安全边际率，配合 8.14 的经营杠杆意味着收入每下滑 1% 利润将下滑约 8.1%——这类结论只有把本量利关系与杠杆计算串联起来才具有决策意义。部分输出图表如下：</w:t>
            </w:r>
          </w:p>
          <w:p w14:paraId="532E0E74">
            <w:pPr>
              <w:keepNext/>
              <w:widowControl w:val="0"/>
              <w:pBdr>
                <w:bottom w:val="single" w:color="A6A6A6" w:sz="6" w:space="3"/>
              </w:pBdr>
              <w:spacing w:before="320" w:after="160" w:line="312" w:lineRule="auto"/>
              <w:jc w:val="both"/>
            </w:pPr>
            <w:r>
              <w:rPr>
                <w:rFonts w:ascii="黑体" w:hAnsi="黑体" w:eastAsia="黑体"/>
                <w:b/>
                <w:i w:val="0"/>
                <w:sz w:val="28"/>
              </w:rPr>
              <w:t>任务四　财务报表分析报告</w:t>
            </w:r>
          </w:p>
          <w:p w14:paraId="25B90FEC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1. 题目要求。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采集上市公司近五年三张主表数据，编程完成项目结构分析（共同比/垂直分析）、项目趋势分析（定基指数 + 环比增长率 + CAGR）、财务指标分析（偿债、营运、盈利、发展、现金质量共 40 项）与杜邦分析（三因素 + 五因素 + 连环替代法归因），并生成图文分析报告。</w:t>
            </w:r>
          </w:p>
          <w:p w14:paraId="26A230B0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2. 程序实现与数据质量控制。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分析对象为美的集团（000333.SZ），分析区间 2021—2025 年。数据采集采用"东方财富 F10 接口（主）+ 新浪财经报表页（核对）"双源方案，程序自动完成 7 项会计恒等式校验（五年差额全部为 0）和 140 个科目-年度组合的交叉核验（133 个完全一致，7 个差异项均已定位为报表科目重分类等原因）；周转率、ROA、ROE 一律采用平均余额口径，并以营业收入为分子，保证"销售净利率 × 总资产周转率 = ROA"严格成立、杜邦分解无残差。</w:t>
            </w:r>
          </w:p>
          <w:p w14:paraId="138BC2D5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3. 运行结果。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程序产出含 15 个工作表的分析结果汇总、12 张图表和完整的 HTML 分析报告。主要结论如下：</w:t>
            </w:r>
          </w:p>
          <w:p w14:paraId="49F0EFEA">
            <w:pPr>
              <w:keepNext/>
              <w:widowControl w:val="0"/>
              <w:spacing w:before="160" w:after="60" w:line="288" w:lineRule="auto"/>
              <w:jc w:val="center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表 4　美的集团 2025 年关键财务指标与分析结论</w:t>
            </w:r>
          </w:p>
          <w:tbl>
            <w:tblPr>
              <w:tblStyle w:val="9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23"/>
              <w:gridCol w:w="3776"/>
              <w:gridCol w:w="3197"/>
            </w:tblGrid>
            <w:tr w14:paraId="65B994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1323" w:type="dxa"/>
                  <w:shd w:val="clear" w:color="auto" w:fill="DCE6F1"/>
                </w:tcPr>
                <w:p w14:paraId="48A4FAE0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19"/>
                    </w:rPr>
                    <w:t>维度</w:t>
                  </w:r>
                </w:p>
              </w:tc>
              <w:tc>
                <w:tcPr>
                  <w:tcW w:w="3776" w:type="dxa"/>
                  <w:shd w:val="clear" w:color="auto" w:fill="DCE6F1"/>
                </w:tcPr>
                <w:p w14:paraId="5CDE00BC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19"/>
                    </w:rPr>
                    <w:t>2025 年关键数据</w:t>
                  </w:r>
                </w:p>
              </w:tc>
              <w:tc>
                <w:tcPr>
                  <w:tcW w:w="3197" w:type="dxa"/>
                  <w:shd w:val="clear" w:color="auto" w:fill="DCE6F1"/>
                </w:tcPr>
                <w:p w14:paraId="2391C569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19"/>
                    </w:rPr>
                    <w:t>解读</w:t>
                  </w:r>
                </w:p>
              </w:tc>
            </w:tr>
            <w:tr w14:paraId="11C198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23" w:type="dxa"/>
                </w:tcPr>
                <w:p w14:paraId="6F94416B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成长性</w:t>
                  </w:r>
                </w:p>
              </w:tc>
              <w:tc>
                <w:tcPr>
                  <w:tcW w:w="3776" w:type="dxa"/>
                </w:tcPr>
                <w:p w14:paraId="3072E754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营业收入 4564.52 亿元（+12.11%），归母净利润 439.45 亿元（+14.03%），五年 CAGR 分别为 7.5% 与 11.4%</w:t>
                  </w:r>
                </w:p>
              </w:tc>
              <w:tc>
                <w:tcPr>
                  <w:tcW w:w="3197" w:type="dxa"/>
                </w:tcPr>
                <w:p w14:paraId="402AC455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利润增速持续快于收入，盈利</w:t>
                  </w:r>
                  <w:r>
                    <w:rPr>
                      <w:rFonts w:hint="eastAsia" w:ascii="Times New Roman" w:hAnsi="Times New Roman" w:eastAsia="宋体"/>
                      <w:b w:val="0"/>
                      <w:i w:val="0"/>
                      <w:sz w:val="19"/>
                      <w:lang w:val="en-US" w:eastAsia="zh-CN"/>
                    </w:rPr>
                    <w:t>4</w:t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质量改善</w:t>
                  </w:r>
                </w:p>
              </w:tc>
            </w:tr>
            <w:tr w14:paraId="3998EF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23" w:type="dxa"/>
                </w:tcPr>
                <w:p w14:paraId="0ACC0A8D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盈利能力</w:t>
                  </w:r>
                </w:p>
              </w:tc>
              <w:tc>
                <w:tcPr>
                  <w:tcW w:w="3776" w:type="dxa"/>
                </w:tcPr>
                <w:p w14:paraId="07DCF797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毛利率 26.39%，销售净利率 9.75%（五年连续提升），ROE 19.19%</w:t>
                  </w:r>
                </w:p>
              </w:tc>
              <w:tc>
                <w:tcPr>
                  <w:tcW w:w="3197" w:type="dxa"/>
                </w:tcPr>
                <w:p w14:paraId="6105BFF4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净利率上行，但 ROE 微降</w:t>
                  </w:r>
                </w:p>
              </w:tc>
            </w:tr>
            <w:tr w14:paraId="2D014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23" w:type="dxa"/>
                </w:tcPr>
                <w:p w14:paraId="43C33E2C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偿债能力</w:t>
                  </w:r>
                </w:p>
              </w:tc>
              <w:tc>
                <w:tcPr>
                  <w:tcW w:w="3776" w:type="dxa"/>
                </w:tcPr>
                <w:p w14:paraId="49EB63BA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资产负债率 61.17%（五年下行），利息保障倍数 25.01 倍</w:t>
                  </w:r>
                </w:p>
              </w:tc>
              <w:tc>
                <w:tcPr>
                  <w:tcW w:w="3197" w:type="dxa"/>
                </w:tcPr>
                <w:p w14:paraId="07E525B3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资本结构持续优化，偿债风险低</w:t>
                  </w:r>
                </w:p>
              </w:tc>
            </w:tr>
            <w:tr w14:paraId="112384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23" w:type="dxa"/>
                </w:tcPr>
                <w:p w14:paraId="14399154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营运效率</w:t>
                  </w:r>
                </w:p>
              </w:tc>
              <w:tc>
                <w:tcPr>
                  <w:tcW w:w="3776" w:type="dxa"/>
                </w:tcPr>
                <w:p w14:paraId="3EB2D80F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总资产周转率 0.75 次，现金转换周期 -35.57 天</w:t>
                  </w:r>
                </w:p>
              </w:tc>
              <w:tc>
                <w:tcPr>
                  <w:tcW w:w="3197" w:type="dxa"/>
                </w:tcPr>
                <w:p w14:paraId="30DC9BBA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负营运资本经营，占用上游资金</w:t>
                  </w:r>
                </w:p>
              </w:tc>
            </w:tr>
            <w:tr w14:paraId="4AAE3E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23" w:type="dxa"/>
                </w:tcPr>
                <w:p w14:paraId="0953291E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现金质量</w:t>
                  </w:r>
                </w:p>
              </w:tc>
              <w:tc>
                <w:tcPr>
                  <w:tcW w:w="3776" w:type="dxa"/>
                </w:tcPr>
                <w:p w14:paraId="576922F9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净利润现金含量 119.82%，自由现金流 422.04 亿元</w:t>
                  </w:r>
                </w:p>
              </w:tc>
              <w:tc>
                <w:tcPr>
                  <w:tcW w:w="3197" w:type="dxa"/>
                </w:tcPr>
                <w:p w14:paraId="063D573F">
                  <w:pPr>
                    <w:widowControl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sz w:val="19"/>
                    </w:rPr>
                    <w:t>利润有充足的经营现金流支撑</w:t>
                  </w:r>
                </w:p>
              </w:tc>
            </w:tr>
          </w:tbl>
          <w:p w14:paraId="10102B54">
            <w:pPr>
              <w:widowControl w:val="0"/>
              <w:jc w:val="both"/>
            </w:pPr>
          </w:p>
          <w:p w14:paraId="1C1C107E">
            <w:pPr>
              <w:widowControl w:val="0"/>
              <w:jc w:val="both"/>
            </w:pPr>
          </w:p>
          <w:p w14:paraId="2DC3BAFA">
            <w:pPr>
              <w:keepNext/>
              <w:widowControl w:val="0"/>
              <w:spacing w:before="160" w:after="40" w:line="240" w:lineRule="auto"/>
              <w:jc w:val="center"/>
            </w:pPr>
            <w:r>
              <w:drawing>
                <wp:inline distT="0" distB="0" distL="114300" distR="114300">
                  <wp:extent cx="4499610" cy="1632585"/>
                  <wp:effectExtent l="0" t="0" r="11430" b="1333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633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DD1E7D">
            <w:pPr>
              <w:widowControl w:val="0"/>
              <w:spacing w:before="0" w:after="20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>图 11　美的集团 2021—2025 年营业收入与利润趋势</w:t>
            </w:r>
          </w:p>
          <w:p w14:paraId="2CBC23FF">
            <w:pPr>
              <w:keepNext/>
              <w:widowControl w:val="0"/>
              <w:spacing w:before="160" w:after="40" w:line="240" w:lineRule="auto"/>
              <w:jc w:val="center"/>
            </w:pPr>
            <w:r>
              <w:drawing>
                <wp:inline distT="0" distB="0" distL="114300" distR="114300">
                  <wp:extent cx="4499610" cy="1634490"/>
                  <wp:effectExtent l="0" t="0" r="11430" b="1143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634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E3D06">
            <w:pPr>
              <w:widowControl w:val="0"/>
              <w:spacing w:before="0" w:after="20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>图 12　杜邦三因素分解趋势：销售净利率、总资产周转率与权益乘数</w:t>
            </w:r>
          </w:p>
          <w:p w14:paraId="0B5BF2EF">
            <w:pPr>
              <w:keepNext/>
              <w:widowControl w:val="0"/>
              <w:spacing w:before="160" w:after="40" w:line="240" w:lineRule="auto"/>
              <w:jc w:val="center"/>
            </w:pPr>
            <w:r>
              <w:drawing>
                <wp:inline distT="0" distB="0" distL="114300" distR="114300">
                  <wp:extent cx="4499610" cy="2033270"/>
                  <wp:effectExtent l="0" t="0" r="11430" b="889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033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9099D">
            <w:pPr>
              <w:widowControl w:val="0"/>
              <w:spacing w:before="0" w:after="20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>图 13　杜邦三因素连环替代法归因瀑布图（2024→2025）：权益乘数下降是 ROE 微降主因</w:t>
            </w:r>
          </w:p>
          <w:p w14:paraId="43DF4C62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4. 结果分析。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连环替代法归因显示，2025 年 ROE 较 2024 年下降约 0.10 个百分点，其中权益乘数下降贡献 -0.72pp（去杠杆效应），销售净利率提升贡献 +0.47pp、总资产周转率微升贡献 +0.15pp。可见 ROE 的小幅下滑并非经营恶化，而是主动降低财务杠杆的结果，属于"以杠杆换安全"的结构性变化；经营端（净利率与周转率）实际仍在改善。部分输出图表如下：</w:t>
            </w:r>
          </w:p>
          <w:p w14:paraId="67BF9C4A">
            <w:pPr>
              <w:keepNext/>
              <w:widowControl w:val="0"/>
              <w:pBdr>
                <w:bottom w:val="single" w:color="A6A6A6" w:sz="6" w:space="3"/>
              </w:pBdr>
              <w:spacing w:before="320" w:after="160" w:line="312" w:lineRule="auto"/>
              <w:jc w:val="both"/>
            </w:pPr>
            <w:r>
              <w:rPr>
                <w:rFonts w:ascii="黑体" w:hAnsi="黑体" w:eastAsia="黑体"/>
                <w:b/>
                <w:i w:val="0"/>
                <w:sz w:val="28"/>
              </w:rPr>
              <w:t>任务五　财务预测与预算管理</w:t>
            </w:r>
          </w:p>
          <w:p w14:paraId="1BCE9C8C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1. 题目要求。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基于永鼎股份（600105）2016—2025 年十年财务数据，完成历史财务分析、2026 年经营预测与全面预算编制（预计利润表、现金流预算、季度销售预算、情景预算与敏感性分析），并生成实验报告。</w:t>
            </w:r>
          </w:p>
          <w:p w14:paraId="15E4AAB0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2. 程序实现。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全流程分为八个阶段：数据抓取 → 清洗与口径校验 → 十年历史分析 → 多模型预测 → 全面预算 → 可视化 → Word 报告生成 → 报告质检，全部结论与图表均由程序产出、可一键复现。会计口径上，"其他经营损益净额"科目由"营业利润 = 营业收入 − 营业总成本 + 其他经营损益净额"倒轧得到（该科目占收入比重 2.7%~7.7%，若遗漏会使营业利润被系统性低估），十年口径残差实测为 0。预测采用 5 类模型（CAGR、OLS 线性趋势、Holt 阻尼趋势指数平滑、ARIMA(1,1,1)、近 5 年移动平均），以 2022—2025 年为起点滚动回测，按回测误差倒数加权组合，并合成"回测误差 + 模型分歧"给出 90% 预测区间；预算采用成本性态分解法（水平值 OLS 存在伪回归被否决），预计利润表用"利润锚反推 + 结构校准"保证会计恒等关系自洽。</w:t>
            </w:r>
          </w:p>
          <w:p w14:paraId="25A16ACE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3. 运行结果。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年预算关键结果：营业收入 52.66 亿元（90% 预测区间 43.99~61.32 亿元）；变动成本率 0.8964、固定成本 6.54 亿元；保本点销售额 40.23 亿元，安全边际率 23.60%；经营杠杆系数 DOL = 4.24，即收入每变动 1%，利润同向变动约 4.24%；归母净利润 1.58 亿元（归母净利率 3.01%）。敏感性矩阵显示营业收入与变动成本率是对利润最敏感的两个假设；情景预算给出悲观/基准/乐观三档利润路径。</w:t>
            </w:r>
          </w:p>
          <w:p w14:paraId="3494835F">
            <w:pPr>
              <w:keepNext/>
              <w:widowControl w:val="0"/>
              <w:spacing w:before="160" w:after="40" w:line="240" w:lineRule="auto"/>
              <w:jc w:val="center"/>
            </w:pPr>
            <w:r>
              <w:drawing>
                <wp:inline distT="0" distB="0" distL="114300" distR="114300">
                  <wp:extent cx="4499610" cy="2162810"/>
                  <wp:effectExtent l="0" t="0" r="11430" b="127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163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DE9B1">
            <w:pPr>
              <w:widowControl w:val="0"/>
              <w:spacing w:before="0" w:after="20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>图 14　永鼎股份营业收入多模型组合预测与 90% 预测区间</w:t>
            </w:r>
          </w:p>
          <w:p w14:paraId="1AF65BF8">
            <w:pPr>
              <w:keepNext/>
              <w:widowControl w:val="0"/>
              <w:spacing w:before="160" w:after="40" w:line="240" w:lineRule="auto"/>
              <w:jc w:val="center"/>
            </w:pPr>
            <w:r>
              <w:drawing>
                <wp:inline distT="0" distB="0" distL="114300" distR="114300">
                  <wp:extent cx="4499610" cy="1435735"/>
                  <wp:effectExtent l="0" t="0" r="11430" b="1206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435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7D5CC">
            <w:pPr>
              <w:widowControl w:val="0"/>
              <w:spacing w:before="0" w:after="20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>图 15　五类预测模型 2026E 预测值与组合权重（橙色柱为该指标权重最高模型）</w:t>
            </w:r>
          </w:p>
          <w:p w14:paraId="01C06990">
            <w:pPr>
              <w:keepNext/>
              <w:widowControl w:val="0"/>
              <w:spacing w:before="160" w:after="40" w:line="240" w:lineRule="auto"/>
              <w:jc w:val="center"/>
            </w:pPr>
            <w:r>
              <w:drawing>
                <wp:inline distT="0" distB="0" distL="114300" distR="114300">
                  <wp:extent cx="4499610" cy="1820545"/>
                  <wp:effectExtent l="0" t="0" r="11430" b="8255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821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0DDA">
            <w:pPr>
              <w:widowControl w:val="0"/>
              <w:spacing w:before="0" w:after="20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>图 16　2026 年悲观/基准/乐观三档情景预算利润路径</w:t>
            </w:r>
          </w:p>
          <w:p w14:paraId="00573E98">
            <w:pPr>
              <w:keepNext/>
              <w:widowControl w:val="0"/>
              <w:spacing w:before="160" w:after="40" w:line="240" w:lineRule="auto"/>
              <w:jc w:val="center"/>
            </w:pPr>
            <w:r>
              <w:drawing>
                <wp:inline distT="0" distB="0" distL="114300" distR="114300">
                  <wp:extent cx="4499610" cy="2320290"/>
                  <wp:effectExtent l="0" t="0" r="11430" b="1143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320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55DB0">
            <w:pPr>
              <w:widowControl w:val="0"/>
              <w:spacing w:before="0" w:after="20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8"/>
              </w:rPr>
              <w:t>图 17　永鼎股份 2026 年预算本量利分析：保本点 40.23 亿元、安全边际率 23.60%、DOL 4.24</w:t>
            </w:r>
          </w:p>
          <w:p w14:paraId="2C7B80AC">
            <w:pPr>
              <w:widowControl w:val="0"/>
              <w:spacing w:after="8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4. 结果分析。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本任务最大的收获是理解"预测的纪律"：2025 年收入同比 +28.60% 为十年最高，组合模型依据滚动回测将其视为一次性扰动而非新趋势起点，因此 2026 年预算取保守口径；报告同时明确披露模型局限——成本性态占比为主观假设，固定/变动比例变动 ±10 个百分点会使保本点变动约 ±3~4 亿元。这体现了财务预测"结论与假设同样重要"的严谨性。部分输出图表如下：</w:t>
            </w:r>
          </w:p>
        </w:tc>
      </w:tr>
    </w:tbl>
    <w:p w14:paraId="5A6D1E69">
      <w:pPr>
        <w:pStyle w:val="2"/>
        <w:shd w:val="clear" w:color="auto" w:fill="FFFFFF"/>
        <w:spacing w:before="480" w:beforeAutospacing="0" w:after="240" w:afterAutospacing="0" w:line="480" w:lineRule="atLeast"/>
        <w:rPr>
          <w:rFonts w:hint="default" w:ascii="Segoe UI" w:hAnsi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三、</w:t>
      </w:r>
      <w:r>
        <w:rPr>
          <w:rFonts w:ascii="Segoe UI" w:hAnsi="Segoe UI" w:cs="Segoe UI"/>
          <w:color w:val="0F1115"/>
          <w:sz w:val="33"/>
          <w:szCs w:val="33"/>
          <w:shd w:val="clear" w:color="auto" w:fill="FFFFFF"/>
        </w:rPr>
        <w:t>实践收获与体会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54E8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7" w:hRule="atLeast"/>
        </w:trPr>
        <w:tc>
          <w:tcPr>
            <w:tcW w:w="8522" w:type="dxa"/>
          </w:tcPr>
          <w:p w14:paraId="27347E62">
            <w:pPr>
              <w:pStyle w:val="7"/>
              <w:widowControl/>
              <w:spacing w:before="240" w:after="100" w:line="360" w:lineRule="auto"/>
              <w:ind w:firstLine="420"/>
              <w:jc w:val="both"/>
              <w:rPr>
                <w:rFonts w:ascii="Segoe UI" w:hAnsi="Segoe UI" w:eastAsia="Segoe UI" w:cs="Segoe UI"/>
                <w:color w:val="0F1115"/>
                <w:szCs w:val="24"/>
                <w:shd w:val="clear" w:color="auto" w:fill="FFFFFF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 xml:space="preserve">1. 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完成了从"会套公式"到"算得可靠"的转变。五个任务最初都只是"把公式写成函数"，但真正的工作量在于验证：年金系数与教材附表比对、债务成本双引擎互验、以教材手算值为基准的 51 个单元测试、会计恒等式与双数据源交叉核验、预测模型滚动回测。我由此建立了"独立校验路径"的习惯，这与审计中"交叉验证"的思路是相通的。</w:t>
            </w:r>
          </w:p>
          <w:p w14:paraId="4812B2CC">
            <w:pPr>
              <w:widowControl w:val="0"/>
              <w:spacing w:after="10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 xml:space="preserve">2. 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编程与工程能力显著提升。学会了用"计算层/校验层/表现层"分层组织代码、用纯函数降低耦合、用配置文件集中管理口径与假设；掌握了 pandas 数据面板构建、matplotlib 专业图表（龙卷风图、热力图、瀑布图、堆积面积图、敏感性矩阵）的绘制，以及 Markdown/Word/Excel/HTML 多格式报告的自动生成。</w:t>
            </w:r>
          </w:p>
          <w:p w14:paraId="77367212">
            <w:pPr>
              <w:widowControl w:val="0"/>
              <w:spacing w:after="10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 xml:space="preserve">3. 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对财务管理知识本身的理解更加深入。很多原本抽象的结论在编程中变得具体：资本结构 U 型曲线、互斥方案 NPV 与 IRR 的排序冲突、排序法在资本限额下的失效、ABC 法揭示的成本交叉补贴、权益乘数对 ROE 的杠杆贡献、"其他经营损益净额"的倒轧等。口径管理（期间利率与年化利率、期末余额与平均余额、小数与百分数）是最容易出错也最体现专业性的环节。</w:t>
            </w:r>
          </w:p>
          <w:p w14:paraId="38135735">
            <w:pPr>
              <w:widowControl w:val="0"/>
              <w:spacing w:after="10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 xml:space="preserve">4. 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理解了 AI 辅助的正确定位。AI 适合生成校验规则、解释文案与可复现的模拟数据，而数值计算必须由确定性代码完成——所有项目都采用"规则引擎出结论、大模型只润色"的双通道设计，保证结果零幻觉、可审计。这让我认识到财务人员应用 AI 的关键不在于"会用工具"，而在于"知道哪里必须由人把关"。</w:t>
            </w:r>
          </w:p>
          <w:p w14:paraId="7A7ACD69">
            <w:pPr>
              <w:widowControl w:val="0"/>
              <w:spacing w:after="100" w:line="360" w:lineRule="auto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 xml:space="preserve">5. 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建立了"报告即程序输出"的可复现意识。五个任务的图表、表格与文字结论全部由代码自动生成，任何一步都可重跑复核。这种习惯不仅提高了效率，更重要的是让分析过程可追溯、可审计，是数据驱动型财务工作与传统手工分析的本质区别。</w:t>
            </w:r>
          </w:p>
        </w:tc>
      </w:tr>
    </w:tbl>
    <w:p w14:paraId="31AAD73E">
      <w:pPr>
        <w:pStyle w:val="2"/>
        <w:shd w:val="clear" w:color="auto" w:fill="FFFFFF"/>
        <w:spacing w:before="480" w:beforeAutospacing="0" w:after="240" w:afterAutospacing="0" w:line="480" w:lineRule="atLeast"/>
        <w:rPr>
          <w:rFonts w:hint="default"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  <w:shd w:val="clear" w:color="auto" w:fill="FFFFFF"/>
        </w:rPr>
        <w:t>四</w:t>
      </w: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、</w:t>
      </w:r>
      <w:r>
        <w:rPr>
          <w:rFonts w:ascii="Segoe UI" w:hAnsi="Segoe UI" w:cs="Segoe UI"/>
          <w:color w:val="0F1115"/>
          <w:sz w:val="33"/>
          <w:szCs w:val="33"/>
          <w:shd w:val="clear" w:color="auto" w:fill="FFFFFF"/>
        </w:rPr>
        <w:t>存在的问题与建议</w:t>
      </w:r>
    </w:p>
    <w:tbl>
      <w:tblPr>
        <w:tblStyle w:val="8"/>
        <w:tblW w:w="0" w:type="auto"/>
        <w:tblInd w:w="-1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5"/>
      </w:tblGrid>
      <w:tr w14:paraId="295C3592">
        <w:trPr>
          <w:trHeight w:val="7132" w:hRule="atLeast"/>
        </w:trPr>
        <w:tc>
          <w:tcPr>
            <w:tcW w:w="8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102A50">
            <w:pPr>
              <w:spacing w:after="100" w:line="360" w:lineRule="auto"/>
              <w:ind w:firstLine="420"/>
              <w:rPr>
                <w:rFonts w:eastAsia="宋体"/>
                <w:kern w:val="1"/>
                <w:sz w:val="28"/>
                <w:lang w:eastAsia="zh-CN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1、自我反思与不足：</w:t>
            </w:r>
          </w:p>
          <w:p w14:paraId="74228469">
            <w:pPr>
              <w:spacing w:after="100" w:line="360" w:lineRule="auto"/>
              <w:ind w:firstLine="42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1）会计口径理解不足。任务初期多次混淆"小数与百分数""期间利率与年化利率""期末余额与平均余额"；任务五中最初遗漏"其他经营损益净额"导致营业利润被系统性低估，后通过倒轧口径与残差校验才发现并修正。改进计划：在动手编码前先手工推导一遍完整的口径链条，并坚持在程序内编写自动勾稽校验，把口径错误拦截在计算阶段。</w:t>
            </w:r>
          </w:p>
          <w:p w14:paraId="694634DB">
            <w:pPr>
              <w:spacing w:after="100" w:line="360" w:lineRule="auto"/>
              <w:ind w:firstLine="42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（2）软件工程能力欠缺。最初版本把计算、输入输出与绘图混写在一个文件里，修改一个公式会牵动全局；后来重构为分层结构并补写单元测试，才体会到可维护性与可测试性的价值。改进计划：系统学习 pandas、statsmodels 的进阶用法，阅读优秀的开源财务分析项目，逐步养成"先写测试断言、再写实现"的习惯。</w:t>
            </w:r>
          </w:p>
          <w:p w14:paraId="472688D6">
            <w:pPr>
              <w:spacing w:after="100" w:line="360" w:lineRule="auto"/>
              <w:ind w:firstLine="42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（3）对模型局限的敏感度不够。任务五中水平值 OLS 回归曾产生伪回归（斜率大于 1 且截距为负），我最初并未察觉，是滚动回测与经济意义检查发现问题。这提醒我：在相信任何输出数字之前，必须先问一句"这在经济上讲得通吗"。</w:t>
            </w:r>
          </w:p>
          <w:p w14:paraId="6FE7760E">
            <w:pPr>
              <w:spacing w:after="100" w:line="360" w:lineRule="auto"/>
              <w:ind w:firstLine="420"/>
              <w:rPr>
                <w:rFonts w:ascii="Times New Roman" w:hAnsi="Times New Roman" w:eastAsia="宋体"/>
                <w:b w:val="0"/>
                <w:i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2、对课程实践的建议：一是建议提供分行业基准数据库（如 WACC、β 系数、资本结构的行业均值），便于将计算结果与行业水平对标；二是建议增加真实上市公司数据采集与清洗的教学环节，训练学生对口径差异的敏感度；三是建议增加代码互评或评审环节，促进编程规范与工程经验的学习交流。</w:t>
            </w:r>
          </w:p>
          <w:p w14:paraId="0F0E7E7C">
            <w:pPr>
              <w:spacing w:after="100" w:line="360" w:lineRule="auto"/>
              <w:ind w:firstLine="420"/>
              <w:rPr>
                <w:rFonts w:ascii="Times New Roman" w:hAnsi="Times New Roman" w:eastAsia="宋体"/>
                <w:b w:val="0"/>
                <w:i w:val="0"/>
                <w:sz w:val="21"/>
              </w:rPr>
            </w:pPr>
          </w:p>
          <w:p w14:paraId="6AAA5B8F">
            <w:pPr>
              <w:spacing w:after="100" w:line="360" w:lineRule="auto"/>
              <w:ind w:firstLine="420"/>
              <w:rPr>
                <w:rFonts w:ascii="Times New Roman" w:hAnsi="Times New Roman" w:eastAsia="宋体"/>
                <w:b w:val="0"/>
                <w:i w:val="0"/>
                <w:sz w:val="21"/>
              </w:rPr>
            </w:pPr>
          </w:p>
          <w:p w14:paraId="2FA53766">
            <w:pPr>
              <w:spacing w:after="100" w:line="360" w:lineRule="auto"/>
              <w:ind w:firstLine="420"/>
              <w:rPr>
                <w:rFonts w:ascii="Times New Roman" w:hAnsi="Times New Roman" w:eastAsia="宋体"/>
                <w:b w:val="0"/>
                <w:i w:val="0"/>
                <w:sz w:val="21"/>
              </w:rPr>
            </w:pPr>
          </w:p>
          <w:p w14:paraId="42C6348C">
            <w:pPr>
              <w:spacing w:after="100" w:line="360" w:lineRule="auto"/>
              <w:ind w:firstLine="420"/>
              <w:rPr>
                <w:rFonts w:ascii="Times New Roman" w:hAnsi="Times New Roman" w:eastAsia="宋体"/>
                <w:b w:val="0"/>
                <w:i w:val="0"/>
                <w:sz w:val="21"/>
              </w:rPr>
            </w:pPr>
          </w:p>
        </w:tc>
      </w:tr>
    </w:tbl>
    <w:p w14:paraId="08F34B70">
      <w:pPr>
        <w:pStyle w:val="4"/>
        <w:spacing w:before="236" w:line="238" w:lineRule="auto"/>
        <w:rPr>
          <w:b/>
          <w:bCs/>
          <w:color w:val="000000" w:themeColor="text1"/>
          <w:spacing w:val="-1"/>
          <w:sz w:val="27"/>
          <w:szCs w:val="27"/>
          <w14:textFill>
            <w14:solidFill>
              <w14:schemeClr w14:val="tx1"/>
            </w14:solidFill>
          </w14:textFill>
        </w:rPr>
      </w:pPr>
    </w:p>
    <w:p w14:paraId="517FDEF4">
      <w:pPr>
        <w:pStyle w:val="4"/>
        <w:spacing w:before="236" w:line="238" w:lineRule="auto"/>
        <w:rPr>
          <w:rFonts w:hint="eastAsia" w:ascii="Arial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pacing w:val="-1"/>
          <w:sz w:val="27"/>
          <w:szCs w:val="27"/>
          <w14:textFill>
            <w14:solidFill>
              <w14:schemeClr w14:val="tx1"/>
            </w14:solidFill>
          </w14:textFill>
        </w:rPr>
        <w:t>诚信声明及签字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7D70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1992A55">
            <w:pPr>
              <w:pStyle w:val="4"/>
              <w:widowControl w:val="0"/>
              <w:spacing w:before="282" w:line="229" w:lineRule="auto"/>
              <w:ind w:left="3"/>
              <w:jc w:val="both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本人郑重声明：本实</w:t>
            </w: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训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报告的内容和数据分析均为本人独</w:t>
            </w:r>
            <w:r>
              <w:rPr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  <w:t>立完成</w:t>
            </w:r>
            <w:r>
              <w:rPr>
                <w:color w:val="000000" w:themeColor="text1"/>
                <w:spacing w:val="-35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  <w:t>，真实地反映了本人的实</w:t>
            </w:r>
            <w:r>
              <w:rPr>
                <w:rFonts w:hint="eastAsia"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  <w:t>训</w:t>
            </w:r>
            <w:r>
              <w:rPr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  <w:t>过程和收获。绝</w:t>
            </w:r>
            <w:r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无抄袭、剽窃他人成果的行为。</w:t>
            </w:r>
            <w:r>
              <w:rPr>
                <w:color w:val="000000" w:themeColor="text1"/>
                <w:spacing w:val="-2"/>
                <w14:textFill>
                  <w14:solidFill>
                    <w14:schemeClr w14:val="tx1"/>
                  </w14:solidFill>
                </w14:textFill>
              </w:rPr>
              <w:t>如有不实，愿承担一切责任。</w:t>
            </w:r>
          </w:p>
          <w:p w14:paraId="5BF9C3BD">
            <w:pPr>
              <w:widowControl w:val="0"/>
              <w:spacing w:line="312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E43BBF5">
      <w:pPr>
        <w:spacing w:line="312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78E7E6B">
      <w:pPr>
        <w:pStyle w:val="4"/>
        <w:spacing w:before="103" w:line="183" w:lineRule="auto"/>
        <w:ind w:left="5"/>
        <w:rPr>
          <w:rFonts w:hint="eastAsia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pacing w:val="-1"/>
          <w14:textFill>
            <w14:solidFill>
              <w14:schemeClr w14:val="tx1"/>
            </w14:solidFill>
          </w14:textFill>
        </w:rPr>
        <w:t>学生签名：</w:t>
      </w:r>
      <w:r>
        <w:rPr>
          <w:b/>
          <w:bCs/>
          <w:color w:val="000000" w:themeColor="text1"/>
          <w:spacing w:val="4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 w14:paraId="3094B599">
      <w:pPr>
        <w:pStyle w:val="4"/>
        <w:spacing w:before="103" w:line="183" w:lineRule="auto"/>
        <w:ind w:left="5"/>
        <w:jc w:val="center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                                            日期：</w:t>
      </w:r>
      <w:r>
        <w:rPr>
          <w:rFonts w:hint="eastAsia"/>
          <w:b/>
          <w:bCs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/>
          <w:b/>
          <w:bCs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/>
          <w:b/>
          <w:bCs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日</w:t>
      </w:r>
    </w:p>
    <w:p w14:paraId="5407899E">
      <w:pPr>
        <w:pStyle w:val="4"/>
        <w:spacing w:before="103" w:line="183" w:lineRule="auto"/>
        <w:ind w:left="5"/>
        <w:jc w:val="right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403766D6">
      <w:pPr>
        <w:pStyle w:val="4"/>
        <w:spacing w:before="116" w:line="238" w:lineRule="auto"/>
        <w:rPr>
          <w:rFonts w:hint="eastAsia"/>
          <w:color w:val="000000" w:themeColor="text1"/>
          <w:sz w:val="27"/>
          <w:szCs w:val="27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pacing w:val="-1"/>
          <w:sz w:val="27"/>
          <w:szCs w:val="27"/>
          <w:lang w:eastAsia="zh-CN"/>
          <w14:textFill>
            <w14:solidFill>
              <w14:schemeClr w14:val="tx1"/>
            </w14:solidFill>
          </w14:textFill>
        </w:rPr>
        <w:t>指导教师评语及成绩评定</w:t>
      </w:r>
    </w:p>
    <w:p w14:paraId="287103EC">
      <w:pPr>
        <w:spacing w:line="201" w:lineRule="exact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tbl>
      <w:tblPr>
        <w:tblStyle w:val="14"/>
        <w:tblW w:w="8995" w:type="dxa"/>
        <w:jc w:val="center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44"/>
        <w:gridCol w:w="1103"/>
        <w:gridCol w:w="993"/>
        <w:gridCol w:w="4255"/>
      </w:tblGrid>
      <w:tr w14:paraId="20CF1D44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  <w:jc w:val="center"/>
        </w:trPr>
        <w:tc>
          <w:tcPr>
            <w:tcW w:w="2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B048F5">
            <w:pPr>
              <w:pStyle w:val="13"/>
              <w:spacing w:before="231" w:line="183" w:lineRule="auto"/>
              <w:jc w:val="center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14:textFill>
                  <w14:solidFill>
                    <w14:schemeClr w14:val="tx1"/>
                  </w14:solidFill>
                </w14:textFill>
              </w:rPr>
              <w:t>考核项目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EB98C7">
            <w:pPr>
              <w:pStyle w:val="13"/>
              <w:spacing w:before="231" w:line="183" w:lineRule="auto"/>
              <w:jc w:val="center"/>
              <w:rPr>
                <w:rFonts w:hint="eastAsia"/>
                <w:b/>
                <w:bCs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14:textFill>
                  <w14:solidFill>
                    <w14:schemeClr w14:val="tx1"/>
                  </w14:solidFill>
                </w14:textFill>
              </w:rPr>
              <w:t>分值</w:t>
            </w:r>
            <w:r>
              <w:rPr>
                <w:rFonts w:hint="eastAsia"/>
                <w:b/>
                <w:bCs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  <w:t>占比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325CC4">
            <w:pPr>
              <w:pStyle w:val="13"/>
              <w:spacing w:before="231" w:line="183" w:lineRule="auto"/>
              <w:jc w:val="center"/>
              <w:rPr>
                <w:rFonts w:hint="eastAsia"/>
                <w:b/>
                <w:bCs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  <w:t>得分</w:t>
            </w:r>
          </w:p>
        </w:tc>
        <w:tc>
          <w:tcPr>
            <w:tcW w:w="4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0BF7E">
            <w:pPr>
              <w:pStyle w:val="13"/>
              <w:spacing w:before="231" w:line="183" w:lineRule="auto"/>
              <w:jc w:val="center"/>
              <w:rPr>
                <w:rFonts w:hint="eastAsia"/>
                <w:b/>
                <w:bCs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:lang w:eastAsia="zh-CN"/>
                <w14:textFill>
                  <w14:solidFill>
                    <w14:schemeClr w14:val="tx1"/>
                  </w14:solidFill>
                </w14:textFill>
              </w:rPr>
              <w:t>核心要求</w:t>
            </w:r>
          </w:p>
        </w:tc>
      </w:tr>
      <w:tr w14:paraId="218E533C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1" w:hRule="atLeast"/>
          <w:jc w:val="center"/>
        </w:trPr>
        <w:tc>
          <w:tcPr>
            <w:tcW w:w="2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28109">
            <w:pPr>
              <w:pStyle w:val="13"/>
              <w:spacing w:before="103" w:line="417" w:lineRule="exact"/>
              <w:jc w:val="center"/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任务完成度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3D0D1D">
            <w:pPr>
              <w:pStyle w:val="13"/>
              <w:spacing w:before="181" w:line="417" w:lineRule="exact"/>
              <w:jc w:val="center"/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40%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25B4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2CD905">
            <w:pP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完整完成该任务要求的全部功能，代码运行无报错</w:t>
            </w:r>
          </w:p>
        </w:tc>
      </w:tr>
      <w:tr w14:paraId="58251B26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  <w:jc w:val="center"/>
        </w:trPr>
        <w:tc>
          <w:tcPr>
            <w:tcW w:w="2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CB5E78">
            <w:pPr>
              <w:pStyle w:val="13"/>
              <w:spacing w:before="103" w:line="417" w:lineRule="exact"/>
              <w:jc w:val="center"/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代码质量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F41090">
            <w:pPr>
              <w:pStyle w:val="13"/>
              <w:spacing w:before="103" w:line="417" w:lineRule="exact"/>
              <w:jc w:val="center"/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20%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6503F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2C4A23">
            <w:pP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函数封装合理、有注释、命名规范、有基本错误处理</w:t>
            </w:r>
          </w:p>
        </w:tc>
      </w:tr>
      <w:tr w14:paraId="433134AC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  <w:jc w:val="center"/>
        </w:trPr>
        <w:tc>
          <w:tcPr>
            <w:tcW w:w="2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1BE409">
            <w:pPr>
              <w:pStyle w:val="13"/>
              <w:spacing w:before="103" w:line="417" w:lineRule="exact"/>
              <w:jc w:val="center"/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图表与截图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0812CD">
            <w:pPr>
              <w:pStyle w:val="13"/>
              <w:spacing w:before="103" w:line="417" w:lineRule="exact"/>
              <w:jc w:val="center"/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15%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B4703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C5FABF">
            <w:pP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包含运行截图，如有数据可视化要求则图表完整清晰</w:t>
            </w:r>
          </w:p>
        </w:tc>
      </w:tr>
      <w:tr w14:paraId="40D2D1B9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  <w:jc w:val="center"/>
        </w:trPr>
        <w:tc>
          <w:tcPr>
            <w:tcW w:w="2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5243EF">
            <w:pPr>
              <w:pStyle w:val="13"/>
              <w:spacing w:before="103" w:line="417" w:lineRule="exact"/>
              <w:jc w:val="center"/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分析阐述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04FEAA">
            <w:pPr>
              <w:pStyle w:val="13"/>
              <w:spacing w:before="186" w:line="424" w:lineRule="exact"/>
              <w:ind w:firstLine="240" w:firstLineChars="100"/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15%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97848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AAAD9A">
            <w:pP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对输出结果进行财务意义解读，而非只罗列数字</w:t>
            </w:r>
          </w:p>
        </w:tc>
      </w:tr>
      <w:tr w14:paraId="2CF0A018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  <w:jc w:val="center"/>
        </w:trPr>
        <w:tc>
          <w:tcPr>
            <w:tcW w:w="2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76D800">
            <w:pPr>
              <w:pStyle w:val="13"/>
              <w:spacing w:before="103" w:line="417" w:lineRule="exact"/>
              <w:jc w:val="center"/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报告规范性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496CF6">
            <w:pPr>
              <w:pStyle w:val="13"/>
              <w:spacing w:before="186" w:line="424" w:lineRule="exact"/>
              <w:ind w:firstLine="240" w:firstLineChars="100"/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10%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E6080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CF25F9">
            <w:pP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包含题目、代码、截图、分析四要素，排版整洁</w:t>
            </w:r>
          </w:p>
        </w:tc>
      </w:tr>
      <w:tr w14:paraId="79F9D4FA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  <w:jc w:val="center"/>
        </w:trPr>
        <w:tc>
          <w:tcPr>
            <w:tcW w:w="2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BE88AB">
            <w:pPr>
              <w:pStyle w:val="13"/>
              <w:spacing w:before="236" w:line="183" w:lineRule="auto"/>
              <w:jc w:val="center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14:textFill>
                  <w14:solidFill>
                    <w14:schemeClr w14:val="tx1"/>
                  </w14:solidFill>
                </w14:textFill>
              </w:rPr>
              <w:t>总成绩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8DEE54">
            <w:pPr>
              <w:pStyle w:val="13"/>
              <w:spacing w:before="186" w:line="424" w:lineRule="exact"/>
              <w:ind w:left="1199"/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1310D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FCB6B4">
            <w:pP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E7E9E08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  <w:jc w:val="center"/>
        </w:trPr>
        <w:tc>
          <w:tcPr>
            <w:tcW w:w="899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6C86DE">
            <w:pPr>
              <w:pStyle w:val="13"/>
              <w:spacing w:before="231" w:line="183" w:lineRule="auto"/>
              <w:jc w:val="center"/>
              <w:rPr>
                <w:rFonts w:hint="eastAsia" w:ascii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pacing w:val="-1"/>
                <w14:textFill>
                  <w14:solidFill>
                    <w14:schemeClr w14:val="tx1"/>
                  </w14:solidFill>
                </w14:textFill>
              </w:rPr>
              <w:t>简要评语</w:t>
            </w:r>
          </w:p>
        </w:tc>
      </w:tr>
      <w:tr w14:paraId="5EF9306C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1" w:hRule="atLeast"/>
          <w:jc w:val="center"/>
        </w:trPr>
        <w:tc>
          <w:tcPr>
            <w:tcW w:w="899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81794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415FB4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A55708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ACB3C3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1D2F5C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52AE82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A18B70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132240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B9C883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F21985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6DF1C7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8533A7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BF8085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5656C5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8C386A3">
      <w:pPr>
        <w:spacing w:line="242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010E82B">
      <w:pPr>
        <w:pStyle w:val="13"/>
        <w:spacing w:before="231" w:line="183" w:lineRule="auto"/>
        <w:rPr>
          <w:rFonts w:hint="eastAsia"/>
          <w:b/>
          <w:bCs/>
          <w:color w:val="000000" w:themeColor="text1"/>
          <w:spacing w:val="-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pacing w:val="-1"/>
          <w:lang w:eastAsia="zh-CN"/>
          <w14:textFill>
            <w14:solidFill>
              <w14:schemeClr w14:val="tx1"/>
            </w14:solidFill>
          </w14:textFill>
        </w:rPr>
        <w:t xml:space="preserve">指导教师签名： </w:t>
      </w:r>
      <w:r>
        <w:rPr>
          <w:b/>
          <w:bCs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b/>
          <w:bCs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  <w:t>邓茗丹</w:t>
      </w:r>
      <w:r>
        <w:rPr>
          <w:b/>
          <w:bCs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b/>
          <w:bCs/>
          <w:color w:val="000000" w:themeColor="text1"/>
          <w:spacing w:val="-1"/>
          <w:lang w:eastAsia="zh-CN"/>
          <w14:textFill>
            <w14:solidFill>
              <w14:schemeClr w14:val="tx1"/>
            </w14:solidFill>
          </w14:textFill>
        </w:rPr>
        <w:t xml:space="preserve">                                              </w:t>
      </w:r>
      <w:r>
        <w:rPr>
          <w:rFonts w:hint="eastAsia"/>
          <w:b/>
          <w:bCs/>
          <w:color w:val="000000" w:themeColor="text1"/>
          <w:spacing w:val="-1"/>
          <w:lang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</w:t>
      </w:r>
    </w:p>
    <w:p w14:paraId="43A78200">
      <w:pPr>
        <w:pStyle w:val="13"/>
        <w:spacing w:before="231" w:line="183" w:lineRule="auto"/>
        <w:ind w:left="926"/>
        <w:jc w:val="center"/>
        <w:rPr>
          <w:rFonts w:hint="eastAsia"/>
          <w:color w:val="000000" w:themeColor="text1"/>
          <w:spacing w:val="-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-1"/>
          <w:lang w:eastAsia="zh-CN"/>
          <w14:textFill>
            <w14:solidFill>
              <w14:schemeClr w14:val="tx1"/>
            </w14:solidFill>
          </w14:textFill>
        </w:rPr>
        <w:t xml:space="preserve">                                       </w:t>
      </w:r>
      <w:r>
        <w:rPr>
          <w:b/>
          <w:bCs/>
          <w:color w:val="000000" w:themeColor="text1"/>
          <w:spacing w:val="-1"/>
          <w14:textFill>
            <w14:solidFill>
              <w14:schemeClr w14:val="tx1"/>
            </w14:solidFill>
          </w14:textFill>
        </w:rPr>
        <w:t>日期</w:t>
      </w:r>
      <w:r>
        <w:rPr>
          <w:rFonts w:hint="eastAsia"/>
          <w:b/>
          <w:bCs/>
          <w:color w:val="000000" w:themeColor="text1"/>
          <w:spacing w:val="-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b/>
          <w:bCs/>
          <w:color w:val="000000" w:themeColor="text1"/>
          <w:spacing w:val="-1"/>
          <w:u w:val="single"/>
          <w:lang w:eastAsia="zh-CN"/>
          <w14:textFill>
            <w14:solidFill>
              <w14:schemeClr w14:val="tx1"/>
            </w14:solidFill>
          </w14:textFill>
        </w:rPr>
        <w:t>2026</w:t>
      </w:r>
      <w:r>
        <w:rPr>
          <w:rFonts w:hint="eastAsia"/>
          <w:b/>
          <w:bCs/>
          <w:color w:val="000000" w:themeColor="text1"/>
          <w:spacing w:val="-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1"/>
          <w14:textFill>
            <w14:solidFill>
              <w14:schemeClr w14:val="tx1"/>
            </w14:solidFill>
          </w14:textFill>
        </w:rPr>
        <w:t>年</w:t>
      </w:r>
      <w:r>
        <w:rPr>
          <w:rFonts w:hint="eastAsia"/>
          <w:b/>
          <w:bCs/>
          <w:color w:val="000000" w:themeColor="text1"/>
          <w:spacing w:val="-1"/>
          <w:u w:val="single"/>
          <w:lang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b/>
          <w:bCs/>
          <w:color w:val="000000" w:themeColor="text1"/>
          <w:spacing w:val="-1"/>
          <w14:textFill>
            <w14:solidFill>
              <w14:schemeClr w14:val="tx1"/>
            </w14:solidFill>
          </w14:textFill>
        </w:rPr>
        <w:t>月 __</w:t>
      </w:r>
      <w:r>
        <w:rPr>
          <w:rFonts w:hint="eastAsia"/>
          <w:b/>
          <w:bCs/>
          <w:color w:val="000000" w:themeColor="text1"/>
          <w:spacing w:val="-1"/>
          <w:lang w:eastAsia="zh-CN"/>
          <w14:textFill>
            <w14:solidFill>
              <w14:schemeClr w14:val="tx1"/>
            </w14:solidFill>
          </w14:textFill>
        </w:rPr>
        <w:t>日</w:t>
      </w:r>
    </w:p>
    <w:p w14:paraId="21391200">
      <w:pPr>
        <w:pStyle w:val="13"/>
        <w:spacing w:before="231" w:line="183" w:lineRule="auto"/>
        <w:ind w:left="926"/>
        <w:jc w:val="center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pacing w:val="-1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7175500" cy="9525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75339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AD121">
    <w:pPr>
      <w:jc w:val="center"/>
    </w:pPr>
    <w:r>
      <w:rPr>
        <w:rFonts w:ascii="Times New Roman" w:hAnsi="Times New Roman" w:eastAsia="宋体"/>
        <w:b w:val="0"/>
        <w:i w:val="0"/>
        <w:color w:val="595959"/>
        <w:sz w:val="18"/>
      </w:rPr>
      <w:fldChar w:fldCharType="begin"/>
    </w:r>
    <w:r>
      <w:rPr>
        <w:rFonts w:ascii="Times New Roman" w:hAnsi="Times New Roman" w:eastAsia="宋体"/>
        <w:b w:val="0"/>
        <w:i w:val="0"/>
        <w:color w:val="595959"/>
        <w:sz w:val="18"/>
      </w:rPr>
      <w:instrText xml:space="preserve"> PAGE </w:instrText>
    </w:r>
    <w:r>
      <w:rPr>
        <w:rFonts w:ascii="Times New Roman" w:hAnsi="Times New Roman" w:eastAsia="宋体"/>
        <w:b w:val="0"/>
        <w:i w:val="0"/>
        <w:color w:val="595959"/>
        <w:sz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886921"/>
    <w:rsid w:val="000E3982"/>
    <w:rsid w:val="000E4034"/>
    <w:rsid w:val="00164583"/>
    <w:rsid w:val="002A456F"/>
    <w:rsid w:val="006949C1"/>
    <w:rsid w:val="00695786"/>
    <w:rsid w:val="009D0440"/>
    <w:rsid w:val="00A91786"/>
    <w:rsid w:val="00C66269"/>
    <w:rsid w:val="00D66C2D"/>
    <w:rsid w:val="01F66130"/>
    <w:rsid w:val="07B611C8"/>
    <w:rsid w:val="08736678"/>
    <w:rsid w:val="0909402E"/>
    <w:rsid w:val="106327F0"/>
    <w:rsid w:val="18BC63DF"/>
    <w:rsid w:val="1A970D76"/>
    <w:rsid w:val="20FA7F20"/>
    <w:rsid w:val="21C24E71"/>
    <w:rsid w:val="23555288"/>
    <w:rsid w:val="23A9595C"/>
    <w:rsid w:val="25A07673"/>
    <w:rsid w:val="29E05449"/>
    <w:rsid w:val="36095989"/>
    <w:rsid w:val="36D05395"/>
    <w:rsid w:val="3C3A1EA8"/>
    <w:rsid w:val="3F8F762D"/>
    <w:rsid w:val="40C1415E"/>
    <w:rsid w:val="41DE7D7D"/>
    <w:rsid w:val="51A643A5"/>
    <w:rsid w:val="5265210A"/>
    <w:rsid w:val="52D575EA"/>
    <w:rsid w:val="56886921"/>
    <w:rsid w:val="56A00F31"/>
    <w:rsid w:val="5B206A96"/>
    <w:rsid w:val="5B5A08CA"/>
    <w:rsid w:val="6E5B2BCB"/>
    <w:rsid w:val="6EDC2C59"/>
    <w:rsid w:val="70FE53E8"/>
    <w:rsid w:val="76642E13"/>
    <w:rsid w:val="766A5226"/>
    <w:rsid w:val="774518A4"/>
    <w:rsid w:val="7BD0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宋体" w:hAnsi="宋体" w:eastAsia="宋体" w:cs="Times New Roman"/>
      <w:b/>
      <w:bCs/>
      <w:sz w:val="36"/>
      <w:szCs w:val="36"/>
      <w:lang w:eastAsia="zh-CN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  <w:lang w:eastAsia="zh-CN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styleId="5">
    <w:name w:val="footer"/>
    <w:basedOn w:val="1"/>
    <w:link w:val="16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6">
    <w:name w:val="header"/>
    <w:basedOn w:val="1"/>
    <w:link w:val="15"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rPr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Emphasis"/>
    <w:basedOn w:val="10"/>
    <w:qFormat/>
    <w:uiPriority w:val="0"/>
    <w:rPr>
      <w:i/>
    </w:rPr>
  </w:style>
  <w:style w:type="paragraph" w:customStyle="1" w:styleId="13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</w:rPr>
  </w:style>
  <w:style w:type="table" w:customStyle="1" w:styleId="1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页眉 字符"/>
    <w:basedOn w:val="10"/>
    <w:link w:val="6"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  <w:style w:type="character" w:customStyle="1" w:styleId="16">
    <w:name w:val="页脚 字符"/>
    <w:basedOn w:val="10"/>
    <w:link w:val="5"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4" Type="http://schemas.openxmlformats.org/officeDocument/2006/relationships/image" Target="media/image20.jpe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1027</Words>
  <Characters>1252</Characters>
  <Lines>9</Lines>
  <Paragraphs>2</Paragraphs>
  <TotalTime>11</TotalTime>
  <ScaleCrop>false</ScaleCrop>
  <LinksUpToDate>false</LinksUpToDate>
  <CharactersWithSpaces>1307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2025-11-27T06:33:00Z</dcterms:created>
  <dc:creator>黄志勇</dc:creator>
  <cp:lastModifiedBy>WPS</cp:lastModifiedBy>
  <dcterms:modified xsi:type="dcterms:W3CDTF">2026-09-16T11:58:18Z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ABD6EF0092F242F4BB1302C3F641C080_13</vt:lpwstr>
  </property>
  <property fmtid="{D5CDD505-2E9C-101B-9397-08002B2CF9AE}" pid="4" name="KSOTemplateDocerSaveRecord">
    <vt:lpwstr>eyJoZGlkIjoiNjRmZGI5ZDg5YTZjM2E4Y2NlNGQ2YWEzNGYzMmJmZjMiLCJ1c2VySWQiOiIxMzQ2MTU5NzM3In0=</vt:lpwstr>
  </property>
</Properties>
</file>