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3"/>
        <w:gridCol w:w="2745"/>
        <w:gridCol w:w="3540"/>
        <w:tblGridChange w:id="0">
          <w:tblGrid>
            <w:gridCol w:w="3073"/>
            <w:gridCol w:w="2745"/>
            <w:gridCol w:w="354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October 29,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October 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65%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75%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130"/>
              <w:gridCol w:w="1560"/>
              <w:tblGridChange w:id="0">
                <w:tblGrid>
                  <w:gridCol w:w="2535"/>
                  <w:gridCol w:w="2130"/>
                  <w:gridCol w:w="156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Call Function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Design and Charting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 (with 80% completion)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(CRUD)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Mobile Application Front-end Design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Manuscript: Intro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Manuscript: Methodology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For approval of Pre-survey questionnaires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Distribution of Pre-Survey Questionnaires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Magat, Mharck Stephen P.</w:t>
                  </w:r>
                </w:p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49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4A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-38729</wp:posOffset>
          </wp:positionH>
          <wp:positionV relativeFrom="paragraph">
            <wp:posOffset>-28567</wp:posOffset>
          </wp:positionV>
          <wp:extent cx="904875" cy="904875"/>
          <wp:effectExtent b="0" l="0" r="0" t="0"/>
          <wp:wrapNone/>
          <wp:docPr descr="A picture containing logo&#10;&#10;Description automatically generated" id="2" name="image1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