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Fonts w:ascii="Oswald" w:cs="Oswald" w:eastAsia="Oswald" w:hAnsi="Oswald"/>
          <w:b w:val="1"/>
          <w:color w:val="000000"/>
          <w:highlight w:val="white"/>
          <w:rtl w:val="0"/>
        </w:rPr>
        <w:t xml:space="preserve">#3Ib: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A 117 Emergency Communication Platform for Abuse Report in a Mobile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Entity Relationship Diagram (ERD)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980000"/>
          <w:sz w:val="22"/>
          <w:szCs w:val="22"/>
        </w:rPr>
        <w:drawing>
          <wp:inline distB="114300" distT="114300" distL="114300" distR="114300">
            <wp:extent cx="5943600" cy="2654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GUI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Oswa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45776"/>
    <w:pPr>
      <w:spacing w:after="160" w:line="259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X6IB9z/g6qovlklAms6i2ymxjA==">AMUW2mV8w5rfOVMGwjQr4B7fcEiEFpuUK336U+J/CYx1pgif+/hxsJpr7WwsI73uY3thEW/40d395Mf3sCoUGg8MNQ9mUwJ6s57X1hgNLOIXhSelm546Hts=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2021-07-24T16:32:00Z</dcterms:created>
  <dc:creator>diane delacruz</dc:creator>
</cp:coreProperties>
</file>