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C5D"/>
          <w:sz w:val="26"/>
        </w:rPr>
        <w:t>EMPRESA DE SERVICIOS PÚBLICOS DE YOLOMBÓ S.A. E.S.P.</w:t>
        <w:br/>
      </w:r>
      <w:r>
        <w:rPr>
          <w:color w:val="64748B"/>
          <w:sz w:val="19"/>
        </w:rPr>
        <w:t>NIT: 811.015.112-4  |  YOLOMBÓ, ANTIOQUIA</w:t>
        <w:br/>
      </w:r>
      <w:r>
        <w:rPr>
          <w:b/>
          <w:color w:val="1A365D"/>
          <w:sz w:val="23"/>
        </w:rPr>
        <w:t>MATRIZ DE GESTIÓN, TIPIFICACIÓN Y ASIGNACIÓN DE RIESGOS PREVISIBLES CONTRACTUALES</w:t>
      </w:r>
    </w:p>
    <w:p>
      <w:pPr>
        <w:spacing w:after="120"/>
        <w:jc w:val="center"/>
      </w:pPr>
      <w:r>
        <w:rPr>
          <w:i/>
          <w:color w:val="475569"/>
          <w:sz w:val="17"/>
        </w:rPr>
        <w:t>Metodología: Colombia Compra Eficiente (CCE)  |  Régimen Jurídico: Ley 142 de 1994 y Manual de Contratación ESPY S.A. E.S.P.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344"/>
        <w:gridCol w:w="7344"/>
      </w:tblGrid>
      <w:tr>
        <w:tc>
          <w:tcPr>
            <w:tcW w:type="dxa" w:w="3600"/>
            <w:shd w:fill="EDF2F7"/>
            <w:tcMar>
              <w:top w:w="50" w:type="dxa"/>
              <w:bottom w:w="50" w:type="dxa"/>
              <w:left w:w="80" w:type="dxa"/>
              <w:right w:w="80" w:type="dxa"/>
            </w:tcMar>
          </w:tcPr>
          <w:p>
            <w:pPr>
              <w:spacing w:after="0"/>
            </w:pPr>
            <w:r>
              <w:rPr>
                <w:b/>
                <w:color w:val="1E293B"/>
                <w:sz w:val="16"/>
              </w:rPr>
              <w:t>PROCESO CONTRACTUAL / OBJETO:</w:t>
            </w:r>
          </w:p>
        </w:tc>
        <w:tc>
          <w:tcPr>
            <w:tcW w:type="dxa" w:w="11088"/>
            <w:tcMar>
              <w:top w:w="50" w:type="dxa"/>
              <w:bottom w:w="50" w:type="dxa"/>
              <w:left w:w="80" w:type="dxa"/>
              <w:right w:w="80" w:type="dxa"/>
            </w:tcMar>
          </w:tcPr>
          <w:p>
            <w:pPr>
              <w:spacing w:after="0"/>
            </w:pPr>
            <w:r>
              <w:rPr>
                <w:color w:val="0F172A"/>
                <w:sz w:val="16"/>
              </w:rPr>
              <w:t>PRESTACIÓN DE SERVICIOS PARA EL APOYO A LA GESTIÓN DE LAS ACTIVIDADES COMPLEMENTARIAS DEL PGIRS DEL MUNICIPIO DE YOLOMBÓ</w:t>
            </w:r>
          </w:p>
        </w:tc>
      </w:tr>
      <w:tr>
        <w:tc>
          <w:tcPr>
            <w:tcW w:type="dxa" w:w="3600"/>
            <w:shd w:fill="EDF2F7"/>
            <w:tcMar>
              <w:top w:w="50" w:type="dxa"/>
              <w:bottom w:w="50" w:type="dxa"/>
              <w:left w:w="80" w:type="dxa"/>
              <w:right w:w="80" w:type="dxa"/>
            </w:tcMar>
          </w:tcPr>
          <w:p>
            <w:pPr>
              <w:spacing w:after="0"/>
            </w:pPr>
            <w:r>
              <w:rPr>
                <w:b/>
                <w:color w:val="1E293B"/>
                <w:sz w:val="16"/>
              </w:rPr>
              <w:t>CONTRATISTA PROPUESTO / TIPO DE CONTRATO:</w:t>
            </w:r>
          </w:p>
        </w:tc>
        <w:tc>
          <w:tcPr>
            <w:tcW w:type="dxa" w:w="11088"/>
            <w:tcMar>
              <w:top w:w="50" w:type="dxa"/>
              <w:bottom w:w="50" w:type="dxa"/>
              <w:left w:w="80" w:type="dxa"/>
              <w:right w:w="80" w:type="dxa"/>
            </w:tcMar>
          </w:tcPr>
          <w:p>
            <w:pPr>
              <w:spacing w:after="0"/>
            </w:pPr>
            <w:r>
              <w:rPr>
                <w:color w:val="0F172A"/>
                <w:sz w:val="16"/>
              </w:rPr>
              <w:t>ANYIE OCHOA URIBE  |  Contrato de Prestación de Servicios (Apoyo a la Gestión)</w:t>
            </w:r>
          </w:p>
        </w:tc>
      </w:tr>
      <w:tr>
        <w:tc>
          <w:tcPr>
            <w:tcW w:type="dxa" w:w="3600"/>
            <w:shd w:fill="EDF2F7"/>
            <w:tcMar>
              <w:top w:w="50" w:type="dxa"/>
              <w:bottom w:w="50" w:type="dxa"/>
              <w:left w:w="80" w:type="dxa"/>
              <w:right w:w="80" w:type="dxa"/>
            </w:tcMar>
          </w:tcPr>
          <w:p>
            <w:pPr>
              <w:spacing w:after="0"/>
            </w:pPr>
            <w:r>
              <w:rPr>
                <w:b/>
                <w:color w:val="1E293B"/>
                <w:sz w:val="16"/>
              </w:rPr>
              <w:t>PRESUPUESTO OFICIAL Y FINANCIACIÓN:</w:t>
            </w:r>
          </w:p>
        </w:tc>
        <w:tc>
          <w:tcPr>
            <w:tcW w:type="dxa" w:w="11088"/>
            <w:tcMar>
              <w:top w:w="50" w:type="dxa"/>
              <w:bottom w:w="50" w:type="dxa"/>
              <w:left w:w="80" w:type="dxa"/>
              <w:right w:w="80" w:type="dxa"/>
            </w:tcMar>
          </w:tcPr>
          <w:p>
            <w:pPr>
              <w:spacing w:after="0"/>
            </w:pPr>
            <w:r>
              <w:rPr>
                <w:color w:val="0F172A"/>
                <w:sz w:val="16"/>
              </w:rPr>
              <w:t>$4.800.000 M/CTE  |  CDP N° 00245 del 02/10/2026  |  Rubro: 2.3.2.02.02.009 (Servicios para la Comunidad, Sociales y Personales)</w:t>
            </w:r>
          </w:p>
        </w:tc>
      </w:tr>
      <w:tr>
        <w:tc>
          <w:tcPr>
            <w:tcW w:type="dxa" w:w="3600"/>
            <w:shd w:fill="EDF2F7"/>
            <w:tcMar>
              <w:top w:w="50" w:type="dxa"/>
              <w:bottom w:w="50" w:type="dxa"/>
              <w:left w:w="80" w:type="dxa"/>
              <w:right w:w="80" w:type="dxa"/>
            </w:tcMar>
          </w:tcPr>
          <w:p>
            <w:pPr>
              <w:spacing w:after="0"/>
            </w:pPr>
            <w:r>
              <w:rPr>
                <w:b/>
                <w:color w:val="1E293B"/>
                <w:sz w:val="16"/>
              </w:rPr>
              <w:t>PLAZO, LUGAR Y PÓLIZAS:</w:t>
            </w:r>
          </w:p>
        </w:tc>
        <w:tc>
          <w:tcPr>
            <w:tcW w:type="dxa" w:w="11088"/>
            <w:tcMar>
              <w:top w:w="50" w:type="dxa"/>
              <w:bottom w:w="50" w:type="dxa"/>
              <w:left w:w="80" w:type="dxa"/>
              <w:right w:w="80" w:type="dxa"/>
            </w:tcMar>
          </w:tcPr>
          <w:p>
            <w:pPr>
              <w:spacing w:after="0"/>
            </w:pPr>
            <w:r>
              <w:rPr>
                <w:color w:val="0F172A"/>
                <w:sz w:val="16"/>
              </w:rPr>
              <w:t>Plazo: Dos (2) meses  |  Lugar: Municipio de Yolombó (Antioquia)  |  Garantías: No se exige constitución de pólizas (Pago condicionado a recibido a satisfacción)</w:t>
            </w:r>
          </w:p>
        </w:tc>
      </w:tr>
    </w:tbl>
    <w:p>
      <w:pPr>
        <w:spacing w:after="80"/>
      </w:pPr>
    </w:p>
    <w:p>
      <w:pPr>
        <w:spacing w:after="40"/>
      </w:pPr>
      <w:r>
        <w:rPr>
          <w:b/>
          <w:color w:val="0B3C5D"/>
          <w:sz w:val="17"/>
        </w:rPr>
        <w:t>CRITERIOS DE VALORACIÓN Y CALIFICACIÓN (METODOLOGÍA COLOMBIA COMPRA EFICIENTE)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96"/>
        <w:gridCol w:w="4896"/>
        <w:gridCol w:w="4896"/>
      </w:tblGrid>
      <w:tr>
        <w:tc>
          <w:tcPr>
            <w:tcW w:type="dxa" w:w="4896"/>
            <w:shd w:fill="2D3748"/>
            <w:tcMar>
              <w:top w:w="40" w:type="dxa"/>
              <w:bottom w:w="40" w:type="dxa"/>
              <w:left w:w="60" w:type="dxa"/>
              <w:right w:w="60" w:type="dxa"/>
            </w:tcMar>
          </w:tcPr>
          <w:p>
            <w:pPr>
              <w:spacing w:after="0"/>
              <w:jc w:val="center"/>
            </w:pPr>
            <w:r>
              <w:rPr>
                <w:b/>
                <w:color w:val="FFFFFF"/>
                <w:sz w:val="15"/>
              </w:rPr>
              <w:t>ESCALA DE PROBABILIDAD (1 a 5)</w:t>
            </w:r>
          </w:p>
        </w:tc>
        <w:tc>
          <w:tcPr>
            <w:tcW w:type="dxa" w:w="4896"/>
            <w:shd w:fill="2D3748"/>
            <w:tcMar>
              <w:top w:w="40" w:type="dxa"/>
              <w:bottom w:w="40" w:type="dxa"/>
              <w:left w:w="60" w:type="dxa"/>
              <w:right w:w="60" w:type="dxa"/>
            </w:tcMar>
          </w:tcPr>
          <w:p>
            <w:pPr>
              <w:spacing w:after="0"/>
              <w:jc w:val="center"/>
            </w:pPr>
            <w:r>
              <w:rPr>
                <w:b/>
                <w:color w:val="FFFFFF"/>
                <w:sz w:val="15"/>
              </w:rPr>
              <w:t>ESCALA DE IMPACTO (1 a 5)</w:t>
            </w:r>
          </w:p>
        </w:tc>
        <w:tc>
          <w:tcPr>
            <w:tcW w:type="dxa" w:w="4896"/>
            <w:shd w:fill="2D3748"/>
            <w:tcMar>
              <w:top w:w="40" w:type="dxa"/>
              <w:bottom w:w="40" w:type="dxa"/>
              <w:left w:w="60" w:type="dxa"/>
              <w:right w:w="60" w:type="dxa"/>
            </w:tcMar>
          </w:tcPr>
          <w:p>
            <w:pPr>
              <w:spacing w:after="0"/>
              <w:jc w:val="center"/>
            </w:pPr>
            <w:r>
              <w:rPr>
                <w:b/>
                <w:color w:val="FFFFFF"/>
                <w:sz w:val="15"/>
              </w:rPr>
              <w:t>VALORACIÓN Y CATEGORIZACIÓN (P + I)</w:t>
            </w:r>
          </w:p>
        </w:tc>
      </w:tr>
      <w:tr>
        <w:tc>
          <w:tcPr>
            <w:tcW w:type="dxa" w:w="4752"/>
            <w:shd w:fill="F8FAFC"/>
            <w:tcMar>
              <w:top w:w="40" w:type="dxa"/>
              <w:bottom w:w="40" w:type="dxa"/>
              <w:left w:w="60" w:type="dxa"/>
              <w:right w:w="60" w:type="dxa"/>
            </w:tcMar>
          </w:tcPr>
          <w:p>
            <w:pPr>
              <w:spacing w:after="0"/>
            </w:pPr>
            <w:r>
              <w:rPr>
                <w:color w:val="1E293B"/>
                <w:sz w:val="14"/>
              </w:rPr>
              <w:t>1 = Raro (Excepcional)</w:t>
              <w:br/>
              <w:t>2 = Improbable (Ocasional)</w:t>
              <w:br/>
              <w:t>3 = Posible (Cualquier momento)</w:t>
              <w:br/>
              <w:t>4 = Probable (Alta probabilidad)</w:t>
              <w:br/>
              <w:t>5 = Casi Cierto (Mayoría de circunstancias)</w:t>
            </w:r>
          </w:p>
        </w:tc>
        <w:tc>
          <w:tcPr>
            <w:tcW w:type="dxa" w:w="5040"/>
            <w:shd w:fill="F8FAFC"/>
            <w:tcMar>
              <w:top w:w="40" w:type="dxa"/>
              <w:bottom w:w="40" w:type="dxa"/>
              <w:left w:w="60" w:type="dxa"/>
              <w:right w:w="60" w:type="dxa"/>
            </w:tcMar>
          </w:tcPr>
          <w:p>
            <w:pPr>
              <w:spacing w:after="0"/>
            </w:pPr>
            <w:r>
              <w:rPr>
                <w:color w:val="1E293B"/>
                <w:sz w:val="14"/>
              </w:rPr>
              <w:t>1 = Insignificante (&lt; 1% del valor)</w:t>
              <w:br/>
              <w:t>2 = Menor (1% al 5% del valor)</w:t>
              <w:br/>
              <w:t>3 = Moderado (5% al 15% del valor)</w:t>
              <w:br/>
              <w:t>4 = Mayor (15% al 30% del valor)</w:t>
              <w:br/>
              <w:t>5 = Catastrófico (&gt; 30% o incumplimiento total)</w:t>
            </w:r>
          </w:p>
        </w:tc>
        <w:tc>
          <w:tcPr>
            <w:tcW w:type="dxa" w:w="4896"/>
            <w:shd w:fill="F8FAFC"/>
            <w:tcMar>
              <w:top w:w="40" w:type="dxa"/>
              <w:bottom w:w="40" w:type="dxa"/>
              <w:left w:w="60" w:type="dxa"/>
              <w:right w:w="60" w:type="dxa"/>
            </w:tcMar>
          </w:tcPr>
          <w:p>
            <w:pPr>
              <w:spacing w:after="0"/>
            </w:pPr>
            <w:r>
              <w:rPr>
                <w:color w:val="1E293B"/>
                <w:sz w:val="14"/>
              </w:rPr>
              <w:t>• BAJO: Suma de 2, 3 o 4</w:t>
              <w:br/>
              <w:t>• MEDIO: Suma de 5</w:t>
              <w:br/>
              <w:t>• ALTO: Suma de 6 o 7</w:t>
              <w:br/>
              <w:t>• EXTREMO: Suma de 8, 9 o 10</w:t>
              <w:br/>
              <w:t>Regla: Valoración = Probabilidad + Impacto</w:t>
            </w:r>
          </w:p>
        </w:tc>
      </w:tr>
    </w:tbl>
    <w:p>
      <w:pPr>
        <w:spacing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049"/>
        <w:gridCol w:w="1049"/>
        <w:gridCol w:w="1049"/>
        <w:gridCol w:w="1049"/>
        <w:gridCol w:w="1049"/>
        <w:gridCol w:w="1049"/>
        <w:gridCol w:w="1049"/>
        <w:gridCol w:w="1049"/>
        <w:gridCol w:w="1049"/>
        <w:gridCol w:w="1049"/>
        <w:gridCol w:w="1049"/>
        <w:gridCol w:w="1049"/>
        <w:gridCol w:w="1049"/>
        <w:gridCol w:w="1049"/>
      </w:tblGrid>
      <w:tr>
        <w:tc>
          <w:tcPr>
            <w:tcW w:type="dxa" w:w="432"/>
            <w:shd w:fill="1A365D"/>
            <w:tcMar>
              <w:top w:w="60" w:type="dxa"/>
              <w:bottom w:w="60" w:type="dxa"/>
              <w:left w:w="40" w:type="dxa"/>
              <w:right w:w="40" w:type="dxa"/>
            </w:tcMar>
          </w:tcPr>
          <w:p>
            <w:pPr>
              <w:spacing w:after="0"/>
              <w:jc w:val="center"/>
            </w:pPr>
            <w:r>
              <w:rPr>
                <w:b/>
                <w:color w:val="FFFFFF"/>
                <w:sz w:val="13"/>
              </w:rPr>
              <w:t>N°</w:t>
            </w:r>
          </w:p>
        </w:tc>
        <w:tc>
          <w:tcPr>
            <w:tcW w:type="dxa" w:w="720"/>
            <w:shd w:fill="1A365D"/>
            <w:tcMar>
              <w:top w:w="60" w:type="dxa"/>
              <w:bottom w:w="60" w:type="dxa"/>
              <w:left w:w="40" w:type="dxa"/>
              <w:right w:w="40" w:type="dxa"/>
            </w:tcMar>
          </w:tcPr>
          <w:p>
            <w:pPr>
              <w:spacing w:after="0"/>
              <w:jc w:val="center"/>
            </w:pPr>
            <w:r>
              <w:rPr>
                <w:b/>
                <w:color w:val="FFFFFF"/>
                <w:sz w:val="13"/>
              </w:rPr>
              <w:t>Clase</w:t>
            </w:r>
          </w:p>
        </w:tc>
        <w:tc>
          <w:tcPr>
            <w:tcW w:type="dxa" w:w="691"/>
            <w:shd w:fill="1A365D"/>
            <w:tcMar>
              <w:top w:w="60" w:type="dxa"/>
              <w:bottom w:w="60" w:type="dxa"/>
              <w:left w:w="40" w:type="dxa"/>
              <w:right w:w="40" w:type="dxa"/>
            </w:tcMar>
          </w:tcPr>
          <w:p>
            <w:pPr>
              <w:spacing w:after="0"/>
              <w:jc w:val="center"/>
            </w:pPr>
            <w:r>
              <w:rPr>
                <w:b/>
                <w:color w:val="FFFFFF"/>
                <w:sz w:val="13"/>
              </w:rPr>
              <w:t>Fuente</w:t>
            </w:r>
          </w:p>
        </w:tc>
        <w:tc>
          <w:tcPr>
            <w:tcW w:type="dxa" w:w="792"/>
            <w:shd w:fill="1A365D"/>
            <w:tcMar>
              <w:top w:w="60" w:type="dxa"/>
              <w:bottom w:w="60" w:type="dxa"/>
              <w:left w:w="40" w:type="dxa"/>
              <w:right w:w="40" w:type="dxa"/>
            </w:tcMar>
          </w:tcPr>
          <w:p>
            <w:pPr>
              <w:spacing w:after="0"/>
              <w:jc w:val="center"/>
            </w:pPr>
            <w:r>
              <w:rPr>
                <w:b/>
                <w:color w:val="FFFFFF"/>
                <w:sz w:val="13"/>
              </w:rPr>
              <w:t>Etapa</w:t>
            </w:r>
          </w:p>
        </w:tc>
        <w:tc>
          <w:tcPr>
            <w:tcW w:type="dxa" w:w="936"/>
            <w:shd w:fill="1A365D"/>
            <w:tcMar>
              <w:top w:w="60" w:type="dxa"/>
              <w:bottom w:w="60" w:type="dxa"/>
              <w:left w:w="40" w:type="dxa"/>
              <w:right w:w="40" w:type="dxa"/>
            </w:tcMar>
          </w:tcPr>
          <w:p>
            <w:pPr>
              <w:spacing w:after="0"/>
              <w:jc w:val="center"/>
            </w:pPr>
            <w:r>
              <w:rPr>
                <w:b/>
                <w:color w:val="FFFFFF"/>
                <w:sz w:val="13"/>
              </w:rPr>
              <w:t>Tipo</w:t>
            </w:r>
          </w:p>
        </w:tc>
        <w:tc>
          <w:tcPr>
            <w:tcW w:type="dxa" w:w="2160"/>
            <w:shd w:fill="1A365D"/>
            <w:tcMar>
              <w:top w:w="60" w:type="dxa"/>
              <w:bottom w:w="60" w:type="dxa"/>
              <w:left w:w="40" w:type="dxa"/>
              <w:right w:w="40" w:type="dxa"/>
            </w:tcMar>
          </w:tcPr>
          <w:p>
            <w:pPr>
              <w:spacing w:after="0"/>
              <w:jc w:val="center"/>
            </w:pPr>
            <w:r>
              <w:rPr>
                <w:b/>
                <w:color w:val="FFFFFF"/>
                <w:sz w:val="13"/>
              </w:rPr>
              <w:t>Descripción del Riesgo</w:t>
            </w:r>
          </w:p>
        </w:tc>
        <w:tc>
          <w:tcPr>
            <w:tcW w:type="dxa" w:w="1800"/>
            <w:shd w:fill="1A365D"/>
            <w:tcMar>
              <w:top w:w="60" w:type="dxa"/>
              <w:bottom w:w="60" w:type="dxa"/>
              <w:left w:w="40" w:type="dxa"/>
              <w:right w:w="40" w:type="dxa"/>
            </w:tcMar>
          </w:tcPr>
          <w:p>
            <w:pPr>
              <w:spacing w:after="0"/>
              <w:jc w:val="center"/>
            </w:pPr>
            <w:r>
              <w:rPr>
                <w:b/>
                <w:color w:val="FFFFFF"/>
                <w:sz w:val="13"/>
              </w:rPr>
              <w:t>Consecuencia de la Ocurrencia</w:t>
            </w:r>
          </w:p>
        </w:tc>
        <w:tc>
          <w:tcPr>
            <w:tcW w:type="dxa" w:w="1224"/>
            <w:shd w:fill="1A365D"/>
            <w:tcMar>
              <w:top w:w="60" w:type="dxa"/>
              <w:bottom w:w="60" w:type="dxa"/>
              <w:left w:w="40" w:type="dxa"/>
              <w:right w:w="40" w:type="dxa"/>
            </w:tcMar>
          </w:tcPr>
          <w:p>
            <w:pPr>
              <w:spacing w:after="0"/>
              <w:jc w:val="center"/>
            </w:pPr>
            <w:r>
              <w:rPr>
                <w:b/>
                <w:color w:val="FFFFFF"/>
                <w:sz w:val="13"/>
              </w:rPr>
              <w:t>EVALUACIÓN INICIAL</w:t>
            </w:r>
          </w:p>
        </w:tc>
        <w:tc>
          <w:tcPr>
            <w:tcW w:type="dxa" w:w="936"/>
            <w:shd w:fill="1A365D"/>
            <w:tcMar>
              <w:top w:w="60" w:type="dxa"/>
              <w:bottom w:w="60" w:type="dxa"/>
              <w:left w:w="40" w:type="dxa"/>
              <w:right w:w="40" w:type="dxa"/>
            </w:tcMar>
          </w:tcPr>
          <w:p>
            <w:pPr>
              <w:spacing w:after="0"/>
              <w:jc w:val="center"/>
            </w:pPr>
            <w:r>
              <w:rPr>
                <w:b/>
                <w:color w:val="FFFFFF"/>
                <w:sz w:val="13"/>
              </w:rPr>
              <w:t>Asignación</w:t>
            </w:r>
          </w:p>
        </w:tc>
        <w:tc>
          <w:tcPr>
            <w:tcW w:type="dxa" w:w="2160"/>
            <w:shd w:fill="1A365D"/>
            <w:tcMar>
              <w:top w:w="60" w:type="dxa"/>
              <w:bottom w:w="60" w:type="dxa"/>
              <w:left w:w="40" w:type="dxa"/>
              <w:right w:w="40" w:type="dxa"/>
            </w:tcMar>
          </w:tcPr>
          <w:p>
            <w:pPr>
              <w:spacing w:after="0"/>
              <w:jc w:val="center"/>
            </w:pPr>
            <w:r>
              <w:rPr>
                <w:b/>
                <w:color w:val="FFFFFF"/>
                <w:sz w:val="13"/>
              </w:rPr>
              <w:t>Tratamiento / Medida de Control</w:t>
            </w:r>
          </w:p>
        </w:tc>
        <w:tc>
          <w:tcPr>
            <w:tcW w:type="dxa" w:w="1224"/>
            <w:shd w:fill="1A365D"/>
            <w:tcMar>
              <w:top w:w="60" w:type="dxa"/>
              <w:bottom w:w="60" w:type="dxa"/>
              <w:left w:w="40" w:type="dxa"/>
              <w:right w:w="40" w:type="dxa"/>
            </w:tcMar>
          </w:tcPr>
          <w:p>
            <w:pPr>
              <w:spacing w:after="0"/>
              <w:jc w:val="center"/>
            </w:pPr>
            <w:r>
              <w:rPr>
                <w:b/>
                <w:color w:val="FFFFFF"/>
                <w:sz w:val="13"/>
              </w:rPr>
              <w:t>EVALUACIÓN RESIDUAL</w:t>
            </w:r>
          </w:p>
        </w:tc>
        <w:tc>
          <w:tcPr>
            <w:tcW w:type="dxa" w:w="576"/>
            <w:shd w:fill="1A365D"/>
            <w:tcMar>
              <w:top w:w="60" w:type="dxa"/>
              <w:bottom w:w="60" w:type="dxa"/>
              <w:left w:w="40" w:type="dxa"/>
              <w:right w:w="40" w:type="dxa"/>
            </w:tcMar>
          </w:tcPr>
          <w:p>
            <w:pPr>
              <w:spacing w:after="0"/>
              <w:jc w:val="center"/>
            </w:pPr>
            <w:r>
              <w:rPr>
                <w:b/>
                <w:color w:val="FFFFFF"/>
                <w:sz w:val="13"/>
              </w:rPr>
              <w:t>¿Afecta?</w:t>
            </w:r>
          </w:p>
        </w:tc>
        <w:tc>
          <w:tcPr>
            <w:tcW w:type="dxa" w:w="936"/>
            <w:shd w:fill="1A365D"/>
            <w:tcMar>
              <w:top w:w="60" w:type="dxa"/>
              <w:bottom w:w="60" w:type="dxa"/>
              <w:left w:w="40" w:type="dxa"/>
              <w:right w:w="40" w:type="dxa"/>
            </w:tcMar>
          </w:tcPr>
          <w:p>
            <w:pPr>
              <w:spacing w:after="0"/>
              <w:jc w:val="center"/>
            </w:pPr>
            <w:r>
              <w:rPr>
                <w:b/>
                <w:color w:val="FFFFFF"/>
                <w:sz w:val="13"/>
              </w:rPr>
              <w:t>Responsable</w:t>
            </w:r>
          </w:p>
        </w:tc>
        <w:tc>
          <w:tcPr>
            <w:tcW w:type="dxa" w:w="1253"/>
            <w:shd w:fill="1A365D"/>
            <w:tcMar>
              <w:top w:w="60" w:type="dxa"/>
              <w:bottom w:w="60" w:type="dxa"/>
              <w:left w:w="40" w:type="dxa"/>
              <w:right w:w="40" w:type="dxa"/>
            </w:tcMar>
          </w:tcPr>
          <w:p>
            <w:pPr>
              <w:spacing w:after="0"/>
              <w:jc w:val="center"/>
            </w:pPr>
            <w:r>
              <w:rPr>
                <w:b/>
                <w:color w:val="FFFFFF"/>
                <w:sz w:val="13"/>
              </w:rPr>
              <w:t>Monitoreo y Revisión</w:t>
            </w:r>
          </w:p>
        </w:tc>
      </w:tr>
      <w:tr>
        <w:tc>
          <w:tcPr>
            <w:tcW w:type="dxa" w:w="432"/>
            <w:vAlign w:val="center"/>
            <w:shd w:fill="FFFFFF"/>
            <w:tcMar>
              <w:top w:w="40" w:type="dxa"/>
              <w:bottom w:w="40" w:type="dxa"/>
              <w:left w:w="40" w:type="dxa"/>
              <w:right w:w="40" w:type="dxa"/>
            </w:tcMar>
          </w:tcPr>
          <w:p>
            <w:pPr>
              <w:spacing w:after="0"/>
              <w:jc w:val="center"/>
            </w:pPr>
            <w:r>
              <w:rPr>
                <w:b/>
                <w:color w:val="0F172A"/>
                <w:sz w:val="12"/>
              </w:rPr>
              <w:t>1</w:t>
            </w:r>
          </w:p>
        </w:tc>
        <w:tc>
          <w:tcPr>
            <w:tcW w:type="dxa" w:w="720"/>
            <w:vAlign w:val="center"/>
            <w:shd w:fill="FFFFFF"/>
            <w:tcMar>
              <w:top w:w="40" w:type="dxa"/>
              <w:bottom w:w="40" w:type="dxa"/>
              <w:left w:w="40" w:type="dxa"/>
              <w:right w:w="40" w:type="dxa"/>
            </w:tcMar>
          </w:tcPr>
          <w:p>
            <w:pPr>
              <w:spacing w:after="0"/>
              <w:jc w:val="center"/>
            </w:pPr>
            <w:r>
              <w:rPr>
                <w:b w:val="0"/>
                <w:color w:val="0F172A"/>
                <w:sz w:val="12"/>
              </w:rPr>
              <w:t>Específico</w:t>
            </w:r>
          </w:p>
        </w:tc>
        <w:tc>
          <w:tcPr>
            <w:tcW w:type="dxa" w:w="691"/>
            <w:vAlign w:val="center"/>
            <w:shd w:fill="FFFFFF"/>
            <w:tcMar>
              <w:top w:w="40" w:type="dxa"/>
              <w:bottom w:w="40" w:type="dxa"/>
              <w:left w:w="40" w:type="dxa"/>
              <w:right w:w="40" w:type="dxa"/>
            </w:tcMar>
          </w:tcPr>
          <w:p>
            <w:pPr>
              <w:spacing w:after="0"/>
              <w:jc w:val="center"/>
            </w:pPr>
            <w:r>
              <w:rPr>
                <w:b w:val="0"/>
                <w:color w:val="0F172A"/>
                <w:sz w:val="12"/>
              </w:rPr>
              <w:t>Interno</w:t>
            </w:r>
          </w:p>
        </w:tc>
        <w:tc>
          <w:tcPr>
            <w:tcW w:type="dxa" w:w="792"/>
            <w:vAlign w:val="center"/>
            <w:shd w:fill="FFFFFF"/>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FFFFF"/>
            <w:tcMar>
              <w:top w:w="40" w:type="dxa"/>
              <w:bottom w:w="40" w:type="dxa"/>
              <w:left w:w="40" w:type="dxa"/>
              <w:right w:w="40" w:type="dxa"/>
            </w:tcMar>
          </w:tcPr>
          <w:p>
            <w:pPr>
              <w:spacing w:after="0"/>
              <w:jc w:val="center"/>
            </w:pPr>
            <w:r>
              <w:rPr>
                <w:b/>
                <w:color w:val="0F172A"/>
                <w:sz w:val="12"/>
              </w:rPr>
              <w:t>Operacional</w:t>
            </w:r>
          </w:p>
        </w:tc>
        <w:tc>
          <w:tcPr>
            <w:tcW w:type="dxa" w:w="2160"/>
            <w:vAlign w:val="center"/>
            <w:shd w:fill="FFFFFF"/>
            <w:tcMar>
              <w:top w:w="40" w:type="dxa"/>
              <w:bottom w:w="40" w:type="dxa"/>
              <w:left w:w="40" w:type="dxa"/>
              <w:right w:w="40" w:type="dxa"/>
            </w:tcMar>
          </w:tcPr>
          <w:p>
            <w:pPr>
              <w:spacing w:after="0"/>
              <w:jc w:val="left"/>
            </w:pPr>
            <w:r>
              <w:rPr>
                <w:b w:val="0"/>
                <w:color w:val="0F172A"/>
                <w:sz w:val="12"/>
              </w:rPr>
              <w:t>Incumplimiento o retraso injustificado en la entrega oportuna de los informes mensuales de actividades y evidencias de ejecución de las labores complementarias del PGIRS dentro de los primeros cinco (5) días hábiles de cada mes.</w:t>
            </w:r>
          </w:p>
        </w:tc>
        <w:tc>
          <w:tcPr>
            <w:tcW w:type="dxa" w:w="1800"/>
            <w:vAlign w:val="center"/>
            <w:shd w:fill="FFFFFF"/>
            <w:tcMar>
              <w:top w:w="40" w:type="dxa"/>
              <w:bottom w:w="40" w:type="dxa"/>
              <w:left w:w="40" w:type="dxa"/>
              <w:right w:w="40" w:type="dxa"/>
            </w:tcMar>
          </w:tcPr>
          <w:p>
            <w:pPr>
              <w:spacing w:after="0"/>
              <w:jc w:val="left"/>
            </w:pPr>
            <w:r>
              <w:rPr>
                <w:b w:val="0"/>
                <w:color w:val="0F172A"/>
                <w:sz w:val="12"/>
              </w:rPr>
              <w:t>Retraso en el seguimiento al cronograma municipal del PGIRS, postergación en la expedición del certificado de cumplimiento y demora en el trámite mensual de cuentas.</w:t>
            </w:r>
          </w:p>
        </w:tc>
        <w:tc>
          <w:tcPr>
            <w:tcW w:type="dxa" w:w="1224"/>
            <w:vAlign w:val="center"/>
            <w:shd w:fill="FEF3C7"/>
            <w:tcMar>
              <w:top w:w="40" w:type="dxa"/>
              <w:bottom w:w="40" w:type="dxa"/>
              <w:left w:w="40" w:type="dxa"/>
              <w:right w:w="40" w:type="dxa"/>
            </w:tcMar>
          </w:tcPr>
          <w:p>
            <w:pPr>
              <w:spacing w:after="0"/>
              <w:jc w:val="center"/>
            </w:pPr>
            <w:r>
              <w:rPr>
                <w:b/>
                <w:color w:val="0F172A"/>
                <w:sz w:val="12"/>
              </w:rPr>
              <w:t>P:3  I:2</w:t>
              <w:br/>
              <w:t>Val:5</w:t>
              <w:br/>
              <w:t>MEDIO</w:t>
            </w:r>
          </w:p>
        </w:tc>
        <w:tc>
          <w:tcPr>
            <w:tcW w:type="dxa" w:w="936"/>
            <w:vAlign w:val="center"/>
            <w:shd w:fill="FFFFFF"/>
            <w:tcMar>
              <w:top w:w="40" w:type="dxa"/>
              <w:bottom w:w="40" w:type="dxa"/>
              <w:left w:w="40" w:type="dxa"/>
              <w:right w:w="40" w:type="dxa"/>
            </w:tcMar>
          </w:tcPr>
          <w:p>
            <w:pPr>
              <w:spacing w:after="0"/>
              <w:jc w:val="center"/>
            </w:pPr>
            <w:r>
              <w:rPr>
                <w:b w:val="0"/>
                <w:color w:val="0F172A"/>
                <w:sz w:val="12"/>
              </w:rPr>
              <w:t>Contratista (100%)</w:t>
            </w:r>
          </w:p>
        </w:tc>
        <w:tc>
          <w:tcPr>
            <w:tcW w:type="dxa" w:w="2160"/>
            <w:vAlign w:val="center"/>
            <w:shd w:fill="FFFFFF"/>
            <w:tcMar>
              <w:top w:w="40" w:type="dxa"/>
              <w:bottom w:w="40" w:type="dxa"/>
              <w:left w:w="40" w:type="dxa"/>
              <w:right w:w="40" w:type="dxa"/>
            </w:tcMar>
          </w:tcPr>
          <w:p>
            <w:pPr>
              <w:spacing w:after="0"/>
              <w:jc w:val="left"/>
            </w:pPr>
            <w:r>
              <w:rPr>
                <w:b w:val="0"/>
                <w:color w:val="0F172A"/>
                <w:sz w:val="12"/>
              </w:rPr>
              <w:t>La supervisión concertará con la contratista el cronograma detallado de entregables desde el acta de inicio. Emisión de alertas tempranas tres (3) días hábiles antes del vencimiento. Condicionamiento estricto del trámite de pago a la radicación completa y aprobada del informe y evidencias.</w:t>
            </w:r>
          </w:p>
        </w:tc>
        <w:tc>
          <w:tcPr>
            <w:tcW w:type="dxa" w:w="1224"/>
            <w:vAlign w:val="center"/>
            <w:shd w:fill="ECFDF5"/>
            <w:tcMar>
              <w:top w:w="40" w:type="dxa"/>
              <w:bottom w:w="40" w:type="dxa"/>
              <w:left w:w="40" w:type="dxa"/>
              <w:right w:w="40" w:type="dxa"/>
            </w:tcMar>
          </w:tcPr>
          <w:p>
            <w:pPr>
              <w:spacing w:after="0"/>
              <w:jc w:val="center"/>
            </w:pPr>
            <w:r>
              <w:rPr>
                <w:b/>
                <w:color w:val="0F172A"/>
                <w:sz w:val="12"/>
              </w:rPr>
              <w:t>P:1  I:2</w:t>
              <w:br/>
              <w:t>Val:3</w:t>
              <w:br/>
              <w:t>BAJO</w:t>
            </w:r>
          </w:p>
        </w:tc>
        <w:tc>
          <w:tcPr>
            <w:tcW w:type="dxa" w:w="576"/>
            <w:vAlign w:val="center"/>
            <w:shd w:fill="FFFFFF"/>
            <w:tcMar>
              <w:top w:w="40" w:type="dxa"/>
              <w:bottom w:w="40" w:type="dxa"/>
              <w:left w:w="40" w:type="dxa"/>
              <w:right w:w="40" w:type="dxa"/>
            </w:tcMar>
          </w:tcPr>
          <w:p>
            <w:pPr>
              <w:spacing w:after="0"/>
              <w:jc w:val="center"/>
            </w:pPr>
            <w:r>
              <w:rPr>
                <w:b/>
                <w:color w:val="0F172A"/>
                <w:sz w:val="12"/>
              </w:rPr>
              <w:t>Sí</w:t>
            </w:r>
          </w:p>
        </w:tc>
        <w:tc>
          <w:tcPr>
            <w:tcW w:type="dxa" w:w="936"/>
            <w:vAlign w:val="center"/>
            <w:shd w:fill="FFFFFF"/>
            <w:tcMar>
              <w:top w:w="40" w:type="dxa"/>
              <w:bottom w:w="40" w:type="dxa"/>
              <w:left w:w="40" w:type="dxa"/>
              <w:right w:w="40" w:type="dxa"/>
            </w:tcMar>
          </w:tcPr>
          <w:p>
            <w:pPr>
              <w:spacing w:after="0"/>
              <w:jc w:val="center"/>
            </w:pPr>
            <w:r>
              <w:rPr>
                <w:b w:val="0"/>
                <w:color w:val="0F172A"/>
                <w:sz w:val="12"/>
              </w:rPr>
              <w:t>Contratista y Supervisor ESPY</w:t>
            </w:r>
          </w:p>
        </w:tc>
        <w:tc>
          <w:tcPr>
            <w:tcW w:type="dxa" w:w="1253"/>
            <w:vAlign w:val="center"/>
            <w:shd w:fill="FFFFFF"/>
            <w:tcMar>
              <w:top w:w="40" w:type="dxa"/>
              <w:bottom w:w="40" w:type="dxa"/>
              <w:left w:w="40" w:type="dxa"/>
              <w:right w:w="40" w:type="dxa"/>
            </w:tcMar>
          </w:tcPr>
          <w:p>
            <w:pPr>
              <w:spacing w:after="0"/>
              <w:jc w:val="left"/>
            </w:pPr>
            <w:r>
              <w:rPr>
                <w:b w:val="0"/>
                <w:color w:val="0F172A"/>
                <w:sz w:val="12"/>
              </w:rPr>
              <w:t>Cotejo documental de fecha de radicación vs. plazo contractual.</w:t>
              <w:br/>
              <w:t>Periodicidad: Mensual (primeros 5 días hábiles de cada mes).</w:t>
            </w:r>
          </w:p>
        </w:tc>
      </w:tr>
      <w:tr>
        <w:tc>
          <w:tcPr>
            <w:tcW w:type="dxa" w:w="432"/>
            <w:vAlign w:val="center"/>
            <w:shd w:fill="F8FAFC"/>
            <w:tcMar>
              <w:top w:w="40" w:type="dxa"/>
              <w:bottom w:w="40" w:type="dxa"/>
              <w:left w:w="40" w:type="dxa"/>
              <w:right w:w="40" w:type="dxa"/>
            </w:tcMar>
          </w:tcPr>
          <w:p>
            <w:pPr>
              <w:spacing w:after="0"/>
              <w:jc w:val="center"/>
            </w:pPr>
            <w:r>
              <w:rPr>
                <w:b/>
                <w:color w:val="0F172A"/>
                <w:sz w:val="12"/>
              </w:rPr>
              <w:t>2</w:t>
            </w:r>
          </w:p>
        </w:tc>
        <w:tc>
          <w:tcPr>
            <w:tcW w:type="dxa" w:w="720"/>
            <w:vAlign w:val="center"/>
            <w:shd w:fill="F8FAFC"/>
            <w:tcMar>
              <w:top w:w="40" w:type="dxa"/>
              <w:bottom w:w="40" w:type="dxa"/>
              <w:left w:w="40" w:type="dxa"/>
              <w:right w:w="40" w:type="dxa"/>
            </w:tcMar>
          </w:tcPr>
          <w:p>
            <w:pPr>
              <w:spacing w:after="0"/>
              <w:jc w:val="center"/>
            </w:pPr>
            <w:r>
              <w:rPr>
                <w:b w:val="0"/>
                <w:color w:val="0F172A"/>
                <w:sz w:val="12"/>
              </w:rPr>
              <w:t>Específico</w:t>
            </w:r>
          </w:p>
        </w:tc>
        <w:tc>
          <w:tcPr>
            <w:tcW w:type="dxa" w:w="691"/>
            <w:vAlign w:val="center"/>
            <w:shd w:fill="F8FAFC"/>
            <w:tcMar>
              <w:top w:w="40" w:type="dxa"/>
              <w:bottom w:w="40" w:type="dxa"/>
              <w:left w:w="40" w:type="dxa"/>
              <w:right w:w="40" w:type="dxa"/>
            </w:tcMar>
          </w:tcPr>
          <w:p>
            <w:pPr>
              <w:spacing w:after="0"/>
              <w:jc w:val="center"/>
            </w:pPr>
            <w:r>
              <w:rPr>
                <w:b w:val="0"/>
                <w:color w:val="0F172A"/>
                <w:sz w:val="12"/>
              </w:rPr>
              <w:t>Interno</w:t>
            </w:r>
          </w:p>
        </w:tc>
        <w:tc>
          <w:tcPr>
            <w:tcW w:type="dxa" w:w="792"/>
            <w:vAlign w:val="center"/>
            <w:shd w:fill="F8FAFC"/>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8FAFC"/>
            <w:tcMar>
              <w:top w:w="40" w:type="dxa"/>
              <w:bottom w:w="40" w:type="dxa"/>
              <w:left w:w="40" w:type="dxa"/>
              <w:right w:w="40" w:type="dxa"/>
            </w:tcMar>
          </w:tcPr>
          <w:p>
            <w:pPr>
              <w:spacing w:after="0"/>
              <w:jc w:val="center"/>
            </w:pPr>
            <w:r>
              <w:rPr>
                <w:b/>
                <w:color w:val="0F172A"/>
                <w:sz w:val="12"/>
              </w:rPr>
              <w:t>Técnico</w:t>
            </w:r>
          </w:p>
        </w:tc>
        <w:tc>
          <w:tcPr>
            <w:tcW w:type="dxa" w:w="2160"/>
            <w:vAlign w:val="center"/>
            <w:shd w:fill="F8FAFC"/>
            <w:tcMar>
              <w:top w:w="40" w:type="dxa"/>
              <w:bottom w:w="40" w:type="dxa"/>
              <w:left w:w="40" w:type="dxa"/>
              <w:right w:w="40" w:type="dxa"/>
            </w:tcMar>
          </w:tcPr>
          <w:p>
            <w:pPr>
              <w:spacing w:after="0"/>
              <w:jc w:val="left"/>
            </w:pPr>
            <w:r>
              <w:rPr>
                <w:b w:val="0"/>
                <w:color w:val="0F172A"/>
                <w:sz w:val="12"/>
              </w:rPr>
              <w:t>Deficiente calidad técnica, inconsistencia o falta de rigor metodológico en los informes, diagnósticos, registros o memorias de apoyo técnico a las actividades del PGIRS elaboradas por la contratista.</w:t>
            </w:r>
          </w:p>
        </w:tc>
        <w:tc>
          <w:tcPr>
            <w:tcW w:type="dxa" w:w="1800"/>
            <w:vAlign w:val="center"/>
            <w:shd w:fill="F8FAFC"/>
            <w:tcMar>
              <w:top w:w="40" w:type="dxa"/>
              <w:bottom w:w="40" w:type="dxa"/>
              <w:left w:w="40" w:type="dxa"/>
              <w:right w:w="40" w:type="dxa"/>
            </w:tcMar>
          </w:tcPr>
          <w:p>
            <w:pPr>
              <w:spacing w:after="0"/>
              <w:jc w:val="left"/>
            </w:pPr>
            <w:r>
              <w:rPr>
                <w:b w:val="0"/>
                <w:color w:val="0F172A"/>
                <w:sz w:val="12"/>
              </w:rPr>
              <w:t>Rechazo de informes, imposibilidad de consolidar avances institucionales ante autoridades ambientales competentes (Corantioquia/SSPD), retrabajo administrativo y necesidad de requerimientos reiterados.</w:t>
            </w:r>
          </w:p>
        </w:tc>
        <w:tc>
          <w:tcPr>
            <w:tcW w:type="dxa" w:w="1224"/>
            <w:vAlign w:val="center"/>
            <w:shd w:fill="FEF3C7"/>
            <w:tcMar>
              <w:top w:w="40" w:type="dxa"/>
              <w:bottom w:w="40" w:type="dxa"/>
              <w:left w:w="40" w:type="dxa"/>
              <w:right w:w="40" w:type="dxa"/>
            </w:tcMar>
          </w:tcPr>
          <w:p>
            <w:pPr>
              <w:spacing w:after="0"/>
              <w:jc w:val="center"/>
            </w:pPr>
            <w:r>
              <w:rPr>
                <w:b/>
                <w:color w:val="0F172A"/>
                <w:sz w:val="12"/>
              </w:rPr>
              <w:t>P:2  I:3</w:t>
              <w:br/>
              <w:t>Val:5</w:t>
              <w:br/>
              <w:t>MEDIO</w:t>
            </w:r>
          </w:p>
        </w:tc>
        <w:tc>
          <w:tcPr>
            <w:tcW w:type="dxa" w:w="936"/>
            <w:vAlign w:val="center"/>
            <w:shd w:fill="F8FAFC"/>
            <w:tcMar>
              <w:top w:w="40" w:type="dxa"/>
              <w:bottom w:w="40" w:type="dxa"/>
              <w:left w:w="40" w:type="dxa"/>
              <w:right w:w="40" w:type="dxa"/>
            </w:tcMar>
          </w:tcPr>
          <w:p>
            <w:pPr>
              <w:spacing w:after="0"/>
              <w:jc w:val="center"/>
            </w:pPr>
            <w:r>
              <w:rPr>
                <w:b w:val="0"/>
                <w:color w:val="0F172A"/>
                <w:sz w:val="12"/>
              </w:rPr>
              <w:t>Contratista (100%)</w:t>
            </w:r>
          </w:p>
        </w:tc>
        <w:tc>
          <w:tcPr>
            <w:tcW w:type="dxa" w:w="2160"/>
            <w:vAlign w:val="center"/>
            <w:shd w:fill="F8FAFC"/>
            <w:tcMar>
              <w:top w:w="40" w:type="dxa"/>
              <w:bottom w:w="40" w:type="dxa"/>
              <w:left w:w="40" w:type="dxa"/>
              <w:right w:w="40" w:type="dxa"/>
            </w:tcMar>
          </w:tcPr>
          <w:p>
            <w:pPr>
              <w:spacing w:after="0"/>
              <w:jc w:val="left"/>
            </w:pPr>
            <w:r>
              <w:rPr>
                <w:b w:val="0"/>
                <w:color w:val="0F172A"/>
                <w:sz w:val="12"/>
              </w:rPr>
              <w:t>Verificación del perfil técnico e idoneidad previa a la suscripción. La supervisión técnica evaluará la consistencia de cada entregable, disponiendo de hasta tres (3) días hábiles para exigir subsanaciones antes de otorgar el recibo a satisfacción.</w:t>
            </w:r>
          </w:p>
        </w:tc>
        <w:tc>
          <w:tcPr>
            <w:tcW w:type="dxa" w:w="1224"/>
            <w:vAlign w:val="center"/>
            <w:shd w:fill="ECFDF5"/>
            <w:tcMar>
              <w:top w:w="40" w:type="dxa"/>
              <w:bottom w:w="40" w:type="dxa"/>
              <w:left w:w="40" w:type="dxa"/>
              <w:right w:w="40" w:type="dxa"/>
            </w:tcMar>
          </w:tcPr>
          <w:p>
            <w:pPr>
              <w:spacing w:after="0"/>
              <w:jc w:val="center"/>
            </w:pPr>
            <w:r>
              <w:rPr>
                <w:b/>
                <w:color w:val="0F172A"/>
                <w:sz w:val="12"/>
              </w:rPr>
              <w:t>P:1  I:2</w:t>
              <w:br/>
              <w:t>Val:3</w:t>
              <w:br/>
              <w:t>BAJO</w:t>
            </w:r>
          </w:p>
        </w:tc>
        <w:tc>
          <w:tcPr>
            <w:tcW w:type="dxa" w:w="576"/>
            <w:vAlign w:val="center"/>
            <w:shd w:fill="F8FAFC"/>
            <w:tcMar>
              <w:top w:w="40" w:type="dxa"/>
              <w:bottom w:w="40" w:type="dxa"/>
              <w:left w:w="40" w:type="dxa"/>
              <w:right w:w="40" w:type="dxa"/>
            </w:tcMar>
          </w:tcPr>
          <w:p>
            <w:pPr>
              <w:spacing w:after="0"/>
              <w:jc w:val="center"/>
            </w:pPr>
            <w:r>
              <w:rPr>
                <w:b/>
                <w:color w:val="0F172A"/>
                <w:sz w:val="12"/>
              </w:rPr>
              <w:t>Sí</w:t>
            </w:r>
          </w:p>
        </w:tc>
        <w:tc>
          <w:tcPr>
            <w:tcW w:type="dxa" w:w="936"/>
            <w:vAlign w:val="center"/>
            <w:shd w:fill="F8FAFC"/>
            <w:tcMar>
              <w:top w:w="40" w:type="dxa"/>
              <w:bottom w:w="40" w:type="dxa"/>
              <w:left w:w="40" w:type="dxa"/>
              <w:right w:w="40" w:type="dxa"/>
            </w:tcMar>
          </w:tcPr>
          <w:p>
            <w:pPr>
              <w:spacing w:after="0"/>
              <w:jc w:val="center"/>
            </w:pPr>
            <w:r>
              <w:rPr>
                <w:b w:val="0"/>
                <w:color w:val="0F172A"/>
                <w:sz w:val="12"/>
              </w:rPr>
              <w:t>Contratista y Supervisor ESPY</w:t>
            </w:r>
          </w:p>
        </w:tc>
        <w:tc>
          <w:tcPr>
            <w:tcW w:type="dxa" w:w="1253"/>
            <w:vAlign w:val="center"/>
            <w:shd w:fill="F8FAFC"/>
            <w:tcMar>
              <w:top w:w="40" w:type="dxa"/>
              <w:bottom w:w="40" w:type="dxa"/>
              <w:left w:w="40" w:type="dxa"/>
              <w:right w:w="40" w:type="dxa"/>
            </w:tcMar>
          </w:tcPr>
          <w:p>
            <w:pPr>
              <w:spacing w:after="0"/>
              <w:jc w:val="left"/>
            </w:pPr>
            <w:r>
              <w:rPr>
                <w:b w:val="0"/>
                <w:color w:val="0F172A"/>
                <w:sz w:val="12"/>
              </w:rPr>
              <w:t>Revisión técnica de fondo y cotejo contra obligaciones contractuales.</w:t>
              <w:br/>
              <w:t>Periodicidad: Mensual (con cada entrega de informe).</w:t>
            </w:r>
          </w:p>
        </w:tc>
      </w:tr>
      <w:tr>
        <w:tc>
          <w:tcPr>
            <w:tcW w:type="dxa" w:w="432"/>
            <w:vAlign w:val="center"/>
            <w:shd w:fill="FFFFFF"/>
            <w:tcMar>
              <w:top w:w="40" w:type="dxa"/>
              <w:bottom w:w="40" w:type="dxa"/>
              <w:left w:w="40" w:type="dxa"/>
              <w:right w:w="40" w:type="dxa"/>
            </w:tcMar>
          </w:tcPr>
          <w:p>
            <w:pPr>
              <w:spacing w:after="0"/>
              <w:jc w:val="center"/>
            </w:pPr>
            <w:r>
              <w:rPr>
                <w:b/>
                <w:color w:val="0F172A"/>
                <w:sz w:val="12"/>
              </w:rPr>
              <w:t>3</w:t>
            </w:r>
          </w:p>
        </w:tc>
        <w:tc>
          <w:tcPr>
            <w:tcW w:type="dxa" w:w="720"/>
            <w:vAlign w:val="center"/>
            <w:shd w:fill="FFFFFF"/>
            <w:tcMar>
              <w:top w:w="40" w:type="dxa"/>
              <w:bottom w:w="40" w:type="dxa"/>
              <w:left w:w="40" w:type="dxa"/>
              <w:right w:w="40" w:type="dxa"/>
            </w:tcMar>
          </w:tcPr>
          <w:p>
            <w:pPr>
              <w:spacing w:after="0"/>
              <w:jc w:val="center"/>
            </w:pPr>
            <w:r>
              <w:rPr>
                <w:b w:val="0"/>
                <w:color w:val="0F172A"/>
                <w:sz w:val="12"/>
              </w:rPr>
              <w:t>General</w:t>
            </w:r>
          </w:p>
        </w:tc>
        <w:tc>
          <w:tcPr>
            <w:tcW w:type="dxa" w:w="691"/>
            <w:vAlign w:val="center"/>
            <w:shd w:fill="FFFFFF"/>
            <w:tcMar>
              <w:top w:w="40" w:type="dxa"/>
              <w:bottom w:w="40" w:type="dxa"/>
              <w:left w:w="40" w:type="dxa"/>
              <w:right w:w="40" w:type="dxa"/>
            </w:tcMar>
          </w:tcPr>
          <w:p>
            <w:pPr>
              <w:spacing w:after="0"/>
              <w:jc w:val="center"/>
            </w:pPr>
            <w:r>
              <w:rPr>
                <w:b w:val="0"/>
                <w:color w:val="0F172A"/>
                <w:sz w:val="12"/>
              </w:rPr>
              <w:t>Mixto</w:t>
            </w:r>
          </w:p>
        </w:tc>
        <w:tc>
          <w:tcPr>
            <w:tcW w:type="dxa" w:w="792"/>
            <w:vAlign w:val="center"/>
            <w:shd w:fill="FFFFFF"/>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FFFFF"/>
            <w:tcMar>
              <w:top w:w="40" w:type="dxa"/>
              <w:bottom w:w="40" w:type="dxa"/>
              <w:left w:w="40" w:type="dxa"/>
              <w:right w:w="40" w:type="dxa"/>
            </w:tcMar>
          </w:tcPr>
          <w:p>
            <w:pPr>
              <w:spacing w:after="0"/>
              <w:jc w:val="center"/>
            </w:pPr>
            <w:r>
              <w:rPr>
                <w:b/>
                <w:color w:val="0F172A"/>
                <w:sz w:val="12"/>
              </w:rPr>
              <w:t>Operacional / SST</w:t>
            </w:r>
          </w:p>
        </w:tc>
        <w:tc>
          <w:tcPr>
            <w:tcW w:type="dxa" w:w="2160"/>
            <w:vAlign w:val="center"/>
            <w:shd w:fill="FFFFFF"/>
            <w:tcMar>
              <w:top w:w="40" w:type="dxa"/>
              <w:bottom w:w="40" w:type="dxa"/>
              <w:left w:w="40" w:type="dxa"/>
              <w:right w:w="40" w:type="dxa"/>
            </w:tcMar>
          </w:tcPr>
          <w:p>
            <w:pPr>
              <w:spacing w:after="0"/>
              <w:jc w:val="left"/>
            </w:pPr>
            <w:r>
              <w:rPr>
                <w:b w:val="0"/>
                <w:color w:val="0F172A"/>
                <w:sz w:val="12"/>
              </w:rPr>
              <w:t>Ocurrencia de accidentes o incidentes laborales, o afectación a la salud e integridad de la contratista durante actividades de campo, visitas o recorridos en el municipio de Yolombó inherentes al PGIRS.</w:t>
            </w:r>
          </w:p>
        </w:tc>
        <w:tc>
          <w:tcPr>
            <w:tcW w:type="dxa" w:w="1800"/>
            <w:vAlign w:val="center"/>
            <w:shd w:fill="FFFFFF"/>
            <w:tcMar>
              <w:top w:w="40" w:type="dxa"/>
              <w:bottom w:w="40" w:type="dxa"/>
              <w:left w:w="40" w:type="dxa"/>
              <w:right w:w="40" w:type="dxa"/>
            </w:tcMar>
          </w:tcPr>
          <w:p>
            <w:pPr>
              <w:spacing w:after="0"/>
              <w:jc w:val="left"/>
            </w:pPr>
            <w:r>
              <w:rPr>
                <w:b w:val="0"/>
                <w:color w:val="0F172A"/>
                <w:sz w:val="12"/>
              </w:rPr>
              <w:t>Incapacidad temporal, interrupción en el desarrollo de actividades en territorio, posibles reclamaciones contra la entidad y retraso en las metas comunitarias.</w:t>
            </w:r>
          </w:p>
        </w:tc>
        <w:tc>
          <w:tcPr>
            <w:tcW w:type="dxa" w:w="1224"/>
            <w:vAlign w:val="center"/>
            <w:shd w:fill="FEF3C7"/>
            <w:tcMar>
              <w:top w:w="40" w:type="dxa"/>
              <w:bottom w:w="40" w:type="dxa"/>
              <w:left w:w="40" w:type="dxa"/>
              <w:right w:w="40" w:type="dxa"/>
            </w:tcMar>
          </w:tcPr>
          <w:p>
            <w:pPr>
              <w:spacing w:after="0"/>
              <w:jc w:val="center"/>
            </w:pPr>
            <w:r>
              <w:rPr>
                <w:b/>
                <w:color w:val="0F172A"/>
                <w:sz w:val="12"/>
              </w:rPr>
              <w:t>P:2  I:3</w:t>
              <w:br/>
              <w:t>Val:5</w:t>
              <w:br/>
              <w:t>MEDIO</w:t>
            </w:r>
          </w:p>
        </w:tc>
        <w:tc>
          <w:tcPr>
            <w:tcW w:type="dxa" w:w="936"/>
            <w:vAlign w:val="center"/>
            <w:shd w:fill="FFFFFF"/>
            <w:tcMar>
              <w:top w:w="40" w:type="dxa"/>
              <w:bottom w:w="40" w:type="dxa"/>
              <w:left w:w="40" w:type="dxa"/>
              <w:right w:w="40" w:type="dxa"/>
            </w:tcMar>
          </w:tcPr>
          <w:p>
            <w:pPr>
              <w:spacing w:after="0"/>
              <w:jc w:val="center"/>
            </w:pPr>
            <w:r>
              <w:rPr>
                <w:b w:val="0"/>
                <w:color w:val="0F172A"/>
                <w:sz w:val="12"/>
              </w:rPr>
              <w:t>Contratista (100%)</w:t>
            </w:r>
          </w:p>
        </w:tc>
        <w:tc>
          <w:tcPr>
            <w:tcW w:type="dxa" w:w="2160"/>
            <w:vAlign w:val="center"/>
            <w:shd w:fill="FFFFFF"/>
            <w:tcMar>
              <w:top w:w="40" w:type="dxa"/>
              <w:bottom w:w="40" w:type="dxa"/>
              <w:left w:w="40" w:type="dxa"/>
              <w:right w:w="40" w:type="dxa"/>
            </w:tcMar>
          </w:tcPr>
          <w:p>
            <w:pPr>
              <w:spacing w:after="0"/>
              <w:jc w:val="left"/>
            </w:pPr>
            <w:r>
              <w:rPr>
                <w:b w:val="0"/>
                <w:color w:val="0F172A"/>
                <w:sz w:val="12"/>
              </w:rPr>
              <w:t>Afiliación previa y obligatoria al Sistema General de Riesgos Laborales (ARL) en el nivel de riesgo aplicable. Cumplimiento estricto del SG-SST de la ESPY (Decreto 1072 de 2015), porte y uso permanente de EPP/EPI reglamentarios en campo, autocuidado y reporte inmediato por escrito de novedades.</w:t>
            </w:r>
          </w:p>
        </w:tc>
        <w:tc>
          <w:tcPr>
            <w:tcW w:type="dxa" w:w="1224"/>
            <w:vAlign w:val="center"/>
            <w:shd w:fill="ECFDF5"/>
            <w:tcMar>
              <w:top w:w="40" w:type="dxa"/>
              <w:bottom w:w="40" w:type="dxa"/>
              <w:left w:w="40" w:type="dxa"/>
              <w:right w:w="40" w:type="dxa"/>
            </w:tcMar>
          </w:tcPr>
          <w:p>
            <w:pPr>
              <w:spacing w:after="0"/>
              <w:jc w:val="center"/>
            </w:pPr>
            <w:r>
              <w:rPr>
                <w:b/>
                <w:color w:val="0F172A"/>
                <w:sz w:val="12"/>
              </w:rPr>
              <w:t>P:1  I:2</w:t>
              <w:br/>
              <w:t>Val:3</w:t>
              <w:br/>
              <w:t>BAJO</w:t>
            </w:r>
          </w:p>
        </w:tc>
        <w:tc>
          <w:tcPr>
            <w:tcW w:type="dxa" w:w="576"/>
            <w:vAlign w:val="center"/>
            <w:shd w:fill="FFFFFF"/>
            <w:tcMar>
              <w:top w:w="40" w:type="dxa"/>
              <w:bottom w:w="40" w:type="dxa"/>
              <w:left w:w="40" w:type="dxa"/>
              <w:right w:w="40" w:type="dxa"/>
            </w:tcMar>
          </w:tcPr>
          <w:p>
            <w:pPr>
              <w:spacing w:after="0"/>
              <w:jc w:val="center"/>
            </w:pPr>
            <w:r>
              <w:rPr>
                <w:b/>
                <w:color w:val="0F172A"/>
                <w:sz w:val="12"/>
              </w:rPr>
              <w:t>Sí</w:t>
            </w:r>
          </w:p>
        </w:tc>
        <w:tc>
          <w:tcPr>
            <w:tcW w:type="dxa" w:w="936"/>
            <w:vAlign w:val="center"/>
            <w:shd w:fill="FFFFFF"/>
            <w:tcMar>
              <w:top w:w="40" w:type="dxa"/>
              <w:bottom w:w="40" w:type="dxa"/>
              <w:left w:w="40" w:type="dxa"/>
              <w:right w:w="40" w:type="dxa"/>
            </w:tcMar>
          </w:tcPr>
          <w:p>
            <w:pPr>
              <w:spacing w:after="0"/>
              <w:jc w:val="center"/>
            </w:pPr>
            <w:r>
              <w:rPr>
                <w:b w:val="0"/>
                <w:color w:val="0F172A"/>
                <w:sz w:val="12"/>
              </w:rPr>
              <w:t>Contratista y Supervisor / Líder SST ESPY</w:t>
            </w:r>
          </w:p>
        </w:tc>
        <w:tc>
          <w:tcPr>
            <w:tcW w:type="dxa" w:w="1253"/>
            <w:vAlign w:val="center"/>
            <w:shd w:fill="FFFFFF"/>
            <w:tcMar>
              <w:top w:w="40" w:type="dxa"/>
              <w:bottom w:w="40" w:type="dxa"/>
              <w:left w:w="40" w:type="dxa"/>
              <w:right w:w="40" w:type="dxa"/>
            </w:tcMar>
          </w:tcPr>
          <w:p>
            <w:pPr>
              <w:spacing w:after="0"/>
              <w:jc w:val="left"/>
            </w:pPr>
            <w:r>
              <w:rPr>
                <w:b w:val="0"/>
                <w:color w:val="0F172A"/>
                <w:sz w:val="12"/>
              </w:rPr>
              <w:t>Validación de cobertura continua en ARL e inspección de uso de EPP.</w:t>
              <w:br/>
              <w:t>Periodicidad: Mensual (previo a pago) y al presentarse el evento.</w:t>
            </w:r>
          </w:p>
        </w:tc>
      </w:tr>
      <w:tr>
        <w:tc>
          <w:tcPr>
            <w:tcW w:type="dxa" w:w="432"/>
            <w:vAlign w:val="center"/>
            <w:shd w:fill="F8FAFC"/>
            <w:tcMar>
              <w:top w:w="40" w:type="dxa"/>
              <w:bottom w:w="40" w:type="dxa"/>
              <w:left w:w="40" w:type="dxa"/>
              <w:right w:w="40" w:type="dxa"/>
            </w:tcMar>
          </w:tcPr>
          <w:p>
            <w:pPr>
              <w:spacing w:after="0"/>
              <w:jc w:val="center"/>
            </w:pPr>
            <w:r>
              <w:rPr>
                <w:b/>
                <w:color w:val="0F172A"/>
                <w:sz w:val="12"/>
              </w:rPr>
              <w:t>4</w:t>
            </w:r>
          </w:p>
        </w:tc>
        <w:tc>
          <w:tcPr>
            <w:tcW w:type="dxa" w:w="720"/>
            <w:vAlign w:val="center"/>
            <w:shd w:fill="F8FAFC"/>
            <w:tcMar>
              <w:top w:w="40" w:type="dxa"/>
              <w:bottom w:w="40" w:type="dxa"/>
              <w:left w:w="40" w:type="dxa"/>
              <w:right w:w="40" w:type="dxa"/>
            </w:tcMar>
          </w:tcPr>
          <w:p>
            <w:pPr>
              <w:spacing w:after="0"/>
              <w:jc w:val="center"/>
            </w:pPr>
            <w:r>
              <w:rPr>
                <w:b w:val="0"/>
                <w:color w:val="0F172A"/>
                <w:sz w:val="12"/>
              </w:rPr>
              <w:t>General</w:t>
            </w:r>
          </w:p>
        </w:tc>
        <w:tc>
          <w:tcPr>
            <w:tcW w:type="dxa" w:w="691"/>
            <w:vAlign w:val="center"/>
            <w:shd w:fill="F8FAFC"/>
            <w:tcMar>
              <w:top w:w="40" w:type="dxa"/>
              <w:bottom w:w="40" w:type="dxa"/>
              <w:left w:w="40" w:type="dxa"/>
              <w:right w:w="40" w:type="dxa"/>
            </w:tcMar>
          </w:tcPr>
          <w:p>
            <w:pPr>
              <w:spacing w:after="0"/>
              <w:jc w:val="center"/>
            </w:pPr>
            <w:r>
              <w:rPr>
                <w:b w:val="0"/>
                <w:color w:val="0F172A"/>
                <w:sz w:val="12"/>
              </w:rPr>
              <w:t>Interno</w:t>
            </w:r>
          </w:p>
        </w:tc>
        <w:tc>
          <w:tcPr>
            <w:tcW w:type="dxa" w:w="792"/>
            <w:vAlign w:val="center"/>
            <w:shd w:fill="F8FAFC"/>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8FAFC"/>
            <w:tcMar>
              <w:top w:w="40" w:type="dxa"/>
              <w:bottom w:w="40" w:type="dxa"/>
              <w:left w:w="40" w:type="dxa"/>
              <w:right w:w="40" w:type="dxa"/>
            </w:tcMar>
          </w:tcPr>
          <w:p>
            <w:pPr>
              <w:spacing w:after="0"/>
              <w:jc w:val="center"/>
            </w:pPr>
            <w:r>
              <w:rPr>
                <w:b/>
                <w:color w:val="0F172A"/>
                <w:sz w:val="12"/>
              </w:rPr>
              <w:t>Regulatorio</w:t>
            </w:r>
          </w:p>
        </w:tc>
        <w:tc>
          <w:tcPr>
            <w:tcW w:type="dxa" w:w="2160"/>
            <w:vAlign w:val="center"/>
            <w:shd w:fill="F8FAFC"/>
            <w:tcMar>
              <w:top w:w="40" w:type="dxa"/>
              <w:bottom w:w="40" w:type="dxa"/>
              <w:left w:w="40" w:type="dxa"/>
              <w:right w:w="40" w:type="dxa"/>
            </w:tcMar>
          </w:tcPr>
          <w:p>
            <w:pPr>
              <w:spacing w:after="0"/>
              <w:jc w:val="left"/>
            </w:pPr>
            <w:r>
              <w:rPr>
                <w:b w:val="0"/>
                <w:color w:val="0F172A"/>
                <w:sz w:val="12"/>
              </w:rPr>
              <w:t>Omisión, mora o liquidación errónea de los aportes obligatorios al Sistema de Seguridad Social Integral (Salud, Pensión y ARL) sobre el IBC normativo no menor al 40% del valor mensualizado del contrato.</w:t>
            </w:r>
          </w:p>
        </w:tc>
        <w:tc>
          <w:tcPr>
            <w:tcW w:type="dxa" w:w="1800"/>
            <w:vAlign w:val="center"/>
            <w:shd w:fill="F8FAFC"/>
            <w:tcMar>
              <w:top w:w="40" w:type="dxa"/>
              <w:bottom w:w="40" w:type="dxa"/>
              <w:left w:w="40" w:type="dxa"/>
              <w:right w:w="40" w:type="dxa"/>
            </w:tcMar>
          </w:tcPr>
          <w:p>
            <w:pPr>
              <w:spacing w:after="0"/>
              <w:jc w:val="left"/>
            </w:pPr>
            <w:r>
              <w:rPr>
                <w:b w:val="0"/>
                <w:color w:val="0F172A"/>
                <w:sz w:val="12"/>
              </w:rPr>
              <w:t>Paralización del trámite de pago mensual por mandato de Ley (Leyes 100/1993, 789/2002 y Dec. 1273/2018), posibles glosas administrativas y desprotección prestacional.</w:t>
            </w:r>
          </w:p>
        </w:tc>
        <w:tc>
          <w:tcPr>
            <w:tcW w:type="dxa" w:w="1224"/>
            <w:vAlign w:val="center"/>
            <w:shd w:fill="FEF3C7"/>
            <w:tcMar>
              <w:top w:w="40" w:type="dxa"/>
              <w:bottom w:w="40" w:type="dxa"/>
              <w:left w:w="40" w:type="dxa"/>
              <w:right w:w="40" w:type="dxa"/>
            </w:tcMar>
          </w:tcPr>
          <w:p>
            <w:pPr>
              <w:spacing w:after="0"/>
              <w:jc w:val="center"/>
            </w:pPr>
            <w:r>
              <w:rPr>
                <w:b/>
                <w:color w:val="0F172A"/>
                <w:sz w:val="12"/>
              </w:rPr>
              <w:t>P:3  I:2</w:t>
              <w:br/>
              <w:t>Val:5</w:t>
              <w:br/>
              <w:t>MEDIO</w:t>
            </w:r>
          </w:p>
        </w:tc>
        <w:tc>
          <w:tcPr>
            <w:tcW w:type="dxa" w:w="936"/>
            <w:vAlign w:val="center"/>
            <w:shd w:fill="F8FAFC"/>
            <w:tcMar>
              <w:top w:w="40" w:type="dxa"/>
              <w:bottom w:w="40" w:type="dxa"/>
              <w:left w:w="40" w:type="dxa"/>
              <w:right w:w="40" w:type="dxa"/>
            </w:tcMar>
          </w:tcPr>
          <w:p>
            <w:pPr>
              <w:spacing w:after="0"/>
              <w:jc w:val="center"/>
            </w:pPr>
            <w:r>
              <w:rPr>
                <w:b w:val="0"/>
                <w:color w:val="0F172A"/>
                <w:sz w:val="12"/>
              </w:rPr>
              <w:t>Contratista (100%)</w:t>
            </w:r>
          </w:p>
        </w:tc>
        <w:tc>
          <w:tcPr>
            <w:tcW w:type="dxa" w:w="2160"/>
            <w:vAlign w:val="center"/>
            <w:shd w:fill="F8FAFC"/>
            <w:tcMar>
              <w:top w:w="40" w:type="dxa"/>
              <w:bottom w:w="40" w:type="dxa"/>
              <w:left w:w="40" w:type="dxa"/>
              <w:right w:w="40" w:type="dxa"/>
            </w:tcMar>
          </w:tcPr>
          <w:p>
            <w:pPr>
              <w:spacing w:after="0"/>
              <w:jc w:val="left"/>
            </w:pPr>
            <w:r>
              <w:rPr>
                <w:b w:val="0"/>
                <w:color w:val="0F172A"/>
                <w:sz w:val="12"/>
              </w:rPr>
              <w:t>Control documental estricto por parte del supervisor: la ESPY no tramitará certificado de cumplimiento ni orden de pago sin la verificación aritmética de la planilla PILA con IBC no inferior a $960.000 (40% de $2.400.000 mensual) debidamente pagada.</w:t>
            </w:r>
          </w:p>
        </w:tc>
        <w:tc>
          <w:tcPr>
            <w:tcW w:type="dxa" w:w="1224"/>
            <w:vAlign w:val="center"/>
            <w:shd w:fill="ECFDF5"/>
            <w:tcMar>
              <w:top w:w="40" w:type="dxa"/>
              <w:bottom w:w="40" w:type="dxa"/>
              <w:left w:w="40" w:type="dxa"/>
              <w:right w:w="40" w:type="dxa"/>
            </w:tcMar>
          </w:tcPr>
          <w:p>
            <w:pPr>
              <w:spacing w:after="0"/>
              <w:jc w:val="center"/>
            </w:pPr>
            <w:r>
              <w:rPr>
                <w:b/>
                <w:color w:val="0F172A"/>
                <w:sz w:val="12"/>
              </w:rPr>
              <w:t>P:1  I:1</w:t>
              <w:br/>
              <w:t>Val:2</w:t>
              <w:br/>
              <w:t>BAJO</w:t>
            </w:r>
          </w:p>
        </w:tc>
        <w:tc>
          <w:tcPr>
            <w:tcW w:type="dxa" w:w="576"/>
            <w:vAlign w:val="center"/>
            <w:shd w:fill="F8FAFC"/>
            <w:tcMar>
              <w:top w:w="40" w:type="dxa"/>
              <w:bottom w:w="40" w:type="dxa"/>
              <w:left w:w="40" w:type="dxa"/>
              <w:right w:w="40" w:type="dxa"/>
            </w:tcMar>
          </w:tcPr>
          <w:p>
            <w:pPr>
              <w:spacing w:after="0"/>
              <w:jc w:val="center"/>
            </w:pPr>
            <w:r>
              <w:rPr>
                <w:b/>
                <w:color w:val="0F172A"/>
                <w:sz w:val="12"/>
              </w:rPr>
              <w:t>No</w:t>
            </w:r>
          </w:p>
        </w:tc>
        <w:tc>
          <w:tcPr>
            <w:tcW w:type="dxa" w:w="936"/>
            <w:vAlign w:val="center"/>
            <w:shd w:fill="F8FAFC"/>
            <w:tcMar>
              <w:top w:w="40" w:type="dxa"/>
              <w:bottom w:w="40" w:type="dxa"/>
              <w:left w:w="40" w:type="dxa"/>
              <w:right w:w="40" w:type="dxa"/>
            </w:tcMar>
          </w:tcPr>
          <w:p>
            <w:pPr>
              <w:spacing w:after="0"/>
              <w:jc w:val="center"/>
            </w:pPr>
            <w:r>
              <w:rPr>
                <w:b w:val="0"/>
                <w:color w:val="0F172A"/>
                <w:sz w:val="12"/>
              </w:rPr>
              <w:t>Supervisor ESPY y Pagaduría</w:t>
            </w:r>
          </w:p>
        </w:tc>
        <w:tc>
          <w:tcPr>
            <w:tcW w:type="dxa" w:w="1253"/>
            <w:vAlign w:val="center"/>
            <w:shd w:fill="F8FAFC"/>
            <w:tcMar>
              <w:top w:w="40" w:type="dxa"/>
              <w:bottom w:w="40" w:type="dxa"/>
              <w:left w:w="40" w:type="dxa"/>
              <w:right w:w="40" w:type="dxa"/>
            </w:tcMar>
          </w:tcPr>
          <w:p>
            <w:pPr>
              <w:spacing w:after="0"/>
              <w:jc w:val="left"/>
            </w:pPr>
            <w:r>
              <w:rPr>
                <w:b w:val="0"/>
                <w:color w:val="0F172A"/>
                <w:sz w:val="12"/>
              </w:rPr>
              <w:t>Revisión aritmética y temporal de la planilla PILA y certificado de pago.</w:t>
              <w:br/>
              <w:t>Periodicidad: Mensual (requisito previo a cada cuenta de cobro).</w:t>
            </w:r>
          </w:p>
        </w:tc>
      </w:tr>
      <w:tr>
        <w:tc>
          <w:tcPr>
            <w:tcW w:type="dxa" w:w="432"/>
            <w:vAlign w:val="center"/>
            <w:shd w:fill="FFFFFF"/>
            <w:tcMar>
              <w:top w:w="40" w:type="dxa"/>
              <w:bottom w:w="40" w:type="dxa"/>
              <w:left w:w="40" w:type="dxa"/>
              <w:right w:w="40" w:type="dxa"/>
            </w:tcMar>
          </w:tcPr>
          <w:p>
            <w:pPr>
              <w:spacing w:after="0"/>
              <w:jc w:val="center"/>
            </w:pPr>
            <w:r>
              <w:rPr>
                <w:b/>
                <w:color w:val="0F172A"/>
                <w:sz w:val="12"/>
              </w:rPr>
              <w:t>5</w:t>
            </w:r>
          </w:p>
        </w:tc>
        <w:tc>
          <w:tcPr>
            <w:tcW w:type="dxa" w:w="720"/>
            <w:vAlign w:val="center"/>
            <w:shd w:fill="FFFFFF"/>
            <w:tcMar>
              <w:top w:w="40" w:type="dxa"/>
              <w:bottom w:w="40" w:type="dxa"/>
              <w:left w:w="40" w:type="dxa"/>
              <w:right w:w="40" w:type="dxa"/>
            </w:tcMar>
          </w:tcPr>
          <w:p>
            <w:pPr>
              <w:spacing w:after="0"/>
              <w:jc w:val="center"/>
            </w:pPr>
            <w:r>
              <w:rPr>
                <w:b w:val="0"/>
                <w:color w:val="0F172A"/>
                <w:sz w:val="12"/>
              </w:rPr>
              <w:t>Específico</w:t>
            </w:r>
          </w:p>
        </w:tc>
        <w:tc>
          <w:tcPr>
            <w:tcW w:type="dxa" w:w="691"/>
            <w:vAlign w:val="center"/>
            <w:shd w:fill="FFFFFF"/>
            <w:tcMar>
              <w:top w:w="40" w:type="dxa"/>
              <w:bottom w:w="40" w:type="dxa"/>
              <w:left w:w="40" w:type="dxa"/>
              <w:right w:w="40" w:type="dxa"/>
            </w:tcMar>
          </w:tcPr>
          <w:p>
            <w:pPr>
              <w:spacing w:after="0"/>
              <w:jc w:val="center"/>
            </w:pPr>
            <w:r>
              <w:rPr>
                <w:b w:val="0"/>
                <w:color w:val="0F172A"/>
                <w:sz w:val="12"/>
              </w:rPr>
              <w:t>Interno</w:t>
            </w:r>
          </w:p>
        </w:tc>
        <w:tc>
          <w:tcPr>
            <w:tcW w:type="dxa" w:w="792"/>
            <w:vAlign w:val="center"/>
            <w:shd w:fill="FFFFFF"/>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FFFFF"/>
            <w:tcMar>
              <w:top w:w="40" w:type="dxa"/>
              <w:bottom w:w="40" w:type="dxa"/>
              <w:left w:w="40" w:type="dxa"/>
              <w:right w:w="40" w:type="dxa"/>
            </w:tcMar>
          </w:tcPr>
          <w:p>
            <w:pPr>
              <w:spacing w:after="0"/>
              <w:jc w:val="center"/>
            </w:pPr>
            <w:r>
              <w:rPr>
                <w:b/>
                <w:color w:val="0F172A"/>
                <w:sz w:val="12"/>
              </w:rPr>
              <w:t>Financiero</w:t>
            </w:r>
          </w:p>
        </w:tc>
        <w:tc>
          <w:tcPr>
            <w:tcW w:type="dxa" w:w="2160"/>
            <w:vAlign w:val="center"/>
            <w:shd w:fill="FFFFFF"/>
            <w:tcMar>
              <w:top w:w="40" w:type="dxa"/>
              <w:bottom w:w="40" w:type="dxa"/>
              <w:left w:w="40" w:type="dxa"/>
              <w:right w:w="40" w:type="dxa"/>
            </w:tcMar>
          </w:tcPr>
          <w:p>
            <w:pPr>
              <w:spacing w:after="0"/>
              <w:jc w:val="left"/>
            </w:pPr>
            <w:r>
              <w:rPr>
                <w:b w:val="0"/>
                <w:color w:val="0F172A"/>
                <w:sz w:val="12"/>
              </w:rPr>
              <w:t>Riesgo de afectación patrimonial a los recursos de la entidad generado por la no exigencia de pólizas de garantía de cumplimiento según lo estipulado en los estudios previos del proceso.</w:t>
            </w:r>
          </w:p>
        </w:tc>
        <w:tc>
          <w:tcPr>
            <w:tcW w:type="dxa" w:w="1800"/>
            <w:vAlign w:val="center"/>
            <w:shd w:fill="FFFFFF"/>
            <w:tcMar>
              <w:top w:w="40" w:type="dxa"/>
              <w:bottom w:w="40" w:type="dxa"/>
              <w:left w:w="40" w:type="dxa"/>
              <w:right w:w="40" w:type="dxa"/>
            </w:tcMar>
          </w:tcPr>
          <w:p>
            <w:pPr>
              <w:spacing w:after="0"/>
              <w:jc w:val="left"/>
            </w:pPr>
            <w:r>
              <w:rPr>
                <w:b w:val="0"/>
                <w:color w:val="0F172A"/>
                <w:sz w:val="12"/>
              </w:rPr>
              <w:t>Eventual desprotección económica frente a un abandono repentino de actividades o incumplimiento no subsanado previo al desembolso.</w:t>
            </w:r>
          </w:p>
        </w:tc>
        <w:tc>
          <w:tcPr>
            <w:tcW w:type="dxa" w:w="1224"/>
            <w:vAlign w:val="center"/>
            <w:shd w:fill="FEF3C7"/>
            <w:tcMar>
              <w:top w:w="40" w:type="dxa"/>
              <w:bottom w:w="40" w:type="dxa"/>
              <w:left w:w="40" w:type="dxa"/>
              <w:right w:w="40" w:type="dxa"/>
            </w:tcMar>
          </w:tcPr>
          <w:p>
            <w:pPr>
              <w:spacing w:after="0"/>
              <w:jc w:val="center"/>
            </w:pPr>
            <w:r>
              <w:rPr>
                <w:b/>
                <w:color w:val="0F172A"/>
                <w:sz w:val="12"/>
              </w:rPr>
              <w:t>P:2  I:3</w:t>
              <w:br/>
              <w:t>Val:5</w:t>
              <w:br/>
              <w:t>MEDIO</w:t>
            </w:r>
          </w:p>
        </w:tc>
        <w:tc>
          <w:tcPr>
            <w:tcW w:type="dxa" w:w="936"/>
            <w:vAlign w:val="center"/>
            <w:shd w:fill="FFFFFF"/>
            <w:tcMar>
              <w:top w:w="40" w:type="dxa"/>
              <w:bottom w:w="40" w:type="dxa"/>
              <w:left w:w="40" w:type="dxa"/>
              <w:right w:w="40" w:type="dxa"/>
            </w:tcMar>
          </w:tcPr>
          <w:p>
            <w:pPr>
              <w:spacing w:after="0"/>
              <w:jc w:val="center"/>
            </w:pPr>
            <w:r>
              <w:rPr>
                <w:b w:val="0"/>
                <w:color w:val="0F172A"/>
                <w:sz w:val="12"/>
              </w:rPr>
              <w:t>Entidad (100% ESPY)</w:t>
            </w:r>
          </w:p>
        </w:tc>
        <w:tc>
          <w:tcPr>
            <w:tcW w:type="dxa" w:w="2160"/>
            <w:vAlign w:val="center"/>
            <w:shd w:fill="FFFFFF"/>
            <w:tcMar>
              <w:top w:w="40" w:type="dxa"/>
              <w:bottom w:w="40" w:type="dxa"/>
              <w:left w:w="40" w:type="dxa"/>
              <w:right w:w="40" w:type="dxa"/>
            </w:tcMar>
          </w:tcPr>
          <w:p>
            <w:pPr>
              <w:spacing w:after="0"/>
              <w:jc w:val="left"/>
            </w:pPr>
            <w:r>
              <w:rPr>
                <w:b w:val="0"/>
                <w:color w:val="0F172A"/>
                <w:sz w:val="12"/>
              </w:rPr>
              <w:t>Mecanismo de pago vencido post-prestación: se cancela estrictamente contra actividades efectivamente ejecutadas y avaladas por el supervisor. Cero anticipos o desembolsos previos. Liquidación proporcional exclusiva de los días de servicio prestados.</w:t>
            </w:r>
          </w:p>
        </w:tc>
        <w:tc>
          <w:tcPr>
            <w:tcW w:type="dxa" w:w="1224"/>
            <w:vAlign w:val="center"/>
            <w:shd w:fill="ECFDF5"/>
            <w:tcMar>
              <w:top w:w="40" w:type="dxa"/>
              <w:bottom w:w="40" w:type="dxa"/>
              <w:left w:w="40" w:type="dxa"/>
              <w:right w:w="40" w:type="dxa"/>
            </w:tcMar>
          </w:tcPr>
          <w:p>
            <w:pPr>
              <w:spacing w:after="0"/>
              <w:jc w:val="center"/>
            </w:pPr>
            <w:r>
              <w:rPr>
                <w:b/>
                <w:color w:val="0F172A"/>
                <w:sz w:val="12"/>
              </w:rPr>
              <w:t>P:1  I:2</w:t>
              <w:br/>
              <w:t>Val:3</w:t>
              <w:br/>
              <w:t>BAJO</w:t>
            </w:r>
          </w:p>
        </w:tc>
        <w:tc>
          <w:tcPr>
            <w:tcW w:type="dxa" w:w="576"/>
            <w:vAlign w:val="center"/>
            <w:shd w:fill="FFFFFF"/>
            <w:tcMar>
              <w:top w:w="40" w:type="dxa"/>
              <w:bottom w:w="40" w:type="dxa"/>
              <w:left w:w="40" w:type="dxa"/>
              <w:right w:w="40" w:type="dxa"/>
            </w:tcMar>
          </w:tcPr>
          <w:p>
            <w:pPr>
              <w:spacing w:after="0"/>
              <w:jc w:val="center"/>
            </w:pPr>
            <w:r>
              <w:rPr>
                <w:b/>
                <w:color w:val="0F172A"/>
                <w:sz w:val="12"/>
              </w:rPr>
              <w:t>Sí</w:t>
            </w:r>
          </w:p>
        </w:tc>
        <w:tc>
          <w:tcPr>
            <w:tcW w:type="dxa" w:w="936"/>
            <w:vAlign w:val="center"/>
            <w:shd w:fill="FFFFFF"/>
            <w:tcMar>
              <w:top w:w="40" w:type="dxa"/>
              <w:bottom w:w="40" w:type="dxa"/>
              <w:left w:w="40" w:type="dxa"/>
              <w:right w:w="40" w:type="dxa"/>
            </w:tcMar>
          </w:tcPr>
          <w:p>
            <w:pPr>
              <w:spacing w:after="0"/>
              <w:jc w:val="center"/>
            </w:pPr>
            <w:r>
              <w:rPr>
                <w:b w:val="0"/>
                <w:color w:val="0F172A"/>
                <w:sz w:val="12"/>
              </w:rPr>
              <w:t>Supervisor y Gerencia ESPY</w:t>
            </w:r>
          </w:p>
        </w:tc>
        <w:tc>
          <w:tcPr>
            <w:tcW w:type="dxa" w:w="1253"/>
            <w:vAlign w:val="center"/>
            <w:shd w:fill="FFFFFF"/>
            <w:tcMar>
              <w:top w:w="40" w:type="dxa"/>
              <w:bottom w:w="40" w:type="dxa"/>
              <w:left w:w="40" w:type="dxa"/>
              <w:right w:w="40" w:type="dxa"/>
            </w:tcMar>
          </w:tcPr>
          <w:p>
            <w:pPr>
              <w:spacing w:after="0"/>
              <w:jc w:val="left"/>
            </w:pPr>
            <w:r>
              <w:rPr>
                <w:b w:val="0"/>
                <w:color w:val="0F172A"/>
                <w:sz w:val="12"/>
              </w:rPr>
              <w:t>Verificación de productos reales recibidos antes de expedir recibido a satisfacción.</w:t>
              <w:br/>
              <w:t>Periodicidad: Mensual (en cada pago) y en liquidación final.</w:t>
            </w:r>
          </w:p>
        </w:tc>
      </w:tr>
      <w:tr>
        <w:tc>
          <w:tcPr>
            <w:tcW w:type="dxa" w:w="432"/>
            <w:vAlign w:val="center"/>
            <w:shd w:fill="F8FAFC"/>
            <w:tcMar>
              <w:top w:w="40" w:type="dxa"/>
              <w:bottom w:w="40" w:type="dxa"/>
              <w:left w:w="40" w:type="dxa"/>
              <w:right w:w="40" w:type="dxa"/>
            </w:tcMar>
          </w:tcPr>
          <w:p>
            <w:pPr>
              <w:spacing w:after="0"/>
              <w:jc w:val="center"/>
            </w:pPr>
            <w:r>
              <w:rPr>
                <w:b/>
                <w:color w:val="0F172A"/>
                <w:sz w:val="12"/>
              </w:rPr>
              <w:t>6</w:t>
            </w:r>
          </w:p>
        </w:tc>
        <w:tc>
          <w:tcPr>
            <w:tcW w:type="dxa" w:w="720"/>
            <w:vAlign w:val="center"/>
            <w:shd w:fill="F8FAFC"/>
            <w:tcMar>
              <w:top w:w="40" w:type="dxa"/>
              <w:bottom w:w="40" w:type="dxa"/>
              <w:left w:w="40" w:type="dxa"/>
              <w:right w:w="40" w:type="dxa"/>
            </w:tcMar>
          </w:tcPr>
          <w:p>
            <w:pPr>
              <w:spacing w:after="0"/>
              <w:jc w:val="center"/>
            </w:pPr>
            <w:r>
              <w:rPr>
                <w:b w:val="0"/>
                <w:color w:val="0F172A"/>
                <w:sz w:val="12"/>
              </w:rPr>
              <w:t>General</w:t>
            </w:r>
          </w:p>
        </w:tc>
        <w:tc>
          <w:tcPr>
            <w:tcW w:type="dxa" w:w="691"/>
            <w:vAlign w:val="center"/>
            <w:shd w:fill="F8FAFC"/>
            <w:tcMar>
              <w:top w:w="40" w:type="dxa"/>
              <w:bottom w:w="40" w:type="dxa"/>
              <w:left w:w="40" w:type="dxa"/>
              <w:right w:w="40" w:type="dxa"/>
            </w:tcMar>
          </w:tcPr>
          <w:p>
            <w:pPr>
              <w:spacing w:after="0"/>
              <w:jc w:val="center"/>
            </w:pPr>
            <w:r>
              <w:rPr>
                <w:b w:val="0"/>
                <w:color w:val="0F172A"/>
                <w:sz w:val="12"/>
              </w:rPr>
              <w:t>Interno</w:t>
            </w:r>
          </w:p>
        </w:tc>
        <w:tc>
          <w:tcPr>
            <w:tcW w:type="dxa" w:w="792"/>
            <w:vAlign w:val="center"/>
            <w:shd w:fill="F8FAFC"/>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8FAFC"/>
            <w:tcMar>
              <w:top w:w="40" w:type="dxa"/>
              <w:bottom w:w="40" w:type="dxa"/>
              <w:left w:w="40" w:type="dxa"/>
              <w:right w:w="40" w:type="dxa"/>
            </w:tcMar>
          </w:tcPr>
          <w:p>
            <w:pPr>
              <w:spacing w:after="0"/>
              <w:jc w:val="center"/>
            </w:pPr>
            <w:r>
              <w:rPr>
                <w:b/>
                <w:color w:val="0F172A"/>
                <w:sz w:val="12"/>
              </w:rPr>
              <w:t>Jurídico / Regulatorio</w:t>
            </w:r>
          </w:p>
        </w:tc>
        <w:tc>
          <w:tcPr>
            <w:tcW w:type="dxa" w:w="2160"/>
            <w:vAlign w:val="center"/>
            <w:shd w:fill="F8FAFC"/>
            <w:tcMar>
              <w:top w:w="40" w:type="dxa"/>
              <w:bottom w:w="40" w:type="dxa"/>
              <w:left w:w="40" w:type="dxa"/>
              <w:right w:w="40" w:type="dxa"/>
            </w:tcMar>
          </w:tcPr>
          <w:p>
            <w:pPr>
              <w:spacing w:after="0"/>
              <w:jc w:val="left"/>
            </w:pPr>
            <w:r>
              <w:rPr>
                <w:b w:val="0"/>
                <w:color w:val="0F172A"/>
                <w:sz w:val="12"/>
              </w:rPr>
              <w:t>Riesgo de desnaturalización del contrato de prestación de servicios por subordinación laboral continuada o imposición de horarios de planta, generando pretendida relación laboral (contrato realidad).</w:t>
            </w:r>
          </w:p>
        </w:tc>
        <w:tc>
          <w:tcPr>
            <w:tcW w:type="dxa" w:w="1800"/>
            <w:vAlign w:val="center"/>
            <w:shd w:fill="F8FAFC"/>
            <w:tcMar>
              <w:top w:w="40" w:type="dxa"/>
              <w:bottom w:w="40" w:type="dxa"/>
              <w:left w:w="40" w:type="dxa"/>
              <w:right w:w="40" w:type="dxa"/>
            </w:tcMar>
          </w:tcPr>
          <w:p>
            <w:pPr>
              <w:spacing w:after="0"/>
              <w:jc w:val="left"/>
            </w:pPr>
            <w:r>
              <w:rPr>
                <w:b w:val="0"/>
                <w:color w:val="0F172A"/>
                <w:sz w:val="12"/>
              </w:rPr>
              <w:t>Exposición a demandas ordinarias laborales contra la ESPY, riesgo de reclamación de prestaciones sociales, cesantías y sanciones legales.</w:t>
            </w:r>
          </w:p>
        </w:tc>
        <w:tc>
          <w:tcPr>
            <w:tcW w:type="dxa" w:w="1224"/>
            <w:vAlign w:val="center"/>
            <w:shd w:fill="FEE2E2"/>
            <w:tcMar>
              <w:top w:w="40" w:type="dxa"/>
              <w:bottom w:w="40" w:type="dxa"/>
              <w:left w:w="40" w:type="dxa"/>
              <w:right w:w="40" w:type="dxa"/>
            </w:tcMar>
          </w:tcPr>
          <w:p>
            <w:pPr>
              <w:spacing w:after="0"/>
              <w:jc w:val="center"/>
            </w:pPr>
            <w:r>
              <w:rPr>
                <w:b/>
                <w:color w:val="0F172A"/>
                <w:sz w:val="12"/>
              </w:rPr>
              <w:t>P:2  I:4</w:t>
              <w:br/>
              <w:t>Val:6</w:t>
              <w:br/>
              <w:t>ALTO</w:t>
            </w:r>
          </w:p>
        </w:tc>
        <w:tc>
          <w:tcPr>
            <w:tcW w:type="dxa" w:w="936"/>
            <w:vAlign w:val="center"/>
            <w:shd w:fill="F8FAFC"/>
            <w:tcMar>
              <w:top w:w="40" w:type="dxa"/>
              <w:bottom w:w="40" w:type="dxa"/>
              <w:left w:w="40" w:type="dxa"/>
              <w:right w:w="40" w:type="dxa"/>
            </w:tcMar>
          </w:tcPr>
          <w:p>
            <w:pPr>
              <w:spacing w:after="0"/>
              <w:jc w:val="center"/>
            </w:pPr>
            <w:r>
              <w:rPr>
                <w:b w:val="0"/>
                <w:color w:val="0F172A"/>
                <w:sz w:val="12"/>
              </w:rPr>
              <w:t>Compartido (ESPY 50% / Contratista 50%)</w:t>
            </w:r>
          </w:p>
        </w:tc>
        <w:tc>
          <w:tcPr>
            <w:tcW w:type="dxa" w:w="2160"/>
            <w:vAlign w:val="center"/>
            <w:shd w:fill="F8FAFC"/>
            <w:tcMar>
              <w:top w:w="40" w:type="dxa"/>
              <w:bottom w:w="40" w:type="dxa"/>
              <w:left w:w="40" w:type="dxa"/>
              <w:right w:w="40" w:type="dxa"/>
            </w:tcMar>
          </w:tcPr>
          <w:p>
            <w:pPr>
              <w:spacing w:after="0"/>
              <w:jc w:val="left"/>
            </w:pPr>
            <w:r>
              <w:rPr>
                <w:b w:val="0"/>
                <w:color w:val="0F172A"/>
                <w:sz w:val="12"/>
              </w:rPr>
              <w:t>Preservación estricta de la autonomía técnica, administrativa y directiva de la contratista (Art. 23 CST y Ley 142/1994). Prohibición absoluta de exigir horarios de oficina fija, control de reloj biométrico o asignación de tareas operativas ordinarias de planta ajenas al PGIRS.</w:t>
            </w:r>
          </w:p>
        </w:tc>
        <w:tc>
          <w:tcPr>
            <w:tcW w:type="dxa" w:w="1224"/>
            <w:vAlign w:val="center"/>
            <w:shd w:fill="ECFDF5"/>
            <w:tcMar>
              <w:top w:w="40" w:type="dxa"/>
              <w:bottom w:w="40" w:type="dxa"/>
              <w:left w:w="40" w:type="dxa"/>
              <w:right w:w="40" w:type="dxa"/>
            </w:tcMar>
          </w:tcPr>
          <w:p>
            <w:pPr>
              <w:spacing w:after="0"/>
              <w:jc w:val="center"/>
            </w:pPr>
            <w:r>
              <w:rPr>
                <w:b/>
                <w:color w:val="0F172A"/>
                <w:sz w:val="12"/>
              </w:rPr>
              <w:t>P:1  I:2</w:t>
              <w:br/>
              <w:t>Val:3</w:t>
              <w:br/>
              <w:t>BAJO</w:t>
            </w:r>
          </w:p>
        </w:tc>
        <w:tc>
          <w:tcPr>
            <w:tcW w:type="dxa" w:w="576"/>
            <w:vAlign w:val="center"/>
            <w:shd w:fill="F8FAFC"/>
            <w:tcMar>
              <w:top w:w="40" w:type="dxa"/>
              <w:bottom w:w="40" w:type="dxa"/>
              <w:left w:w="40" w:type="dxa"/>
              <w:right w:w="40" w:type="dxa"/>
            </w:tcMar>
          </w:tcPr>
          <w:p>
            <w:pPr>
              <w:spacing w:after="0"/>
              <w:jc w:val="center"/>
            </w:pPr>
            <w:r>
              <w:rPr>
                <w:b/>
                <w:color w:val="0F172A"/>
                <w:sz w:val="12"/>
              </w:rPr>
              <w:t>No</w:t>
            </w:r>
          </w:p>
        </w:tc>
        <w:tc>
          <w:tcPr>
            <w:tcW w:type="dxa" w:w="936"/>
            <w:vAlign w:val="center"/>
            <w:shd w:fill="F8FAFC"/>
            <w:tcMar>
              <w:top w:w="40" w:type="dxa"/>
              <w:bottom w:w="40" w:type="dxa"/>
              <w:left w:w="40" w:type="dxa"/>
              <w:right w:w="40" w:type="dxa"/>
            </w:tcMar>
          </w:tcPr>
          <w:p>
            <w:pPr>
              <w:spacing w:after="0"/>
              <w:jc w:val="center"/>
            </w:pPr>
            <w:r>
              <w:rPr>
                <w:b w:val="0"/>
                <w:color w:val="0F172A"/>
                <w:sz w:val="12"/>
              </w:rPr>
              <w:t>Supervisor y Gerencia ESPY / Contratista</w:t>
            </w:r>
          </w:p>
        </w:tc>
        <w:tc>
          <w:tcPr>
            <w:tcW w:type="dxa" w:w="1253"/>
            <w:vAlign w:val="center"/>
            <w:shd w:fill="F8FAFC"/>
            <w:tcMar>
              <w:top w:w="40" w:type="dxa"/>
              <w:bottom w:w="40" w:type="dxa"/>
              <w:left w:w="40" w:type="dxa"/>
              <w:right w:w="40" w:type="dxa"/>
            </w:tcMar>
          </w:tcPr>
          <w:p>
            <w:pPr>
              <w:spacing w:after="0"/>
              <w:jc w:val="left"/>
            </w:pPr>
            <w:r>
              <w:rPr>
                <w:b w:val="0"/>
                <w:color w:val="0F172A"/>
                <w:sz w:val="12"/>
              </w:rPr>
              <w:t>Supervisión orientada exclusivamente a entregables y metas técnicas sin control de horario.</w:t>
              <w:br/>
              <w:t>Periodicidad: Mensual (en seguimiento contractual).</w:t>
            </w:r>
          </w:p>
        </w:tc>
      </w:tr>
      <w:tr>
        <w:tc>
          <w:tcPr>
            <w:tcW w:type="dxa" w:w="432"/>
            <w:vAlign w:val="center"/>
            <w:shd w:fill="FFFFFF"/>
            <w:tcMar>
              <w:top w:w="40" w:type="dxa"/>
              <w:bottom w:w="40" w:type="dxa"/>
              <w:left w:w="40" w:type="dxa"/>
              <w:right w:w="40" w:type="dxa"/>
            </w:tcMar>
          </w:tcPr>
          <w:p>
            <w:pPr>
              <w:spacing w:after="0"/>
              <w:jc w:val="center"/>
            </w:pPr>
            <w:r>
              <w:rPr>
                <w:b/>
                <w:color w:val="0F172A"/>
                <w:sz w:val="12"/>
              </w:rPr>
              <w:t>7</w:t>
            </w:r>
          </w:p>
        </w:tc>
        <w:tc>
          <w:tcPr>
            <w:tcW w:type="dxa" w:w="720"/>
            <w:vAlign w:val="center"/>
            <w:shd w:fill="FFFFFF"/>
            <w:tcMar>
              <w:top w:w="40" w:type="dxa"/>
              <w:bottom w:w="40" w:type="dxa"/>
              <w:left w:w="40" w:type="dxa"/>
              <w:right w:w="40" w:type="dxa"/>
            </w:tcMar>
          </w:tcPr>
          <w:p>
            <w:pPr>
              <w:spacing w:after="0"/>
              <w:jc w:val="center"/>
            </w:pPr>
            <w:r>
              <w:rPr>
                <w:b w:val="0"/>
                <w:color w:val="0F172A"/>
                <w:sz w:val="12"/>
              </w:rPr>
              <w:t>General</w:t>
            </w:r>
          </w:p>
        </w:tc>
        <w:tc>
          <w:tcPr>
            <w:tcW w:type="dxa" w:w="691"/>
            <w:vAlign w:val="center"/>
            <w:shd w:fill="FFFFFF"/>
            <w:tcMar>
              <w:top w:w="40" w:type="dxa"/>
              <w:bottom w:w="40" w:type="dxa"/>
              <w:left w:w="40" w:type="dxa"/>
              <w:right w:w="40" w:type="dxa"/>
            </w:tcMar>
          </w:tcPr>
          <w:p>
            <w:pPr>
              <w:spacing w:after="0"/>
              <w:jc w:val="center"/>
            </w:pPr>
            <w:r>
              <w:rPr>
                <w:b w:val="0"/>
                <w:color w:val="0F172A"/>
                <w:sz w:val="12"/>
              </w:rPr>
              <w:t>Interno</w:t>
            </w:r>
          </w:p>
        </w:tc>
        <w:tc>
          <w:tcPr>
            <w:tcW w:type="dxa" w:w="792"/>
            <w:vAlign w:val="center"/>
            <w:shd w:fill="FFFFFF"/>
            <w:tcMar>
              <w:top w:w="40" w:type="dxa"/>
              <w:bottom w:w="40" w:type="dxa"/>
              <w:left w:w="40" w:type="dxa"/>
              <w:right w:w="40" w:type="dxa"/>
            </w:tcMar>
          </w:tcPr>
          <w:p>
            <w:pPr>
              <w:spacing w:after="0"/>
              <w:jc w:val="center"/>
            </w:pPr>
            <w:r>
              <w:rPr>
                <w:b w:val="0"/>
                <w:color w:val="0F172A"/>
                <w:sz w:val="12"/>
              </w:rPr>
              <w:t>Ejecución / Liquidación</w:t>
            </w:r>
          </w:p>
        </w:tc>
        <w:tc>
          <w:tcPr>
            <w:tcW w:type="dxa" w:w="936"/>
            <w:vAlign w:val="center"/>
            <w:shd w:fill="FFFFFF"/>
            <w:tcMar>
              <w:top w:w="40" w:type="dxa"/>
              <w:bottom w:w="40" w:type="dxa"/>
              <w:left w:w="40" w:type="dxa"/>
              <w:right w:w="40" w:type="dxa"/>
            </w:tcMar>
          </w:tcPr>
          <w:p>
            <w:pPr>
              <w:spacing w:after="0"/>
              <w:jc w:val="center"/>
            </w:pPr>
            <w:r>
              <w:rPr>
                <w:b/>
                <w:color w:val="0F172A"/>
                <w:sz w:val="12"/>
              </w:rPr>
              <w:t>Regulatorio</w:t>
            </w:r>
          </w:p>
        </w:tc>
        <w:tc>
          <w:tcPr>
            <w:tcW w:type="dxa" w:w="2160"/>
            <w:vAlign w:val="center"/>
            <w:shd w:fill="FFFFFF"/>
            <w:tcMar>
              <w:top w:w="40" w:type="dxa"/>
              <w:bottom w:w="40" w:type="dxa"/>
              <w:left w:w="40" w:type="dxa"/>
              <w:right w:w="40" w:type="dxa"/>
            </w:tcMar>
          </w:tcPr>
          <w:p>
            <w:pPr>
              <w:spacing w:after="0"/>
              <w:jc w:val="left"/>
            </w:pPr>
            <w:r>
              <w:rPr>
                <w:b w:val="0"/>
                <w:color w:val="0F172A"/>
                <w:sz w:val="12"/>
              </w:rPr>
              <w:t>Incumplimiento del deber de confidencialidad y reserva o indebida utilización y custodia de las bases de datos de usuarios e información técnica del PGIRS (Ley 1581 de 2012 de Protección de Datos Personales).</w:t>
            </w:r>
          </w:p>
        </w:tc>
        <w:tc>
          <w:tcPr>
            <w:tcW w:type="dxa" w:w="1800"/>
            <w:vAlign w:val="center"/>
            <w:shd w:fill="FFFFFF"/>
            <w:tcMar>
              <w:top w:w="40" w:type="dxa"/>
              <w:bottom w:w="40" w:type="dxa"/>
              <w:left w:w="40" w:type="dxa"/>
              <w:right w:w="40" w:type="dxa"/>
            </w:tcMar>
          </w:tcPr>
          <w:p>
            <w:pPr>
              <w:spacing w:after="0"/>
              <w:jc w:val="left"/>
            </w:pPr>
            <w:r>
              <w:rPr>
                <w:b w:val="0"/>
                <w:color w:val="0F172A"/>
                <w:sz w:val="12"/>
              </w:rPr>
              <w:t>Fuga de información confidencial de la ESPY, vulneración del Habeas Data, eventuales quejas o investigaciones administrativas ante la SIC y daño reputacional.</w:t>
            </w:r>
          </w:p>
        </w:tc>
        <w:tc>
          <w:tcPr>
            <w:tcW w:type="dxa" w:w="1224"/>
            <w:vAlign w:val="center"/>
            <w:shd w:fill="FEF3C7"/>
            <w:tcMar>
              <w:top w:w="40" w:type="dxa"/>
              <w:bottom w:w="40" w:type="dxa"/>
              <w:left w:w="40" w:type="dxa"/>
              <w:right w:w="40" w:type="dxa"/>
            </w:tcMar>
          </w:tcPr>
          <w:p>
            <w:pPr>
              <w:spacing w:after="0"/>
              <w:jc w:val="center"/>
            </w:pPr>
            <w:r>
              <w:rPr>
                <w:b/>
                <w:color w:val="0F172A"/>
                <w:sz w:val="12"/>
              </w:rPr>
              <w:t>P:2  I:3</w:t>
              <w:br/>
              <w:t>Val:5</w:t>
              <w:br/>
              <w:t>MEDIO</w:t>
            </w:r>
          </w:p>
        </w:tc>
        <w:tc>
          <w:tcPr>
            <w:tcW w:type="dxa" w:w="936"/>
            <w:vAlign w:val="center"/>
            <w:shd w:fill="FFFFFF"/>
            <w:tcMar>
              <w:top w:w="40" w:type="dxa"/>
              <w:bottom w:w="40" w:type="dxa"/>
              <w:left w:w="40" w:type="dxa"/>
              <w:right w:w="40" w:type="dxa"/>
            </w:tcMar>
          </w:tcPr>
          <w:p>
            <w:pPr>
              <w:spacing w:after="0"/>
              <w:jc w:val="center"/>
            </w:pPr>
            <w:r>
              <w:rPr>
                <w:b w:val="0"/>
                <w:color w:val="0F172A"/>
                <w:sz w:val="12"/>
              </w:rPr>
              <w:t>Contratista (100%)</w:t>
            </w:r>
          </w:p>
        </w:tc>
        <w:tc>
          <w:tcPr>
            <w:tcW w:type="dxa" w:w="2160"/>
            <w:vAlign w:val="center"/>
            <w:shd w:fill="FFFFFF"/>
            <w:tcMar>
              <w:top w:w="40" w:type="dxa"/>
              <w:bottom w:w="40" w:type="dxa"/>
              <w:left w:w="40" w:type="dxa"/>
              <w:right w:w="40" w:type="dxa"/>
            </w:tcMar>
          </w:tcPr>
          <w:p>
            <w:pPr>
              <w:spacing w:after="0"/>
              <w:jc w:val="left"/>
            </w:pPr>
            <w:r>
              <w:rPr>
                <w:b w:val="0"/>
                <w:color w:val="0F172A"/>
                <w:sz w:val="12"/>
              </w:rPr>
              <w:t>Inclusión de cláusula contractual expresa de confidencialidad, cesión total de derechos patrimoniales sobre los documentos a favor de la ESPY, uso restringido de datos a fines contractuales y restitución formal de archivos al liquidar el contrato.</w:t>
            </w:r>
          </w:p>
        </w:tc>
        <w:tc>
          <w:tcPr>
            <w:tcW w:type="dxa" w:w="1224"/>
            <w:vAlign w:val="center"/>
            <w:shd w:fill="ECFDF5"/>
            <w:tcMar>
              <w:top w:w="40" w:type="dxa"/>
              <w:bottom w:w="40" w:type="dxa"/>
              <w:left w:w="40" w:type="dxa"/>
              <w:right w:w="40" w:type="dxa"/>
            </w:tcMar>
          </w:tcPr>
          <w:p>
            <w:pPr>
              <w:spacing w:after="0"/>
              <w:jc w:val="center"/>
            </w:pPr>
            <w:r>
              <w:rPr>
                <w:b/>
                <w:color w:val="0F172A"/>
                <w:sz w:val="12"/>
              </w:rPr>
              <w:t>P:1  I:2</w:t>
              <w:br/>
              <w:t>Val:3</w:t>
              <w:br/>
              <w:t>BAJO</w:t>
            </w:r>
          </w:p>
        </w:tc>
        <w:tc>
          <w:tcPr>
            <w:tcW w:type="dxa" w:w="576"/>
            <w:vAlign w:val="center"/>
            <w:shd w:fill="FFFFFF"/>
            <w:tcMar>
              <w:top w:w="40" w:type="dxa"/>
              <w:bottom w:w="40" w:type="dxa"/>
              <w:left w:w="40" w:type="dxa"/>
              <w:right w:w="40" w:type="dxa"/>
            </w:tcMar>
          </w:tcPr>
          <w:p>
            <w:pPr>
              <w:spacing w:after="0"/>
              <w:jc w:val="center"/>
            </w:pPr>
            <w:r>
              <w:rPr>
                <w:b/>
                <w:color w:val="0F172A"/>
                <w:sz w:val="12"/>
              </w:rPr>
              <w:t>No</w:t>
            </w:r>
          </w:p>
        </w:tc>
        <w:tc>
          <w:tcPr>
            <w:tcW w:type="dxa" w:w="936"/>
            <w:vAlign w:val="center"/>
            <w:shd w:fill="FFFFFF"/>
            <w:tcMar>
              <w:top w:w="40" w:type="dxa"/>
              <w:bottom w:w="40" w:type="dxa"/>
              <w:left w:w="40" w:type="dxa"/>
              <w:right w:w="40" w:type="dxa"/>
            </w:tcMar>
          </w:tcPr>
          <w:p>
            <w:pPr>
              <w:spacing w:after="0"/>
              <w:jc w:val="center"/>
            </w:pPr>
            <w:r>
              <w:rPr>
                <w:b w:val="0"/>
                <w:color w:val="0F172A"/>
                <w:sz w:val="12"/>
              </w:rPr>
              <w:t>Contratista y Supervisor ESPY</w:t>
            </w:r>
          </w:p>
        </w:tc>
        <w:tc>
          <w:tcPr>
            <w:tcW w:type="dxa" w:w="1253"/>
            <w:vAlign w:val="center"/>
            <w:shd w:fill="FFFFFF"/>
            <w:tcMar>
              <w:top w:w="40" w:type="dxa"/>
              <w:bottom w:w="40" w:type="dxa"/>
              <w:left w:w="40" w:type="dxa"/>
              <w:right w:w="40" w:type="dxa"/>
            </w:tcMar>
          </w:tcPr>
          <w:p>
            <w:pPr>
              <w:spacing w:after="0"/>
              <w:jc w:val="left"/>
            </w:pPr>
            <w:r>
              <w:rPr>
                <w:b w:val="0"/>
                <w:color w:val="0F172A"/>
                <w:sz w:val="12"/>
              </w:rPr>
              <w:t>Suscripción de compromiso al inicio y acta de devolución de información al cierre.</w:t>
              <w:br/>
              <w:t>Periodicidad: En acta de inicio, mensual y en liquidación final.</w:t>
            </w:r>
          </w:p>
        </w:tc>
      </w:tr>
      <w:tr>
        <w:tc>
          <w:tcPr>
            <w:tcW w:type="dxa" w:w="432"/>
            <w:vAlign w:val="center"/>
            <w:shd w:fill="F8FAFC"/>
            <w:tcMar>
              <w:top w:w="40" w:type="dxa"/>
              <w:bottom w:w="40" w:type="dxa"/>
              <w:left w:w="40" w:type="dxa"/>
              <w:right w:w="40" w:type="dxa"/>
            </w:tcMar>
          </w:tcPr>
          <w:p>
            <w:pPr>
              <w:spacing w:after="0"/>
              <w:jc w:val="center"/>
            </w:pPr>
            <w:r>
              <w:rPr>
                <w:b/>
                <w:color w:val="0F172A"/>
                <w:sz w:val="12"/>
              </w:rPr>
              <w:t>8</w:t>
            </w:r>
          </w:p>
        </w:tc>
        <w:tc>
          <w:tcPr>
            <w:tcW w:type="dxa" w:w="720"/>
            <w:vAlign w:val="center"/>
            <w:shd w:fill="F8FAFC"/>
            <w:tcMar>
              <w:top w:w="40" w:type="dxa"/>
              <w:bottom w:w="40" w:type="dxa"/>
              <w:left w:w="40" w:type="dxa"/>
              <w:right w:w="40" w:type="dxa"/>
            </w:tcMar>
          </w:tcPr>
          <w:p>
            <w:pPr>
              <w:spacing w:after="0"/>
              <w:jc w:val="center"/>
            </w:pPr>
            <w:r>
              <w:rPr>
                <w:b w:val="0"/>
                <w:color w:val="0F172A"/>
                <w:sz w:val="12"/>
              </w:rPr>
              <w:t>Específico</w:t>
            </w:r>
          </w:p>
        </w:tc>
        <w:tc>
          <w:tcPr>
            <w:tcW w:type="dxa" w:w="691"/>
            <w:vAlign w:val="center"/>
            <w:shd w:fill="F8FAFC"/>
            <w:tcMar>
              <w:top w:w="40" w:type="dxa"/>
              <w:bottom w:w="40" w:type="dxa"/>
              <w:left w:w="40" w:type="dxa"/>
              <w:right w:w="40" w:type="dxa"/>
            </w:tcMar>
          </w:tcPr>
          <w:p>
            <w:pPr>
              <w:spacing w:after="0"/>
              <w:jc w:val="center"/>
            </w:pPr>
            <w:r>
              <w:rPr>
                <w:b w:val="0"/>
                <w:color w:val="0F172A"/>
                <w:sz w:val="12"/>
              </w:rPr>
              <w:t>Externo</w:t>
            </w:r>
          </w:p>
        </w:tc>
        <w:tc>
          <w:tcPr>
            <w:tcW w:type="dxa" w:w="792"/>
            <w:vAlign w:val="center"/>
            <w:shd w:fill="F8FAFC"/>
            <w:tcMar>
              <w:top w:w="40" w:type="dxa"/>
              <w:bottom w:w="40" w:type="dxa"/>
              <w:left w:w="40" w:type="dxa"/>
              <w:right w:w="40" w:type="dxa"/>
            </w:tcMar>
          </w:tcPr>
          <w:p>
            <w:pPr>
              <w:spacing w:after="0"/>
              <w:jc w:val="center"/>
            </w:pPr>
            <w:r>
              <w:rPr>
                <w:b w:val="0"/>
                <w:color w:val="0F172A"/>
                <w:sz w:val="12"/>
              </w:rPr>
              <w:t>Ejecución</w:t>
            </w:r>
          </w:p>
        </w:tc>
        <w:tc>
          <w:tcPr>
            <w:tcW w:type="dxa" w:w="936"/>
            <w:vAlign w:val="center"/>
            <w:shd w:fill="F8FAFC"/>
            <w:tcMar>
              <w:top w:w="40" w:type="dxa"/>
              <w:bottom w:w="40" w:type="dxa"/>
              <w:left w:w="40" w:type="dxa"/>
              <w:right w:w="40" w:type="dxa"/>
            </w:tcMar>
          </w:tcPr>
          <w:p>
            <w:pPr>
              <w:spacing w:after="0"/>
              <w:jc w:val="center"/>
            </w:pPr>
            <w:r>
              <w:rPr>
                <w:b/>
                <w:color w:val="0F172A"/>
                <w:sz w:val="12"/>
              </w:rPr>
              <w:t>Social o Político</w:t>
            </w:r>
          </w:p>
        </w:tc>
        <w:tc>
          <w:tcPr>
            <w:tcW w:type="dxa" w:w="2160"/>
            <w:vAlign w:val="center"/>
            <w:shd w:fill="F8FAFC"/>
            <w:tcMar>
              <w:top w:w="40" w:type="dxa"/>
              <w:bottom w:w="40" w:type="dxa"/>
              <w:left w:w="40" w:type="dxa"/>
              <w:right w:w="40" w:type="dxa"/>
            </w:tcMar>
          </w:tcPr>
          <w:p>
            <w:pPr>
              <w:spacing w:after="0"/>
              <w:jc w:val="left"/>
            </w:pPr>
            <w:r>
              <w:rPr>
                <w:b w:val="0"/>
                <w:color w:val="0F172A"/>
                <w:sz w:val="12"/>
              </w:rPr>
              <w:t>Apatía, baja asistencia, desinterés o renuencia comunitaria en el municipio de Yolombó frente a las jornadas de sensibilización y actividades complementarias de separación en la fuente del PGIRS.</w:t>
            </w:r>
          </w:p>
        </w:tc>
        <w:tc>
          <w:tcPr>
            <w:tcW w:type="dxa" w:w="1800"/>
            <w:vAlign w:val="center"/>
            <w:shd w:fill="F8FAFC"/>
            <w:tcMar>
              <w:top w:w="40" w:type="dxa"/>
              <w:bottom w:w="40" w:type="dxa"/>
              <w:left w:w="40" w:type="dxa"/>
              <w:right w:w="40" w:type="dxa"/>
            </w:tcMar>
          </w:tcPr>
          <w:p>
            <w:pPr>
              <w:spacing w:after="0"/>
              <w:jc w:val="left"/>
            </w:pPr>
            <w:r>
              <w:rPr>
                <w:b w:val="0"/>
                <w:color w:val="0F172A"/>
                <w:sz w:val="12"/>
              </w:rPr>
              <w:t>Subcobertura en las metas de participación ciudadana y retraso en el impacto pedagógico del PGIRS proyectado por la empresa.</w:t>
            </w:r>
          </w:p>
        </w:tc>
        <w:tc>
          <w:tcPr>
            <w:tcW w:type="dxa" w:w="1224"/>
            <w:vAlign w:val="center"/>
            <w:shd w:fill="FEF3C7"/>
            <w:tcMar>
              <w:top w:w="40" w:type="dxa"/>
              <w:bottom w:w="40" w:type="dxa"/>
              <w:left w:w="40" w:type="dxa"/>
              <w:right w:w="40" w:type="dxa"/>
            </w:tcMar>
          </w:tcPr>
          <w:p>
            <w:pPr>
              <w:spacing w:after="0"/>
              <w:jc w:val="center"/>
            </w:pPr>
            <w:r>
              <w:rPr>
                <w:b/>
                <w:color w:val="0F172A"/>
                <w:sz w:val="12"/>
              </w:rPr>
              <w:t>P:3  I:2</w:t>
              <w:br/>
              <w:t>Val:5</w:t>
              <w:br/>
              <w:t>MEDIO</w:t>
            </w:r>
          </w:p>
        </w:tc>
        <w:tc>
          <w:tcPr>
            <w:tcW w:type="dxa" w:w="936"/>
            <w:vAlign w:val="center"/>
            <w:shd w:fill="F8FAFC"/>
            <w:tcMar>
              <w:top w:w="40" w:type="dxa"/>
              <w:bottom w:w="40" w:type="dxa"/>
              <w:left w:w="40" w:type="dxa"/>
              <w:right w:w="40" w:type="dxa"/>
            </w:tcMar>
          </w:tcPr>
          <w:p>
            <w:pPr>
              <w:spacing w:after="0"/>
              <w:jc w:val="center"/>
            </w:pPr>
            <w:r>
              <w:rPr>
                <w:b w:val="0"/>
                <w:color w:val="0F172A"/>
                <w:sz w:val="12"/>
              </w:rPr>
              <w:t>Compartido (ESPY 50% / Contratista 50%)</w:t>
            </w:r>
          </w:p>
        </w:tc>
        <w:tc>
          <w:tcPr>
            <w:tcW w:type="dxa" w:w="2160"/>
            <w:vAlign w:val="center"/>
            <w:shd w:fill="F8FAFC"/>
            <w:tcMar>
              <w:top w:w="40" w:type="dxa"/>
              <w:bottom w:w="40" w:type="dxa"/>
              <w:left w:w="40" w:type="dxa"/>
              <w:right w:w="40" w:type="dxa"/>
            </w:tcMar>
          </w:tcPr>
          <w:p>
            <w:pPr>
              <w:spacing w:after="0"/>
              <w:jc w:val="left"/>
            </w:pPr>
            <w:r>
              <w:rPr>
                <w:b w:val="0"/>
                <w:color w:val="0F172A"/>
                <w:sz w:val="12"/>
              </w:rPr>
              <w:t>Articulación previa con líderes de Juntas de Acción Comunal (JAC), agremiaciones y sector educativo. Apoyo de la ESPY con difusión por canales institucionales locales y adaptación de metodologías pedagógicas participativas y dinámicas.</w:t>
            </w:r>
          </w:p>
        </w:tc>
        <w:tc>
          <w:tcPr>
            <w:tcW w:type="dxa" w:w="1224"/>
            <w:vAlign w:val="center"/>
            <w:shd w:fill="ECFDF5"/>
            <w:tcMar>
              <w:top w:w="40" w:type="dxa"/>
              <w:bottom w:w="40" w:type="dxa"/>
              <w:left w:w="40" w:type="dxa"/>
              <w:right w:w="40" w:type="dxa"/>
            </w:tcMar>
          </w:tcPr>
          <w:p>
            <w:pPr>
              <w:spacing w:after="0"/>
              <w:jc w:val="center"/>
            </w:pPr>
            <w:r>
              <w:rPr>
                <w:b/>
                <w:color w:val="0F172A"/>
                <w:sz w:val="12"/>
              </w:rPr>
              <w:t>P:2  I:1</w:t>
              <w:br/>
              <w:t>Val:3</w:t>
              <w:br/>
              <w:t>BAJO</w:t>
            </w:r>
          </w:p>
        </w:tc>
        <w:tc>
          <w:tcPr>
            <w:tcW w:type="dxa" w:w="576"/>
            <w:vAlign w:val="center"/>
            <w:shd w:fill="F8FAFC"/>
            <w:tcMar>
              <w:top w:w="40" w:type="dxa"/>
              <w:bottom w:w="40" w:type="dxa"/>
              <w:left w:w="40" w:type="dxa"/>
              <w:right w:w="40" w:type="dxa"/>
            </w:tcMar>
          </w:tcPr>
          <w:p>
            <w:pPr>
              <w:spacing w:after="0"/>
              <w:jc w:val="center"/>
            </w:pPr>
            <w:r>
              <w:rPr>
                <w:b/>
                <w:color w:val="0F172A"/>
                <w:sz w:val="12"/>
              </w:rPr>
              <w:t>Sí</w:t>
            </w:r>
          </w:p>
        </w:tc>
        <w:tc>
          <w:tcPr>
            <w:tcW w:type="dxa" w:w="936"/>
            <w:vAlign w:val="center"/>
            <w:shd w:fill="F8FAFC"/>
            <w:tcMar>
              <w:top w:w="40" w:type="dxa"/>
              <w:bottom w:w="40" w:type="dxa"/>
              <w:left w:w="40" w:type="dxa"/>
              <w:right w:w="40" w:type="dxa"/>
            </w:tcMar>
          </w:tcPr>
          <w:p>
            <w:pPr>
              <w:spacing w:after="0"/>
              <w:jc w:val="center"/>
            </w:pPr>
            <w:r>
              <w:rPr>
                <w:b w:val="0"/>
                <w:color w:val="0F172A"/>
                <w:sz w:val="12"/>
              </w:rPr>
              <w:t>Contratista y Supervisor ESPY</w:t>
            </w:r>
          </w:p>
        </w:tc>
        <w:tc>
          <w:tcPr>
            <w:tcW w:type="dxa" w:w="1253"/>
            <w:vAlign w:val="center"/>
            <w:shd w:fill="F8FAFC"/>
            <w:tcMar>
              <w:top w:w="40" w:type="dxa"/>
              <w:bottom w:w="40" w:type="dxa"/>
              <w:left w:w="40" w:type="dxa"/>
              <w:right w:w="40" w:type="dxa"/>
            </w:tcMar>
          </w:tcPr>
          <w:p>
            <w:pPr>
              <w:spacing w:after="0"/>
              <w:jc w:val="left"/>
            </w:pPr>
            <w:r>
              <w:rPr>
                <w:b w:val="0"/>
                <w:color w:val="0F172A"/>
                <w:sz w:val="12"/>
              </w:rPr>
              <w:t>Revisión de planillas de asistencia, registros fotográficos y actas de socialización.</w:t>
              <w:br/>
              <w:t>Periodicidad: Quincenal o con la ejecución de cada jornada.</w:t>
            </w:r>
          </w:p>
        </w:tc>
      </w:tr>
    </w:tbl>
    <w:p>
      <w:pPr>
        <w:spacing w:after="160"/>
      </w:pPr>
    </w:p>
    <w:p>
      <w:pPr>
        <w:spacing w:after="40"/>
      </w:pPr>
      <w:r>
        <w:rPr>
          <w:b/>
          <w:color w:val="0B3C5D"/>
          <w:sz w:val="17"/>
        </w:rPr>
        <w:t>OBSERVACIONES TÉCNICAS Y CONTROL DE RIESGOS SOBRE EL ESTUDIO PREVIO EXAMINADO: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4688"/>
      </w:tblGrid>
      <w:tr>
        <w:tc>
          <w:tcPr>
            <w:tcW w:type="dxa" w:w="14688"/>
            <w:shd w:fill="F8FAFC"/>
            <w:tcMar>
              <w:top w:w="50" w:type="dxa"/>
              <w:bottom w:w="50" w:type="dxa"/>
              <w:left w:w="80" w:type="dxa"/>
              <w:right w:w="80" w:type="dxa"/>
            </w:tcMar>
          </w:tcPr>
          <w:p>
            <w:pPr>
              <w:spacing w:after="0"/>
            </w:pPr>
            <w:r>
              <w:rPr>
                <w:color w:val="334155"/>
                <w:sz w:val="13"/>
              </w:rPr>
              <w:t>1. Inconsistencias de Plantilla Subsanadas: Se advierte que el Estudio Previo contiene referencias cruzadas erradas a 'contrato de suministro' (Pág. 5) y repetición redundante de texto (Pág. 2). Para efectos de esta Matriz de Riesgos, se tipificó con total fidelidad como Prestación de Servicios Personales de Apoyo a la Gestión.</w:t>
              <w:br/>
              <w:t>2. Corrección Ortográfica Institucional: El objeto contractual original registra 'GENTIÓN' y 'CONPLEMENTARIAS'. En la documentación contractual definitiva y formal se normaliza a 'GESTIÓN' y 'COMPLEMENTARIAS'.</w:t>
              <w:br/>
              <w:t>3. Mitigación por Ausencia de Pólizas: Al haber definido el Estudio Previo que no se exigirán pólizas contractuales, la ESPY debe aplicar estrictamente el pago a mes vencido condicionado al recibo técnico a satisfacción del supervisor e informe de actividades, asegurando indemnidad financiera institucional.</w:t>
              <w:br/>
              <w:t>4. Acreditación de Seguridad Social (IBC 40%): Para cada desembolso mensual ($2.400.000), la supervisión debe exigir la planilla PILA con IBC cotizado mínimo de $960.000 en Salud, Pensión y ARL con nivel de riesgo idóneo.</w:t>
            </w:r>
          </w:p>
        </w:tc>
      </w:tr>
    </w:tbl>
    <w:p>
      <w:pPr>
        <w:spacing w:after="280"/>
      </w:pP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896"/>
        <w:gridCol w:w="4896"/>
        <w:gridCol w:w="4896"/>
      </w:tblGrid>
      <w:tr>
        <w:tc>
          <w:tcPr>
            <w:tcW w:type="dxa" w:w="4896"/>
          </w:tcPr>
          <w:p>
            <w:pPr>
              <w:spacing w:after="400"/>
              <w:jc w:val="center"/>
            </w:pPr>
            <w:r>
              <w:rPr>
                <w:color w:val="64748B"/>
                <w:sz w:val="17"/>
              </w:rPr>
              <w:t>________________________________________</w:t>
            </w:r>
          </w:p>
        </w:tc>
        <w:tc>
          <w:tcPr>
            <w:tcW w:type="dxa" w:w="4896"/>
          </w:tcPr>
          <w:p>
            <w:pPr>
              <w:spacing w:after="400"/>
              <w:jc w:val="center"/>
            </w:pPr>
            <w:r>
              <w:rPr>
                <w:color w:val="64748B"/>
                <w:sz w:val="17"/>
              </w:rPr>
              <w:t>________________________________________</w:t>
            </w:r>
          </w:p>
        </w:tc>
        <w:tc>
          <w:tcPr>
            <w:tcW w:type="dxa" w:w="4896"/>
          </w:tcPr>
          <w:p>
            <w:pPr>
              <w:spacing w:after="400"/>
              <w:jc w:val="center"/>
            </w:pPr>
            <w:r>
              <w:rPr>
                <w:color w:val="64748B"/>
                <w:sz w:val="17"/>
              </w:rPr>
              <w:t>________________________________________</w:t>
            </w:r>
          </w:p>
        </w:tc>
      </w:tr>
      <w:tr>
        <w:tc>
          <w:tcPr>
            <w:tcW w:type="dxa" w:w="4896"/>
          </w:tcPr>
          <w:p>
            <w:pPr>
              <w:spacing w:after="0"/>
              <w:jc w:val="center"/>
            </w:pPr>
            <w:r>
              <w:rPr>
                <w:b/>
                <w:color w:val="0F172A"/>
                <w:sz w:val="15"/>
              </w:rPr>
              <w:t>CAROLINA GIRALDO GÓMEZ</w:t>
              <w:br/>
              <w:t>Gerente General</w:t>
              <w:br/>
              <w:t>ESPY S.A. E.S.P.</w:t>
              <w:br/>
              <w:t>Ordenadora del Gasto</w:t>
            </w:r>
          </w:p>
        </w:tc>
        <w:tc>
          <w:tcPr>
            <w:tcW w:type="dxa" w:w="4896"/>
          </w:tcPr>
          <w:p>
            <w:pPr>
              <w:spacing w:after="0"/>
              <w:jc w:val="center"/>
            </w:pPr>
            <w:r>
              <w:rPr>
                <w:b/>
                <w:color w:val="0F172A"/>
                <w:sz w:val="15"/>
              </w:rPr>
              <w:t>SUPERVISOR TÉCNICO DESIGNADO</w:t>
              <w:br/>
              <w:t>Supervisión y Control Contractual</w:t>
              <w:br/>
              <w:t>ESPY S.A. E.S.P.</w:t>
              <w:br/>
              <w:t>Responsable de Monitoreo</w:t>
            </w:r>
          </w:p>
        </w:tc>
        <w:tc>
          <w:tcPr>
            <w:tcW w:type="dxa" w:w="4896"/>
          </w:tcPr>
          <w:p>
            <w:pPr>
              <w:spacing w:after="0"/>
              <w:jc w:val="center"/>
            </w:pPr>
            <w:r>
              <w:rPr>
                <w:b/>
                <w:color w:val="0F172A"/>
                <w:sz w:val="15"/>
              </w:rPr>
              <w:t>ANYIE OCHOA URIBE</w:t>
              <w:br/>
              <w:t>Contratista de Apoyo a la Gestión</w:t>
              <w:br/>
              <w:t>C.C. Proceso PGIRS Yolombó</w:t>
              <w:br/>
              <w:t>Responsable de Tratamientos</w:t>
            </w:r>
          </w:p>
        </w:tc>
      </w:tr>
    </w:tbl>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