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7344"/>
        <w:gridCol w:w="7344"/>
      </w:tblGrid>
      <w:tr>
        <w:tc>
          <w:tcPr>
            <w:tcW w:type="dxa" w:w="11952"/>
            <w:shd w:fill="0284C7"/>
            <w:tcMar>
              <w:top w:w="15" w:type="dxa"/>
              <w:bottom w:w="15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2736"/>
            <w:shd w:fill="16A34A"/>
            <w:tcMar>
              <w:top w:w="15" w:type="dxa"/>
              <w:bottom w:w="15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7344"/>
        <w:gridCol w:w="7344"/>
      </w:tblGrid>
      <w:tr>
        <w:tc>
          <w:tcPr>
            <w:tcW w:type="dxa" w:w="3168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5"/>
              </w:rPr>
              <w:t>PROCESO CONTRACTUAL / OBJETO:</w:t>
            </w:r>
          </w:p>
        </w:tc>
        <w:tc>
          <w:tcPr>
            <w:tcW w:type="dxa" w:w="1152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F172A"/>
                <w:sz w:val="15"/>
              </w:rPr>
              <w:t>SUMINISTRO, INSTALACIÓN Y PUESTA EN FUNCIONAMIENTO DE UNIDADES DE RASTREO SATELITAL GPS, CÁMARAS DE VIDEOVIGILANCIA VEHICULAR CON TECNOLOGÍA ADAS/DMS Y SERVICIO CONEXO DE MONITOREO EN PLATAFORMA PARA EL PARQUE AUTOMOTOR DE LA EMPRESA DE SERVICIOS PÚBLICOS DE YOLOMBÓ E.S.P</w:t>
            </w:r>
          </w:p>
        </w:tc>
      </w:tr>
      <w:tr>
        <w:tc>
          <w:tcPr>
            <w:tcW w:type="dxa" w:w="3168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5"/>
              </w:rPr>
              <w:t>CONTRATISTA / TIPO DE CONTRATO:</w:t>
            </w:r>
          </w:p>
        </w:tc>
        <w:tc>
          <w:tcPr>
            <w:tcW w:type="dxa" w:w="1152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F172A"/>
                <w:sz w:val="15"/>
              </w:rPr>
              <w:t>Contratista Seleccionado  |  SUMINISTRO</w:t>
            </w:r>
          </w:p>
        </w:tc>
      </w:tr>
      <w:tr>
        <w:tc>
          <w:tcPr>
            <w:tcW w:type="dxa" w:w="3168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5"/>
              </w:rPr>
              <w:t>PRESUPUESTO OFICIAL ESTIMADO:</w:t>
            </w:r>
          </w:p>
        </w:tc>
        <w:tc>
          <w:tcPr>
            <w:tcW w:type="dxa" w:w="1152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F172A"/>
                <w:sz w:val="15"/>
              </w:rPr>
              <w:t>$4.489.112  |  Lugar: Municipio de Yolombó, Antioquia</w:t>
            </w:r>
          </w:p>
        </w:tc>
      </w:tr>
      <w:tr>
        <w:tc>
          <w:tcPr>
            <w:tcW w:type="dxa" w:w="3168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5"/>
              </w:rPr>
              <w:t>PLAZO DE EJECUCIÓN Y PÓLIZAS:</w:t>
            </w:r>
          </w:p>
        </w:tc>
        <w:tc>
          <w:tcPr>
            <w:tcW w:type="dxa" w:w="1152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0F172A"/>
                <w:sz w:val="15"/>
              </w:rPr>
              <w:t>Plazo: 2 MESES  |  Garantías: No se exige constitución de pólizas (pago contra entrega física e instalación efectiva de los equipos, previa suscripción del Acta de Entrada a Almacén y recibo a satisfacción por el supervisor)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0F172A"/>
          <w:sz w:val="16"/>
        </w:rPr>
        <w:t>CRITERIOS DE VALORACIÓN Y CALIFICACIÓN (METODOLOGÍA COLOMBIA COMPRA EFICIENTE)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896"/>
        <w:gridCol w:w="4896"/>
        <w:gridCol w:w="4896"/>
      </w:tblGrid>
      <w:tr>
        <w:tc>
          <w:tcPr>
            <w:tcW w:type="dxa" w:w="4896"/>
            <w:shd w:fill="1A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ESCALA DE PROBABILIDAD (1 a 5)</w:t>
            </w:r>
          </w:p>
        </w:tc>
        <w:tc>
          <w:tcPr>
            <w:tcW w:type="dxa" w:w="4896"/>
            <w:shd w:fill="1A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ESCALA DE IMPACTO (1 a 5)</w:t>
            </w:r>
          </w:p>
        </w:tc>
        <w:tc>
          <w:tcPr>
            <w:tcW w:type="dxa" w:w="4896"/>
            <w:shd w:fill="1A365D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VALORACIÓN Y CATEGORIZACIÓN (P + I)</w:t>
            </w:r>
          </w:p>
        </w:tc>
      </w:tr>
      <w:tr>
        <w:tc>
          <w:tcPr>
            <w:tcW w:type="dxa" w:w="4896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1 = Raro (Excepcional)</w:t>
              <w:br/>
              <w:t>2 = Improbable (Ocasional)</w:t>
              <w:br/>
              <w:t>3 = Posible (Cualquier momento)</w:t>
              <w:br/>
              <w:t>4 = Probable (Alta probabilidad)</w:t>
              <w:br/>
              <w:t>5 = Casi Cierto (Mayoría de circunstancias)</w:t>
            </w:r>
          </w:p>
        </w:tc>
        <w:tc>
          <w:tcPr>
            <w:tcW w:type="dxa" w:w="4896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1 = Insignificante (&lt; 1% del valor)</w:t>
              <w:br/>
              <w:t>2 = Menor (1% al 5% del valor)</w:t>
              <w:br/>
              <w:t>3 = Moderado (5% al 15% del valor)</w:t>
              <w:br/>
              <w:t>4 = Mayor (15% al 30% del valor)</w:t>
              <w:br/>
              <w:t>5 = Catastrófico (&gt; 30% o incumplimiento total)</w:t>
            </w:r>
          </w:p>
        </w:tc>
        <w:tc>
          <w:tcPr>
            <w:tcW w:type="dxa" w:w="4896"/>
            <w:shd w:fill="FFFFFF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0"/>
            </w:pPr>
            <w:r>
              <w:rPr>
                <w:color w:val="1E293B"/>
                <w:sz w:val="13"/>
              </w:rPr>
              <w:t>• BAJO: Suma de 2, 3 o 4</w:t>
              <w:br/>
              <w:t>• MEDIO: Suma de 5</w:t>
              <w:br/>
              <w:t>• ALTO: Suma de 6 o 7</w:t>
              <w:br/>
              <w:t>• EXTREMO: Suma de 8, 9 o 10</w:t>
              <w:br/>
              <w:t>Regla: Valoración = Probabilidad + Impacto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blHeader/>
          <w:cantSplit/>
        </w:trPr>
        <w:tc>
          <w:tcPr>
            <w:tcW w:type="dxa" w:w="461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N°</w:t>
            </w:r>
          </w:p>
        </w:tc>
        <w:tc>
          <w:tcPr>
            <w:tcW w:type="dxa" w:w="691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Clase</w:t>
            </w:r>
          </w:p>
        </w:tc>
        <w:tc>
          <w:tcPr>
            <w:tcW w:type="dxa" w:w="648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Fuente</w:t>
            </w:r>
          </w:p>
        </w:tc>
        <w:tc>
          <w:tcPr>
            <w:tcW w:type="dxa" w:w="749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Etapa</w:t>
            </w:r>
          </w:p>
        </w:tc>
        <w:tc>
          <w:tcPr>
            <w:tcW w:type="dxa" w:w="936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type="dxa" w:w="2160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Descripción del Riesgo</w:t>
            </w:r>
          </w:p>
        </w:tc>
        <w:tc>
          <w:tcPr>
            <w:tcW w:type="dxa" w:w="1800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Consecuencia de la Ocurrencia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EVALUACIÓN INICIAL</w:t>
            </w:r>
          </w:p>
        </w:tc>
        <w:tc>
          <w:tcPr>
            <w:tcW w:type="dxa" w:w="936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Asignación</w:t>
            </w:r>
          </w:p>
        </w:tc>
        <w:tc>
          <w:tcPr>
            <w:tcW w:type="dxa" w:w="2131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Tratamiento / Medida de Control</w:t>
            </w:r>
          </w:p>
        </w:tc>
        <w:tc>
          <w:tcPr>
            <w:tcW w:type="dxa" w:w="1152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EVALUACIÓN RESIDUAL</w:t>
            </w:r>
          </w:p>
        </w:tc>
        <w:tc>
          <w:tcPr>
            <w:tcW w:type="dxa" w:w="547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¿Afecta?</w:t>
            </w:r>
          </w:p>
        </w:tc>
        <w:tc>
          <w:tcPr>
            <w:tcW w:type="dxa" w:w="936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Responsable</w:t>
            </w:r>
          </w:p>
        </w:tc>
        <w:tc>
          <w:tcPr>
            <w:tcW w:type="dxa" w:w="1253"/>
            <w:shd w:fill="1A365D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Monitoreo y Revisión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1</w:t>
            </w:r>
          </w:p>
        </w:tc>
        <w:tc>
          <w:tcPr>
            <w:tcW w:type="dxa" w:w="69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Específico</w:t>
            </w:r>
          </w:p>
        </w:tc>
        <w:tc>
          <w:tcPr>
            <w:tcW w:type="dxa" w:w="648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Externo</w:t>
            </w:r>
          </w:p>
        </w:tc>
        <w:tc>
          <w:tcPr>
            <w:tcW w:type="dxa" w:w="749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Ejecución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Operacional</w:t>
            </w:r>
          </w:p>
        </w:tc>
        <w:tc>
          <w:tcPr>
            <w:tcW w:type="dxa" w:w="216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Retraso o incumplimiento en la entrega física e instalación en sitio de las unidades GPS LC, cámaras vehiculares JC371 ADAS, cámaras de cabina CI05F DMS y accesorios en el parque automotor de la ESPY.</w:t>
            </w:r>
          </w:p>
        </w:tc>
        <w:tc>
          <w:tcPr>
            <w:tcW w:type="dxa" w:w="180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Afectación en la planeación y control operativo de rutas del servicio de aseo y aplazamiento en la puesta en marcha de la telemetría institucional.</w:t>
            </w:r>
          </w:p>
        </w:tc>
        <w:tc>
          <w:tcPr>
            <w:tcW w:type="dxa" w:w="1152"/>
            <w:vAlign w:val="center"/>
            <w:shd w:fill="FEE2E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P:3  I:3</w:t>
              <w:br/>
              <w:t>Val:6</w:t>
              <w:br/>
              <w:t>ALTO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(100%)</w:t>
            </w:r>
          </w:p>
        </w:tc>
        <w:tc>
          <w:tcPr>
            <w:tcW w:type="dxa" w:w="213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Coordinación de cronograma estricto de instalación en sitio y verificación de disponibilidad de los vehículos. Pago condicionado al recibo e instalación a entera satisfacción.</w:t>
            </w:r>
          </w:p>
        </w:tc>
        <w:tc>
          <w:tcPr>
            <w:tcW w:type="dxa" w:w="1152"/>
            <w:vAlign w:val="center"/>
            <w:shd w:fill="ECFDF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P:1  I:2</w:t>
              <w:br/>
              <w:t>Val:3</w:t>
              <w:br/>
              <w:t>BAJO</w:t>
            </w:r>
          </w:p>
        </w:tc>
        <w:tc>
          <w:tcPr>
            <w:tcW w:type="dxa" w:w="547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Sí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y Supervisor ESPY</w:t>
            </w:r>
          </w:p>
        </w:tc>
        <w:tc>
          <w:tcPr>
            <w:tcW w:type="dxa" w:w="1253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Verificación física de instalación por vehículo y firma de Acta de Entrada a Almacén y Recibo a Satisfacción.</w:t>
              <w:br/>
              <w:t>Periodicidad: Al momento de la entrega e instalación en sitio.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2</w:t>
            </w:r>
          </w:p>
        </w:tc>
        <w:tc>
          <w:tcPr>
            <w:tcW w:type="dxa" w:w="69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Específico</w:t>
            </w:r>
          </w:p>
        </w:tc>
        <w:tc>
          <w:tcPr>
            <w:tcW w:type="dxa" w:w="648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Interno</w:t>
            </w:r>
          </w:p>
        </w:tc>
        <w:tc>
          <w:tcPr>
            <w:tcW w:type="dxa" w:w="749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Ejecución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Técnico</w:t>
            </w:r>
          </w:p>
        </w:tc>
        <w:tc>
          <w:tcPr>
            <w:tcW w:type="dxa" w:w="216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Entrega o instalación de dispositivos GPS, cámaras ADAS/DMS, tarjetas MicroSD o periféricos de cabina con defectos de fábrica, fallas de cableado automotriz o disconformidad frente a la propuesta técnica.</w:t>
            </w:r>
          </w:p>
        </w:tc>
        <w:tc>
          <w:tcPr>
            <w:tcW w:type="dxa" w:w="180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Fallas en la transmisión telemétrica o grabación de video vehicular y retraso en la entrada en operación regular.</w:t>
            </w:r>
          </w:p>
        </w:tc>
        <w:tc>
          <w:tcPr>
            <w:tcW w:type="dxa" w:w="1152"/>
            <w:vAlign w:val="center"/>
            <w:shd w:fill="FEE2E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P:2  I:4</w:t>
              <w:br/>
              <w:t>Val:6</w:t>
              <w:br/>
              <w:t>ALTO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(100%)</w:t>
            </w:r>
          </w:p>
        </w:tc>
        <w:tc>
          <w:tcPr>
            <w:tcW w:type="dxa" w:w="213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Pruebas técnicas de funcionamiento y conectividad de cada equipo instalado. Reemplazo y corrección inmediata a costa del contratista en un plazo máximo de 48 horas bajo garantía de fábrica.</w:t>
            </w:r>
          </w:p>
        </w:tc>
        <w:tc>
          <w:tcPr>
            <w:tcW w:type="dxa" w:w="1152"/>
            <w:vAlign w:val="center"/>
            <w:shd w:fill="ECFDF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P:1  I:2</w:t>
              <w:br/>
              <w:t>Val:3</w:t>
              <w:br/>
              <w:t>BAJO</w:t>
            </w:r>
          </w:p>
        </w:tc>
        <w:tc>
          <w:tcPr>
            <w:tcW w:type="dxa" w:w="547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Sí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y Supervisor ESPY</w:t>
            </w:r>
          </w:p>
        </w:tc>
        <w:tc>
          <w:tcPr>
            <w:tcW w:type="dxa" w:w="1253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Pruebas de encendido, señal GPS, visualización de cámaras y alertas ADAS/DMS en vivo.</w:t>
              <w:br/>
              <w:t>Periodicidad: Al momento de las pruebas técnicas y entrega.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3</w:t>
            </w:r>
          </w:p>
        </w:tc>
        <w:tc>
          <w:tcPr>
            <w:tcW w:type="dxa" w:w="69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Específico</w:t>
            </w:r>
          </w:p>
        </w:tc>
        <w:tc>
          <w:tcPr>
            <w:tcW w:type="dxa" w:w="648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Externo</w:t>
            </w:r>
          </w:p>
        </w:tc>
        <w:tc>
          <w:tcPr>
            <w:tcW w:type="dxa" w:w="749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Ejecución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Tecnológico</w:t>
            </w:r>
          </w:p>
        </w:tc>
        <w:tc>
          <w:tcPr>
            <w:tcW w:type="dxa" w:w="216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Intermitencia, caída del servicio, pérdida de transmisión de datos satelitales o indisponibilidad de la plataforma web y aplicación móvil de monitoreo 24/7.</w:t>
            </w:r>
          </w:p>
        </w:tc>
        <w:tc>
          <w:tcPr>
            <w:tcW w:type="dxa" w:w="180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Pérdida temporal de trazabilidad de los vehículos y retraso en el reporte de alertas de seguridad vial e itinerarios.</w:t>
            </w:r>
          </w:p>
        </w:tc>
        <w:tc>
          <w:tcPr>
            <w:tcW w:type="dxa" w:w="1152"/>
            <w:vAlign w:val="center"/>
            <w:shd w:fill="FEF3C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P:2  I:3</w:t>
              <w:br/>
              <w:t>Val:5</w:t>
              <w:br/>
              <w:t>MEDIO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(100%)</w:t>
            </w:r>
          </w:p>
        </w:tc>
        <w:tc>
          <w:tcPr>
            <w:tcW w:type="dxa" w:w="213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Acuerdo de nivel de servicio (SLA) con alta disponibilidad (99.5%), canales de soporte técnico permanente y almacenamiento local redundante en tarjetas MicroSD ante fallas de cobertura de red móvil.</w:t>
            </w:r>
          </w:p>
        </w:tc>
        <w:tc>
          <w:tcPr>
            <w:tcW w:type="dxa" w:w="1152"/>
            <w:vAlign w:val="center"/>
            <w:shd w:fill="ECFDF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P:1  I:2</w:t>
              <w:br/>
              <w:t>Val:3</w:t>
              <w:br/>
              <w:t>BAJO</w:t>
            </w:r>
          </w:p>
        </w:tc>
        <w:tc>
          <w:tcPr>
            <w:tcW w:type="dxa" w:w="547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Sí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y Supervisor ESPY</w:t>
            </w:r>
          </w:p>
        </w:tc>
        <w:tc>
          <w:tcPr>
            <w:tcW w:type="dxa" w:w="1253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Supervisión continua de disponibilidad de plataforma web y reportes periódicos de conectividad.</w:t>
              <w:br/>
              <w:t>Periodicidad: Seguimiento permanente durante el periodo contratado.</w:t>
            </w:r>
          </w:p>
        </w:tc>
      </w:tr>
      <w:tr>
        <w:trPr>
          <w:cantSplit/>
        </w:trPr>
        <w:tc>
          <w:tcPr>
            <w:tcW w:type="dxa" w:w="46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4</w:t>
            </w:r>
          </w:p>
        </w:tc>
        <w:tc>
          <w:tcPr>
            <w:tcW w:type="dxa" w:w="69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General</w:t>
            </w:r>
          </w:p>
        </w:tc>
        <w:tc>
          <w:tcPr>
            <w:tcW w:type="dxa" w:w="648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Externo</w:t>
            </w:r>
          </w:p>
        </w:tc>
        <w:tc>
          <w:tcPr>
            <w:tcW w:type="dxa" w:w="749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Ejecución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Económico</w:t>
            </w:r>
          </w:p>
        </w:tc>
        <w:tc>
          <w:tcPr>
            <w:tcW w:type="dxa" w:w="216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Fluctuación o incremento sobreviniente en precios de equipos tecnológicos, tasas de cambio, costos de instalación o viáticos de desplazamiento al municipio de Yolombó.</w:t>
            </w:r>
          </w:p>
        </w:tc>
        <w:tc>
          <w:tcPr>
            <w:tcW w:type="dxa" w:w="1800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Riesgo de reclamaciones económicas o solicitudes de reajuste del valor pactado.</w:t>
            </w:r>
          </w:p>
        </w:tc>
        <w:tc>
          <w:tcPr>
            <w:tcW w:type="dxa" w:w="1152"/>
            <w:vAlign w:val="center"/>
            <w:shd w:fill="FEF3C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P:2  I:3</w:t>
              <w:br/>
              <w:t>Val:5</w:t>
              <w:br/>
              <w:t>MEDIO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(100%)</w:t>
            </w:r>
          </w:p>
        </w:tc>
        <w:tc>
          <w:tcPr>
            <w:tcW w:type="dxa" w:w="2131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Pactar valor total fijo y firme a todo costo en pesos colombianos, asumiendo el contratista los costos directos, indirectos, transporte y viáticos sin lugar a reajustes.</w:t>
            </w:r>
          </w:p>
        </w:tc>
        <w:tc>
          <w:tcPr>
            <w:tcW w:type="dxa" w:w="1152"/>
            <w:vAlign w:val="center"/>
            <w:shd w:fill="ECFDF5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P:1  I:1</w:t>
              <w:br/>
              <w:t>Val:2</w:t>
              <w:br/>
              <w:t>BAJO</w:t>
            </w:r>
          </w:p>
        </w:tc>
        <w:tc>
          <w:tcPr>
            <w:tcW w:type="dxa" w:w="547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1"/>
              </w:rPr>
              <w:t>No</w:t>
            </w:r>
          </w:p>
        </w:tc>
        <w:tc>
          <w:tcPr>
            <w:tcW w:type="dxa" w:w="936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1"/>
              </w:rPr>
              <w:t>Contratista y Supervisor ESPY</w:t>
            </w:r>
          </w:p>
        </w:tc>
        <w:tc>
          <w:tcPr>
            <w:tcW w:type="dxa" w:w="1253"/>
            <w:vAlign w:val="center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color w:val="0F172A"/>
                <w:sz w:val="11"/>
              </w:rPr>
              <w:t>Verificación de facturación electrónica conforme a la propuesta económica fija adjudicada.</w:t>
              <w:br/>
              <w:t>Periodicidad: Al momento de la radicación de la factura para pago.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0F172A"/>
          <w:sz w:val="16"/>
        </w:rPr>
        <w:t>OBSERVACIONES TÉCNICAS Y CONTROL PREVENTIVO DE RIESGOS (ESTUDIO PREVIO):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4688"/>
      </w:tblGrid>
      <w:tr>
        <w:tc>
          <w:tcPr>
            <w:tcW w:type="dxa" w:w="14688"/>
            <w:shd w:fill="F8FAFC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334155"/>
                <w:sz w:val="13"/>
              </w:rPr>
              <w:t>• Al haber estipulado el Estudio Previo que no se exigirán pólizas contractuales, se traslada el riesgo económico a la ESPY. Esto exige aplicar estrictamente el pago contra entrega física e instalación efectiva de los equipos, previa suscripción del Acta de Entrada a Almacén y recibo a satisfacción por el supervisor.</w:t>
            </w:r>
          </w:p>
        </w:tc>
      </w:tr>
    </w:tbl>
    <w:p>
      <w:pPr>
        <w:spacing w:after="200"/>
      </w:pPr>
    </w:p>
    <w:p>
      <w:pPr>
        <w:spacing w:before="160" w:after="0"/>
        <w:jc w:val="center"/>
      </w:pPr>
      <w:r>
        <w:rPr>
          <w:color w:val="64748B"/>
          <w:sz w:val="17"/>
        </w:rPr>
        <w:t>________________________________________</w:t>
        <w:br/>
      </w:r>
      <w:r>
        <w:rPr>
          <w:b/>
          <w:color w:val="0F172A"/>
          <w:sz w:val="16"/>
        </w:rPr>
        <w:t>CAROLINA GIRALDO GÓMEZ</w:t>
        <w:br/>
      </w:r>
      <w:r>
        <w:rPr>
          <w:color w:val="475569"/>
          <w:sz w:val="15"/>
        </w:rPr>
        <w:t>Gerente General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b/>
        <w:color w:val="0F172A"/>
        <w:sz w:val="15"/>
      </w:rPr>
      <w:t>EMPRESA DE SERVICIOS PUBLICOS DE YOLOMBÓ – NIT. 811015112-4</w:t>
      <w:br/>
    </w:r>
    <w:r>
      <w:rPr>
        <w:b/>
        <w:color w:val="0F172A"/>
        <w:sz w:val="15"/>
      </w:rPr>
      <w:t>CELULAR: 3206976172</w:t>
      <w:br/>
    </w:r>
    <w:r>
      <w:rPr>
        <w:b/>
        <w:color w:val="0284C7"/>
        <w:sz w:val="15"/>
      </w:rPr>
      <w:t>serviciospublicosyol@hotmail.com</w:t>
      <w:br/>
    </w:r>
    <w:r>
      <w:rPr>
        <w:color w:val="475569"/>
        <w:sz w:val="15"/>
      </w:rPr>
      <w:t>Calle Colombia 20 #20 - 74 Yolombó – Antioquia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drawing>
        <wp:inline xmlns:a="http://schemas.openxmlformats.org/drawingml/2006/main" xmlns:pic="http://schemas.openxmlformats.org/drawingml/2006/picture">
          <wp:extent cx="1371600" cy="6982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6982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