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SINOA</w:t>
      </w:r>
    </w:p>
    <w:p>
      <w:pPr>
        <w:pStyle w:val="Subtitle"/>
      </w:pPr>
      <w:r>
        <w:t>Lab Blue Workspace</w:t>
      </w:r>
    </w:p>
    <w:p>
      <w:pPr>
        <w:pStyle w:val="Subtitle"/>
      </w:pPr>
      <w:r>
        <w:t>Diseño final de dashboard web</w:t>
        <w:br/>
        <w:t>Requisitos, sistema visual y plan de desarrollo</w:t>
      </w:r>
    </w:p>
    <w:p>
      <w:pPr>
        <w:pStyle w:val="Small"/>
      </w:pPr>
      <w:r>
        <w:t>Versión 1.0 · 8 de septiembre de 2026 · Preparado para José Vicente Rincón Celis</w:t>
      </w:r>
    </w:p>
    <w:p>
      <w:r>
        <w:t>La propuesta combina el gráfico protagonista de Laboratorio adaptable (opción 1) con la selección de gráficas y el detalle científico de Workspace de investigación (opción 3). El resultado conserva una sola columna auxiliar para proteger el área útil de la señal.</w:t>
      </w:r>
    </w:p>
    <w:p>
      <w:r>
        <w:drawing>
          <wp:inline xmlns:a="http://schemas.openxmlformats.org/drawingml/2006/main" xmlns:pic="http://schemas.openxmlformats.org/drawingml/2006/picture">
            <wp:extent cx="5943600" cy="3043042"/>
            <wp:docPr id="1" name="Picture 1" descr="Diseño conceptual SINOA Lab Blue Workspace: dashboard de escritorio con gráfico central e inspector derecho; móvil web con una señal activa y paneles plegables."/>
            <wp:cNvGraphicFramePr>
              <a:graphicFrameLocks noChangeAspect="1"/>
            </wp:cNvGraphicFramePr>
            <a:graphic>
              <a:graphicData uri="http://schemas.openxmlformats.org/drawingml/2006/picture">
                <pic:pic>
                  <pic:nvPicPr>
                    <pic:cNvPr id="0" name="exec-592d4967-488f-42da-a7f1-1ef0c7ae1f71.png"/>
                    <pic:cNvPicPr/>
                  </pic:nvPicPr>
                  <pic:blipFill>
                    <a:blip r:embed="rId11"/>
                    <a:stretch>
                      <a:fillRect/>
                    </a:stretch>
                  </pic:blipFill>
                  <pic:spPr>
                    <a:xfrm>
                      <a:off x="0" y="0"/>
                      <a:ext cx="5943600" cy="3043042"/>
                    </a:xfrm>
                    <a:prstGeom prst="rect"/>
                  </pic:spPr>
                </pic:pic>
              </a:graphicData>
            </a:graphic>
          </wp:inline>
        </w:drawing>
      </w:r>
    </w:p>
    <w:p>
      <w:pPr>
        <w:pStyle w:val="CaptionText"/>
      </w:pPr>
      <w:r>
        <w:t>Vista conceptual final: escritorio y móvil web. La imagen orienta la composición; los tokens y las reglas de este documento son la referencia exacta de implementación.</w:t>
      </w:r>
    </w:p>
    <w:p>
      <w:pPr>
        <w:pStyle w:val="Heading2"/>
        <w:pageBreakBefore w:val="0"/>
      </w:pPr>
      <w:r>
        <w:t>Objetivo y alcance</w:t>
      </w:r>
    </w:p>
    <w:p>
      <w:r>
        <w:t>Permitir que un operador seleccione un sensor, interprete su lectura y tendencia, identifique alertas y ajuste su tablero sin perder el contexto del laboratorio. Incluye desktop, tablet y móvil web; componentes, estados de interacción, persistencia y criterios de aceptación.</w:t>
      </w:r>
    </w:p>
    <w:p>
      <w:pPr>
        <w:pStyle w:val="Small"/>
      </w:pPr>
      <w:r>
        <w:t>Base técnica: Vue 3 + Bootstrap 5 + Chart.js, según el brief recibido. Esta entrega no verifica de nuevo la rama refraccion ni confirma rutas, versiones instaladas o contratos existentes. La fase 0 debe resolver esos puntos antes de programar.</w:t>
      </w:r>
    </w:p>
    <w:p>
      <w:pPr>
        <w:pStyle w:val="Heading1"/>
        <w:pageBreakBefore/>
      </w:pPr>
      <w:r>
        <w:t>01. Requisitos funcionales</w:t>
      </w:r>
    </w:p>
    <w:p>
      <w:r>
        <w:t>P0 es obligatorio para la primera entrega. P1 se incorpora después de estabilizar la operación básica. Las acciones del tablero afectan a la visualización; nunca eliminan sensores ni dispositivos.</w:t>
      </w:r>
    </w:p>
    <w:tbl>
      <w:tblPr>
        <w:tblLook w:firstColumn="1" w:firstRow="1" w:lastColumn="0" w:lastRow="0" w:noHBand="0" w:noVBand="1" w:val="04A0"/>
        <w:tblW w:type="dxa" w:w="9360"/>
        <w:tblInd w:type="dxa" w:w="120"/>
        <w:tblLayout w:type="fixed"/>
        <w:tblCellMar>
          <w:top w:w="80" w:type="dxa"/>
          <w:bottom w:w="80" w:type="dxa"/>
          <w:start w:w="120" w:type="dxa"/>
          <w:end w:w="120" w:type="dxa"/>
        </w:tblCellMar>
        <w:tblBorders>
          <w:top w:val="single" w:sz="4" w:color="E2E8F0"/>
          <w:left w:val="single" w:sz="4" w:color="E2E8F0"/>
          <w:bottom w:val="single" w:sz="4" w:color="E2E8F0"/>
          <w:right w:val="single" w:sz="4" w:color="E2E8F0"/>
          <w:insideH w:val="single" w:sz="4" w:color="E2E8F0"/>
          <w:insideV w:val="single" w:sz="4" w:color="E2E8F0"/>
        </w:tblBorders>
      </w:tblPr>
      <w:tblGrid>
        <w:gridCol w:w="1500"/>
        <w:gridCol w:w="2550"/>
        <w:gridCol w:w="5310"/>
      </w:tblGrid>
      <w:tr>
        <w:trPr>
          <w:cantSplit/>
          <w:tblHeader/>
        </w:trPr>
        <w:tc>
          <w:tcPr>
            <w:tcW w:type="dxa" w:w="1500"/>
            <w:shd w:fill="EFF6FF"/>
          </w:tcPr>
          <w:p>
            <w:pPr>
              <w:pStyle w:val="TableBody"/>
            </w:pPr>
            <w:r>
              <w:rPr>
                <w:b/>
                <w:color w:val="1E40AF"/>
              </w:rPr>
              <w:t>ID / prioridad</w:t>
            </w:r>
          </w:p>
        </w:tc>
        <w:tc>
          <w:tcPr>
            <w:tcW w:type="dxa" w:w="2550"/>
            <w:shd w:fill="EFF6FF"/>
          </w:tcPr>
          <w:p>
            <w:pPr>
              <w:pStyle w:val="TableBody"/>
            </w:pPr>
            <w:r>
              <w:rPr>
                <w:b/>
                <w:color w:val="1E40AF"/>
              </w:rPr>
              <w:t>Requisito</w:t>
            </w:r>
          </w:p>
        </w:tc>
        <w:tc>
          <w:tcPr>
            <w:tcW w:type="dxa" w:w="5310"/>
            <w:shd w:fill="EFF6FF"/>
          </w:tcPr>
          <w:p>
            <w:pPr>
              <w:pStyle w:val="TableBody"/>
            </w:pPr>
            <w:r>
              <w:rPr>
                <w:b/>
                <w:color w:val="1E40AF"/>
              </w:rPr>
              <w:t>Criterio de aceptación</w:t>
            </w:r>
          </w:p>
        </w:tc>
      </w:tr>
      <w:tr>
        <w:trPr>
          <w:cantSplit/>
        </w:trPr>
        <w:tc>
          <w:tcPr>
            <w:tcW w:type="dxa" w:w="1500"/>
          </w:tcPr>
          <w:p>
            <w:pPr>
              <w:pStyle w:val="TableBody"/>
            </w:pPr>
            <w:r>
              <w:t>RF01 · P0</w:t>
            </w:r>
          </w:p>
        </w:tc>
        <w:tc>
          <w:tcPr>
            <w:tcW w:type="dxa" w:w="2550"/>
          </w:tcPr>
          <w:p>
            <w:pPr>
              <w:pStyle w:val="TableBody"/>
            </w:pPr>
            <w:r>
              <w:t>Elegir dispositivo y sensor</w:t>
            </w:r>
          </w:p>
        </w:tc>
        <w:tc>
          <w:tcPr>
            <w:tcW w:type="dxa" w:w="5310"/>
          </w:tcPr>
          <w:p>
            <w:pPr>
              <w:pStyle w:val="TableBody"/>
            </w:pPr>
            <w:r>
              <w:t>Solo aparecen sensores del dispositivo elegido y del ámbito autorizado.</w:t>
            </w:r>
          </w:p>
        </w:tc>
      </w:tr>
      <w:tr>
        <w:trPr>
          <w:cantSplit/>
        </w:trPr>
        <w:tc>
          <w:tcPr>
            <w:tcW w:type="dxa" w:w="1500"/>
          </w:tcPr>
          <w:p>
            <w:pPr>
              <w:pStyle w:val="TableBody"/>
            </w:pPr>
            <w:r>
              <w:t>RF02 · P0</w:t>
            </w:r>
          </w:p>
        </w:tc>
        <w:tc>
          <w:tcPr>
            <w:tcW w:type="dxa" w:w="2550"/>
          </w:tcPr>
          <w:p>
            <w:pPr>
              <w:pStyle w:val="TableBody"/>
            </w:pPr>
            <w:r>
              <w:t>Lectura y estado en vivo</w:t>
            </w:r>
          </w:p>
        </w:tc>
        <w:tc>
          <w:tcPr>
            <w:tcW w:type="dxa" w:w="5310"/>
          </w:tcPr>
          <w:p>
            <w:pPr>
              <w:pStyle w:val="TableBody"/>
            </w:pPr>
            <w:r>
              <w:t>Valor, unidad, timestamp y frescura coinciden con el sensor activo.</w:t>
            </w:r>
          </w:p>
        </w:tc>
      </w:tr>
      <w:tr>
        <w:trPr>
          <w:cantSplit/>
        </w:trPr>
        <w:tc>
          <w:tcPr>
            <w:tcW w:type="dxa" w:w="1500"/>
          </w:tcPr>
          <w:p>
            <w:pPr>
              <w:pStyle w:val="TableBody"/>
            </w:pPr>
            <w:r>
              <w:t>RF03 · P0</w:t>
            </w:r>
          </w:p>
        </w:tc>
        <w:tc>
          <w:tcPr>
            <w:tcW w:type="dxa" w:w="2550"/>
          </w:tcPr>
          <w:p>
            <w:pPr>
              <w:pStyle w:val="TableBody"/>
            </w:pPr>
            <w:r>
              <w:t>Gráfico temporal</w:t>
            </w:r>
          </w:p>
        </w:tc>
        <w:tc>
          <w:tcPr>
            <w:tcW w:type="dxa" w:w="5310"/>
          </w:tcPr>
          <w:p>
            <w:pPr>
              <w:pStyle w:val="TableBody"/>
            </w:pPr>
            <w:r>
              <w:t>Rangos 1m, 5m, 1h, 6h y 24h; 5m inicial; huecos visibles cuando faltan datos.</w:t>
            </w:r>
          </w:p>
        </w:tc>
      </w:tr>
      <w:tr>
        <w:trPr>
          <w:cantSplit/>
        </w:trPr>
        <w:tc>
          <w:tcPr>
            <w:tcW w:type="dxa" w:w="1500"/>
          </w:tcPr>
          <w:p>
            <w:pPr>
              <w:pStyle w:val="TableBody"/>
            </w:pPr>
            <w:r>
              <w:t>RF04 · P0</w:t>
            </w:r>
          </w:p>
        </w:tc>
        <w:tc>
          <w:tcPr>
            <w:tcW w:type="dxa" w:w="2550"/>
          </w:tcPr>
          <w:p>
            <w:pPr>
              <w:pStyle w:val="TableBody"/>
            </w:pPr>
            <w:r>
              <w:t>Umbrales y estadística</w:t>
            </w:r>
          </w:p>
        </w:tc>
        <w:tc>
          <w:tcPr>
            <w:tcW w:type="dxa" w:w="5310"/>
          </w:tcPr>
          <w:p>
            <w:pPr>
              <w:pStyle w:val="TableBody"/>
            </w:pPr>
            <w:r>
              <w:t>Mín, máx y promedio corresponden al rango seleccionado; unidad y límites visibles.</w:t>
            </w:r>
          </w:p>
        </w:tc>
      </w:tr>
      <w:tr>
        <w:trPr>
          <w:cantSplit/>
        </w:trPr>
        <w:tc>
          <w:tcPr>
            <w:tcW w:type="dxa" w:w="1500"/>
          </w:tcPr>
          <w:p>
            <w:pPr>
              <w:pStyle w:val="TableBody"/>
            </w:pPr>
            <w:r>
              <w:t>RF05 · P0</w:t>
            </w:r>
          </w:p>
        </w:tc>
        <w:tc>
          <w:tcPr>
            <w:tcW w:type="dxa" w:w="2550"/>
          </w:tcPr>
          <w:p>
            <w:pPr>
              <w:pStyle w:val="TableBody"/>
            </w:pPr>
            <w:r>
              <w:t>Mis gráficas</w:t>
            </w:r>
          </w:p>
        </w:tc>
        <w:tc>
          <w:tcPr>
            <w:tcW w:type="dxa" w:w="5310"/>
          </w:tcPr>
          <w:p>
            <w:pPr>
              <w:pStyle w:val="TableBody"/>
            </w:pPr>
            <w:r>
              <w:t>La selección sincroniza gráfico, lectura e inspector; una gráfica activa en móvil.</w:t>
            </w:r>
          </w:p>
        </w:tc>
      </w:tr>
      <w:tr>
        <w:trPr>
          <w:cantSplit/>
        </w:trPr>
        <w:tc>
          <w:tcPr>
            <w:tcW w:type="dxa" w:w="1500"/>
          </w:tcPr>
          <w:p>
            <w:pPr>
              <w:pStyle w:val="TableBody"/>
            </w:pPr>
            <w:r>
              <w:t>RF06 · P0</w:t>
            </w:r>
          </w:p>
        </w:tc>
        <w:tc>
          <w:tcPr>
            <w:tcW w:type="dxa" w:w="2550"/>
          </w:tcPr>
          <w:p>
            <w:pPr>
              <w:pStyle w:val="TableBody"/>
            </w:pPr>
            <w:r>
              <w:t>Agregar y quitar</w:t>
            </w:r>
          </w:p>
        </w:tc>
        <w:tc>
          <w:tcPr>
            <w:tcW w:type="dxa" w:w="5310"/>
          </w:tcPr>
          <w:p>
            <w:pPr>
              <w:pStyle w:val="TableBody"/>
            </w:pPr>
            <w:r>
              <w:t>Agregar exige dispositivo/sensor válidos; quitar elimina solo el widget y ofrece Deshacer.</w:t>
            </w:r>
          </w:p>
        </w:tc>
      </w:tr>
      <w:tr>
        <w:trPr>
          <w:cantSplit/>
        </w:trPr>
        <w:tc>
          <w:tcPr>
            <w:tcW w:type="dxa" w:w="1500"/>
          </w:tcPr>
          <w:p>
            <w:pPr>
              <w:pStyle w:val="TableBody"/>
            </w:pPr>
            <w:r>
              <w:t>RF07 · P0</w:t>
            </w:r>
          </w:p>
        </w:tc>
        <w:tc>
          <w:tcPr>
            <w:tcW w:type="dxa" w:w="2550"/>
          </w:tcPr>
          <w:p>
            <w:pPr>
              <w:pStyle w:val="TableBody"/>
            </w:pPr>
            <w:r>
              <w:t>Ordenar widgets</w:t>
            </w:r>
          </w:p>
        </w:tc>
        <w:tc>
          <w:tcPr>
            <w:tcW w:type="dxa" w:w="5310"/>
          </w:tcPr>
          <w:p>
            <w:pPr>
              <w:pStyle w:val="TableBody"/>
            </w:pPr>
            <w:r>
              <w:t>Arrastre en escritorio y acciones Subir/Bajar por teclado y en móvil.</w:t>
            </w:r>
          </w:p>
        </w:tc>
      </w:tr>
      <w:tr>
        <w:trPr>
          <w:cantSplit/>
        </w:trPr>
        <w:tc>
          <w:tcPr>
            <w:tcW w:type="dxa" w:w="1500"/>
          </w:tcPr>
          <w:p>
            <w:pPr>
              <w:pStyle w:val="TableBody"/>
            </w:pPr>
            <w:r>
              <w:t>RF08 · P0</w:t>
            </w:r>
          </w:p>
        </w:tc>
        <w:tc>
          <w:tcPr>
            <w:tcW w:type="dxa" w:w="2550"/>
          </w:tcPr>
          <w:p>
            <w:pPr>
              <w:pStyle w:val="TableBody"/>
            </w:pPr>
            <w:r>
              <w:t>Guardar tablero</w:t>
            </w:r>
          </w:p>
        </w:tc>
        <w:tc>
          <w:tcPr>
            <w:tcW w:type="dxa" w:w="5310"/>
          </w:tcPr>
          <w:p>
            <w:pPr>
              <w:pStyle w:val="TableBody"/>
            </w:pPr>
            <w:r>
              <w:t>Se conserva orden, selección y configuración; Guardado solo después de confirmación.</w:t>
            </w:r>
          </w:p>
        </w:tc>
      </w:tr>
      <w:tr>
        <w:trPr>
          <w:cantSplit/>
        </w:trPr>
        <w:tc>
          <w:tcPr>
            <w:tcW w:type="dxa" w:w="1500"/>
          </w:tcPr>
          <w:p>
            <w:pPr>
              <w:pStyle w:val="TableBody"/>
            </w:pPr>
            <w:r>
              <w:t>RF09 · P0</w:t>
            </w:r>
          </w:p>
        </w:tc>
        <w:tc>
          <w:tcPr>
            <w:tcW w:type="dxa" w:w="2550"/>
          </w:tcPr>
          <w:p>
            <w:pPr>
              <w:pStyle w:val="TableBody"/>
            </w:pPr>
            <w:r>
              <w:t>Alertas activas</w:t>
            </w:r>
          </w:p>
        </w:tc>
        <w:tc>
          <w:tcPr>
            <w:tcW w:type="dxa" w:w="5310"/>
          </w:tcPr>
          <w:p>
            <w:pPr>
              <w:pStyle w:val="TableBody"/>
            </w:pPr>
            <w:r>
              <w:t>Conteo y lista coherentes; una alerta crítica prioritaria se muestra antes del gráfico.</w:t>
            </w:r>
          </w:p>
        </w:tc>
      </w:tr>
      <w:tr>
        <w:trPr>
          <w:cantSplit/>
        </w:trPr>
        <w:tc>
          <w:tcPr>
            <w:tcW w:type="dxa" w:w="1500"/>
          </w:tcPr>
          <w:p>
            <w:pPr>
              <w:pStyle w:val="TableBody"/>
            </w:pPr>
            <w:r>
              <w:t>RF10 · P0</w:t>
            </w:r>
          </w:p>
        </w:tc>
        <w:tc>
          <w:tcPr>
            <w:tcW w:type="dxa" w:w="2550"/>
          </w:tcPr>
          <w:p>
            <w:pPr>
              <w:pStyle w:val="TableBody"/>
            </w:pPr>
            <w:r>
              <w:t>Eventos recientes</w:t>
            </w:r>
          </w:p>
        </w:tc>
        <w:tc>
          <w:tcPr>
            <w:tcW w:type="dxa" w:w="5310"/>
          </w:tcPr>
          <w:p>
            <w:pPr>
              <w:pStyle w:val="TableBody"/>
            </w:pPr>
            <w:r>
              <w:t>Fecha/hora, dispositivo, evento, valor y severidad; acceso al historial completo.</w:t>
            </w:r>
          </w:p>
        </w:tc>
      </w:tr>
      <w:tr>
        <w:trPr>
          <w:cantSplit/>
        </w:trPr>
        <w:tc>
          <w:tcPr>
            <w:tcW w:type="dxa" w:w="1500"/>
          </w:tcPr>
          <w:p>
            <w:pPr>
              <w:pStyle w:val="TableBody"/>
            </w:pPr>
            <w:r>
              <w:t>RF11 · P0</w:t>
            </w:r>
          </w:p>
        </w:tc>
        <w:tc>
          <w:tcPr>
            <w:tcW w:type="dxa" w:w="2550"/>
          </w:tcPr>
          <w:p>
            <w:pPr>
              <w:pStyle w:val="TableBody"/>
            </w:pPr>
            <w:r>
              <w:t>Detalle científico</w:t>
            </w:r>
          </w:p>
        </w:tc>
        <w:tc>
          <w:tcPr>
            <w:tcW w:type="dxa" w:w="5310"/>
          </w:tcPr>
          <w:p>
            <w:pPr>
              <w:pStyle w:val="TableBody"/>
            </w:pPr>
            <w:r>
              <w:t>Unidad, rango, frecuencia, calidad y muestras; Sin dato cuando falte la medición.</w:t>
            </w:r>
          </w:p>
        </w:tc>
      </w:tr>
      <w:tr>
        <w:trPr>
          <w:cantSplit/>
        </w:trPr>
        <w:tc>
          <w:tcPr>
            <w:tcW w:type="dxa" w:w="1500"/>
          </w:tcPr>
          <w:p>
            <w:pPr>
              <w:pStyle w:val="TableBody"/>
            </w:pPr>
            <w:r>
              <w:t>RF12 · P0</w:t>
            </w:r>
          </w:p>
        </w:tc>
        <w:tc>
          <w:tcPr>
            <w:tcW w:type="dxa" w:w="2550"/>
          </w:tcPr>
          <w:p>
            <w:pPr>
              <w:pStyle w:val="TableBody"/>
            </w:pPr>
            <w:r>
              <w:t>Estados operativos</w:t>
            </w:r>
          </w:p>
        </w:tc>
        <w:tc>
          <w:tcPr>
            <w:tcW w:type="dxa" w:w="5310"/>
          </w:tcPr>
          <w:p>
            <w:pPr>
              <w:pStyle w:val="TableBody"/>
            </w:pPr>
            <w:r>
              <w:t>Carga, vacío, error, reconexión y datos antiguos tienen mensajes y acciones claras.</w:t>
            </w:r>
          </w:p>
        </w:tc>
      </w:tr>
      <w:tr>
        <w:trPr>
          <w:cantSplit/>
        </w:trPr>
        <w:tc>
          <w:tcPr>
            <w:tcW w:type="dxa" w:w="1500"/>
          </w:tcPr>
          <w:p>
            <w:pPr>
              <w:pStyle w:val="TableBody"/>
            </w:pPr>
            <w:r>
              <w:t>RF13 · P0</w:t>
            </w:r>
          </w:p>
        </w:tc>
        <w:tc>
          <w:tcPr>
            <w:tcW w:type="dxa" w:w="2550"/>
          </w:tcPr>
          <w:p>
            <w:pPr>
              <w:pStyle w:val="TableBody"/>
            </w:pPr>
            <w:r>
              <w:t>Permisos</w:t>
            </w:r>
          </w:p>
        </w:tc>
        <w:tc>
          <w:tcPr>
            <w:tcW w:type="dxa" w:w="5310"/>
          </w:tcPr>
          <w:p>
            <w:pPr>
              <w:pStyle w:val="TableBody"/>
            </w:pPr>
            <w:r>
              <w:t>Lectura y edición se ajustan a las capacidades del usuario y se validan en servidor.</w:t>
            </w:r>
          </w:p>
        </w:tc>
      </w:tr>
      <w:tr>
        <w:trPr>
          <w:cantSplit/>
        </w:trPr>
        <w:tc>
          <w:tcPr>
            <w:tcW w:type="dxa" w:w="1500"/>
          </w:tcPr>
          <w:p>
            <w:pPr>
              <w:pStyle w:val="TableBody"/>
            </w:pPr>
            <w:r>
              <w:t>RF14 · P1</w:t>
            </w:r>
          </w:p>
        </w:tc>
        <w:tc>
          <w:tcPr>
            <w:tcW w:type="dxa" w:w="2550"/>
          </w:tcPr>
          <w:p>
            <w:pPr>
              <w:pStyle w:val="TableBody"/>
            </w:pPr>
            <w:r>
              <w:t>Duplicar y exportar</w:t>
            </w:r>
          </w:p>
        </w:tc>
        <w:tc>
          <w:tcPr>
            <w:tcW w:type="dxa" w:w="5310"/>
          </w:tcPr>
          <w:p>
            <w:pPr>
              <w:pStyle w:val="TableBody"/>
            </w:pPr>
            <w:r>
              <w:t>Duplicación explícita con ID nuevo; exportación del rango y sensor seleccionados.</w:t>
            </w:r>
          </w:p>
        </w:tc>
      </w:tr>
      <w:tr>
        <w:trPr>
          <w:cantSplit/>
        </w:trPr>
        <w:tc>
          <w:tcPr>
            <w:tcW w:type="dxa" w:w="1500"/>
          </w:tcPr>
          <w:p>
            <w:pPr>
              <w:pStyle w:val="TableBody"/>
            </w:pPr>
            <w:r>
              <w:t>RF15 · P1</w:t>
            </w:r>
          </w:p>
        </w:tc>
        <w:tc>
          <w:tcPr>
            <w:tcW w:type="dxa" w:w="2550"/>
          </w:tcPr>
          <w:p>
            <w:pPr>
              <w:pStyle w:val="TableBody"/>
            </w:pPr>
            <w:r>
              <w:t>Distribución de lecturas</w:t>
            </w:r>
          </w:p>
        </w:tc>
        <w:tc>
          <w:tcPr>
            <w:tcW w:type="dxa" w:w="5310"/>
          </w:tcPr>
          <w:p>
            <w:pPr>
              <w:pStyle w:val="TableBody"/>
            </w:pPr>
            <w:r>
              <w:t>Histograma opcional en Detalle; usa el mismo período que la señal.</w:t>
            </w:r>
          </w:p>
        </w:tc>
      </w:tr>
    </w:tbl>
    <w:p>
      <w:pPr>
        <w:pStyle w:val="Small"/>
      </w:pPr>
    </w:p>
    <w:p>
      <w:pPr>
        <w:pStyle w:val="Small"/>
      </w:pPr>
      <w:r>
        <w:t>No se incluyen en esta fase una aplicación nativa, cambios de firmware, un editor completo de reglas ni una nueva plataforma de notificaciones. Se enlazan los módulos existentes si están disponibles.</w:t>
      </w:r>
    </w:p>
    <w:p>
      <w:pPr>
        <w:pStyle w:val="Heading1"/>
        <w:pageBreakBefore w:val="0"/>
      </w:pPr>
      <w:r>
        <w:t>02. Estructura y jerarquía responsive</w:t>
      </w:r>
    </w:p>
    <w:p>
      <w:pPr>
        <w:pStyle w:val="Heading2"/>
        <w:pageBreakBefore w:val="0"/>
      </w:pPr>
      <w:r>
        <w:t>Jerarquía de decisión</w:t>
      </w:r>
    </w:p>
    <w:p>
      <w:pPr>
        <w:pStyle w:val="SINOABullet"/>
        <w:numPr>
          <w:ilvl w:val="0"/>
          <w:numId w:val="90"/>
        </w:numPr>
      </w:pPr>
      <w:r>
        <w:t>Prioridad 1: alerta crítica pendiente y contexto del sensor. Una alerta de Nodo 7 no modifica el estado de Reactor 1.</w:t>
      </w:r>
    </w:p>
    <w:p>
      <w:pPr>
        <w:pStyle w:val="SINOABullet"/>
        <w:numPr>
          <w:ilvl w:val="0"/>
          <w:numId w:val="90"/>
        </w:numPr>
      </w:pPr>
      <w:r>
        <w:t>Prioridad 2: lectura actual, frescura, gráfico temporal y umbrales.</w:t>
      </w:r>
    </w:p>
    <w:p>
      <w:pPr>
        <w:pStyle w:val="SINOABullet"/>
        <w:numPr>
          <w:ilvl w:val="0"/>
          <w:numId w:val="90"/>
        </w:numPr>
      </w:pPr>
      <w:r>
        <w:t>Prioridad 3: selección de gráficas y estadísticas del sensor activo.</w:t>
      </w:r>
    </w:p>
    <w:p>
      <w:pPr>
        <w:pStyle w:val="SINOABullet"/>
        <w:numPr>
          <w:ilvl w:val="0"/>
          <w:numId w:val="90"/>
        </w:numPr>
      </w:pPr>
      <w:r>
        <w:t>Prioridad 4: señales secundarias, historial y acciones de organización.</w:t>
      </w:r>
    </w:p>
    <w:p>
      <w:pPr>
        <w:pStyle w:val="Heading2"/>
        <w:pageBreakBefore w:val="0"/>
      </w:pPr>
      <w:r>
        <w:t>Escritorio: referencia de 1440 px</w:t>
      </w:r>
    </w:p>
    <w:p>
      <w:r>
        <w:t>AppHeader de 64 px; navegación global de 208 px; contenido restante con padding horizontal de 24 px. Dentro del contenido: columna principal flexible, separación de 16 px e inspector de 280 px. En 1440 px, el principal resulta de 888 px. El gráfico ocupa al menos 280 px de alto de trazado, preferiblemente 320 px; no se mide incluyendo títulos y controles.</w:t>
      </w:r>
    </w:p>
    <w:p>
      <w:r>
        <w:t>Columna principal: WorkspaceToolbar, CriticalAlertBanner, SensorChartCard, tres SparklineCards y RecentEvents. Columna derecha: ChartList, SensorInspector y ActiveAlerts. El inspector no introduce un segundo sidebar global. Al estrechar la ventana se traslada debajo del gráfico.</w:t>
      </w:r>
    </w:p>
    <w:tbl>
      <w:tblPr>
        <w:tblLook w:firstColumn="1" w:firstRow="1" w:lastColumn="0" w:lastRow="0" w:noHBand="0" w:noVBand="1" w:val="04A0"/>
        <w:tblW w:type="dxa" w:w="9360"/>
        <w:tblInd w:type="dxa" w:w="120"/>
        <w:tblLayout w:type="fixed"/>
        <w:tblCellMar>
          <w:top w:w="80" w:type="dxa"/>
          <w:bottom w:w="80" w:type="dxa"/>
          <w:start w:w="120" w:type="dxa"/>
          <w:end w:w="120" w:type="dxa"/>
        </w:tblCellMar>
        <w:tblBorders>
          <w:top w:val="single" w:sz="4" w:color="E2E8F0"/>
          <w:left w:val="single" w:sz="4" w:color="E2E8F0"/>
          <w:bottom w:val="single" w:sz="4" w:color="E2E8F0"/>
          <w:right w:val="single" w:sz="4" w:color="E2E8F0"/>
          <w:insideH w:val="single" w:sz="4" w:color="E2E8F0"/>
          <w:insideV w:val="single" w:sz="4" w:color="E2E8F0"/>
        </w:tblBorders>
      </w:tblPr>
      <w:tblGrid>
        <w:gridCol w:w="1700"/>
        <w:gridCol w:w="2350"/>
        <w:gridCol w:w="5310"/>
      </w:tblGrid>
      <w:tr>
        <w:trPr>
          <w:cantSplit/>
          <w:tblHeader/>
        </w:trPr>
        <w:tc>
          <w:tcPr>
            <w:tcW w:type="dxa" w:w="1700"/>
            <w:shd w:fill="EFF6FF"/>
          </w:tcPr>
          <w:p>
            <w:pPr>
              <w:pStyle w:val="TableBody"/>
            </w:pPr>
            <w:r>
              <w:rPr>
                <w:b/>
                <w:color w:val="1E40AF"/>
              </w:rPr>
              <w:t>Ancho CSS</w:t>
            </w:r>
          </w:p>
        </w:tc>
        <w:tc>
          <w:tcPr>
            <w:tcW w:type="dxa" w:w="2350"/>
            <w:shd w:fill="EFF6FF"/>
          </w:tcPr>
          <w:p>
            <w:pPr>
              <w:pStyle w:val="TableBody"/>
            </w:pPr>
            <w:r>
              <w:rPr>
                <w:b/>
                <w:color w:val="1E40AF"/>
              </w:rPr>
              <w:t>Navegación</w:t>
            </w:r>
          </w:p>
        </w:tc>
        <w:tc>
          <w:tcPr>
            <w:tcW w:type="dxa" w:w="5310"/>
            <w:shd w:fill="EFF6FF"/>
          </w:tcPr>
          <w:p>
            <w:pPr>
              <w:pStyle w:val="TableBody"/>
            </w:pPr>
            <w:r>
              <w:rPr>
                <w:b/>
                <w:color w:val="1E40AF"/>
              </w:rPr>
              <w:t>Organización</w:t>
            </w:r>
          </w:p>
        </w:tc>
      </w:tr>
      <w:tr>
        <w:trPr>
          <w:cantSplit/>
        </w:trPr>
        <w:tc>
          <w:tcPr>
            <w:tcW w:type="dxa" w:w="1700"/>
          </w:tcPr>
          <w:p>
            <w:pPr>
              <w:pStyle w:val="TableBody"/>
            </w:pPr>
            <w:r>
              <w:t>≥ 1400 px</w:t>
            </w:r>
          </w:p>
        </w:tc>
        <w:tc>
          <w:tcPr>
            <w:tcW w:type="dxa" w:w="2350"/>
          </w:tcPr>
          <w:p>
            <w:pPr>
              <w:pStyle w:val="TableBody"/>
            </w:pPr>
            <w:r>
              <w:t>Sidebar 208 px</w:t>
            </w:r>
          </w:p>
        </w:tc>
        <w:tc>
          <w:tcPr>
            <w:tcW w:type="dxa" w:w="5310"/>
          </w:tcPr>
          <w:p>
            <w:pPr>
              <w:pStyle w:val="TableBody"/>
            </w:pPr>
            <w:r>
              <w:t>Principal + inspector 280 px; tres señales secundarias.</w:t>
            </w:r>
          </w:p>
        </w:tc>
      </w:tr>
      <w:tr>
        <w:trPr>
          <w:cantSplit/>
        </w:trPr>
        <w:tc>
          <w:tcPr>
            <w:tcW w:type="dxa" w:w="1700"/>
          </w:tcPr>
          <w:p>
            <w:pPr>
              <w:pStyle w:val="TableBody"/>
            </w:pPr>
            <w:r>
              <w:t>1200–1399 px</w:t>
            </w:r>
          </w:p>
        </w:tc>
        <w:tc>
          <w:tcPr>
            <w:tcW w:type="dxa" w:w="2350"/>
          </w:tcPr>
          <w:p>
            <w:pPr>
              <w:pStyle w:val="TableBody"/>
            </w:pPr>
            <w:r>
              <w:t>Sidebar 208 px</w:t>
            </w:r>
          </w:p>
        </w:tc>
        <w:tc>
          <w:tcPr>
            <w:tcW w:type="dxa" w:w="5310"/>
          </w:tcPr>
          <w:p>
            <w:pPr>
              <w:pStyle w:val="TableBody"/>
            </w:pPr>
            <w:r>
              <w:t>Misma estructura si el gráfico mantiene ≥ 620 px; en caso contrario, inspector debajo.</w:t>
            </w:r>
          </w:p>
        </w:tc>
      </w:tr>
      <w:tr>
        <w:trPr>
          <w:cantSplit/>
        </w:trPr>
        <w:tc>
          <w:tcPr>
            <w:tcW w:type="dxa" w:w="1700"/>
          </w:tcPr>
          <w:p>
            <w:pPr>
              <w:pStyle w:val="TableBody"/>
            </w:pPr>
            <w:r>
              <w:t>992–1199 px</w:t>
            </w:r>
          </w:p>
        </w:tc>
        <w:tc>
          <w:tcPr>
            <w:tcW w:type="dxa" w:w="2350"/>
          </w:tcPr>
          <w:p>
            <w:pPr>
              <w:pStyle w:val="TableBody"/>
            </w:pPr>
            <w:r>
              <w:t>Rail 64 px</w:t>
            </w:r>
          </w:p>
        </w:tc>
        <w:tc>
          <w:tcPr>
            <w:tcW w:type="dxa" w:w="5310"/>
          </w:tcPr>
          <w:p>
            <w:pPr>
              <w:pStyle w:val="TableBody"/>
            </w:pPr>
            <w:r>
              <w:t>Una columna de lectura; módulos auxiliares debajo en dos columnas.</w:t>
            </w:r>
          </w:p>
        </w:tc>
      </w:tr>
      <w:tr>
        <w:trPr>
          <w:cantSplit/>
        </w:trPr>
        <w:tc>
          <w:tcPr>
            <w:tcW w:type="dxa" w:w="1700"/>
          </w:tcPr>
          <w:p>
            <w:pPr>
              <w:pStyle w:val="TableBody"/>
            </w:pPr>
            <w:r>
              <w:t>768–991 px</w:t>
            </w:r>
          </w:p>
        </w:tc>
        <w:tc>
          <w:tcPr>
            <w:tcW w:type="dxa" w:w="2350"/>
          </w:tcPr>
          <w:p>
            <w:pPr>
              <w:pStyle w:val="TableBody"/>
            </w:pPr>
            <w:r>
              <w:t>Menú desplegable</w:t>
            </w:r>
          </w:p>
        </w:tc>
        <w:tc>
          <w:tcPr>
            <w:tcW w:type="dxa" w:w="5310"/>
          </w:tcPr>
          <w:p>
            <w:pPr>
              <w:pStyle w:val="TableBody"/>
            </w:pPr>
            <w:r>
              <w:t>Gráfico a ancho completo; auxiliares en dos columnas cuando caben.</w:t>
            </w:r>
          </w:p>
        </w:tc>
      </w:tr>
      <w:tr>
        <w:trPr>
          <w:cantSplit/>
        </w:trPr>
        <w:tc>
          <w:tcPr>
            <w:tcW w:type="dxa" w:w="1700"/>
          </w:tcPr>
          <w:p>
            <w:pPr>
              <w:pStyle w:val="TableBody"/>
            </w:pPr>
            <w:r>
              <w:t>&lt; 768 px</w:t>
            </w:r>
          </w:p>
        </w:tc>
        <w:tc>
          <w:tcPr>
            <w:tcW w:type="dxa" w:w="2350"/>
          </w:tcPr>
          <w:p>
            <w:pPr>
              <w:pStyle w:val="TableBody"/>
            </w:pPr>
            <w:r>
              <w:t>Topbar + navegación inferior</w:t>
            </w:r>
          </w:p>
        </w:tc>
        <w:tc>
          <w:tcPr>
            <w:tcW w:type="dxa" w:w="5310"/>
          </w:tcPr>
          <w:p>
            <w:pPr>
              <w:pStyle w:val="TableBody"/>
            </w:pPr>
            <w:r>
              <w:t>Una columna; una señal activa; detalle e historial plegables.</w:t>
            </w:r>
          </w:p>
        </w:tc>
      </w:tr>
    </w:tbl>
    <w:p>
      <w:pPr>
        <w:pStyle w:val="Small"/>
      </w:pPr>
    </w:p>
    <w:p>
      <w:pPr>
        <w:pStyle w:val="Small"/>
      </w:pPr>
      <w:r>
        <w:t>Los rangos se alinean con los breakpoints documentados por Bootstrap; el cambio de composición depende además del espacio real disponible. [2]</w:t>
      </w:r>
    </w:p>
    <w:p>
      <w:pPr>
        <w:pStyle w:val="Heading2"/>
        <w:pageBreakBefore w:val="0"/>
      </w:pPr>
      <w:r>
        <w:t>Móvil: referencia de 390 px</w:t>
      </w:r>
    </w:p>
    <w:p>
      <w:r>
        <w:t>Orden: topbar → Mi tablero / Agregar → alerta crítica → dispositivo y sensor → lectura / frescura → rango → gráfico → estadísticas → Mis gráficas → detalle plegable → eventos plegables. Navegación inferior fija de 64 px más safe-area; reservar ese espacio al final del contenido. A 320 px, los selectores y las estadísticas pasan a dos filas, sin scroll horizontal global.</w:t>
      </w:r>
    </w:p>
    <w:p>
      <w:pPr>
        <w:pStyle w:val="Heading1"/>
        <w:pageBreakBefore w:val="0"/>
      </w:pPr>
      <w:r>
        <w:t>03. Colores y tokens semánticos</w:t>
      </w:r>
    </w:p>
    <w:p>
      <w:r>
        <w:t>La paleta base se mantiene fría y técnica. Los estados combinan color, texto e icono. Definir los tokens como variables CSS y, al completar Figma, como variables del sistema visual.</w:t>
      </w:r>
    </w:p>
    <w:tbl>
      <w:tblPr>
        <w:tblLook w:firstColumn="1" w:firstRow="1" w:lastColumn="0" w:lastRow="0" w:noHBand="0" w:noVBand="1" w:val="04A0"/>
        <w:tblW w:type="dxa" w:w="9360"/>
        <w:tblInd w:type="dxa" w:w="120"/>
        <w:tblLayout w:type="fixed"/>
        <w:tblCellMar>
          <w:top w:w="80" w:type="dxa"/>
          <w:bottom w:w="80" w:type="dxa"/>
          <w:start w:w="120" w:type="dxa"/>
          <w:end w:w="120" w:type="dxa"/>
        </w:tblCellMar>
        <w:tblBorders>
          <w:top w:val="single" w:sz="4" w:color="E2E8F0"/>
          <w:left w:val="single" w:sz="4" w:color="E2E8F0"/>
          <w:bottom w:val="single" w:sz="4" w:color="E2E8F0"/>
          <w:right w:val="single" w:sz="4" w:color="E2E8F0"/>
          <w:insideH w:val="single" w:sz="4" w:color="E2E8F0"/>
          <w:insideV w:val="single" w:sz="4" w:color="E2E8F0"/>
        </w:tblBorders>
      </w:tblPr>
      <w:tblGrid>
        <w:gridCol w:w="3440"/>
        <w:gridCol w:w="1590"/>
        <w:gridCol w:w="4330"/>
      </w:tblGrid>
      <w:tr>
        <w:trPr>
          <w:cantSplit/>
          <w:tblHeader/>
        </w:trPr>
        <w:tc>
          <w:tcPr>
            <w:tcW w:type="dxa" w:w="3440"/>
            <w:shd w:fill="EFF6FF"/>
          </w:tcPr>
          <w:p>
            <w:pPr>
              <w:pStyle w:val="TableBody"/>
            </w:pPr>
            <w:r>
              <w:rPr>
                <w:b/>
                <w:color w:val="1E40AF"/>
              </w:rPr>
              <w:t>Token CSS</w:t>
            </w:r>
          </w:p>
        </w:tc>
        <w:tc>
          <w:tcPr>
            <w:tcW w:type="dxa" w:w="1590"/>
            <w:shd w:fill="EFF6FF"/>
          </w:tcPr>
          <w:p>
            <w:pPr>
              <w:pStyle w:val="TableBody"/>
            </w:pPr>
            <w:r>
              <w:rPr>
                <w:b/>
                <w:color w:val="1E40AF"/>
              </w:rPr>
              <w:t>Valor</w:t>
            </w:r>
          </w:p>
        </w:tc>
        <w:tc>
          <w:tcPr>
            <w:tcW w:type="dxa" w:w="4330"/>
            <w:shd w:fill="EFF6FF"/>
          </w:tcPr>
          <w:p>
            <w:pPr>
              <w:pStyle w:val="TableBody"/>
            </w:pPr>
            <w:r>
              <w:rPr>
                <w:b/>
                <w:color w:val="1E40AF"/>
              </w:rPr>
              <w:t>Uso</w:t>
            </w:r>
          </w:p>
        </w:tc>
      </w:tr>
      <w:tr>
        <w:trPr>
          <w:cantSplit/>
        </w:trPr>
        <w:tc>
          <w:tcPr>
            <w:tcW w:type="dxa" w:w="3440"/>
          </w:tcPr>
          <w:p>
            <w:pPr>
              <w:pStyle w:val="TableBody"/>
            </w:pPr>
            <w:r>
              <w:t>--sinoa-bg</w:t>
            </w:r>
          </w:p>
        </w:tc>
        <w:tc>
          <w:tcPr>
            <w:tcW w:type="dxa" w:w="1590"/>
          </w:tcPr>
          <w:p>
            <w:pPr>
              <w:pStyle w:val="TableBody"/>
            </w:pPr>
            <w:r>
              <w:t>#F8FAFC</w:t>
            </w:r>
          </w:p>
        </w:tc>
        <w:tc>
          <w:tcPr>
            <w:tcW w:type="dxa" w:w="4330"/>
          </w:tcPr>
          <w:p>
            <w:pPr>
              <w:pStyle w:val="TableBody"/>
            </w:pPr>
            <w:r>
              <w:t>Fondo de la aplicación.</w:t>
            </w:r>
          </w:p>
        </w:tc>
      </w:tr>
      <w:tr>
        <w:trPr>
          <w:cantSplit/>
        </w:trPr>
        <w:tc>
          <w:tcPr>
            <w:tcW w:type="dxa" w:w="3440"/>
          </w:tcPr>
          <w:p>
            <w:pPr>
              <w:pStyle w:val="TableBody"/>
            </w:pPr>
            <w:r>
              <w:t>--sinoa-surface</w:t>
            </w:r>
          </w:p>
        </w:tc>
        <w:tc>
          <w:tcPr>
            <w:tcW w:type="dxa" w:w="1590"/>
          </w:tcPr>
          <w:p>
            <w:pPr>
              <w:pStyle w:val="TableBody"/>
            </w:pPr>
            <w:r>
              <w:t>#FFFFFF</w:t>
            </w:r>
          </w:p>
        </w:tc>
        <w:tc>
          <w:tcPr>
            <w:tcW w:type="dxa" w:w="4330"/>
          </w:tcPr>
          <w:p>
            <w:pPr>
              <w:pStyle w:val="TableBody"/>
            </w:pPr>
            <w:r>
              <w:t>Cards, barras y paneles.</w:t>
            </w:r>
          </w:p>
        </w:tc>
      </w:tr>
      <w:tr>
        <w:trPr>
          <w:cantSplit/>
        </w:trPr>
        <w:tc>
          <w:tcPr>
            <w:tcW w:type="dxa" w:w="3440"/>
          </w:tcPr>
          <w:p>
            <w:pPr>
              <w:pStyle w:val="TableBody"/>
            </w:pPr>
            <w:r>
              <w:t>--sinoa-surface-muted</w:t>
            </w:r>
          </w:p>
        </w:tc>
        <w:tc>
          <w:tcPr>
            <w:tcW w:type="dxa" w:w="1590"/>
          </w:tcPr>
          <w:p>
            <w:pPr>
              <w:pStyle w:val="TableBody"/>
            </w:pPr>
            <w:r>
              <w:t>#F1F5F9</w:t>
            </w:r>
          </w:p>
        </w:tc>
        <w:tc>
          <w:tcPr>
            <w:tcW w:type="dxa" w:w="4330"/>
          </w:tcPr>
          <w:p>
            <w:pPr>
              <w:pStyle w:val="TableBody"/>
            </w:pPr>
            <w:r>
              <w:t>Zonas secundarias y skeletons.</w:t>
            </w:r>
          </w:p>
        </w:tc>
      </w:tr>
      <w:tr>
        <w:trPr>
          <w:cantSplit/>
        </w:trPr>
        <w:tc>
          <w:tcPr>
            <w:tcW w:type="dxa" w:w="3440"/>
          </w:tcPr>
          <w:p>
            <w:pPr>
              <w:pStyle w:val="TableBody"/>
            </w:pPr>
            <w:r>
              <w:t>--sinoa-selected</w:t>
            </w:r>
          </w:p>
        </w:tc>
        <w:tc>
          <w:tcPr>
            <w:tcW w:type="dxa" w:w="1590"/>
          </w:tcPr>
          <w:p>
            <w:pPr>
              <w:pStyle w:val="TableBody"/>
            </w:pPr>
            <w:r>
              <w:t>#EFF6FF</w:t>
            </w:r>
          </w:p>
        </w:tc>
        <w:tc>
          <w:tcPr>
            <w:tcW w:type="dxa" w:w="4330"/>
          </w:tcPr>
          <w:p>
            <w:pPr>
              <w:pStyle w:val="TableBody"/>
            </w:pPr>
            <w:r>
              <w:t>Navegación y gráfica activa.</w:t>
            </w:r>
          </w:p>
        </w:tc>
      </w:tr>
      <w:tr>
        <w:trPr>
          <w:cantSplit/>
        </w:trPr>
        <w:tc>
          <w:tcPr>
            <w:tcW w:type="dxa" w:w="3440"/>
          </w:tcPr>
          <w:p>
            <w:pPr>
              <w:pStyle w:val="TableBody"/>
            </w:pPr>
            <w:r>
              <w:t>--sinoa-brand</w:t>
            </w:r>
          </w:p>
        </w:tc>
        <w:tc>
          <w:tcPr>
            <w:tcW w:type="dxa" w:w="1590"/>
          </w:tcPr>
          <w:p>
            <w:pPr>
              <w:pStyle w:val="TableBody"/>
            </w:pPr>
            <w:r>
              <w:t>#1E40AF</w:t>
            </w:r>
          </w:p>
        </w:tc>
        <w:tc>
          <w:tcPr>
            <w:tcW w:type="dxa" w:w="4330"/>
          </w:tcPr>
          <w:p>
            <w:pPr>
              <w:pStyle w:val="TableBody"/>
            </w:pPr>
            <w:r>
              <w:t>Logo, lectura principal y títulos destacados.</w:t>
            </w:r>
          </w:p>
        </w:tc>
      </w:tr>
      <w:tr>
        <w:trPr>
          <w:cantSplit/>
        </w:trPr>
        <w:tc>
          <w:tcPr>
            <w:tcW w:type="dxa" w:w="3440"/>
          </w:tcPr>
          <w:p>
            <w:pPr>
              <w:pStyle w:val="TableBody"/>
            </w:pPr>
            <w:r>
              <w:t>--sinoa-action</w:t>
            </w:r>
          </w:p>
        </w:tc>
        <w:tc>
          <w:tcPr>
            <w:tcW w:type="dxa" w:w="1590"/>
          </w:tcPr>
          <w:p>
            <w:pPr>
              <w:pStyle w:val="TableBody"/>
            </w:pPr>
            <w:r>
              <w:t>#2563EB</w:t>
            </w:r>
          </w:p>
        </w:tc>
        <w:tc>
          <w:tcPr>
            <w:tcW w:type="dxa" w:w="4330"/>
          </w:tcPr>
          <w:p>
            <w:pPr>
              <w:pStyle w:val="TableBody"/>
            </w:pPr>
            <w:r>
              <w:t>Botón primario, enlaces y selección.</w:t>
            </w:r>
          </w:p>
        </w:tc>
      </w:tr>
      <w:tr>
        <w:trPr>
          <w:cantSplit/>
        </w:trPr>
        <w:tc>
          <w:tcPr>
            <w:tcW w:type="dxa" w:w="3440"/>
          </w:tcPr>
          <w:p>
            <w:pPr>
              <w:pStyle w:val="TableBody"/>
            </w:pPr>
            <w:r>
              <w:t>--sinoa-action-hover</w:t>
            </w:r>
          </w:p>
        </w:tc>
        <w:tc>
          <w:tcPr>
            <w:tcW w:type="dxa" w:w="1590"/>
          </w:tcPr>
          <w:p>
            <w:pPr>
              <w:pStyle w:val="TableBody"/>
            </w:pPr>
            <w:r>
              <w:t>#1D4ED8</w:t>
            </w:r>
          </w:p>
        </w:tc>
        <w:tc>
          <w:tcPr>
            <w:tcW w:type="dxa" w:w="4330"/>
          </w:tcPr>
          <w:p>
            <w:pPr>
              <w:pStyle w:val="TableBody"/>
            </w:pPr>
            <w:r>
              <w:t>Hover de acciones principales.</w:t>
            </w:r>
          </w:p>
        </w:tc>
      </w:tr>
      <w:tr>
        <w:trPr>
          <w:cantSplit/>
        </w:trPr>
        <w:tc>
          <w:tcPr>
            <w:tcW w:type="dxa" w:w="3440"/>
          </w:tcPr>
          <w:p>
            <w:pPr>
              <w:pStyle w:val="TableBody"/>
            </w:pPr>
            <w:r>
              <w:t>--sinoa-series</w:t>
            </w:r>
          </w:p>
        </w:tc>
        <w:tc>
          <w:tcPr>
            <w:tcW w:type="dxa" w:w="1590"/>
          </w:tcPr>
          <w:p>
            <w:pPr>
              <w:pStyle w:val="TableBody"/>
            </w:pPr>
            <w:r>
              <w:t>#3B82F6</w:t>
            </w:r>
          </w:p>
        </w:tc>
        <w:tc>
          <w:tcPr>
            <w:tcW w:type="dxa" w:w="4330"/>
          </w:tcPr>
          <w:p>
            <w:pPr>
              <w:pStyle w:val="TableBody"/>
            </w:pPr>
            <w:r>
              <w:t>Señal; usar #2563EB si exige más contraste.</w:t>
            </w:r>
          </w:p>
        </w:tc>
      </w:tr>
      <w:tr>
        <w:trPr>
          <w:cantSplit/>
        </w:trPr>
        <w:tc>
          <w:tcPr>
            <w:tcW w:type="dxa" w:w="3440"/>
          </w:tcPr>
          <w:p>
            <w:pPr>
              <w:pStyle w:val="TableBody"/>
            </w:pPr>
            <w:r>
              <w:t>--sinoa-cyan</w:t>
            </w:r>
          </w:p>
        </w:tc>
        <w:tc>
          <w:tcPr>
            <w:tcW w:type="dxa" w:w="1590"/>
          </w:tcPr>
          <w:p>
            <w:pPr>
              <w:pStyle w:val="TableBody"/>
            </w:pPr>
            <w:r>
              <w:t>#0891B2</w:t>
            </w:r>
          </w:p>
        </w:tc>
        <w:tc>
          <w:tcPr>
            <w:tcW w:type="dxa" w:w="4330"/>
          </w:tcPr>
          <w:p>
            <w:pPr>
              <w:pStyle w:val="TableBody"/>
            </w:pPr>
            <w:r>
              <w:t>Acento de señales secundarias.</w:t>
            </w:r>
          </w:p>
        </w:tc>
      </w:tr>
      <w:tr>
        <w:trPr>
          <w:cantSplit/>
        </w:trPr>
        <w:tc>
          <w:tcPr>
            <w:tcW w:type="dxa" w:w="3440"/>
          </w:tcPr>
          <w:p>
            <w:pPr>
              <w:pStyle w:val="TableBody"/>
            </w:pPr>
            <w:r>
              <w:t>--sinoa-text</w:t>
            </w:r>
          </w:p>
        </w:tc>
        <w:tc>
          <w:tcPr>
            <w:tcW w:type="dxa" w:w="1590"/>
          </w:tcPr>
          <w:p>
            <w:pPr>
              <w:pStyle w:val="TableBody"/>
            </w:pPr>
            <w:r>
              <w:t>#0F172A</w:t>
            </w:r>
          </w:p>
        </w:tc>
        <w:tc>
          <w:tcPr>
            <w:tcW w:type="dxa" w:w="4330"/>
          </w:tcPr>
          <w:p>
            <w:pPr>
              <w:pStyle w:val="TableBody"/>
            </w:pPr>
            <w:r>
              <w:t>Texto principal.</w:t>
            </w:r>
          </w:p>
        </w:tc>
      </w:tr>
      <w:tr>
        <w:trPr>
          <w:cantSplit/>
        </w:trPr>
        <w:tc>
          <w:tcPr>
            <w:tcW w:type="dxa" w:w="3440"/>
          </w:tcPr>
          <w:p>
            <w:pPr>
              <w:pStyle w:val="TableBody"/>
            </w:pPr>
            <w:r>
              <w:t>--sinoa-text-secondary</w:t>
            </w:r>
          </w:p>
        </w:tc>
        <w:tc>
          <w:tcPr>
            <w:tcW w:type="dxa" w:w="1590"/>
          </w:tcPr>
          <w:p>
            <w:pPr>
              <w:pStyle w:val="TableBody"/>
            </w:pPr>
            <w:r>
              <w:t>#475569</w:t>
            </w:r>
          </w:p>
        </w:tc>
        <w:tc>
          <w:tcPr>
            <w:tcW w:type="dxa" w:w="4330"/>
          </w:tcPr>
          <w:p>
            <w:pPr>
              <w:pStyle w:val="TableBody"/>
            </w:pPr>
            <w:r>
              <w:t>Etiquetas y descripciones.</w:t>
            </w:r>
          </w:p>
        </w:tc>
      </w:tr>
      <w:tr>
        <w:trPr>
          <w:cantSplit/>
        </w:trPr>
        <w:tc>
          <w:tcPr>
            <w:tcW w:type="dxa" w:w="3440"/>
          </w:tcPr>
          <w:p>
            <w:pPr>
              <w:pStyle w:val="TableBody"/>
            </w:pPr>
            <w:r>
              <w:t>--sinoa-text-muted</w:t>
            </w:r>
          </w:p>
        </w:tc>
        <w:tc>
          <w:tcPr>
            <w:tcW w:type="dxa" w:w="1590"/>
          </w:tcPr>
          <w:p>
            <w:pPr>
              <w:pStyle w:val="TableBody"/>
            </w:pPr>
            <w:r>
              <w:t>#64748B</w:t>
            </w:r>
          </w:p>
        </w:tc>
        <w:tc>
          <w:tcPr>
            <w:tcW w:type="dxa" w:w="4330"/>
          </w:tcPr>
          <w:p>
            <w:pPr>
              <w:pStyle w:val="TableBody"/>
            </w:pPr>
            <w:r>
              <w:t>Metadatos; nunca información esencial deshabilitada.</w:t>
            </w:r>
          </w:p>
        </w:tc>
      </w:tr>
      <w:tr>
        <w:trPr>
          <w:cantSplit/>
        </w:trPr>
        <w:tc>
          <w:tcPr>
            <w:tcW w:type="dxa" w:w="3440"/>
          </w:tcPr>
          <w:p>
            <w:pPr>
              <w:pStyle w:val="TableBody"/>
            </w:pPr>
            <w:r>
              <w:t>--sinoa-border</w:t>
            </w:r>
          </w:p>
        </w:tc>
        <w:tc>
          <w:tcPr>
            <w:tcW w:type="dxa" w:w="1590"/>
          </w:tcPr>
          <w:p>
            <w:pPr>
              <w:pStyle w:val="TableBody"/>
            </w:pPr>
            <w:r>
              <w:t>#E2E8F0</w:t>
            </w:r>
          </w:p>
        </w:tc>
        <w:tc>
          <w:tcPr>
            <w:tcW w:type="dxa" w:w="4330"/>
          </w:tcPr>
          <w:p>
            <w:pPr>
              <w:pStyle w:val="TableBody"/>
            </w:pPr>
            <w:r>
              <w:t>Separación decorativa y cards.</w:t>
            </w:r>
          </w:p>
        </w:tc>
      </w:tr>
      <w:tr>
        <w:trPr>
          <w:cantSplit/>
        </w:trPr>
        <w:tc>
          <w:tcPr>
            <w:tcW w:type="dxa" w:w="3440"/>
          </w:tcPr>
          <w:p>
            <w:pPr>
              <w:pStyle w:val="TableBody"/>
            </w:pPr>
            <w:r>
              <w:t>--sinoa-control-border</w:t>
            </w:r>
          </w:p>
        </w:tc>
        <w:tc>
          <w:tcPr>
            <w:tcW w:type="dxa" w:w="1590"/>
          </w:tcPr>
          <w:p>
            <w:pPr>
              <w:pStyle w:val="TableBody"/>
            </w:pPr>
            <w:r>
              <w:t>#64748B</w:t>
            </w:r>
          </w:p>
        </w:tc>
        <w:tc>
          <w:tcPr>
            <w:tcW w:type="dxa" w:w="4330"/>
          </w:tcPr>
          <w:p>
            <w:pPr>
              <w:pStyle w:val="TableBody"/>
            </w:pPr>
            <w:r>
              <w:t>Contorno de controles cuando sea necesario para identificarlos.</w:t>
            </w:r>
          </w:p>
        </w:tc>
      </w:tr>
      <w:tr>
        <w:trPr>
          <w:cantSplit/>
        </w:trPr>
        <w:tc>
          <w:tcPr>
            <w:tcW w:type="dxa" w:w="3440"/>
          </w:tcPr>
          <w:p>
            <w:pPr>
              <w:pStyle w:val="TableBody"/>
            </w:pPr>
            <w:r>
              <w:t>--sinoa-success</w:t>
            </w:r>
          </w:p>
        </w:tc>
        <w:tc>
          <w:tcPr>
            <w:tcW w:type="dxa" w:w="1590"/>
          </w:tcPr>
          <w:p>
            <w:pPr>
              <w:pStyle w:val="TableBody"/>
            </w:pPr>
            <w:r>
              <w:t>#15803D</w:t>
            </w:r>
          </w:p>
        </w:tc>
        <w:tc>
          <w:tcPr>
            <w:tcW w:type="dxa" w:w="4330"/>
          </w:tcPr>
          <w:p>
            <w:pPr>
              <w:pStyle w:val="TableBody"/>
            </w:pPr>
            <w:r>
              <w:t>Texto e iconos de estado normal.</w:t>
            </w:r>
          </w:p>
        </w:tc>
      </w:tr>
      <w:tr>
        <w:trPr>
          <w:cantSplit/>
        </w:trPr>
        <w:tc>
          <w:tcPr>
            <w:tcW w:type="dxa" w:w="3440"/>
          </w:tcPr>
          <w:p>
            <w:pPr>
              <w:pStyle w:val="TableBody"/>
            </w:pPr>
            <w:r>
              <w:t>--sinoa-warning</w:t>
            </w:r>
          </w:p>
        </w:tc>
        <w:tc>
          <w:tcPr>
            <w:tcW w:type="dxa" w:w="1590"/>
          </w:tcPr>
          <w:p>
            <w:pPr>
              <w:pStyle w:val="TableBody"/>
            </w:pPr>
            <w:r>
              <w:t>#A16207</w:t>
            </w:r>
          </w:p>
        </w:tc>
        <w:tc>
          <w:tcPr>
            <w:tcW w:type="dxa" w:w="4330"/>
          </w:tcPr>
          <w:p>
            <w:pPr>
              <w:pStyle w:val="TableBody"/>
            </w:pPr>
            <w:r>
              <w:t>Texto de advertencia; trazo y acento #F59E0B.</w:t>
            </w:r>
          </w:p>
        </w:tc>
      </w:tr>
      <w:tr>
        <w:trPr>
          <w:cantSplit/>
        </w:trPr>
        <w:tc>
          <w:tcPr>
            <w:tcW w:type="dxa" w:w="3440"/>
          </w:tcPr>
          <w:p>
            <w:pPr>
              <w:pStyle w:val="TableBody"/>
            </w:pPr>
            <w:r>
              <w:t>--sinoa-danger</w:t>
            </w:r>
          </w:p>
        </w:tc>
        <w:tc>
          <w:tcPr>
            <w:tcW w:type="dxa" w:w="1590"/>
          </w:tcPr>
          <w:p>
            <w:pPr>
              <w:pStyle w:val="TableBody"/>
            </w:pPr>
            <w:r>
              <w:t>#DC2626</w:t>
            </w:r>
          </w:p>
        </w:tc>
        <w:tc>
          <w:tcPr>
            <w:tcW w:type="dxa" w:w="4330"/>
          </w:tcPr>
          <w:p>
            <w:pPr>
              <w:pStyle w:val="TableBody"/>
            </w:pPr>
            <w:r>
              <w:t>Texto e iconos críticos.</w:t>
            </w:r>
          </w:p>
        </w:tc>
      </w:tr>
      <w:tr>
        <w:trPr>
          <w:cantSplit/>
        </w:trPr>
        <w:tc>
          <w:tcPr>
            <w:tcW w:type="dxa" w:w="3440"/>
          </w:tcPr>
          <w:p>
            <w:pPr>
              <w:pStyle w:val="TableBody"/>
            </w:pPr>
            <w:r>
              <w:t>--sinoa-focus</w:t>
            </w:r>
          </w:p>
        </w:tc>
        <w:tc>
          <w:tcPr>
            <w:tcW w:type="dxa" w:w="1590"/>
          </w:tcPr>
          <w:p>
            <w:pPr>
              <w:pStyle w:val="TableBody"/>
            </w:pPr>
            <w:r>
              <w:t>#1E40AF</w:t>
            </w:r>
          </w:p>
        </w:tc>
        <w:tc>
          <w:tcPr>
            <w:tcW w:type="dxa" w:w="4330"/>
          </w:tcPr>
          <w:p>
            <w:pPr>
              <w:pStyle w:val="TableBody"/>
            </w:pPr>
            <w:r>
              <w:t>Anillo de foco de 2 px, offset de 2 px.</w:t>
            </w:r>
          </w:p>
        </w:tc>
      </w:tr>
    </w:tbl>
    <w:p>
      <w:pPr>
        <w:pStyle w:val="Small"/>
      </w:pPr>
    </w:p>
    <w:p>
      <w:pPr>
        <w:pStyle w:val="Heading2"/>
        <w:pageBreakBefore w:val="0"/>
      </w:pPr>
      <w:r>
        <w:t>Fondos de estado</w:t>
      </w:r>
    </w:p>
    <w:p>
      <w:r>
        <w:t>Normal: #22C55E al 12 %. Advertencia: #F59E0B al 14 %. Crítico: #DC2626 al 12 %. Banner crítico: #FEF2F2 con borde #FECACA. El gráfico pinta las bandas detrás de la señal y añade etiquetas de umbral.</w:t>
      </w:r>
    </w:p>
    <w:p>
      <w:pPr>
        <w:pStyle w:val="Small"/>
      </w:pPr>
      <w:r>
        <w:t>Validar los colores compuestos sobre el fondo real. El borde decorativo claro no sustituye a un contorno de control que necesite contraste. Objetivo AA para texto y controles; ver validación en sección 10. [4]</w:t>
      </w:r>
    </w:p>
    <w:p>
      <w:pPr>
        <w:pStyle w:val="Heading1"/>
        <w:pageBreakBefore w:val="0"/>
      </w:pPr>
      <w:r>
        <w:t>04. Tipografía y elementos visuales</w:t>
      </w:r>
    </w:p>
    <w:p>
      <w:r>
        <w:t>Inter para interfaz; JetBrains Mono solo para lecturas, unidades, timestamps y IDs. Cargar archivos de fuente locales autorizados, con font-display: swap y fallback system-ui / ui-monospace. Los números usan tabular-nums. No mezclar más de estas dos familias.</w:t>
      </w:r>
    </w:p>
    <w:tbl>
      <w:tblPr>
        <w:tblLook w:firstColumn="1" w:firstRow="1" w:lastColumn="0" w:lastRow="0" w:noHBand="0" w:noVBand="1" w:val="04A0"/>
        <w:tblW w:type="dxa" w:w="9360"/>
        <w:tblInd w:type="dxa" w:w="120"/>
        <w:tblLayout w:type="fixed"/>
        <w:tblCellMar>
          <w:top w:w="80" w:type="dxa"/>
          <w:bottom w:w="80" w:type="dxa"/>
          <w:start w:w="120" w:type="dxa"/>
          <w:end w:w="120" w:type="dxa"/>
        </w:tblCellMar>
        <w:tblBorders>
          <w:top w:val="single" w:sz="4" w:color="E2E8F0"/>
          <w:left w:val="single" w:sz="4" w:color="E2E8F0"/>
          <w:bottom w:val="single" w:sz="4" w:color="E2E8F0"/>
          <w:right w:val="single" w:sz="4" w:color="E2E8F0"/>
          <w:insideH w:val="single" w:sz="4" w:color="E2E8F0"/>
          <w:insideV w:val="single" w:sz="4" w:color="E2E8F0"/>
        </w:tblBorders>
      </w:tblPr>
      <w:tblGrid>
        <w:gridCol w:w="3000"/>
        <w:gridCol w:w="1500"/>
        <w:gridCol w:w="1500"/>
        <w:gridCol w:w="3360"/>
      </w:tblGrid>
      <w:tr>
        <w:trPr>
          <w:cantSplit/>
          <w:tblHeader/>
        </w:trPr>
        <w:tc>
          <w:tcPr>
            <w:tcW w:type="dxa" w:w="3000"/>
            <w:shd w:fill="EFF6FF"/>
          </w:tcPr>
          <w:p>
            <w:pPr>
              <w:pStyle w:val="TableBody"/>
            </w:pPr>
            <w:r>
              <w:rPr>
                <w:b/>
                <w:color w:val="1E40AF"/>
              </w:rPr>
              <w:t>Rol</w:t>
            </w:r>
          </w:p>
        </w:tc>
        <w:tc>
          <w:tcPr>
            <w:tcW w:type="dxa" w:w="1500"/>
            <w:shd w:fill="EFF6FF"/>
          </w:tcPr>
          <w:p>
            <w:pPr>
              <w:pStyle w:val="TableBody"/>
            </w:pPr>
            <w:r>
              <w:rPr>
                <w:b/>
                <w:color w:val="1E40AF"/>
              </w:rPr>
              <w:t>Desktop</w:t>
            </w:r>
          </w:p>
        </w:tc>
        <w:tc>
          <w:tcPr>
            <w:tcW w:type="dxa" w:w="1500"/>
            <w:shd w:fill="EFF6FF"/>
          </w:tcPr>
          <w:p>
            <w:pPr>
              <w:pStyle w:val="TableBody"/>
            </w:pPr>
            <w:r>
              <w:rPr>
                <w:b/>
                <w:color w:val="1E40AF"/>
              </w:rPr>
              <w:t>Móvil</w:t>
            </w:r>
          </w:p>
        </w:tc>
        <w:tc>
          <w:tcPr>
            <w:tcW w:type="dxa" w:w="3360"/>
            <w:shd w:fill="EFF6FF"/>
          </w:tcPr>
          <w:p>
            <w:pPr>
              <w:pStyle w:val="TableBody"/>
            </w:pPr>
            <w:r>
              <w:rPr>
                <w:b/>
                <w:color w:val="1E40AF"/>
              </w:rPr>
              <w:t>Peso / interlineado</w:t>
            </w:r>
          </w:p>
        </w:tc>
      </w:tr>
      <w:tr>
        <w:trPr>
          <w:cantSplit/>
        </w:trPr>
        <w:tc>
          <w:tcPr>
            <w:tcW w:type="dxa" w:w="3000"/>
          </w:tcPr>
          <w:p>
            <w:pPr>
              <w:pStyle w:val="TableBody"/>
            </w:pPr>
            <w:r>
              <w:t>Título de página</w:t>
            </w:r>
          </w:p>
        </w:tc>
        <w:tc>
          <w:tcPr>
            <w:tcW w:type="dxa" w:w="1500"/>
          </w:tcPr>
          <w:p>
            <w:pPr>
              <w:pStyle w:val="TableBody"/>
            </w:pPr>
            <w:r>
              <w:t>30 px</w:t>
            </w:r>
          </w:p>
        </w:tc>
        <w:tc>
          <w:tcPr>
            <w:tcW w:type="dxa" w:w="1500"/>
          </w:tcPr>
          <w:p>
            <w:pPr>
              <w:pStyle w:val="TableBody"/>
            </w:pPr>
            <w:r>
              <w:t>22 px</w:t>
            </w:r>
          </w:p>
        </w:tc>
        <w:tc>
          <w:tcPr>
            <w:tcW w:type="dxa" w:w="3360"/>
          </w:tcPr>
          <w:p>
            <w:pPr>
              <w:pStyle w:val="TableBody"/>
            </w:pPr>
            <w:r>
              <w:t>600 / 1.2</w:t>
            </w:r>
          </w:p>
        </w:tc>
      </w:tr>
      <w:tr>
        <w:trPr>
          <w:cantSplit/>
        </w:trPr>
        <w:tc>
          <w:tcPr>
            <w:tcW w:type="dxa" w:w="3000"/>
          </w:tcPr>
          <w:p>
            <w:pPr>
              <w:pStyle w:val="TableBody"/>
            </w:pPr>
            <w:r>
              <w:t>Lectura principal</w:t>
            </w:r>
          </w:p>
        </w:tc>
        <w:tc>
          <w:tcPr>
            <w:tcW w:type="dxa" w:w="1500"/>
          </w:tcPr>
          <w:p>
            <w:pPr>
              <w:pStyle w:val="TableBody"/>
            </w:pPr>
            <w:r>
              <w:t>48 px</w:t>
            </w:r>
          </w:p>
        </w:tc>
        <w:tc>
          <w:tcPr>
            <w:tcW w:type="dxa" w:w="1500"/>
          </w:tcPr>
          <w:p>
            <w:pPr>
              <w:pStyle w:val="TableBody"/>
            </w:pPr>
            <w:r>
              <w:t>36 px</w:t>
            </w:r>
          </w:p>
        </w:tc>
        <w:tc>
          <w:tcPr>
            <w:tcW w:type="dxa" w:w="3360"/>
          </w:tcPr>
          <w:p>
            <w:pPr>
              <w:pStyle w:val="TableBody"/>
            </w:pPr>
            <w:r>
              <w:t>700 / 1.1</w:t>
            </w:r>
          </w:p>
        </w:tc>
      </w:tr>
      <w:tr>
        <w:trPr>
          <w:cantSplit/>
        </w:trPr>
        <w:tc>
          <w:tcPr>
            <w:tcW w:type="dxa" w:w="3000"/>
          </w:tcPr>
          <w:p>
            <w:pPr>
              <w:pStyle w:val="TableBody"/>
            </w:pPr>
            <w:r>
              <w:t>Título de card</w:t>
            </w:r>
          </w:p>
        </w:tc>
        <w:tc>
          <w:tcPr>
            <w:tcW w:type="dxa" w:w="1500"/>
          </w:tcPr>
          <w:p>
            <w:pPr>
              <w:pStyle w:val="TableBody"/>
            </w:pPr>
            <w:r>
              <w:t>16 px</w:t>
            </w:r>
          </w:p>
        </w:tc>
        <w:tc>
          <w:tcPr>
            <w:tcW w:type="dxa" w:w="1500"/>
          </w:tcPr>
          <w:p>
            <w:pPr>
              <w:pStyle w:val="TableBody"/>
            </w:pPr>
            <w:r>
              <w:t>15 px</w:t>
            </w:r>
          </w:p>
        </w:tc>
        <w:tc>
          <w:tcPr>
            <w:tcW w:type="dxa" w:w="3360"/>
          </w:tcPr>
          <w:p>
            <w:pPr>
              <w:pStyle w:val="TableBody"/>
            </w:pPr>
            <w:r>
              <w:t>600 / 1.35</w:t>
            </w:r>
          </w:p>
        </w:tc>
      </w:tr>
      <w:tr>
        <w:trPr>
          <w:cantSplit/>
        </w:trPr>
        <w:tc>
          <w:tcPr>
            <w:tcW w:type="dxa" w:w="3000"/>
          </w:tcPr>
          <w:p>
            <w:pPr>
              <w:pStyle w:val="TableBody"/>
            </w:pPr>
            <w:r>
              <w:t>Texto y controles</w:t>
            </w:r>
          </w:p>
        </w:tc>
        <w:tc>
          <w:tcPr>
            <w:tcW w:type="dxa" w:w="1500"/>
          </w:tcPr>
          <w:p>
            <w:pPr>
              <w:pStyle w:val="TableBody"/>
            </w:pPr>
            <w:r>
              <w:t>14 px</w:t>
            </w:r>
          </w:p>
        </w:tc>
        <w:tc>
          <w:tcPr>
            <w:tcW w:type="dxa" w:w="1500"/>
          </w:tcPr>
          <w:p>
            <w:pPr>
              <w:pStyle w:val="TableBody"/>
            </w:pPr>
            <w:r>
              <w:t>14 px</w:t>
            </w:r>
          </w:p>
        </w:tc>
        <w:tc>
          <w:tcPr>
            <w:tcW w:type="dxa" w:w="3360"/>
          </w:tcPr>
          <w:p>
            <w:pPr>
              <w:pStyle w:val="TableBody"/>
            </w:pPr>
            <w:r>
              <w:t>400–500 / 1.45</w:t>
            </w:r>
          </w:p>
        </w:tc>
      </w:tr>
      <w:tr>
        <w:trPr>
          <w:cantSplit/>
        </w:trPr>
        <w:tc>
          <w:tcPr>
            <w:tcW w:type="dxa" w:w="3000"/>
          </w:tcPr>
          <w:p>
            <w:pPr>
              <w:pStyle w:val="TableBody"/>
            </w:pPr>
            <w:r>
              <w:t>Etiquetas técnicas</w:t>
            </w:r>
          </w:p>
        </w:tc>
        <w:tc>
          <w:tcPr>
            <w:tcW w:type="dxa" w:w="1500"/>
          </w:tcPr>
          <w:p>
            <w:pPr>
              <w:pStyle w:val="TableBody"/>
            </w:pPr>
            <w:r>
              <w:t>12 px</w:t>
            </w:r>
          </w:p>
        </w:tc>
        <w:tc>
          <w:tcPr>
            <w:tcW w:type="dxa" w:w="1500"/>
          </w:tcPr>
          <w:p>
            <w:pPr>
              <w:pStyle w:val="TableBody"/>
            </w:pPr>
            <w:r>
              <w:t>12 px</w:t>
            </w:r>
          </w:p>
        </w:tc>
        <w:tc>
          <w:tcPr>
            <w:tcW w:type="dxa" w:w="3360"/>
          </w:tcPr>
          <w:p>
            <w:pPr>
              <w:pStyle w:val="TableBody"/>
            </w:pPr>
            <w:r>
              <w:t>500 / 1.4</w:t>
            </w:r>
          </w:p>
        </w:tc>
      </w:tr>
      <w:tr>
        <w:trPr>
          <w:cantSplit/>
        </w:trPr>
        <w:tc>
          <w:tcPr>
            <w:tcW w:type="dxa" w:w="3000"/>
          </w:tcPr>
          <w:p>
            <w:pPr>
              <w:pStyle w:val="TableBody"/>
            </w:pPr>
            <w:r>
              <w:t>Metadatos</w:t>
            </w:r>
          </w:p>
        </w:tc>
        <w:tc>
          <w:tcPr>
            <w:tcW w:type="dxa" w:w="1500"/>
          </w:tcPr>
          <w:p>
            <w:pPr>
              <w:pStyle w:val="TableBody"/>
            </w:pPr>
            <w:r>
              <w:t>12 px</w:t>
            </w:r>
          </w:p>
        </w:tc>
        <w:tc>
          <w:tcPr>
            <w:tcW w:type="dxa" w:w="1500"/>
          </w:tcPr>
          <w:p>
            <w:pPr>
              <w:pStyle w:val="TableBody"/>
            </w:pPr>
            <w:r>
              <w:t>11–12 px</w:t>
            </w:r>
          </w:p>
        </w:tc>
        <w:tc>
          <w:tcPr>
            <w:tcW w:type="dxa" w:w="3360"/>
          </w:tcPr>
          <w:p>
            <w:pPr>
              <w:pStyle w:val="TableBody"/>
            </w:pPr>
            <w:r>
              <w:t>400 / 1.4</w:t>
            </w:r>
          </w:p>
        </w:tc>
      </w:tr>
      <w:tr>
        <w:trPr>
          <w:cantSplit/>
        </w:trPr>
        <w:tc>
          <w:tcPr>
            <w:tcW w:type="dxa" w:w="3000"/>
          </w:tcPr>
          <w:p>
            <w:pPr>
              <w:pStyle w:val="TableBody"/>
            </w:pPr>
            <w:r>
              <w:t>Valor secundario</w:t>
            </w:r>
          </w:p>
        </w:tc>
        <w:tc>
          <w:tcPr>
            <w:tcW w:type="dxa" w:w="1500"/>
          </w:tcPr>
          <w:p>
            <w:pPr>
              <w:pStyle w:val="TableBody"/>
            </w:pPr>
            <w:r>
              <w:t>24 px</w:t>
            </w:r>
          </w:p>
        </w:tc>
        <w:tc>
          <w:tcPr>
            <w:tcW w:type="dxa" w:w="1500"/>
          </w:tcPr>
          <w:p>
            <w:pPr>
              <w:pStyle w:val="TableBody"/>
            </w:pPr>
            <w:r>
              <w:t>20 px</w:t>
            </w:r>
          </w:p>
        </w:tc>
        <w:tc>
          <w:tcPr>
            <w:tcW w:type="dxa" w:w="3360"/>
          </w:tcPr>
          <w:p>
            <w:pPr>
              <w:pStyle w:val="TableBody"/>
            </w:pPr>
            <w:r>
              <w:t>700 / 1.2</w:t>
            </w:r>
          </w:p>
        </w:tc>
      </w:tr>
      <w:tr>
        <w:trPr>
          <w:cantSplit/>
        </w:trPr>
        <w:tc>
          <w:tcPr>
            <w:tcW w:type="dxa" w:w="3000"/>
          </w:tcPr>
          <w:p>
            <w:pPr>
              <w:pStyle w:val="TableBody"/>
            </w:pPr>
            <w:r>
              <w:t>Ejes / leyenda</w:t>
            </w:r>
          </w:p>
        </w:tc>
        <w:tc>
          <w:tcPr>
            <w:tcW w:type="dxa" w:w="1500"/>
          </w:tcPr>
          <w:p>
            <w:pPr>
              <w:pStyle w:val="TableBody"/>
            </w:pPr>
            <w:r>
              <w:t>11–12 px</w:t>
            </w:r>
          </w:p>
        </w:tc>
        <w:tc>
          <w:tcPr>
            <w:tcW w:type="dxa" w:w="1500"/>
          </w:tcPr>
          <w:p>
            <w:pPr>
              <w:pStyle w:val="TableBody"/>
            </w:pPr>
            <w:r>
              <w:t>11 px</w:t>
            </w:r>
          </w:p>
        </w:tc>
        <w:tc>
          <w:tcPr>
            <w:tcW w:type="dxa" w:w="3360"/>
          </w:tcPr>
          <w:p>
            <w:pPr>
              <w:pStyle w:val="TableBody"/>
            </w:pPr>
            <w:r>
              <w:t>400–500 / 1.35</w:t>
            </w:r>
          </w:p>
        </w:tc>
      </w:tr>
    </w:tbl>
    <w:p>
      <w:pPr>
        <w:pStyle w:val="Small"/>
      </w:pPr>
    </w:p>
    <w:p>
      <w:pPr>
        <w:pStyle w:val="Heading2"/>
        <w:pageBreakBefore w:val="0"/>
      </w:pPr>
      <w:r>
        <w:t>Geometría y espaciado</w:t>
      </w:r>
    </w:p>
    <w:p>
      <w:r>
        <w:t>Escala: 4, 8, 12, 16, 20, 24, 32 y 40 px. Padding del contenido: 24 px desktop y 16 px móvil. Cards: 20 px desktop, 16 px móvil. Separación entre módulos: 16–20 px. Radio de card principal: 10 px; secundaria: 8 px; botón/input: 6 px. Bordes de 1 px. Evitar paneles con radios grandes que resten área de lectura.</w:t>
      </w:r>
    </w:p>
    <w:p>
      <w:r>
        <w:t>Sombra única y discreta: 0 1px 2px rgba(15,23,42,.04), 0 4px 12px rgba(15,23,42,.03). La jerarquía depende de tipografía, agrupación y espacio, no de sombras fuertes.</w:t>
      </w:r>
    </w:p>
    <w:p>
      <w:pPr>
        <w:pStyle w:val="Heading2"/>
        <w:pageBreakBefore w:val="0"/>
      </w:pPr>
      <w:r>
        <w:t>Iconos y microinteracciones</w:t>
      </w:r>
    </w:p>
    <w:p>
      <w:pPr>
        <w:pStyle w:val="SINOABullet"/>
        <w:numPr>
          <w:ilvl w:val="0"/>
          <w:numId w:val="90"/>
        </w:numPr>
      </w:pPr>
      <w:r>
        <w:t>Iconos outline del conjunto existente, de 20 px y trazo de 1.75–2 px. Iconos solos siempre con nombre accesible; tooltip en escritorio.</w:t>
      </w:r>
    </w:p>
    <w:p>
      <w:pPr>
        <w:pStyle w:val="SINOABullet"/>
        <w:numPr>
          <w:ilvl w:val="0"/>
          <w:numId w:val="90"/>
        </w:numPr>
      </w:pPr>
      <w:r>
        <w:t>Área interactiva de al menos 44 × 44 px en móvil. El pictograma puede ser menor. Subir/Bajar ofrece alternativa al arrastre.</w:t>
      </w:r>
    </w:p>
    <w:p>
      <w:pPr>
        <w:pStyle w:val="SINOABullet"/>
        <w:numPr>
          <w:ilvl w:val="0"/>
          <w:numId w:val="90"/>
        </w:numPr>
      </w:pPr>
      <w:r>
        <w:t>Transiciones de 120–180 ms solo para apertura, foco y selección. Respetar movimiento reducido; no animar cada lectura ni mover el layout.</w:t>
      </w:r>
    </w:p>
    <w:p>
      <w:pPr>
        <w:pStyle w:val="SINOABullet"/>
        <w:numPr>
          <w:ilvl w:val="0"/>
          <w:numId w:val="90"/>
        </w:numPr>
      </w:pPr>
      <w:r>
        <w:t>Un botón primario por zona: Agregar gráfica. Guardar es secundario y se habilita al cambiar preferencias. Guardado es un estado confirmado, no una promesa.</w:t>
      </w:r>
    </w:p>
    <w:p>
      <w:pPr>
        <w:pStyle w:val="SINOABullet"/>
        <w:numPr>
          <w:ilvl w:val="0"/>
          <w:numId w:val="90"/>
        </w:numPr>
      </w:pPr>
      <w:r>
        <w:t>Mantener un único logo de pulso técnico; no añadir ilustraciones, gradientes, glass, neon, efectos 3D ni fotos decorativas.</w:t>
      </w:r>
    </w:p>
    <w:p>
      <w:pPr>
        <w:pStyle w:val="Heading1"/>
        <w:pageBreakBefore w:val="0"/>
      </w:pPr>
      <w:r>
        <w:t>05. Gráfico y reglas de interpretación</w:t>
      </w:r>
    </w:p>
    <w:p>
      <w:pPr>
        <w:pStyle w:val="Heading2"/>
        <w:pageBreakBefore w:val="0"/>
      </w:pPr>
      <w:r>
        <w:t>Contrato visual de la señal</w:t>
      </w:r>
    </w:p>
    <w:p>
      <w:r>
        <w:t>Mostrar dispositivo, sensor y unidad antes del valor. En la misma card: estado de frescura, timestamp, rangos y estadísticas. Línea de 2–2.5 px, sin puntos intermedios por defecto y último punto de 4 px. El tooltip presenta fecha, hora, zona, valor, unidad y calidad. En móvil se activa por toque y existe una alternativa textual de últimas lecturas.</w:t>
      </w:r>
    </w:p>
    <w:p>
      <w:r>
        <w:t>El eje temporal conserva el orden cronológico. No interpolar cortes largos ni convertir null en cero. El dominio Y incluye los umbrales configurados y el rango observado con margen; no ocultar excursiones para que el gráfico parezca estable. Cambiar la ventana conserva la coherencia entre gráfico, estadísticas y detalle.</w:t>
      </w:r>
    </w:p>
    <w:tbl>
      <w:tblPr>
        <w:tblLook w:firstColumn="1" w:firstRow="1" w:lastColumn="0" w:lastRow="0" w:noHBand="0" w:noVBand="1" w:val="04A0"/>
        <w:tblW w:type="dxa" w:w="9360"/>
        <w:tblInd w:type="dxa" w:w="120"/>
        <w:tblLayout w:type="fixed"/>
        <w:tblCellMar>
          <w:top w:w="80" w:type="dxa"/>
          <w:bottom w:w="80" w:type="dxa"/>
          <w:start w:w="120" w:type="dxa"/>
          <w:end w:w="120" w:type="dxa"/>
        </w:tblCellMar>
        <w:tblBorders>
          <w:top w:val="single" w:sz="4" w:color="E2E8F0"/>
          <w:left w:val="single" w:sz="4" w:color="E2E8F0"/>
          <w:bottom w:val="single" w:sz="4" w:color="E2E8F0"/>
          <w:right w:val="single" w:sz="4" w:color="E2E8F0"/>
          <w:insideH w:val="single" w:sz="4" w:color="E2E8F0"/>
          <w:insideV w:val="single" w:sz="4" w:color="E2E8F0"/>
        </w:tblBorders>
      </w:tblPr>
      <w:tblGrid>
        <w:gridCol w:w="2100"/>
        <w:gridCol w:w="2800"/>
        <w:gridCol w:w="4460"/>
      </w:tblGrid>
      <w:tr>
        <w:trPr>
          <w:cantSplit/>
          <w:tblHeader/>
        </w:trPr>
        <w:tc>
          <w:tcPr>
            <w:tcW w:type="dxa" w:w="2100"/>
            <w:shd w:fill="EFF6FF"/>
          </w:tcPr>
          <w:p>
            <w:pPr>
              <w:pStyle w:val="TableBody"/>
            </w:pPr>
            <w:r>
              <w:rPr>
                <w:b/>
                <w:color w:val="1E40AF"/>
              </w:rPr>
              <w:t>Zona de ejemplo</w:t>
            </w:r>
          </w:p>
        </w:tc>
        <w:tc>
          <w:tcPr>
            <w:tcW w:type="dxa" w:w="2800"/>
            <w:shd w:fill="EFF6FF"/>
          </w:tcPr>
          <w:p>
            <w:pPr>
              <w:pStyle w:val="TableBody"/>
            </w:pPr>
            <w:r>
              <w:rPr>
                <w:b/>
                <w:color w:val="1E40AF"/>
              </w:rPr>
              <w:t>Condición exacta</w:t>
            </w:r>
          </w:p>
        </w:tc>
        <w:tc>
          <w:tcPr>
            <w:tcW w:type="dxa" w:w="4460"/>
            <w:shd w:fill="EFF6FF"/>
          </w:tcPr>
          <w:p>
            <w:pPr>
              <w:pStyle w:val="TableBody"/>
            </w:pPr>
            <w:r>
              <w:rPr>
                <w:b/>
                <w:color w:val="1E40AF"/>
              </w:rPr>
              <w:t>Representación</w:t>
            </w:r>
          </w:p>
        </w:tc>
      </w:tr>
      <w:tr>
        <w:trPr>
          <w:cantSplit/>
        </w:trPr>
        <w:tc>
          <w:tcPr>
            <w:tcW w:type="dxa" w:w="2100"/>
          </w:tcPr>
          <w:p>
            <w:pPr>
              <w:pStyle w:val="TableBody"/>
            </w:pPr>
            <w:r>
              <w:t>Normal</w:t>
            </w:r>
          </w:p>
        </w:tc>
        <w:tc>
          <w:tcPr>
            <w:tcW w:type="dxa" w:w="2800"/>
          </w:tcPr>
          <w:p>
            <w:pPr>
              <w:pStyle w:val="TableBody"/>
            </w:pPr>
            <w:r>
              <w:t>20 ≤ T &lt; 28 °C</w:t>
            </w:r>
          </w:p>
        </w:tc>
        <w:tc>
          <w:tcPr>
            <w:tcW w:type="dxa" w:w="4460"/>
          </w:tcPr>
          <w:p>
            <w:pPr>
              <w:pStyle w:val="TableBody"/>
            </w:pPr>
            <w:r>
              <w:t>Banda verde suave + etiqueta Normal.</w:t>
            </w:r>
          </w:p>
        </w:tc>
      </w:tr>
      <w:tr>
        <w:trPr>
          <w:cantSplit/>
        </w:trPr>
        <w:tc>
          <w:tcPr>
            <w:tcW w:type="dxa" w:w="2100"/>
          </w:tcPr>
          <w:p>
            <w:pPr>
              <w:pStyle w:val="TableBody"/>
            </w:pPr>
            <w:r>
              <w:t>Advertencia</w:t>
            </w:r>
          </w:p>
        </w:tc>
        <w:tc>
          <w:tcPr>
            <w:tcW w:type="dxa" w:w="2800"/>
          </w:tcPr>
          <w:p>
            <w:pPr>
              <w:pStyle w:val="TableBody"/>
            </w:pPr>
            <w:r>
              <w:t>28 ≤ T ≤ 30 °C</w:t>
            </w:r>
          </w:p>
        </w:tc>
        <w:tc>
          <w:tcPr>
            <w:tcW w:type="dxa" w:w="4460"/>
          </w:tcPr>
          <w:p>
            <w:pPr>
              <w:pStyle w:val="TableBody"/>
            </w:pPr>
            <w:r>
              <w:t>Banda ámbar + línea a 28 °C.</w:t>
            </w:r>
          </w:p>
        </w:tc>
      </w:tr>
      <w:tr>
        <w:trPr>
          <w:cantSplit/>
        </w:trPr>
        <w:tc>
          <w:tcPr>
            <w:tcW w:type="dxa" w:w="2100"/>
          </w:tcPr>
          <w:p>
            <w:pPr>
              <w:pStyle w:val="TableBody"/>
            </w:pPr>
            <w:r>
              <w:t>Crítico alto</w:t>
            </w:r>
          </w:p>
        </w:tc>
        <w:tc>
          <w:tcPr>
            <w:tcW w:type="dxa" w:w="2800"/>
          </w:tcPr>
          <w:p>
            <w:pPr>
              <w:pStyle w:val="TableBody"/>
            </w:pPr>
            <w:r>
              <w:t>T &gt; 30 °C</w:t>
            </w:r>
          </w:p>
        </w:tc>
        <w:tc>
          <w:tcPr>
            <w:tcW w:type="dxa" w:w="4460"/>
          </w:tcPr>
          <w:p>
            <w:pPr>
              <w:pStyle w:val="TableBody"/>
            </w:pPr>
            <w:r>
              <w:t>Banda roja + línea a 30 °C.</w:t>
            </w:r>
          </w:p>
        </w:tc>
      </w:tr>
      <w:tr>
        <w:trPr>
          <w:cantSplit/>
        </w:trPr>
        <w:tc>
          <w:tcPr>
            <w:tcW w:type="dxa" w:w="2100"/>
          </w:tcPr>
          <w:p>
            <w:pPr>
              <w:pStyle w:val="TableBody"/>
            </w:pPr>
            <w:r>
              <w:t>Bajo rango</w:t>
            </w:r>
          </w:p>
        </w:tc>
        <w:tc>
          <w:tcPr>
            <w:tcW w:type="dxa" w:w="2800"/>
          </w:tcPr>
          <w:p>
            <w:pPr>
              <w:pStyle w:val="TableBody"/>
            </w:pPr>
            <w:r>
              <w:t>T &lt; 20 °C</w:t>
            </w:r>
          </w:p>
        </w:tc>
        <w:tc>
          <w:tcPr>
            <w:tcW w:type="dxa" w:w="4460"/>
          </w:tcPr>
          <w:p>
            <w:pPr>
              <w:pStyle w:val="TableBody"/>
            </w:pPr>
            <w:r>
              <w:t>Mostrar fuera de rango; severidad según regla del servidor.</w:t>
            </w:r>
          </w:p>
        </w:tc>
      </w:tr>
    </w:tbl>
    <w:p>
      <w:pPr>
        <w:pStyle w:val="Small"/>
      </w:pPr>
    </w:p>
    <w:p>
      <w:r>
        <w:t>Estos límites son un ejemplo de configuración, no valores universales para otros sensores. Si existe una regla de bajo rango, mostrarla también. Los intervalos no se solapan. El backend es la autoridad de las alertas; un cambio de regla no reescribe la severidad histórica de un evento.</w:t>
      </w:r>
    </w:p>
    <w:p>
      <w:pPr>
        <w:pStyle w:val="Heading2"/>
        <w:pageBreakBefore w:val="0"/>
      </w:pPr>
      <w:r>
        <w:t>Definiciones de datos</w:t>
      </w:r>
    </w:p>
    <w:p>
      <w:pPr>
        <w:pStyle w:val="SINOABullet"/>
        <w:numPr>
          <w:ilvl w:val="0"/>
          <w:numId w:val="90"/>
        </w:numPr>
      </w:pPr>
      <w:r>
        <w:t>Lectura actual: última observación válida por timestamp; una lectura tardía no reemplaza una más reciente.</w:t>
      </w:r>
    </w:p>
    <w:p>
      <w:pPr>
        <w:pStyle w:val="SINOABullet"/>
        <w:numPr>
          <w:ilvl w:val="0"/>
          <w:numId w:val="90"/>
        </w:numPr>
      </w:pPr>
      <w:r>
        <w:t>Mín, máx y promedio: sobre lecturas válidas originales del rango, antes de reducir puntos para dibujar. Promedio aritmético en muestreo regular; si el backend usa otra agregación, indicarla.</w:t>
      </w:r>
    </w:p>
    <w:p>
      <w:pPr>
        <w:pStyle w:val="SINOABullet"/>
        <w:numPr>
          <w:ilvl w:val="0"/>
          <w:numId w:val="90"/>
        </w:numPr>
      </w:pPr>
      <w:r>
        <w:t>Delta: actual menos lectura válida anterior; mostrar el intervalo de comparación en el tooltip. No confundir con cambio porcentual.</w:t>
      </w:r>
    </w:p>
    <w:p>
      <w:pPr>
        <w:pStyle w:val="SINOABullet"/>
        <w:numPr>
          <w:ilvl w:val="0"/>
          <w:numId w:val="90"/>
        </w:numPr>
      </w:pPr>
      <w:r>
        <w:t>Calidad de señal: etiqueta de producto definida como muestras válidas / muestras esperadas × 100; mostrar período y denominador. No representa intensidad RF. Si no hay frecuencia esperada, mostrar No disponible.</w:t>
      </w:r>
    </w:p>
    <w:p>
      <w:pPr>
        <w:pStyle w:val="SINOABullet"/>
        <w:numPr>
          <w:ilvl w:val="0"/>
          <w:numId w:val="90"/>
        </w:numPr>
      </w:pPr>
      <w:r>
        <w:t>Ejemplo de 5 min a 2 s: 151 instantes si ambos extremos se incluyen. Con 148 muestras válidas de 151 esperadas, calidad ≈ 98.0 %. No fijar 151 ni 98 % en código.</w:t>
      </w:r>
    </w:p>
    <w:p>
      <w:r>
        <w:t>La señal dibujada en la imagen es ilustrativa. En producción todos los números y umbrales se obtienen del mismo conjunto de datos, con redondeo solo en presentación.</w:t>
      </w:r>
    </w:p>
    <w:p>
      <w:pPr>
        <w:pStyle w:val="Heading1"/>
        <w:pageBreakBefore w:val="0"/>
      </w:pPr>
      <w:r>
        <w:t>06. Flujos y estados de interacción</w:t>
      </w:r>
    </w:p>
    <w:p>
      <w:pPr>
        <w:pStyle w:val="Heading2"/>
        <w:pageBreakBefore w:val="0"/>
      </w:pPr>
      <w:r>
        <w:t>Seleccionar, agregar y ordenar</w:t>
      </w:r>
    </w:p>
    <w:p>
      <w:pPr>
        <w:pStyle w:val="SINOABullet"/>
        <w:numPr>
          <w:ilvl w:val="0"/>
          <w:numId w:val="90"/>
        </w:numPr>
      </w:pPr>
      <w:r>
        <w:t>Seleccionar una fila de Mis gráficas cambia selectedWidgetId. El gráfico, los selectores, el inspector y el estado pertenecen siempre a ese widget.</w:t>
      </w:r>
    </w:p>
    <w:p>
      <w:pPr>
        <w:pStyle w:val="SINOABullet"/>
        <w:numPr>
          <w:ilvl w:val="0"/>
          <w:numId w:val="90"/>
        </w:numPr>
      </w:pPr>
      <w:r>
        <w:t>Al cambiar de dispositivo, limpiar el sensor incompatible antes de consultar. Cancelar la petición anterior y rechazar resultados de una selección obsoleta.</w:t>
      </w:r>
    </w:p>
    <w:p>
      <w:pPr>
        <w:pStyle w:val="SINOABullet"/>
        <w:numPr>
          <w:ilvl w:val="0"/>
          <w:numId w:val="90"/>
        </w:numPr>
      </w:pPr>
      <w:r>
        <w:t>Agregar abre un panel o diálogo con dispositivo, sensor y nombre opcional. Validar primero; al confirmar, crear el widget y seleccionarlo. Evitar duplicados accidentales; duplicar es una acción distinta.</w:t>
      </w:r>
    </w:p>
    <w:p>
      <w:pPr>
        <w:pStyle w:val="SINOABullet"/>
        <w:numPr>
          <w:ilvl w:val="0"/>
          <w:numId w:val="90"/>
        </w:numPr>
      </w:pPr>
      <w:r>
        <w:t>Quitar retira el widget del borrador, ofrece Deshacer y selecciona el siguiente si era el activo. Al quitar el último, mostrar un estado vacío con Agregar gráfica.</w:t>
      </w:r>
    </w:p>
    <w:p>
      <w:pPr>
        <w:pStyle w:val="SINOABullet"/>
        <w:numPr>
          <w:ilvl w:val="0"/>
          <w:numId w:val="90"/>
        </w:numPr>
      </w:pPr>
      <w:r>
        <w:t>Editar habilita reordenación y quitar. Fuera de ese modo no capturar gestos de arrastre en móvil ni interferir con el scroll.</w:t>
      </w:r>
    </w:p>
    <w:p>
      <w:pPr>
        <w:pStyle w:val="Heading2"/>
        <w:pageBreakBefore w:val="0"/>
      </w:pPr>
      <w:r>
        <w:t>Persistencia y errores</w:t>
      </w:r>
    </w:p>
    <w:tbl>
      <w:tblPr>
        <w:tblLook w:firstColumn="1" w:firstRow="1" w:lastColumn="0" w:lastRow="0" w:noHBand="0" w:noVBand="1" w:val="04A0"/>
        <w:tblW w:type="dxa" w:w="9360"/>
        <w:tblInd w:type="dxa" w:w="120"/>
        <w:tblLayout w:type="fixed"/>
        <w:tblCellMar>
          <w:top w:w="80" w:type="dxa"/>
          <w:bottom w:w="80" w:type="dxa"/>
          <w:start w:w="120" w:type="dxa"/>
          <w:end w:w="120" w:type="dxa"/>
        </w:tblCellMar>
        <w:tblBorders>
          <w:top w:val="single" w:sz="4" w:color="E2E8F0"/>
          <w:left w:val="single" w:sz="4" w:color="E2E8F0"/>
          <w:bottom w:val="single" w:sz="4" w:color="E2E8F0"/>
          <w:right w:val="single" w:sz="4" w:color="E2E8F0"/>
          <w:insideH w:val="single" w:sz="4" w:color="E2E8F0"/>
          <w:insideV w:val="single" w:sz="4" w:color="E2E8F0"/>
        </w:tblBorders>
      </w:tblPr>
      <w:tblGrid>
        <w:gridCol w:w="2200"/>
        <w:gridCol w:w="7160"/>
      </w:tblGrid>
      <w:tr>
        <w:trPr>
          <w:cantSplit/>
          <w:tblHeader/>
        </w:trPr>
        <w:tc>
          <w:tcPr>
            <w:tcW w:type="dxa" w:w="2200"/>
            <w:shd w:fill="EFF6FF"/>
          </w:tcPr>
          <w:p>
            <w:pPr>
              <w:pStyle w:val="TableBody"/>
            </w:pPr>
            <w:r>
              <w:rPr>
                <w:b/>
                <w:color w:val="1E40AF"/>
              </w:rPr>
              <w:t>Estado</w:t>
            </w:r>
          </w:p>
        </w:tc>
        <w:tc>
          <w:tcPr>
            <w:tcW w:type="dxa" w:w="7160"/>
            <w:shd w:fill="EFF6FF"/>
          </w:tcPr>
          <w:p>
            <w:pPr>
              <w:pStyle w:val="TableBody"/>
            </w:pPr>
            <w:r>
              <w:rPr>
                <w:b/>
                <w:color w:val="1E40AF"/>
              </w:rPr>
              <w:t>Comportamiento esperado</w:t>
            </w:r>
          </w:p>
        </w:tc>
      </w:tr>
      <w:tr>
        <w:trPr>
          <w:cantSplit/>
        </w:trPr>
        <w:tc>
          <w:tcPr>
            <w:tcW w:type="dxa" w:w="2200"/>
          </w:tcPr>
          <w:p>
            <w:pPr>
              <w:pStyle w:val="TableBody"/>
            </w:pPr>
            <w:r>
              <w:t>Sin cambios</w:t>
            </w:r>
          </w:p>
        </w:tc>
        <w:tc>
          <w:tcPr>
            <w:tcW w:type="dxa" w:w="7160"/>
          </w:tcPr>
          <w:p>
            <w:pPr>
              <w:pStyle w:val="TableBody"/>
            </w:pPr>
            <w:r>
              <w:t>Guardar deshabilitado; Guardado solo si hubo persistencia o carga confirmada.</w:t>
            </w:r>
          </w:p>
        </w:tc>
      </w:tr>
      <w:tr>
        <w:trPr>
          <w:cantSplit/>
        </w:trPr>
        <w:tc>
          <w:tcPr>
            <w:tcW w:type="dxa" w:w="2200"/>
          </w:tcPr>
          <w:p>
            <w:pPr>
              <w:pStyle w:val="TableBody"/>
            </w:pPr>
            <w:r>
              <w:t>Modificado</w:t>
            </w:r>
          </w:p>
        </w:tc>
        <w:tc>
          <w:tcPr>
            <w:tcW w:type="dxa" w:w="7160"/>
          </w:tcPr>
          <w:p>
            <w:pPr>
              <w:pStyle w:val="TableBody"/>
            </w:pPr>
            <w:r>
              <w:t>Etiqueta Cambios sin guardar; orden y selección permanecen en un borrador local.</w:t>
            </w:r>
          </w:p>
        </w:tc>
      </w:tr>
      <w:tr>
        <w:trPr>
          <w:cantSplit/>
        </w:trPr>
        <w:tc>
          <w:tcPr>
            <w:tcW w:type="dxa" w:w="2200"/>
          </w:tcPr>
          <w:p>
            <w:pPr>
              <w:pStyle w:val="TableBody"/>
            </w:pPr>
            <w:r>
              <w:t>Guardando</w:t>
            </w:r>
          </w:p>
        </w:tc>
        <w:tc>
          <w:tcPr>
            <w:tcW w:type="dxa" w:w="7160"/>
          </w:tcPr>
          <w:p>
            <w:pPr>
              <w:pStyle w:val="TableBody"/>
            </w:pPr>
            <w:r>
              <w:t>Bloquear doble envío; conservar la lectura en vivo; no congelar el dashboard.</w:t>
            </w:r>
          </w:p>
        </w:tc>
      </w:tr>
      <w:tr>
        <w:trPr>
          <w:cantSplit/>
        </w:trPr>
        <w:tc>
          <w:tcPr>
            <w:tcW w:type="dxa" w:w="2200"/>
          </w:tcPr>
          <w:p>
            <w:pPr>
              <w:pStyle w:val="TableBody"/>
            </w:pPr>
            <w:r>
              <w:t>Guardado</w:t>
            </w:r>
          </w:p>
        </w:tc>
        <w:tc>
          <w:tcPr>
            <w:tcW w:type="dxa" w:w="7160"/>
          </w:tcPr>
          <w:p>
            <w:pPr>
              <w:pStyle w:val="TableBody"/>
            </w:pPr>
            <w:r>
              <w:t>Aplicar revisión devuelta por servidor; actualizar última confirmación.</w:t>
            </w:r>
          </w:p>
        </w:tc>
      </w:tr>
      <w:tr>
        <w:trPr>
          <w:cantSplit/>
        </w:trPr>
        <w:tc>
          <w:tcPr>
            <w:tcW w:type="dxa" w:w="2200"/>
          </w:tcPr>
          <w:p>
            <w:pPr>
              <w:pStyle w:val="TableBody"/>
            </w:pPr>
            <w:r>
              <w:t>Error al guardar</w:t>
            </w:r>
          </w:p>
        </w:tc>
        <w:tc>
          <w:tcPr>
            <w:tcW w:type="dxa" w:w="7160"/>
          </w:tcPr>
          <w:p>
            <w:pPr>
              <w:pStyle w:val="TableBody"/>
            </w:pPr>
            <w:r>
              <w:t>Mantener el borrador, explicar el error y ofrecer Reintentar.</w:t>
            </w:r>
          </w:p>
        </w:tc>
      </w:tr>
      <w:tr>
        <w:trPr>
          <w:cantSplit/>
        </w:trPr>
        <w:tc>
          <w:tcPr>
            <w:tcW w:type="dxa" w:w="2200"/>
          </w:tcPr>
          <w:p>
            <w:pPr>
              <w:pStyle w:val="TableBody"/>
            </w:pPr>
            <w:r>
              <w:t>Conflicto de revisión</w:t>
            </w:r>
          </w:p>
        </w:tc>
        <w:tc>
          <w:tcPr>
            <w:tcW w:type="dxa" w:w="7160"/>
          </w:tcPr>
          <w:p>
            <w:pPr>
              <w:pStyle w:val="TableBody"/>
            </w:pPr>
            <w:r>
              <w:t>No sobrescribir en silencio; permitir recargar la versión remota o revisar cambios.</w:t>
            </w:r>
          </w:p>
        </w:tc>
      </w:tr>
      <w:tr>
        <w:trPr>
          <w:cantSplit/>
        </w:trPr>
        <w:tc>
          <w:tcPr>
            <w:tcW w:type="dxa" w:w="2200"/>
          </w:tcPr>
          <w:p>
            <w:pPr>
              <w:pStyle w:val="TableBody"/>
            </w:pPr>
            <w:r>
              <w:t>Salir con cambios</w:t>
            </w:r>
          </w:p>
        </w:tc>
        <w:tc>
          <w:tcPr>
            <w:tcW w:type="dxa" w:w="7160"/>
          </w:tcPr>
          <w:p>
            <w:pPr>
              <w:pStyle w:val="TableBody"/>
            </w:pPr>
            <w:r>
              <w:t>Ofrecer Guardar, Descartar o Seguir editando; no pedir confirmación al salir sin cambios.</w:t>
            </w:r>
          </w:p>
        </w:tc>
      </w:tr>
    </w:tbl>
    <w:p>
      <w:pPr>
        <w:pStyle w:val="Small"/>
      </w:pPr>
    </w:p>
    <w:p>
      <w:pPr>
        <w:pStyle w:val="Heading2"/>
        <w:pageBreakBefore w:val="0"/>
      </w:pPr>
      <w:r>
        <w:t>Carga, frescura y conexión</w:t>
      </w:r>
    </w:p>
    <w:p>
      <w:r>
        <w:t>Carga inicial: skeleton del mismo tamaño y sin valores ficticios. Sin lecturas: mensaje No hay datos en este período y ajuste de rango. Error parcial: afecta solo al módulo que falló; los demás continúan. Falta de permiso: mensaje específico y retorno a una selección autorizada.</w:t>
      </w:r>
    </w:p>
    <w:p>
      <w:r>
        <w:t>Umbral propuesto de datos antiguos: edad &gt; max(3 × período esperado, 10 s), configurable. Sustituir EN VIVO por Datos antiguos y mantener la última lectura con su hora. Sin conexión requiere un estado de dispositivo o transporte confirmado; no se infiere una avería física solo por ausencia de muestras. Reconectar con espera progresiva y recuperar el intervalo perdido.</w:t>
      </w:r>
    </w:p>
    <w:p>
      <w:pPr>
        <w:pStyle w:val="Heading1"/>
        <w:pageBreakBefore w:val="0"/>
      </w:pPr>
      <w:r>
        <w:t>07. Componentes y organización del frontend</w:t>
      </w:r>
    </w:p>
    <w:p>
      <w:r>
        <w:t>Reutilizar lo que ya exista en la rama. Las rutas siguientes son una propuesta de organización, no un inventario confirmado. Mantener Vue 3, Bootstrap 5 y Chart.js del proyecto; no migrar frameworks para implementar este diseño.</w:t>
      </w:r>
    </w:p>
    <w:tbl>
      <w:tblPr>
        <w:tblLook w:firstColumn="1" w:firstRow="1" w:lastColumn="0" w:lastRow="0" w:noHBand="0" w:noVBand="1" w:val="04A0"/>
        <w:tblW w:type="dxa" w:w="9360"/>
        <w:tblInd w:type="dxa" w:w="120"/>
        <w:tblLayout w:type="fixed"/>
        <w:tblCellMar>
          <w:top w:w="80" w:type="dxa"/>
          <w:bottom w:w="80" w:type="dxa"/>
          <w:start w:w="120" w:type="dxa"/>
          <w:end w:w="120" w:type="dxa"/>
        </w:tblCellMar>
        <w:tblBorders>
          <w:top w:val="single" w:sz="4" w:color="E2E8F0"/>
          <w:left w:val="single" w:sz="4" w:color="E2E8F0"/>
          <w:bottom w:val="single" w:sz="4" w:color="E2E8F0"/>
          <w:right w:val="single" w:sz="4" w:color="E2E8F0"/>
          <w:insideH w:val="single" w:sz="4" w:color="E2E8F0"/>
          <w:insideV w:val="single" w:sz="4" w:color="E2E8F0"/>
        </w:tblBorders>
      </w:tblPr>
      <w:tblGrid>
        <w:gridCol w:w="2650"/>
        <w:gridCol w:w="6710"/>
      </w:tblGrid>
      <w:tr>
        <w:trPr>
          <w:cantSplit/>
          <w:tblHeader/>
        </w:trPr>
        <w:tc>
          <w:tcPr>
            <w:tcW w:type="dxa" w:w="2650"/>
            <w:shd w:fill="EFF6FF"/>
          </w:tcPr>
          <w:p>
            <w:pPr>
              <w:pStyle w:val="TableBody"/>
            </w:pPr>
            <w:r>
              <w:rPr>
                <w:b/>
                <w:color w:val="1E40AF"/>
              </w:rPr>
              <w:t>Responsabilidad</w:t>
            </w:r>
          </w:p>
        </w:tc>
        <w:tc>
          <w:tcPr>
            <w:tcW w:type="dxa" w:w="6710"/>
            <w:shd w:fill="EFF6FF"/>
          </w:tcPr>
          <w:p>
            <w:pPr>
              <w:pStyle w:val="TableBody"/>
            </w:pPr>
            <w:r>
              <w:rPr>
                <w:b/>
                <w:color w:val="1E40AF"/>
              </w:rPr>
              <w:t>Componentes propuestos</w:t>
            </w:r>
          </w:p>
        </w:tc>
      </w:tr>
      <w:tr>
        <w:trPr>
          <w:cantSplit/>
        </w:trPr>
        <w:tc>
          <w:tcPr>
            <w:tcW w:type="dxa" w:w="2650"/>
          </w:tcPr>
          <w:p>
            <w:pPr>
              <w:pStyle w:val="TableBody"/>
            </w:pPr>
            <w:r>
              <w:t>Navegación global</w:t>
            </w:r>
          </w:p>
        </w:tc>
        <w:tc>
          <w:tcPr>
            <w:tcW w:type="dxa" w:w="6710"/>
          </w:tcPr>
          <w:p>
            <w:pPr>
              <w:pStyle w:val="TableBody"/>
            </w:pPr>
            <w:r>
              <w:t>DashboardPage, AppShell, DesktopSidebar, MobileTopBar, MobileBottomNav.</w:t>
            </w:r>
          </w:p>
        </w:tc>
      </w:tr>
      <w:tr>
        <w:trPr>
          <w:cantSplit/>
        </w:trPr>
        <w:tc>
          <w:tcPr>
            <w:tcW w:type="dxa" w:w="2650"/>
          </w:tcPr>
          <w:p>
            <w:pPr>
              <w:pStyle w:val="TableBody"/>
            </w:pPr>
            <w:r>
              <w:t>Acciones del tablero</w:t>
            </w:r>
          </w:p>
        </w:tc>
        <w:tc>
          <w:tcPr>
            <w:tcW w:type="dxa" w:w="6710"/>
          </w:tcPr>
          <w:p>
            <w:pPr>
              <w:pStyle w:val="TableBody"/>
            </w:pPr>
            <w:r>
              <w:t>WorkspaceToolbar, AddChartDialog, ChartList, ChartListItem.</w:t>
            </w:r>
          </w:p>
        </w:tc>
      </w:tr>
      <w:tr>
        <w:trPr>
          <w:cantSplit/>
        </w:trPr>
        <w:tc>
          <w:tcPr>
            <w:tcW w:type="dxa" w:w="2650"/>
          </w:tcPr>
          <w:p>
            <w:pPr>
              <w:pStyle w:val="TableBody"/>
            </w:pPr>
            <w:r>
              <w:t>Lectura y trazado</w:t>
            </w:r>
          </w:p>
        </w:tc>
        <w:tc>
          <w:tcPr>
            <w:tcW w:type="dxa" w:w="6710"/>
          </w:tcPr>
          <w:p>
            <w:pPr>
              <w:pStyle w:val="TableBody"/>
            </w:pPr>
            <w:r>
              <w:t>SensorChartCard, DeviceSensorSelector, ReadingHero, TimeRangeControl, SensorChart, ThresholdLegend.</w:t>
            </w:r>
          </w:p>
        </w:tc>
      </w:tr>
      <w:tr>
        <w:trPr>
          <w:cantSplit/>
        </w:trPr>
        <w:tc>
          <w:tcPr>
            <w:tcW w:type="dxa" w:w="2650"/>
          </w:tcPr>
          <w:p>
            <w:pPr>
              <w:pStyle w:val="TableBody"/>
            </w:pPr>
            <w:r>
              <w:t>Detalle y señales</w:t>
            </w:r>
          </w:p>
        </w:tc>
        <w:tc>
          <w:tcPr>
            <w:tcW w:type="dxa" w:w="6710"/>
          </w:tcPr>
          <w:p>
            <w:pPr>
              <w:pStyle w:val="TableBody"/>
            </w:pPr>
            <w:r>
              <w:t>SensorStats, SensorInspector, SignalQuality, SparklineCard.</w:t>
            </w:r>
          </w:p>
        </w:tc>
      </w:tr>
      <w:tr>
        <w:trPr>
          <w:cantSplit/>
        </w:trPr>
        <w:tc>
          <w:tcPr>
            <w:tcW w:type="dxa" w:w="2650"/>
          </w:tcPr>
          <w:p>
            <w:pPr>
              <w:pStyle w:val="TableBody"/>
            </w:pPr>
            <w:r>
              <w:t>Alertas e historial</w:t>
            </w:r>
          </w:p>
        </w:tc>
        <w:tc>
          <w:tcPr>
            <w:tcW w:type="dxa" w:w="6710"/>
          </w:tcPr>
          <w:p>
            <w:pPr>
              <w:pStyle w:val="TableBody"/>
            </w:pPr>
            <w:r>
              <w:t>CriticalAlertBanner, ActiveAlerts, AlertItem, RecentEvents.</w:t>
            </w:r>
          </w:p>
        </w:tc>
      </w:tr>
      <w:tr>
        <w:trPr>
          <w:cantSplit/>
        </w:trPr>
        <w:tc>
          <w:tcPr>
            <w:tcW w:type="dxa" w:w="2650"/>
          </w:tcPr>
          <w:p>
            <w:pPr>
              <w:pStyle w:val="TableBody"/>
            </w:pPr>
            <w:r>
              <w:t>Estados comunes</w:t>
            </w:r>
          </w:p>
        </w:tc>
        <w:tc>
          <w:tcPr>
            <w:tcW w:type="dxa" w:w="6710"/>
          </w:tcPr>
          <w:p>
            <w:pPr>
              <w:pStyle w:val="TableBody"/>
            </w:pPr>
            <w:r>
              <w:t>LoadingSkeleton, EmptyState, InlineError, ConnectionStatus, SaveStatus.</w:t>
            </w:r>
          </w:p>
        </w:tc>
      </w:tr>
    </w:tbl>
    <w:p>
      <w:pPr>
        <w:pStyle w:val="Small"/>
      </w:pPr>
    </w:p>
    <w:p>
      <w:pPr>
        <w:pStyle w:val="Heading2"/>
        <w:pageBreakBefore w:val="0"/>
      </w:pPr>
      <w:r>
        <w:t>Lógica separada de la presentación</w:t>
      </w:r>
    </w:p>
    <w:p>
      <w:r>
        <w:t>useDashboardWorkspace gestiona borrador, revisión y guardado. useSensorSeries coordina consultas, cancelación y caché. useLiveReadings gestiona transporte y frescura. useSensorStatistics contiene agregaciones y validación. useAlertFeed mantiene conteos e historial. Los composables encapsulan lógica con estado; los componentes reciben datos y emiten acciones. [1]</w:t>
      </w:r>
    </w:p>
    <w:p>
      <w:r>
        <w:t>Usar el mecanismo de estado ya presente; no introducir otro store por defecto. Separar estado del servidor (sensores, series, alertas) del estado de UI (selección, panel abierto) y de preferencias persistibles (widgets, orden, rangos). Las instancias Chart.js no forman parte del JSON del tablero.</w:t>
      </w:r>
    </w:p>
    <w:p>
      <w:pPr>
        <w:pStyle w:val="Heading2"/>
        <w:pageBreakBefore w:val="0"/>
      </w:pPr>
      <w:r>
        <w:t>Propuesta de archivos</w:t>
      </w:r>
    </w:p>
    <w:p>
      <w:pPr>
        <w:pStyle w:val="CodeText"/>
      </w:pPr>
      <w:r>
        <w:t>front/src/features/dashboard/pages/DashboardPage.vue</w:t>
      </w:r>
    </w:p>
    <w:p>
      <w:pPr>
        <w:pStyle w:val="CodeText"/>
      </w:pPr>
      <w:r>
        <w:t>front/src/features/dashboard/components/*.vue</w:t>
      </w:r>
    </w:p>
    <w:p>
      <w:pPr>
        <w:pStyle w:val="CodeText"/>
      </w:pPr>
      <w:r>
        <w:t>front/src/features/dashboard/composables/useDashboardWorkspace.*</w:t>
      </w:r>
    </w:p>
    <w:p>
      <w:pPr>
        <w:pStyle w:val="CodeText"/>
      </w:pPr>
      <w:r>
        <w:t>front/src/features/dashboard/composables/useSensorSeries.*</w:t>
      </w:r>
    </w:p>
    <w:p>
      <w:pPr>
        <w:pStyle w:val="CodeText"/>
      </w:pPr>
      <w:r>
        <w:t>front/src/features/dashboard/services/dashboardRepository.*</w:t>
      </w:r>
    </w:p>
    <w:p>
      <w:pPr>
        <w:pStyle w:val="CodeText"/>
      </w:pPr>
      <w:r>
        <w:t>front/src/features/dashboard/domain/{types,thresholds,statistics}.*</w:t>
      </w:r>
    </w:p>
    <w:p>
      <w:pPr>
        <w:pStyle w:val="CodeText"/>
      </w:pPr>
      <w:r>
        <w:t>front/src/styles/sinoa-tokens.css</w:t>
      </w:r>
    </w:p>
    <w:p>
      <w:pPr>
        <w:pStyle w:val="Small"/>
      </w:pPr>
      <w:r>
        <w:t>El sufijo .ts o .js debe respetar el lenguaje del proyecto. El dashboard comparte componentes entre desktop y móvil; cambia la composición por CSS y capacidades de interacción, no mediante dos implementaciones de negocio independientes.</w:t>
      </w:r>
    </w:p>
    <w:p>
      <w:pPr>
        <w:pStyle w:val="Heading1"/>
        <w:pageBreakBefore w:val="0"/>
      </w:pPr>
      <w:r>
        <w:t>08. Contratos de datos, seguridad y rendimiento</w:t>
      </w:r>
    </w:p>
    <w:p>
      <w:r>
        <w:t>Inventariar primero los endpoints y adaptadores existentes. Los nombres de campos siguientes expresan el contrato necesario; no afirman que las rutas HTTP ya estén disponibles.</w:t>
      </w:r>
    </w:p>
    <w:tbl>
      <w:tblPr>
        <w:tblLook w:firstColumn="1" w:firstRow="1" w:lastColumn="0" w:lastRow="0" w:noHBand="0" w:noVBand="1" w:val="04A0"/>
        <w:tblW w:type="dxa" w:w="9360"/>
        <w:tblInd w:type="dxa" w:w="120"/>
        <w:tblLayout w:type="fixed"/>
        <w:tblCellMar>
          <w:top w:w="80" w:type="dxa"/>
          <w:bottom w:w="80" w:type="dxa"/>
          <w:start w:w="120" w:type="dxa"/>
          <w:end w:w="120" w:type="dxa"/>
        </w:tblCellMar>
        <w:tblBorders>
          <w:top w:val="single" w:sz="4" w:color="E2E8F0"/>
          <w:left w:val="single" w:sz="4" w:color="E2E8F0"/>
          <w:bottom w:val="single" w:sz="4" w:color="E2E8F0"/>
          <w:right w:val="single" w:sz="4" w:color="E2E8F0"/>
          <w:insideH w:val="single" w:sz="4" w:color="E2E8F0"/>
          <w:insideV w:val="single" w:sz="4" w:color="E2E8F0"/>
        </w:tblBorders>
      </w:tblPr>
      <w:tblGrid>
        <w:gridCol w:w="2200"/>
        <w:gridCol w:w="7160"/>
      </w:tblGrid>
      <w:tr>
        <w:trPr>
          <w:cantSplit/>
          <w:tblHeader/>
        </w:trPr>
        <w:tc>
          <w:tcPr>
            <w:tcW w:type="dxa" w:w="2200"/>
            <w:shd w:fill="EFF6FF"/>
          </w:tcPr>
          <w:p>
            <w:pPr>
              <w:pStyle w:val="TableBody"/>
            </w:pPr>
            <w:r>
              <w:rPr>
                <w:b/>
                <w:color w:val="1E40AF"/>
              </w:rPr>
              <w:t>Entidad</w:t>
            </w:r>
          </w:p>
        </w:tc>
        <w:tc>
          <w:tcPr>
            <w:tcW w:type="dxa" w:w="7160"/>
            <w:shd w:fill="EFF6FF"/>
          </w:tcPr>
          <w:p>
            <w:pPr>
              <w:pStyle w:val="TableBody"/>
            </w:pPr>
            <w:r>
              <w:rPr>
                <w:b/>
                <w:color w:val="1E40AF"/>
              </w:rPr>
              <w:t>Campos mínimos propuestos</w:t>
            </w:r>
          </w:p>
        </w:tc>
      </w:tr>
      <w:tr>
        <w:trPr>
          <w:cantSplit/>
        </w:trPr>
        <w:tc>
          <w:tcPr>
            <w:tcW w:type="dxa" w:w="2200"/>
          </w:tcPr>
          <w:p>
            <w:pPr>
              <w:pStyle w:val="TableBody"/>
            </w:pPr>
            <w:r>
              <w:t>Workspace</w:t>
            </w:r>
          </w:p>
        </w:tc>
        <w:tc>
          <w:tcPr>
            <w:tcW w:type="dxa" w:w="7160"/>
          </w:tcPr>
          <w:p>
            <w:pPr>
              <w:pStyle w:val="TableBody"/>
            </w:pPr>
            <w:r>
              <w:t>id, schemaVersion, revision, selectedWidgetId, widgets[], updatedAt.</w:t>
            </w:r>
          </w:p>
        </w:tc>
      </w:tr>
      <w:tr>
        <w:trPr>
          <w:cantSplit/>
        </w:trPr>
        <w:tc>
          <w:tcPr>
            <w:tcW w:type="dxa" w:w="2200"/>
          </w:tcPr>
          <w:p>
            <w:pPr>
              <w:pStyle w:val="TableBody"/>
            </w:pPr>
            <w:r>
              <w:t>Widget</w:t>
            </w:r>
          </w:p>
        </w:tc>
        <w:tc>
          <w:tcPr>
            <w:tcW w:type="dxa" w:w="7160"/>
          </w:tcPr>
          <w:p>
            <w:pPr>
              <w:pStyle w:val="TableBody"/>
            </w:pPr>
            <w:r>
              <w:t>id estable, deviceId, sensorId, title opcional, order, timeRange.</w:t>
            </w:r>
          </w:p>
        </w:tc>
      </w:tr>
      <w:tr>
        <w:trPr>
          <w:cantSplit/>
        </w:trPr>
        <w:tc>
          <w:tcPr>
            <w:tcW w:type="dxa" w:w="2200"/>
          </w:tcPr>
          <w:p>
            <w:pPr>
              <w:pStyle w:val="TableBody"/>
            </w:pPr>
            <w:r>
              <w:t>Sensor</w:t>
            </w:r>
          </w:p>
        </w:tc>
        <w:tc>
          <w:tcPr>
            <w:tcW w:type="dxa" w:w="7160"/>
          </w:tcPr>
          <w:p>
            <w:pPr>
              <w:pStyle w:val="TableBody"/>
            </w:pPr>
            <w:r>
              <w:t>id, deviceId, label, unit, precision, expectedPeriodMs, thresholds, capabilities.</w:t>
            </w:r>
          </w:p>
        </w:tc>
      </w:tr>
      <w:tr>
        <w:trPr>
          <w:cantSplit/>
        </w:trPr>
        <w:tc>
          <w:tcPr>
            <w:tcW w:type="dxa" w:w="2200"/>
          </w:tcPr>
          <w:p>
            <w:pPr>
              <w:pStyle w:val="TableBody"/>
            </w:pPr>
            <w:r>
              <w:t>Reading</w:t>
            </w:r>
          </w:p>
        </w:tc>
        <w:tc>
          <w:tcPr>
            <w:tcW w:type="dxa" w:w="7160"/>
          </w:tcPr>
          <w:p>
            <w:pPr>
              <w:pStyle w:val="TableBody"/>
            </w:pPr>
            <w:r>
              <w:t>sensorId, timestamp UTC, value nullable, qualityFlag, sequence opcional.</w:t>
            </w:r>
          </w:p>
        </w:tc>
      </w:tr>
      <w:tr>
        <w:trPr>
          <w:cantSplit/>
        </w:trPr>
        <w:tc>
          <w:tcPr>
            <w:tcW w:type="dxa" w:w="2200"/>
          </w:tcPr>
          <w:p>
            <w:pPr>
              <w:pStyle w:val="TableBody"/>
            </w:pPr>
            <w:r>
              <w:t>SeriesResult</w:t>
            </w:r>
          </w:p>
        </w:tc>
        <w:tc>
          <w:tcPr>
            <w:tcW w:type="dxa" w:w="7160"/>
          </w:tcPr>
          <w:p>
            <w:pPr>
              <w:pStyle w:val="TableBody"/>
            </w:pPr>
            <w:r>
              <w:t>sensorId, from/to, points[], aggregation, originalSampleCount, estadísticas y cobertura.</w:t>
            </w:r>
          </w:p>
        </w:tc>
      </w:tr>
      <w:tr>
        <w:trPr>
          <w:cantSplit/>
        </w:trPr>
        <w:tc>
          <w:tcPr>
            <w:tcW w:type="dxa" w:w="2200"/>
          </w:tcPr>
          <w:p>
            <w:pPr>
              <w:pStyle w:val="TableBody"/>
            </w:pPr>
            <w:r>
              <w:t>Alert</w:t>
            </w:r>
          </w:p>
        </w:tc>
        <w:tc>
          <w:tcPr>
            <w:tcW w:type="dxa" w:w="7160"/>
          </w:tcPr>
          <w:p>
            <w:pPr>
              <w:pStyle w:val="TableBody"/>
            </w:pPr>
            <w:r>
              <w:t>id, deviceId, sensorId opcional, severity, status, message, value, raisedAt, resolvedAt, ruleRevision.</w:t>
            </w:r>
          </w:p>
        </w:tc>
      </w:tr>
    </w:tbl>
    <w:p>
      <w:pPr>
        <w:pStyle w:val="Small"/>
      </w:pPr>
    </w:p>
    <w:p>
      <w:pPr>
        <w:pStyle w:val="Heading2"/>
        <w:pageBreakBefore w:val="0"/>
      </w:pPr>
      <w:r>
        <w:t>Operaciones necesarias</w:t>
      </w:r>
    </w:p>
    <w:p>
      <w:r>
        <w:t>Listar dispositivos y sensores autorizados; obtener serie por sensor y rango; recuperar última lectura; consultar alertas y eventos; cargar y guardar preferencias con revisión. Reutilizar el transporte en vivo disponible. Si solo existe polling, evitar peticiones solapadas y liberar timers al desmontar.</w:t>
      </w:r>
    </w:p>
    <w:p>
      <w:r>
        <w:t>Guardar preferencias por usuario y laboratorio. La autorización de sensores, ámbito y acciones se valida en servidor en cada operación. Persistir solo IDs y configuración, nunca tokens ni datos sensibles en el tablero. Si se usa almacenamiento local para borradores, aislarlo por usuario/ámbito y limpiarlo al cerrar sesión.</w:t>
      </w:r>
    </w:p>
    <w:p>
      <w:pPr>
        <w:pStyle w:val="Heading2"/>
        <w:pageBreakBefore w:val="0"/>
      </w:pPr>
      <w:r>
        <w:t>Tratamiento temporal y rendimiento</w:t>
      </w:r>
    </w:p>
    <w:p>
      <w:pPr>
        <w:pStyle w:val="SINOABullet"/>
        <w:numPr>
          <w:ilvl w:val="0"/>
          <w:numId w:val="90"/>
        </w:numPr>
      </w:pPr>
      <w:r>
        <w:t>Normalizar timestamps a UTC; mostrar la zona configurada del laboratorio. Ordenar y deduplicar por sensor y timestamp/secuencia. No derivar la zona del navegador sin avisar.</w:t>
      </w:r>
    </w:p>
    <w:p>
      <w:pPr>
        <w:pStyle w:val="SINOABullet"/>
        <w:numPr>
          <w:ilvl w:val="0"/>
          <w:numId w:val="90"/>
        </w:numPr>
      </w:pPr>
      <w:r>
        <w:t>Usar una instancia de gráfico por widget montado, actualizar datasets y destruirla al desmontar. En móvil montar un gráfico principal; las filas secundarias pueden mostrar solo resumen.</w:t>
      </w:r>
    </w:p>
    <w:p>
      <w:pPr>
        <w:pStyle w:val="SINOABullet"/>
        <w:numPr>
          <w:ilvl w:val="0"/>
          <w:numId w:val="90"/>
        </w:numPr>
      </w:pPr>
      <w:r>
        <w:t>Limitar los puntos de dibujo según ancho de canvas, preservando picos y valles. Mantener las estadísticas calculadas sobre datos originales. Chart.js documenta reducción de datos y desactivar animaciones como recursos de rendimiento. [3]</w:t>
      </w:r>
    </w:p>
    <w:p>
      <w:pPr>
        <w:pStyle w:val="SINOABullet"/>
        <w:numPr>
          <w:ilvl w:val="0"/>
          <w:numId w:val="90"/>
        </w:numPr>
      </w:pPr>
      <w:r>
        <w:t>Cancelar consultas al cambiar de selección; identificar cada respuesta con sensor, rango y solicitud para impedir mezclas. Recuperar huecos tras reconexión.</w:t>
      </w:r>
    </w:p>
    <w:p>
      <w:pPr>
        <w:pStyle w:val="SINOABullet"/>
        <w:numPr>
          <w:ilvl w:val="0"/>
          <w:numId w:val="90"/>
        </w:numPr>
      </w:pPr>
      <w:r>
        <w:t>Objetivos por verificar: selección con datos en caché perceptiblemente inmediata, interacción &lt; 200 ms como presupuesto de laboratorio y dashboard operativo ≤ 3 s en el perfil de red/dispositivo acordado. No son resultados medidos.</w:t>
      </w:r>
    </w:p>
    <w:p>
      <w:pPr>
        <w:pStyle w:val="Heading1"/>
        <w:pageBreakBefore w:val="0"/>
      </w:pPr>
      <w:r>
        <w:t>09. Plan de desarrollo por fases</w:t>
      </w:r>
    </w:p>
    <w:p>
      <w:r>
        <w:t>Ejecutar en orden; cada fase termina con un resultado revisable. El cronograma se estima después de conocer la disponibilidad real de datos, las pruebas existentes y la deuda de la rama.</w:t>
      </w:r>
    </w:p>
    <w:tbl>
      <w:tblPr>
        <w:tblLook w:firstColumn="1" w:firstRow="1" w:lastColumn="0" w:lastRow="0" w:noHBand="0" w:noVBand="1" w:val="04A0"/>
        <w:tblW w:type="dxa" w:w="9360"/>
        <w:tblInd w:type="dxa" w:w="120"/>
        <w:tblLayout w:type="fixed"/>
        <w:tblCellMar>
          <w:top w:w="80" w:type="dxa"/>
          <w:bottom w:w="80" w:type="dxa"/>
          <w:start w:w="120" w:type="dxa"/>
          <w:end w:w="120" w:type="dxa"/>
        </w:tblCellMar>
        <w:tblBorders>
          <w:top w:val="single" w:sz="4" w:color="E2E8F0"/>
          <w:left w:val="single" w:sz="4" w:color="E2E8F0"/>
          <w:bottom w:val="single" w:sz="4" w:color="E2E8F0"/>
          <w:right w:val="single" w:sz="4" w:color="E2E8F0"/>
          <w:insideH w:val="single" w:sz="4" w:color="E2E8F0"/>
          <w:insideV w:val="single" w:sz="4" w:color="E2E8F0"/>
        </w:tblBorders>
      </w:tblPr>
      <w:tblGrid>
        <w:gridCol w:w="1660"/>
        <w:gridCol w:w="3850"/>
        <w:gridCol w:w="3850"/>
      </w:tblGrid>
      <w:tr>
        <w:trPr>
          <w:cantSplit/>
          <w:tblHeader/>
        </w:trPr>
        <w:tc>
          <w:tcPr>
            <w:tcW w:type="dxa" w:w="1660"/>
            <w:shd w:fill="EFF6FF"/>
          </w:tcPr>
          <w:p>
            <w:pPr>
              <w:pStyle w:val="TableBody"/>
            </w:pPr>
            <w:r>
              <w:rPr>
                <w:b/>
                <w:color w:val="1E40AF"/>
              </w:rPr>
              <w:t>Fase</w:t>
            </w:r>
          </w:p>
        </w:tc>
        <w:tc>
          <w:tcPr>
            <w:tcW w:type="dxa" w:w="3850"/>
            <w:shd w:fill="EFF6FF"/>
          </w:tcPr>
          <w:p>
            <w:pPr>
              <w:pStyle w:val="TableBody"/>
            </w:pPr>
            <w:r>
              <w:rPr>
                <w:b/>
                <w:color w:val="1E40AF"/>
              </w:rPr>
              <w:t>Trabajo</w:t>
            </w:r>
          </w:p>
        </w:tc>
        <w:tc>
          <w:tcPr>
            <w:tcW w:type="dxa" w:w="3850"/>
            <w:shd w:fill="EFF6FF"/>
          </w:tcPr>
          <w:p>
            <w:pPr>
              <w:pStyle w:val="TableBody"/>
            </w:pPr>
            <w:r>
              <w:rPr>
                <w:b/>
                <w:color w:val="1E40AF"/>
              </w:rPr>
              <w:t>Criterio de salida</w:t>
            </w:r>
          </w:p>
        </w:tc>
      </w:tr>
      <w:tr>
        <w:trPr>
          <w:cantSplit/>
        </w:trPr>
        <w:tc>
          <w:tcPr>
            <w:tcW w:type="dxa" w:w="1660"/>
          </w:tcPr>
          <w:p>
            <w:pPr>
              <w:pStyle w:val="TableBody"/>
            </w:pPr>
            <w:r>
              <w:t>0 · Diagnóstico</w:t>
            </w:r>
          </w:p>
        </w:tc>
        <w:tc>
          <w:tcPr>
            <w:tcW w:type="dxa" w:w="3850"/>
          </w:tcPr>
          <w:p>
            <w:pPr>
              <w:pStyle w:val="TableBody"/>
            </w:pPr>
            <w:r>
              <w:t>Confirmar rama/commit, rutas, componentes, versiones, autenticación, transporte y persistencia.</w:t>
            </w:r>
          </w:p>
        </w:tc>
        <w:tc>
          <w:tcPr>
            <w:tcW w:type="dxa" w:w="3850"/>
          </w:tcPr>
          <w:p>
            <w:pPr>
              <w:pStyle w:val="TableBody"/>
            </w:pPr>
            <w:r>
              <w:t>Mapa código → diseño; brechas de API y decisiones registradas.</w:t>
            </w:r>
          </w:p>
        </w:tc>
      </w:tr>
      <w:tr>
        <w:trPr>
          <w:cantSplit/>
        </w:trPr>
        <w:tc>
          <w:tcPr>
            <w:tcW w:type="dxa" w:w="1660"/>
          </w:tcPr>
          <w:p>
            <w:pPr>
              <w:pStyle w:val="TableBody"/>
            </w:pPr>
            <w:r>
              <w:t>1 · Fundamentos</w:t>
            </w:r>
          </w:p>
        </w:tc>
        <w:tc>
          <w:tcPr>
            <w:tcW w:type="dxa" w:w="3850"/>
          </w:tcPr>
          <w:p>
            <w:pPr>
              <w:pStyle w:val="TableBody"/>
            </w:pPr>
            <w:r>
              <w:t>Añadir tokens, fuentes, iconos, estructura global y breakpoints.</w:t>
            </w:r>
          </w:p>
        </w:tc>
        <w:tc>
          <w:tcPr>
            <w:tcW w:type="dxa" w:w="3850"/>
          </w:tcPr>
          <w:p>
            <w:pPr>
              <w:pStyle w:val="TableBody"/>
            </w:pPr>
            <w:r>
              <w:t>Shell responsive a 320/390/768/1024/1440 px sin overflow.</w:t>
            </w:r>
          </w:p>
        </w:tc>
      </w:tr>
      <w:tr>
        <w:trPr>
          <w:cantSplit/>
        </w:trPr>
        <w:tc>
          <w:tcPr>
            <w:tcW w:type="dxa" w:w="1660"/>
          </w:tcPr>
          <w:p>
            <w:pPr>
              <w:pStyle w:val="TableBody"/>
            </w:pPr>
            <w:r>
              <w:t>2 · Corte vertical</w:t>
            </w:r>
          </w:p>
        </w:tc>
        <w:tc>
          <w:tcPr>
            <w:tcW w:type="dxa" w:w="3850"/>
          </w:tcPr>
          <w:p>
            <w:pPr>
              <w:pStyle w:val="TableBody"/>
            </w:pPr>
            <w:r>
              <w:t>Integrar un sensor: selectores, lectura, rango, gráfico, umbrales y stats.</w:t>
            </w:r>
          </w:p>
        </w:tc>
        <w:tc>
          <w:tcPr>
            <w:tcW w:type="dxa" w:w="3850"/>
          </w:tcPr>
          <w:p>
            <w:pPr>
              <w:pStyle w:val="TableBody"/>
            </w:pPr>
            <w:r>
              <w:t>Datos reales coherentes, cancelación de consultas y estados vacíos/error.</w:t>
            </w:r>
          </w:p>
        </w:tc>
      </w:tr>
      <w:tr>
        <w:trPr>
          <w:cantSplit/>
        </w:trPr>
        <w:tc>
          <w:tcPr>
            <w:tcW w:type="dxa" w:w="1660"/>
          </w:tcPr>
          <w:p>
            <w:pPr>
              <w:pStyle w:val="TableBody"/>
            </w:pPr>
            <w:r>
              <w:t>3 · Workspace</w:t>
            </w:r>
          </w:p>
        </w:tc>
        <w:tc>
          <w:tcPr>
            <w:tcW w:type="dxa" w:w="3850"/>
          </w:tcPr>
          <w:p>
            <w:pPr>
              <w:pStyle w:val="TableBody"/>
            </w:pPr>
            <w:r>
              <w:t>Agregar, seleccionar, quitar, ordenar, guardar y restaurar widgets.</w:t>
            </w:r>
          </w:p>
        </w:tc>
        <w:tc>
          <w:tcPr>
            <w:tcW w:type="dxa" w:w="3850"/>
          </w:tcPr>
          <w:p>
            <w:pPr>
              <w:pStyle w:val="TableBody"/>
            </w:pPr>
            <w:r>
              <w:t>Persistencia confirmada, conflictos y permisos tratados.</w:t>
            </w:r>
          </w:p>
        </w:tc>
      </w:tr>
      <w:tr>
        <w:trPr>
          <w:cantSplit/>
        </w:trPr>
        <w:tc>
          <w:tcPr>
            <w:tcW w:type="dxa" w:w="1660"/>
          </w:tcPr>
          <w:p>
            <w:pPr>
              <w:pStyle w:val="TableBody"/>
            </w:pPr>
            <w:r>
              <w:t>4 · Operación</w:t>
            </w:r>
          </w:p>
        </w:tc>
        <w:tc>
          <w:tcPr>
            <w:tcW w:type="dxa" w:w="3850"/>
          </w:tcPr>
          <w:p>
            <w:pPr>
              <w:pStyle w:val="TableBody"/>
            </w:pPr>
            <w:r>
              <w:t>Alertas, banner, eventos, detalle científico y frescura/reconexión.</w:t>
            </w:r>
          </w:p>
        </w:tc>
        <w:tc>
          <w:tcPr>
            <w:tcW w:type="dxa" w:w="3850"/>
          </w:tcPr>
          <w:p>
            <w:pPr>
              <w:pStyle w:val="TableBody"/>
            </w:pPr>
            <w:r>
              <w:t>El estado de un sensor no se confunde con una alerta de otro.</w:t>
            </w:r>
          </w:p>
        </w:tc>
      </w:tr>
      <w:tr>
        <w:trPr>
          <w:cantSplit/>
        </w:trPr>
        <w:tc>
          <w:tcPr>
            <w:tcW w:type="dxa" w:w="1660"/>
          </w:tcPr>
          <w:p>
            <w:pPr>
              <w:pStyle w:val="TableBody"/>
            </w:pPr>
            <w:r>
              <w:t>5 · Móvil y accesibilidad</w:t>
            </w:r>
          </w:p>
        </w:tc>
        <w:tc>
          <w:tcPr>
            <w:tcW w:type="dxa" w:w="3850"/>
          </w:tcPr>
          <w:p>
            <w:pPr>
              <w:pStyle w:val="TableBody"/>
            </w:pPr>
            <w:r>
              <w:t>Composición en una columna, acordeones, navegación inferior, teclado y lectores.</w:t>
            </w:r>
          </w:p>
        </w:tc>
        <w:tc>
          <w:tcPr>
            <w:tcW w:type="dxa" w:w="3850"/>
          </w:tcPr>
          <w:p>
            <w:pPr>
              <w:pStyle w:val="TableBody"/>
            </w:pPr>
            <w:r>
              <w:t>Gráfico en primer viewport de referencia; todas las acciones accesibles.</w:t>
            </w:r>
          </w:p>
        </w:tc>
      </w:tr>
      <w:tr>
        <w:trPr>
          <w:cantSplit/>
        </w:trPr>
        <w:tc>
          <w:tcPr>
            <w:tcW w:type="dxa" w:w="1660"/>
          </w:tcPr>
          <w:p>
            <w:pPr>
              <w:pStyle w:val="TableBody"/>
            </w:pPr>
            <w:r>
              <w:t>6 · Verificación</w:t>
            </w:r>
          </w:p>
        </w:tc>
        <w:tc>
          <w:tcPr>
            <w:tcW w:type="dxa" w:w="3850"/>
          </w:tcPr>
          <w:p>
            <w:pPr>
              <w:pStyle w:val="TableBody"/>
            </w:pPr>
            <w:r>
              <w:t>Pruebas funcionales, visuales, límites, rendimiento y datos temporales.</w:t>
            </w:r>
          </w:p>
        </w:tc>
        <w:tc>
          <w:tcPr>
            <w:tcW w:type="dxa" w:w="3850"/>
          </w:tcPr>
          <w:p>
            <w:pPr>
              <w:pStyle w:val="TableBody"/>
            </w:pPr>
            <w:r>
              <w:t>Se cumplen los criterios de la sección 10 con evidencia.</w:t>
            </w:r>
          </w:p>
        </w:tc>
      </w:tr>
      <w:tr>
        <w:trPr>
          <w:cantSplit/>
        </w:trPr>
        <w:tc>
          <w:tcPr>
            <w:tcW w:type="dxa" w:w="1660"/>
          </w:tcPr>
          <w:p>
            <w:pPr>
              <w:pStyle w:val="TableBody"/>
            </w:pPr>
            <w:r>
              <w:t>7 · Entrega</w:t>
            </w:r>
          </w:p>
        </w:tc>
        <w:tc>
          <w:tcPr>
            <w:tcW w:type="dxa" w:w="3850"/>
          </w:tcPr>
          <w:p>
            <w:pPr>
              <w:pStyle w:val="TableBody"/>
            </w:pPr>
            <w:r>
              <w:t>Documentar contratos, activar gradualmente, monitorizar y preparar reversión.</w:t>
            </w:r>
          </w:p>
        </w:tc>
        <w:tc>
          <w:tcPr>
            <w:tcW w:type="dxa" w:w="3850"/>
          </w:tcPr>
          <w:p>
            <w:pPr>
              <w:pStyle w:val="TableBody"/>
            </w:pPr>
            <w:r>
              <w:t>Revisión aprobada, incidencias críticas cerradas y rollback comprobable.</w:t>
            </w:r>
          </w:p>
        </w:tc>
      </w:tr>
    </w:tbl>
    <w:p>
      <w:pPr>
        <w:pStyle w:val="Small"/>
      </w:pPr>
    </w:p>
    <w:p>
      <w:pPr>
        <w:pStyle w:val="Heading2"/>
        <w:pageBreakBefore w:val="0"/>
      </w:pPr>
      <w:r>
        <w:t>Secuencia de integración</w:t>
      </w:r>
    </w:p>
    <w:p>
      <w:r>
        <w:t>Entregas pequeñas: tokens/shell → gráfico funcional → workspace persistente → operación/alertas → pulido móvil. Cada cambio debe conservar una ruta utilizable. Una bandera de configuración puede permitir alternar entre dashboard anterior y nuevo durante la validación, si encaja con la arquitectura actual.</w:t>
      </w:r>
    </w:p>
    <w:p>
      <w:pPr>
        <w:pStyle w:val="Heading2"/>
        <w:pageBreakBefore w:val="0"/>
      </w:pPr>
      <w:r>
        <w:t>Dependencias que pueden bloquear</w:t>
      </w:r>
    </w:p>
    <w:p>
      <w:pPr>
        <w:pStyle w:val="SINOABullet"/>
        <w:numPr>
          <w:ilvl w:val="0"/>
          <w:numId w:val="90"/>
        </w:numPr>
      </w:pPr>
      <w:r>
        <w:t>Sin endpoint de preferencias: implementar y validar persistencia antes de prometer sincronización entre dispositivos.</w:t>
      </w:r>
    </w:p>
    <w:p>
      <w:pPr>
        <w:pStyle w:val="SINOABullet"/>
        <w:numPr>
          <w:ilvl w:val="0"/>
          <w:numId w:val="90"/>
        </w:numPr>
      </w:pPr>
      <w:r>
        <w:t>Sin frecuencia o banderas de calidad: presentar No disponible; acordar el cálculo antes de mostrar porcentajes.</w:t>
      </w:r>
    </w:p>
    <w:p>
      <w:pPr>
        <w:pStyle w:val="SINOABullet"/>
        <w:numPr>
          <w:ilvl w:val="0"/>
          <w:numId w:val="90"/>
        </w:numPr>
      </w:pPr>
      <w:r>
        <w:t>Sin flujo en vivo confiable: formalizar polling y frescura; no usar EN VIVO como etiqueta permanente.</w:t>
      </w:r>
    </w:p>
    <w:p>
      <w:pPr>
        <w:pStyle w:val="SINOABullet"/>
        <w:numPr>
          <w:ilvl w:val="0"/>
          <w:numId w:val="90"/>
        </w:numPr>
      </w:pPr>
      <w:r>
        <w:t>Sin autorización por ámbito: resolver el contrato de acceso antes de conectar selectores a datos reales.</w:t>
      </w:r>
    </w:p>
    <w:p>
      <w:pPr>
        <w:pStyle w:val="Heading1"/>
        <w:pageBreakBefore w:val="0"/>
      </w:pPr>
      <w:r>
        <w:t>10. Matriz de verificación y aceptación</w:t>
      </w:r>
    </w:p>
    <w:p>
      <w:r>
        <w:t>Estas pruebas se planifican; aún no se han ejecutado contra el repositorio. El objetivo es validar riesgos reales de este dashboard, no duplicar su implementación con pruebas superficiales.</w:t>
      </w:r>
    </w:p>
    <w:tbl>
      <w:tblPr>
        <w:tblLook w:firstColumn="1" w:firstRow="1" w:lastColumn="0" w:lastRow="0" w:noHBand="0" w:noVBand="1" w:val="04A0"/>
        <w:tblW w:type="dxa" w:w="9360"/>
        <w:tblInd w:type="dxa" w:w="120"/>
        <w:tblLayout w:type="fixed"/>
        <w:tblCellMar>
          <w:top w:w="80" w:type="dxa"/>
          <w:bottom w:w="80" w:type="dxa"/>
          <w:start w:w="120" w:type="dxa"/>
          <w:end w:w="120" w:type="dxa"/>
        </w:tblCellMar>
        <w:tblBorders>
          <w:top w:val="single" w:sz="4" w:color="E2E8F0"/>
          <w:left w:val="single" w:sz="4" w:color="E2E8F0"/>
          <w:bottom w:val="single" w:sz="4" w:color="E2E8F0"/>
          <w:right w:val="single" w:sz="4" w:color="E2E8F0"/>
          <w:insideH w:val="single" w:sz="4" w:color="E2E8F0"/>
          <w:insideV w:val="single" w:sz="4" w:color="E2E8F0"/>
        </w:tblBorders>
      </w:tblPr>
      <w:tblGrid>
        <w:gridCol w:w="1570"/>
        <w:gridCol w:w="3510"/>
        <w:gridCol w:w="4280"/>
      </w:tblGrid>
      <w:tr>
        <w:trPr>
          <w:cantSplit/>
          <w:tblHeader/>
        </w:trPr>
        <w:tc>
          <w:tcPr>
            <w:tcW w:type="dxa" w:w="1570"/>
            <w:shd w:fill="EFF6FF"/>
          </w:tcPr>
          <w:p>
            <w:pPr>
              <w:pStyle w:val="TableBody"/>
            </w:pPr>
            <w:r>
              <w:rPr>
                <w:b/>
                <w:color w:val="1E40AF"/>
              </w:rPr>
              <w:t>Área</w:t>
            </w:r>
          </w:p>
        </w:tc>
        <w:tc>
          <w:tcPr>
            <w:tcW w:type="dxa" w:w="3510"/>
            <w:shd w:fill="EFF6FF"/>
          </w:tcPr>
          <w:p>
            <w:pPr>
              <w:pStyle w:val="TableBody"/>
            </w:pPr>
            <w:r>
              <w:rPr>
                <w:b/>
                <w:color w:val="1E40AF"/>
              </w:rPr>
              <w:t>Prueba / condición</w:t>
            </w:r>
          </w:p>
        </w:tc>
        <w:tc>
          <w:tcPr>
            <w:tcW w:type="dxa" w:w="4280"/>
            <w:shd w:fill="EFF6FF"/>
          </w:tcPr>
          <w:p>
            <w:pPr>
              <w:pStyle w:val="TableBody"/>
            </w:pPr>
            <w:r>
              <w:rPr>
                <w:b/>
                <w:color w:val="1E40AF"/>
              </w:rPr>
              <w:t>Resultado exigido</w:t>
            </w:r>
          </w:p>
        </w:tc>
      </w:tr>
      <w:tr>
        <w:trPr>
          <w:cantSplit/>
        </w:trPr>
        <w:tc>
          <w:tcPr>
            <w:tcW w:type="dxa" w:w="1570"/>
          </w:tcPr>
          <w:p>
            <w:pPr>
              <w:pStyle w:val="TableBody"/>
            </w:pPr>
            <w:r>
              <w:t>Selección</w:t>
            </w:r>
          </w:p>
        </w:tc>
        <w:tc>
          <w:tcPr>
            <w:tcW w:type="dxa" w:w="3510"/>
          </w:tcPr>
          <w:p>
            <w:pPr>
              <w:pStyle w:val="TableBody"/>
            </w:pPr>
            <w:r>
              <w:t>Cambiar rápido entre tres sensores.</w:t>
            </w:r>
          </w:p>
        </w:tc>
        <w:tc>
          <w:tcPr>
            <w:tcW w:type="dxa" w:w="4280"/>
          </w:tcPr>
          <w:p>
            <w:pPr>
              <w:pStyle w:val="TableBody"/>
            </w:pPr>
            <w:r>
              <w:t>No aparece una respuesta atrasada del sensor anterior.</w:t>
            </w:r>
          </w:p>
        </w:tc>
      </w:tr>
      <w:tr>
        <w:trPr>
          <w:cantSplit/>
        </w:trPr>
        <w:tc>
          <w:tcPr>
            <w:tcW w:type="dxa" w:w="1570"/>
          </w:tcPr>
          <w:p>
            <w:pPr>
              <w:pStyle w:val="TableBody"/>
            </w:pPr>
            <w:r>
              <w:t>Datos</w:t>
            </w:r>
          </w:p>
        </w:tc>
        <w:tc>
          <w:tcPr>
            <w:tcW w:type="dxa" w:w="3510"/>
          </w:tcPr>
          <w:p>
            <w:pPr>
              <w:pStyle w:val="TableBody"/>
            </w:pPr>
            <w:r>
              <w:t>Lecturas nulas, repetidas o fuera de orden.</w:t>
            </w:r>
          </w:p>
        </w:tc>
        <w:tc>
          <w:tcPr>
            <w:tcW w:type="dxa" w:w="4280"/>
          </w:tcPr>
          <w:p>
            <w:pPr>
              <w:pStyle w:val="TableBody"/>
            </w:pPr>
            <w:r>
              <w:t>Huecos correctos; deduplicación; última lectura válida estable.</w:t>
            </w:r>
          </w:p>
        </w:tc>
      </w:tr>
      <w:tr>
        <w:trPr>
          <w:cantSplit/>
        </w:trPr>
        <w:tc>
          <w:tcPr>
            <w:tcW w:type="dxa" w:w="1570"/>
          </w:tcPr>
          <w:p>
            <w:pPr>
              <w:pStyle w:val="TableBody"/>
            </w:pPr>
            <w:r>
              <w:t>Umbrales</w:t>
            </w:r>
          </w:p>
        </w:tc>
        <w:tc>
          <w:tcPr>
            <w:tcW w:type="dxa" w:w="3510"/>
          </w:tcPr>
          <w:p>
            <w:pPr>
              <w:pStyle w:val="TableBody"/>
            </w:pPr>
            <w:r>
              <w:t>Valores 19.9, 20, 27.9, 28, 30 y 30.1.</w:t>
            </w:r>
          </w:p>
        </w:tc>
        <w:tc>
          <w:tcPr>
            <w:tcW w:type="dxa" w:w="4280"/>
          </w:tcPr>
          <w:p>
            <w:pPr>
              <w:pStyle w:val="TableBody"/>
            </w:pPr>
            <w:r>
              <w:t>Clasificación según intervalos; reglas inferiores explícitas.</w:t>
            </w:r>
          </w:p>
        </w:tc>
      </w:tr>
      <w:tr>
        <w:trPr>
          <w:cantSplit/>
        </w:trPr>
        <w:tc>
          <w:tcPr>
            <w:tcW w:type="dxa" w:w="1570"/>
          </w:tcPr>
          <w:p>
            <w:pPr>
              <w:pStyle w:val="TableBody"/>
            </w:pPr>
            <w:r>
              <w:t>Estadística</w:t>
            </w:r>
          </w:p>
        </w:tc>
        <w:tc>
          <w:tcPr>
            <w:tcW w:type="dxa" w:w="3510"/>
          </w:tcPr>
          <w:p>
            <w:pPr>
              <w:pStyle w:val="TableBody"/>
            </w:pPr>
            <w:r>
              <w:t>Rango con inválidos y reducción de puntos.</w:t>
            </w:r>
          </w:p>
        </w:tc>
        <w:tc>
          <w:tcPr>
            <w:tcW w:type="dxa" w:w="4280"/>
          </w:tcPr>
          <w:p>
            <w:pPr>
              <w:pStyle w:val="TableBody"/>
            </w:pPr>
            <w:r>
              <w:t>Stats sobre originales válidos; conteos y calidad trazables.</w:t>
            </w:r>
          </w:p>
        </w:tc>
      </w:tr>
      <w:tr>
        <w:trPr>
          <w:cantSplit/>
        </w:trPr>
        <w:tc>
          <w:tcPr>
            <w:tcW w:type="dxa" w:w="1570"/>
          </w:tcPr>
          <w:p>
            <w:pPr>
              <w:pStyle w:val="TableBody"/>
            </w:pPr>
            <w:r>
              <w:t>Persistencia</w:t>
            </w:r>
          </w:p>
        </w:tc>
        <w:tc>
          <w:tcPr>
            <w:tcW w:type="dxa" w:w="3510"/>
          </w:tcPr>
          <w:p>
            <w:pPr>
              <w:pStyle w:val="TableBody"/>
            </w:pPr>
            <w:r>
              <w:t>Editar, guardar, recargar; fallo y conflicto.</w:t>
            </w:r>
          </w:p>
        </w:tc>
        <w:tc>
          <w:tcPr>
            <w:tcW w:type="dxa" w:w="4280"/>
          </w:tcPr>
          <w:p>
            <w:pPr>
              <w:pStyle w:val="TableBody"/>
            </w:pPr>
            <w:r>
              <w:t>Orden restaurado; borrador conservado; sin sobrescritura silenciosa.</w:t>
            </w:r>
          </w:p>
        </w:tc>
      </w:tr>
      <w:tr>
        <w:trPr>
          <w:cantSplit/>
        </w:trPr>
        <w:tc>
          <w:tcPr>
            <w:tcW w:type="dxa" w:w="1570"/>
          </w:tcPr>
          <w:p>
            <w:pPr>
              <w:pStyle w:val="TableBody"/>
            </w:pPr>
            <w:r>
              <w:t>Conexión</w:t>
            </w:r>
          </w:p>
        </w:tc>
        <w:tc>
          <w:tcPr>
            <w:tcW w:type="dxa" w:w="3510"/>
          </w:tcPr>
          <w:p>
            <w:pPr>
              <w:pStyle w:val="TableBody"/>
            </w:pPr>
            <w:r>
              <w:t>Cortar transporte y reconectar.</w:t>
            </w:r>
          </w:p>
        </w:tc>
        <w:tc>
          <w:tcPr>
            <w:tcW w:type="dxa" w:w="4280"/>
          </w:tcPr>
          <w:p>
            <w:pPr>
              <w:pStyle w:val="TableBody"/>
            </w:pPr>
            <w:r>
              <w:t>Frescura correcta; recuperación del intervalo; sin duplicados.</w:t>
            </w:r>
          </w:p>
        </w:tc>
      </w:tr>
      <w:tr>
        <w:trPr>
          <w:cantSplit/>
        </w:trPr>
        <w:tc>
          <w:tcPr>
            <w:tcW w:type="dxa" w:w="1570"/>
          </w:tcPr>
          <w:p>
            <w:pPr>
              <w:pStyle w:val="TableBody"/>
            </w:pPr>
            <w:r>
              <w:t>Permisos</w:t>
            </w:r>
          </w:p>
        </w:tc>
        <w:tc>
          <w:tcPr>
            <w:tcW w:type="dxa" w:w="3510"/>
          </w:tcPr>
          <w:p>
            <w:pPr>
              <w:pStyle w:val="TableBody"/>
            </w:pPr>
            <w:r>
              <w:t>Solicitar sensor ajeno al ámbito.</w:t>
            </w:r>
          </w:p>
        </w:tc>
        <w:tc>
          <w:tcPr>
            <w:tcW w:type="dxa" w:w="4280"/>
          </w:tcPr>
          <w:p>
            <w:pPr>
              <w:pStyle w:val="TableBody"/>
            </w:pPr>
            <w:r>
              <w:t>Servidor rechaza; UI limpia selección sin filtrar datos.</w:t>
            </w:r>
          </w:p>
        </w:tc>
      </w:tr>
      <w:tr>
        <w:trPr>
          <w:cantSplit/>
        </w:trPr>
        <w:tc>
          <w:tcPr>
            <w:tcW w:type="dxa" w:w="1570"/>
          </w:tcPr>
          <w:p>
            <w:pPr>
              <w:pStyle w:val="TableBody"/>
            </w:pPr>
            <w:r>
              <w:t>Responsive</w:t>
            </w:r>
          </w:p>
        </w:tc>
        <w:tc>
          <w:tcPr>
            <w:tcW w:type="dxa" w:w="3510"/>
          </w:tcPr>
          <w:p>
            <w:pPr>
              <w:pStyle w:val="TableBody"/>
            </w:pPr>
            <w:r>
              <w:t>320, 390, 768, 1024, 1280 y 1440 px.</w:t>
            </w:r>
          </w:p>
        </w:tc>
        <w:tc>
          <w:tcPr>
            <w:tcW w:type="dxa" w:w="4280"/>
          </w:tcPr>
          <w:p>
            <w:pPr>
              <w:pStyle w:val="TableBody"/>
            </w:pPr>
            <w:r>
              <w:t>Sin scroll horizontal global ni controles cortados.</w:t>
            </w:r>
          </w:p>
        </w:tc>
      </w:tr>
      <w:tr>
        <w:trPr>
          <w:cantSplit/>
        </w:trPr>
        <w:tc>
          <w:tcPr>
            <w:tcW w:type="dxa" w:w="1570"/>
          </w:tcPr>
          <w:p>
            <w:pPr>
              <w:pStyle w:val="TableBody"/>
            </w:pPr>
            <w:r>
              <w:t>Móvil</w:t>
            </w:r>
          </w:p>
        </w:tc>
        <w:tc>
          <w:tcPr>
            <w:tcW w:type="dxa" w:w="3510"/>
          </w:tcPr>
          <w:p>
            <w:pPr>
              <w:pStyle w:val="TableBody"/>
            </w:pPr>
            <w:r>
              <w:t>390 × 844, orientación vertical.</w:t>
            </w:r>
          </w:p>
        </w:tc>
        <w:tc>
          <w:tcPr>
            <w:tcW w:type="dxa" w:w="4280"/>
          </w:tcPr>
          <w:p>
            <w:pPr>
              <w:pStyle w:val="TableBody"/>
            </w:pPr>
            <w:r>
              <w:t>Alerta, selectores, lectura y gráfico alcanzables en el primer viewport; resto por scroll.</w:t>
            </w:r>
          </w:p>
        </w:tc>
      </w:tr>
      <w:tr>
        <w:trPr>
          <w:cantSplit/>
        </w:trPr>
        <w:tc>
          <w:tcPr>
            <w:tcW w:type="dxa" w:w="1570"/>
          </w:tcPr>
          <w:p>
            <w:pPr>
              <w:pStyle w:val="TableBody"/>
            </w:pPr>
            <w:r>
              <w:t>Accesibilidad</w:t>
            </w:r>
          </w:p>
        </w:tc>
        <w:tc>
          <w:tcPr>
            <w:tcW w:type="dxa" w:w="3510"/>
          </w:tcPr>
          <w:p>
            <w:pPr>
              <w:pStyle w:val="TableBody"/>
            </w:pPr>
            <w:r>
              <w:t>Teclado, zoom 200 %, foco y arrastre.</w:t>
            </w:r>
          </w:p>
        </w:tc>
        <w:tc>
          <w:tcPr>
            <w:tcW w:type="dxa" w:w="4280"/>
          </w:tcPr>
          <w:p>
            <w:pPr>
              <w:pStyle w:val="TableBody"/>
            </w:pPr>
            <w:r>
              <w:t>Orden lógico; foco visible; alternativa Subir/Bajar; gráfico con equivalente textual.</w:t>
            </w:r>
          </w:p>
        </w:tc>
      </w:tr>
      <w:tr>
        <w:trPr>
          <w:cantSplit/>
        </w:trPr>
        <w:tc>
          <w:tcPr>
            <w:tcW w:type="dxa" w:w="1570"/>
          </w:tcPr>
          <w:p>
            <w:pPr>
              <w:pStyle w:val="TableBody"/>
            </w:pPr>
            <w:r>
              <w:t>Navegadores</w:t>
            </w:r>
          </w:p>
        </w:tc>
        <w:tc>
          <w:tcPr>
            <w:tcW w:type="dxa" w:w="3510"/>
          </w:tcPr>
          <w:p>
            <w:pPr>
              <w:pStyle w:val="TableBody"/>
            </w:pPr>
            <w:r>
              <w:t>Chrome/Edge, Firefox, Safari; Android/iOS.</w:t>
            </w:r>
          </w:p>
        </w:tc>
        <w:tc>
          <w:tcPr>
            <w:tcW w:type="dxa" w:w="4280"/>
          </w:tcPr>
          <w:p>
            <w:pPr>
              <w:pStyle w:val="TableBody"/>
            </w:pPr>
            <w:r>
              <w:t>Flujos P0 completos sin fallos bloqueantes.</w:t>
            </w:r>
          </w:p>
        </w:tc>
      </w:tr>
      <w:tr>
        <w:trPr>
          <w:cantSplit/>
        </w:trPr>
        <w:tc>
          <w:tcPr>
            <w:tcW w:type="dxa" w:w="1570"/>
          </w:tcPr>
          <w:p>
            <w:pPr>
              <w:pStyle w:val="TableBody"/>
            </w:pPr>
            <w:r>
              <w:t>Rendimiento</w:t>
            </w:r>
          </w:p>
        </w:tc>
        <w:tc>
          <w:tcPr>
            <w:tcW w:type="dxa" w:w="3510"/>
          </w:tcPr>
          <w:p>
            <w:pPr>
              <w:pStyle w:val="TableBody"/>
            </w:pPr>
            <w:r>
              <w:t>Rango 24 h y cantidad acordada de widgets.</w:t>
            </w:r>
          </w:p>
        </w:tc>
        <w:tc>
          <w:tcPr>
            <w:tcW w:type="dxa" w:w="4280"/>
          </w:tcPr>
          <w:p>
            <w:pPr>
              <w:pStyle w:val="TableBody"/>
            </w:pPr>
            <w:r>
              <w:t>Sin solicitudes repetidas ni crecimiento sostenido de memoria tras cambios.</w:t>
            </w:r>
          </w:p>
        </w:tc>
      </w:tr>
    </w:tbl>
    <w:p>
      <w:pPr>
        <w:pStyle w:val="Small"/>
      </w:pPr>
    </w:p>
    <w:p>
      <w:pPr>
        <w:pStyle w:val="Heading2"/>
        <w:pageBreakBefore w:val="0"/>
      </w:pPr>
      <w:r>
        <w:t>Accesibilidad como requisito de salida</w:t>
      </w:r>
    </w:p>
    <w:p>
      <w:r>
        <w:t>Objetivo WCAG 2.2 AA: contraste de texto normal de al menos 4.5:1 y de texto grande 3:1; controles y estados relevantes, 3:1 cuando aplique. El objetivo interno de área táctil de 44 px supera el mínimo AA de 24 px sujeto a las excepciones del estándar. No anunciar cada muestra de 2 s mediante aria-live; reservar anuncios para cambios de estado importantes. [4]</w:t>
      </w:r>
    </w:p>
    <w:p>
      <w:r>
        <w:t>El canvas no es la única representación: lectura y estadística son texto HTML, y una tabla de últimas lecturas permite consultar la serie. Verificar que el menú y los diálogos no atrapen el foco de forma incorrecta y que lo devuelvan al control que los abrió.</w:t>
      </w:r>
    </w:p>
    <w:p>
      <w:pPr>
        <w:pStyle w:val="Heading1"/>
        <w:pageBreakBefore w:val="0"/>
      </w:pPr>
      <w:r>
        <w:t>11. Entrega, decisiones pendientes y fuentes</w:t>
      </w:r>
    </w:p>
    <w:p>
      <w:pPr>
        <w:pStyle w:val="Heading2"/>
        <w:pageBreakBefore w:val="0"/>
      </w:pPr>
      <w:r>
        <w:t>Definición de terminado</w:t>
      </w:r>
    </w:p>
    <w:p>
      <w:pPr>
        <w:pStyle w:val="SINOABullet"/>
        <w:numPr>
          <w:ilvl w:val="0"/>
          <w:numId w:val="90"/>
        </w:numPr>
      </w:pPr>
      <w:r>
        <w:t>Un solo dashboard web implementado con desktop y móvil, consistente con esta jerarquía y con los tokens definidos.</w:t>
      </w:r>
    </w:p>
    <w:p>
      <w:pPr>
        <w:pStyle w:val="SINOABullet"/>
        <w:numPr>
          <w:ilvl w:val="0"/>
          <w:numId w:val="90"/>
        </w:numPr>
      </w:pPr>
      <w:r>
        <w:t>RF01–RF13 completos y comprobados; P1 separado y visible en el backlog, sin controles aparentes que no ejecuten ninguna acción.</w:t>
      </w:r>
    </w:p>
    <w:p>
      <w:pPr>
        <w:pStyle w:val="SINOABullet"/>
        <w:numPr>
          <w:ilvl w:val="0"/>
          <w:numId w:val="90"/>
        </w:numPr>
      </w:pPr>
      <w:r>
        <w:t>Contratos reales documentados, errores tratados y permisos verificados en backend.</w:t>
      </w:r>
    </w:p>
    <w:p>
      <w:pPr>
        <w:pStyle w:val="SINOABullet"/>
        <w:numPr>
          <w:ilvl w:val="0"/>
          <w:numId w:val="90"/>
        </w:numPr>
      </w:pPr>
      <w:r>
        <w:t>Evidencia visual en los anchos objetivo; prueba manual de teclado y flujo móvil; pruebas automatizadas de las transiciones críticas.</w:t>
      </w:r>
    </w:p>
    <w:p>
      <w:pPr>
        <w:pStyle w:val="SINOABullet"/>
        <w:numPr>
          <w:ilvl w:val="0"/>
          <w:numId w:val="90"/>
        </w:numPr>
      </w:pPr>
      <w:r>
        <w:t>Preferencias persistibles y recuperables, rollback definido y manual breve para seleccionar, organizar y guardar.</w:t>
      </w:r>
    </w:p>
    <w:p>
      <w:pPr>
        <w:pStyle w:val="Heading2"/>
        <w:pageBreakBefore w:val="0"/>
      </w:pPr>
      <w:r>
        <w:t>Decisiones a cerrar en fase 0</w:t>
      </w:r>
    </w:p>
    <w:p>
      <w:r>
        <w:t>Confirmar la ruta del dashboard y el commit de partida; mecanismo de autenticación; propiedad del tablero (personal o compartido); endpoint de preferencias y control de revisión; límites de widgets; transporte en vivo; intervalo esperado por sensor; reglas de umbral; definición final de calidad y zona horaria del laboratorio. Hasta entonces son propuestas de diseño y contrato, no hechos del sistema actual.</w:t>
      </w:r>
    </w:p>
    <w:p>
      <w:pPr>
        <w:pStyle w:val="Heading2"/>
        <w:pageBreakBefore w:val="0"/>
      </w:pPr>
      <w:r>
        <w:t>Instrucción de implementación para el agente</w:t>
      </w:r>
    </w:p>
    <w:p>
      <w:r>
        <w:t>Trabaja sobre la rama y commit confirmados. Inspecciona primero el dashboard existente, sus dependencias y contratos. Implementa Lab Blue Workspace por las fases de este documento, reutilizando componentes y stack actuales. Conserva las funciones existentes; separa borrador de preferencias, datos del servidor y estado de UI. No inventes endpoints ni porcentajes. Prioriza un corte vertical con un sensor real, luego persistencia y operación. Verifica responsive, datos fuera de orden, reconexión, permisos y accesibilidad. Entrega cambios revisables, evidencia de pruebas y brechas pendientes; no despliegues sin autorización.</w:t>
      </w:r>
    </w:p>
    <w:p>
      <w:pPr>
        <w:pStyle w:val="Heading2"/>
        <w:pageBreakBefore w:val="0"/>
      </w:pPr>
      <w:r>
        <w:t>Fuentes técnicas oficiales</w:t>
      </w:r>
    </w:p>
    <w:p>
      <w:pPr>
        <w:pStyle w:val="Small"/>
      </w:pPr>
      <w:r>
        <w:t>Consultadas el 8 de septiembre de 2026. Sustentan mecanismos técnicos; la composición, los tokens y los flujos específicos de SINOA son decisiones de esta propuesta.</w:t>
      </w:r>
    </w:p>
    <w:p>
      <w:pPr>
        <w:pStyle w:val="Small"/>
      </w:pPr>
      <w:hyperlink r:id="rId12">
        <w:r>
          <w:rPr>
            <w:color w:val="2563EB"/>
          </w:rPr>
          <w:t>[1] Vue.js — Composables</w:t>
        </w:r>
      </w:hyperlink>
    </w:p>
    <w:p>
      <w:pPr>
        <w:pStyle w:val="Small"/>
      </w:pPr>
      <w:hyperlink r:id="rId13">
        <w:r>
          <w:rPr>
            <w:color w:val="2563EB"/>
          </w:rPr>
          <w:t>[2] Bootstrap 5.3 — Breakpoints</w:t>
        </w:r>
      </w:hyperlink>
    </w:p>
    <w:p>
      <w:pPr>
        <w:pStyle w:val="Small"/>
      </w:pPr>
      <w:hyperlink r:id="rId14">
        <w:r>
          <w:rPr>
            <w:color w:val="2563EB"/>
          </w:rPr>
          <w:t>[3] Chart.js — Performance</w:t>
        </w:r>
      </w:hyperlink>
    </w:p>
    <w:p>
      <w:pPr>
        <w:pStyle w:val="Small"/>
      </w:pPr>
      <w:hyperlink r:id="rId15">
        <w:r>
          <w:rPr>
            <w:color w:val="2563EB"/>
          </w:rPr>
          <w:t>[4] W3C — How to Meet WCAG 2.2</w:t>
        </w:r>
      </w:hyperlink>
    </w:p>
    <w:p>
      <w:pPr>
        <w:pStyle w:val="Small"/>
      </w:pPr>
      <w:r>
        <w:t>Fuente de producto: brief “PROMPT MAESTRO — DISEÑO UI/UX DEL DASHBOARD SINOA” aportado por el usuario y selección posterior de las opciones 1 y 3. La imagen final es un mockup, no una captura del sistema implementado ni una actualización del archivo de Figma.</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right"/>
    </w:pPr>
    <w:r>
      <w:t xml:space="preserve">SINOA · Diseño y desarrollo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pPr>
    <w:r>
      <w:t>SINOA  /  LAB BLUE WORKSPACE                                      ESPECIFICACIÓN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0">
    <w:lvl w:ilvl="0">
      <w:start w:val="1"/>
      <w:numFmt w:val="bullet"/>
      <w:lvlText w:val="•"/>
      <w:lvlJc w:val="left"/>
      <w:pPr>
        <w:ind w:left="540" w:hanging="271"/>
        <w:tabs>
          <w:tab w:val="num" w:pos="540"/>
        </w:tabs>
      </w:pPr>
    </w:lvl>
  </w:abstractNum>
  <w:num w:numId="90">
    <w:abstractNumId w:val="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F17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1E40AF"/>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1E40AF"/>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E40A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300" w:lineRule="auto" w:before="0"/>
      <w:contextualSpacing/>
    </w:pPr>
    <w:rPr>
      <w:rFonts w:asciiTheme="majorHAnsi" w:eastAsiaTheme="majorEastAsia" w:hAnsiTheme="majorHAnsi" w:cstheme="majorBidi" w:ascii="Calibri" w:hAnsi="Calibri"/>
      <w:color w:val="1E40A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40" w:line="300" w:lineRule="auto"/>
    </w:pPr>
    <w:rPr>
      <w:rFonts w:asciiTheme="majorHAnsi" w:eastAsiaTheme="majorEastAsia" w:hAnsiTheme="majorHAnsi" w:cstheme="majorBidi" w:ascii="Calibri" w:hAnsi="Calibri"/>
      <w:i/>
      <w:iCs/>
      <w:color w:val="475569"/>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Body">
    <w:name w:val="TableBody"/>
    <w:pPr>
      <w:spacing w:before="0" w:after="80" w:line="269" w:lineRule="auto"/>
    </w:pPr>
    <w:rPr>
      <w:rFonts w:ascii="Calibri" w:hAnsi="Calibri"/>
      <w:color w:val="0F172A"/>
      <w:sz w:val="19"/>
    </w:rPr>
  </w:style>
  <w:style w:type="paragraph" w:customStyle="1" w:styleId="CaptionText">
    <w:name w:val="CaptionText"/>
    <w:pPr>
      <w:spacing w:before="0" w:after="80" w:line="269" w:lineRule="auto"/>
    </w:pPr>
    <w:rPr>
      <w:rFonts w:ascii="Calibri" w:hAnsi="Calibri"/>
      <w:color w:val="64748B"/>
      <w:sz w:val="18"/>
    </w:rPr>
  </w:style>
  <w:style w:type="paragraph" w:customStyle="1" w:styleId="CodeText">
    <w:name w:val="CodeText"/>
    <w:pPr>
      <w:spacing w:before="0" w:after="80" w:line="269" w:lineRule="auto"/>
    </w:pPr>
    <w:rPr>
      <w:rFonts w:ascii="Consolas" w:hAnsi="Consolas"/>
      <w:color w:val="1E40AF"/>
      <w:sz w:val="18"/>
    </w:rPr>
  </w:style>
  <w:style w:type="paragraph" w:customStyle="1" w:styleId="Small">
    <w:name w:val="Small"/>
    <w:pPr>
      <w:spacing w:before="0" w:after="80" w:line="269" w:lineRule="auto"/>
    </w:pPr>
    <w:rPr>
      <w:rFonts w:ascii="Calibri" w:hAnsi="Calibri"/>
      <w:color w:val="475569"/>
      <w:sz w:val="18"/>
    </w:rPr>
  </w:style>
  <w:style w:type="paragraph" w:customStyle="1" w:styleId="SINOABullet">
    <w:name w:val="SINOA Bullet"/>
    <w:basedOn w:val="Normal"/>
    <w:pPr>
      <w:spacing w:after="80" w:line="300" w:lineRule="auto"/>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vuejs.org/guide/reusability/composables.html" TargetMode="External"/><Relationship Id="rId13" Type="http://schemas.openxmlformats.org/officeDocument/2006/relationships/hyperlink" Target="https://getbootstrap.com/docs/5.3/layout/breakpoints/" TargetMode="External"/><Relationship Id="rId14" Type="http://schemas.openxmlformats.org/officeDocument/2006/relationships/hyperlink" Target="https://www.chartjs.org/docs/latest/general/performance.html" TargetMode="External"/><Relationship Id="rId15" Type="http://schemas.openxmlformats.org/officeDocument/2006/relationships/hyperlink" Target="https://www.w3.org/WAI/WCAG22/quickre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SINOA Lab Blue Workspace — Diseño final y plan de desarrollo</dc:title>
  <dc:subject>Requisitos, jerarquía responsive, sistema visual, contratos y verificación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