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문문문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ㄹ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하남시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ㅇ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01055555555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jjunyo@gmail.com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홍길동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ㅁㄴㅇㄹ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하남시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/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01055555555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jjunyo@gmail.com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ㅇ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계약금사기죄로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2024년 1월 15일 21시 54분경 학교에서, 고소인에게 아무래도 제품 생산이나 납품을 할 수 없는 상황임에도 계약금을 지불하겠다고 보장하여 계약을 체결하도록 유도하였습니다. 그 결과 고소인은 피고소인에게 계약금 1억원을 지불하였으나 실제로는 피고소인은 생산이나 납품을 하지 않고 돈을 환수하지 않았습니다.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범죄사실과 같이 피고소인은 계약금사기를 하였습니다. 피고소인과는 합의하였으나, 피고소인의 처벌을 원합니다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있음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있음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1월 11일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asdf경찰서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